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Lines="0" w:afterLines="0" w:line="1000" w:lineRule="exact"/>
        <w:jc w:val="center"/>
        <w:textAlignment w:val="auto"/>
        <w:rPr>
          <w:rFonts w:hint="eastAsia" w:ascii="微软雅黑" w:hAnsi="宋体" w:eastAsia="微软雅黑" w:cs="Times New Roman"/>
          <w:color w:val="auto"/>
          <w:kern w:val="2"/>
          <w:sz w:val="72"/>
          <w:szCs w:val="7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beforeLines="0" w:afterLines="0" w:line="1000" w:lineRule="exact"/>
        <w:jc w:val="center"/>
        <w:textAlignment w:val="auto"/>
        <w:rPr>
          <w:rFonts w:hint="eastAsia" w:ascii="微软雅黑" w:hAnsi="宋体" w:eastAsia="微软雅黑" w:cs="Times New Roman"/>
          <w:color w:val="auto"/>
          <w:kern w:val="2"/>
          <w:sz w:val="72"/>
          <w:szCs w:val="7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beforeLines="0" w:afterLines="0" w:line="1000" w:lineRule="exact"/>
        <w:jc w:val="center"/>
        <w:textAlignment w:val="auto"/>
        <w:rPr>
          <w:rFonts w:hint="eastAsia" w:ascii="微软雅黑" w:hAnsi="宋体" w:eastAsia="微软雅黑" w:cs="Times New Roman"/>
          <w:color w:val="auto"/>
          <w:kern w:val="2"/>
          <w:sz w:val="72"/>
          <w:szCs w:val="7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beforeLines="0" w:afterLines="0" w:line="1000" w:lineRule="exact"/>
        <w:jc w:val="center"/>
        <w:textAlignment w:val="auto"/>
        <w:rPr>
          <w:rFonts w:hint="eastAsia" w:ascii="方正小标宋简体" w:hAnsi="方正小标宋简体" w:eastAsia="方正小标宋简体" w:cs="方正小标宋简体"/>
          <w:kern w:val="2"/>
          <w:sz w:val="72"/>
          <w:szCs w:val="72"/>
          <w:highlight w:val="none"/>
          <w:lang w:val="zh-CN"/>
        </w:rPr>
      </w:pPr>
      <w:r>
        <w:rPr>
          <w:rFonts w:hint="eastAsia" w:ascii="方正小标宋简体" w:hAnsi="方正小标宋简体" w:eastAsia="方正小标宋简体" w:cs="方正小标宋简体"/>
          <w:color w:val="auto"/>
          <w:kern w:val="2"/>
          <w:sz w:val="72"/>
          <w:szCs w:val="72"/>
          <w:highlight w:val="none"/>
          <w:lang w:val="en-US" w:eastAsia="zh-CN" w:bidi="ar-SA"/>
        </w:rPr>
        <w:t>2023年度</w:t>
      </w:r>
      <w:r>
        <w:rPr>
          <w:rFonts w:hint="eastAsia" w:ascii="方正小标宋简体" w:hAnsi="方正小标宋简体" w:eastAsia="方正小标宋简体" w:cs="方正小标宋简体"/>
          <w:kern w:val="2"/>
          <w:sz w:val="72"/>
          <w:szCs w:val="72"/>
          <w:highlight w:val="none"/>
          <w:lang w:val="zh-CN"/>
        </w:rPr>
        <w:t>广元市老年大学</w:t>
      </w:r>
    </w:p>
    <w:p>
      <w:pPr>
        <w:keepNext w:val="0"/>
        <w:keepLines w:val="0"/>
        <w:pageBreakBefore w:val="0"/>
        <w:widowControl w:val="0"/>
        <w:kinsoku/>
        <w:wordWrap/>
        <w:overflowPunct/>
        <w:topLinePunct w:val="0"/>
        <w:autoSpaceDE/>
        <w:autoSpaceDN/>
        <w:bidi w:val="0"/>
        <w:adjustRightInd/>
        <w:snapToGrid/>
        <w:spacing w:beforeLines="0" w:afterLines="0" w:line="1000" w:lineRule="exact"/>
        <w:jc w:val="center"/>
        <w:textAlignment w:val="auto"/>
        <w:rPr>
          <w:rFonts w:hint="eastAsia" w:ascii="方正小标宋简体" w:hAnsi="方正小标宋简体" w:eastAsia="方正小标宋简体" w:cs="方正小标宋简体"/>
          <w:kern w:val="2"/>
          <w:sz w:val="72"/>
          <w:szCs w:val="72"/>
          <w:highlight w:val="none"/>
          <w:lang w:val="zh-CN"/>
        </w:rPr>
      </w:pPr>
      <w:r>
        <w:rPr>
          <w:rFonts w:hint="eastAsia" w:ascii="方正小标宋简体" w:hAnsi="方正小标宋简体" w:eastAsia="方正小标宋简体" w:cs="方正小标宋简体"/>
          <w:kern w:val="2"/>
          <w:sz w:val="72"/>
          <w:szCs w:val="72"/>
          <w:highlight w:val="none"/>
          <w:lang w:val="zh-CN"/>
        </w:rPr>
        <w:t>（广元市老年活动中心）</w:t>
      </w:r>
    </w:p>
    <w:p>
      <w:pPr>
        <w:keepNext w:val="0"/>
        <w:keepLines w:val="0"/>
        <w:pageBreakBefore w:val="0"/>
        <w:widowControl w:val="0"/>
        <w:kinsoku/>
        <w:wordWrap/>
        <w:overflowPunct/>
        <w:topLinePunct w:val="0"/>
        <w:autoSpaceDE/>
        <w:autoSpaceDN/>
        <w:bidi w:val="0"/>
        <w:adjustRightInd/>
        <w:snapToGrid/>
        <w:spacing w:beforeLines="0" w:afterLines="0" w:line="1000" w:lineRule="exact"/>
        <w:jc w:val="center"/>
        <w:textAlignment w:val="auto"/>
        <w:rPr>
          <w:rFonts w:hint="eastAsia" w:ascii="方正小标宋简体" w:hAnsi="方正小标宋简体" w:eastAsia="方正小标宋简体" w:cs="方正小标宋简体"/>
          <w:kern w:val="2"/>
          <w:sz w:val="72"/>
          <w:szCs w:val="72"/>
          <w:highlight w:val="none"/>
          <w:lang w:val="zh-CN"/>
        </w:rPr>
      </w:pPr>
      <w:r>
        <w:rPr>
          <w:rFonts w:hint="eastAsia" w:ascii="方正小标宋简体" w:hAnsi="方正小标宋简体" w:eastAsia="方正小标宋简体" w:cs="方正小标宋简体"/>
          <w:kern w:val="2"/>
          <w:sz w:val="72"/>
          <w:szCs w:val="72"/>
          <w:highlight w:val="none"/>
          <w:lang w:val="zh-CN"/>
        </w:rPr>
        <w:t>单位决算</w:t>
      </w:r>
    </w:p>
    <w:p>
      <w:pPr>
        <w:pStyle w:val="4"/>
        <w:pageBreakBefore w:val="0"/>
        <w:kinsoku/>
        <w:wordWrap/>
        <w:overflowPunct/>
        <w:topLinePunct w:val="0"/>
        <w:bidi w:val="0"/>
        <w:spacing w:line="560" w:lineRule="exact"/>
        <w:jc w:val="center"/>
        <w:textAlignment w:val="auto"/>
        <w:rPr>
          <w:rFonts w:hint="eastAsia" w:ascii="微软雅黑" w:hAnsi="宋体" w:eastAsia="微软雅黑" w:cs="Times New Roman"/>
          <w:color w:val="auto"/>
          <w:kern w:val="2"/>
          <w:sz w:val="44"/>
          <w:szCs w:val="44"/>
          <w:highlight w:val="none"/>
          <w:lang w:val="en-US" w:eastAsia="zh-CN" w:bidi="ar-SA"/>
        </w:rPr>
      </w:pPr>
    </w:p>
    <w:p>
      <w:pPr>
        <w:pageBreakBefore w:val="0"/>
        <w:widowControl/>
        <w:kinsoku/>
        <w:wordWrap/>
        <w:overflowPunct/>
        <w:topLinePunct w:val="0"/>
        <w:bidi w:val="0"/>
        <w:spacing w:line="560" w:lineRule="exact"/>
        <w:jc w:val="center"/>
        <w:textAlignment w:val="auto"/>
        <w:rPr>
          <w:rFonts w:hint="eastAsia" w:ascii="黑体" w:hAnsi="黑体" w:eastAsia="黑体"/>
          <w:color w:val="auto"/>
          <w:sz w:val="48"/>
          <w:szCs w:val="48"/>
          <w:highlight w:val="none"/>
        </w:rPr>
        <w:sectPr>
          <w:headerReference r:id="rId3" w:type="default"/>
          <w:pgSz w:w="11906" w:h="16838"/>
          <w:pgMar w:top="1440" w:right="1800" w:bottom="1440" w:left="1800" w:header="851" w:footer="992" w:gutter="0"/>
          <w:cols w:space="425" w:num="1"/>
          <w:docGrid w:type="lines" w:linePitch="312" w:charSpace="0"/>
        </w:sectPr>
      </w:pPr>
    </w:p>
    <w:p>
      <w:pPr>
        <w:pageBreakBefore w:val="0"/>
        <w:widowControl/>
        <w:kinsoku/>
        <w:wordWrap/>
        <w:overflowPunct/>
        <w:topLinePunct w:val="0"/>
        <w:bidi w:val="0"/>
        <w:spacing w:line="560" w:lineRule="exact"/>
        <w:jc w:val="center"/>
        <w:textAlignment w:val="auto"/>
        <w:rPr>
          <w:rFonts w:hint="eastAsia" w:ascii="黑体" w:hAnsi="黑体" w:eastAsia="黑体"/>
          <w:color w:val="auto"/>
          <w:sz w:val="48"/>
          <w:szCs w:val="48"/>
          <w:highlight w:val="none"/>
        </w:rPr>
      </w:pPr>
      <w:r>
        <w:rPr>
          <w:rFonts w:hint="eastAsia" w:ascii="黑体" w:hAnsi="黑体" w:eastAsia="黑体"/>
          <w:color w:val="auto"/>
          <w:sz w:val="48"/>
          <w:szCs w:val="48"/>
          <w:highlight w:val="none"/>
        </w:rPr>
        <w:t>目录</w:t>
      </w:r>
    </w:p>
    <w:p>
      <w:pPr>
        <w:pStyle w:val="7"/>
        <w:pageBreakBefore w:val="0"/>
        <w:kinsoku/>
        <w:wordWrap/>
        <w:overflowPunct/>
        <w:topLinePunct w:val="0"/>
        <w:bidi w:val="0"/>
        <w:spacing w:line="560" w:lineRule="exact"/>
        <w:jc w:val="center"/>
        <w:textAlignment w:val="auto"/>
        <w:rPr>
          <w:rFonts w:hint="eastAsia" w:ascii="宋体" w:hAnsi="宋体" w:eastAsia="宋体" w:cs="宋体"/>
          <w:color w:val="auto"/>
          <w:sz w:val="24"/>
          <w:szCs w:val="24"/>
          <w:highlight w:val="none"/>
          <w:lang w:val="en-US" w:eastAsia="zh-CN"/>
        </w:rPr>
      </w:pPr>
      <w:r>
        <w:rPr>
          <w:rFonts w:hint="eastAsia"/>
          <w:color w:val="auto"/>
          <w:highlight w:val="none"/>
        </w:rPr>
        <w:t>公开时间：20</w:t>
      </w:r>
      <w:r>
        <w:rPr>
          <w:rFonts w:hint="eastAsia"/>
          <w:color w:val="auto"/>
          <w:highlight w:val="none"/>
          <w:lang w:val="en-US" w:eastAsia="zh-CN"/>
        </w:rPr>
        <w:t>24</w:t>
      </w:r>
      <w:r>
        <w:rPr>
          <w:rFonts w:hint="eastAsia"/>
          <w:color w:val="auto"/>
          <w:highlight w:val="none"/>
        </w:rPr>
        <w:t>年</w:t>
      </w:r>
      <w:r>
        <w:rPr>
          <w:rFonts w:hint="eastAsia"/>
          <w:color w:val="auto"/>
          <w:highlight w:val="none"/>
          <w:lang w:val="en-US" w:eastAsia="zh-CN"/>
        </w:rPr>
        <w:t>10</w:t>
      </w:r>
      <w:r>
        <w:rPr>
          <w:rFonts w:hint="eastAsia"/>
          <w:color w:val="auto"/>
          <w:highlight w:val="none"/>
        </w:rPr>
        <w:t>月</w:t>
      </w:r>
      <w:r>
        <w:rPr>
          <w:rFonts w:hint="eastAsia"/>
          <w:color w:val="auto"/>
          <w:highlight w:val="none"/>
          <w:lang w:val="en-US" w:eastAsia="zh-CN"/>
        </w:rPr>
        <w:t>14</w:t>
      </w:r>
      <w:r>
        <w:rPr>
          <w:rFonts w:hint="eastAsia"/>
          <w:color w:val="auto"/>
          <w:highlight w:val="none"/>
        </w:rPr>
        <w:t>日</w:t>
      </w:r>
    </w:p>
    <w:sdt>
      <w:sdtPr>
        <w:rPr>
          <w:rFonts w:ascii="宋体" w:hAnsi="宋体" w:eastAsia="宋体" w:cs="Times New Roman"/>
          <w:color w:val="auto"/>
          <w:kern w:val="2"/>
          <w:sz w:val="21"/>
          <w:szCs w:val="24"/>
          <w:highlight w:val="none"/>
          <w:lang w:val="en-US" w:eastAsia="zh-CN" w:bidi="ar-SA"/>
        </w:rPr>
        <w:id w:val="147478195"/>
        <w15:color w:val="DBDBDB"/>
        <w:docPartObj>
          <w:docPartGallery w:val="Table of Contents"/>
          <w:docPartUnique/>
        </w:docPartObj>
      </w:sdtPr>
      <w:sdtEndPr>
        <w:rPr>
          <w:rFonts w:hint="eastAsia" w:ascii="黑体" w:hAnsi="黑体" w:eastAsia="黑体" w:cs="黑体"/>
          <w:b/>
          <w:color w:val="auto"/>
          <w:kern w:val="2"/>
          <w:sz w:val="28"/>
          <w:szCs w:val="44"/>
          <w:highlight w:val="none"/>
          <w:lang w:val="en-US" w:eastAsia="zh-CN" w:bidi="ar-SA"/>
        </w:rPr>
      </w:sdtEndPr>
      <w:sdtContent>
        <w:p>
          <w:pPr>
            <w:spacing w:before="0" w:beforeLines="0" w:after="0" w:afterLines="0" w:line="240" w:lineRule="auto"/>
            <w:ind w:left="0" w:leftChars="0" w:right="0" w:rightChars="0" w:firstLine="0" w:firstLineChars="0"/>
            <w:jc w:val="center"/>
            <w:rPr>
              <w:highlight w:val="none"/>
            </w:rPr>
          </w:pPr>
        </w:p>
        <w:p>
          <w:pPr>
            <w:pStyle w:val="15"/>
            <w:tabs>
              <w:tab w:val="right" w:leader="dot" w:pos="8306"/>
            </w:tabs>
            <w:rPr>
              <w:b/>
              <w:highlight w:val="none"/>
            </w:rPr>
          </w:pPr>
          <w:r>
            <w:rPr>
              <w:rFonts w:hint="eastAsia" w:ascii="黑体" w:hAnsi="黑体" w:eastAsia="黑体" w:cs="黑体"/>
              <w:color w:val="auto"/>
              <w:sz w:val="44"/>
              <w:szCs w:val="44"/>
              <w:highlight w:val="none"/>
            </w:rPr>
            <w:fldChar w:fldCharType="begin"/>
          </w:r>
          <w:r>
            <w:rPr>
              <w:rFonts w:hint="eastAsia" w:ascii="黑体" w:hAnsi="黑体" w:eastAsia="黑体" w:cs="黑体"/>
              <w:color w:val="auto"/>
              <w:sz w:val="44"/>
              <w:szCs w:val="44"/>
              <w:highlight w:val="none"/>
            </w:rPr>
            <w:instrText xml:space="preserve">TOC \o "1-2" \h \u </w:instrText>
          </w:r>
          <w:r>
            <w:rPr>
              <w:rFonts w:hint="eastAsia" w:ascii="黑体" w:hAnsi="黑体" w:eastAsia="黑体" w:cs="黑体"/>
              <w:color w:val="auto"/>
              <w:sz w:val="44"/>
              <w:szCs w:val="44"/>
              <w:highlight w:val="none"/>
            </w:rPr>
            <w:fldChar w:fldCharType="separate"/>
          </w:r>
          <w:r>
            <w:rPr>
              <w:rFonts w:hint="eastAsia" w:ascii="黑体" w:hAnsi="黑体" w:eastAsia="黑体" w:cs="黑体"/>
              <w:b/>
              <w:color w:val="auto"/>
              <w:szCs w:val="44"/>
              <w:highlight w:val="none"/>
            </w:rPr>
            <w:fldChar w:fldCharType="begin"/>
          </w:r>
          <w:r>
            <w:rPr>
              <w:rFonts w:hint="eastAsia" w:ascii="黑体" w:hAnsi="黑体" w:eastAsia="黑体" w:cs="黑体"/>
              <w:b/>
              <w:szCs w:val="44"/>
              <w:highlight w:val="none"/>
            </w:rPr>
            <w:instrText xml:space="preserve"> HYPERLINK \l _Toc19597 </w:instrText>
          </w:r>
          <w:r>
            <w:rPr>
              <w:rFonts w:hint="eastAsia" w:ascii="黑体" w:hAnsi="黑体" w:eastAsia="黑体" w:cs="黑体"/>
              <w:b/>
              <w:szCs w:val="44"/>
              <w:highlight w:val="none"/>
            </w:rPr>
            <w:fldChar w:fldCharType="separate"/>
          </w:r>
          <w:r>
            <w:rPr>
              <w:rFonts w:hint="eastAsia" w:ascii="黑体" w:hAnsi="黑体" w:eastAsia="黑体" w:cs="黑体"/>
              <w:b/>
              <w:szCs w:val="44"/>
              <w:highlight w:val="none"/>
            </w:rPr>
            <w:t xml:space="preserve">第一部分 </w:t>
          </w:r>
          <w:r>
            <w:rPr>
              <w:rFonts w:hint="eastAsia" w:ascii="黑体" w:hAnsi="黑体" w:eastAsia="黑体" w:cs="黑体"/>
              <w:b/>
              <w:szCs w:val="44"/>
              <w:highlight w:val="none"/>
              <w:lang w:eastAsia="zh-CN"/>
            </w:rPr>
            <w:t>单位</w:t>
          </w:r>
          <w:r>
            <w:rPr>
              <w:rFonts w:hint="eastAsia" w:ascii="黑体" w:hAnsi="黑体" w:eastAsia="黑体" w:cs="黑体"/>
              <w:b/>
              <w:szCs w:val="44"/>
              <w:highlight w:val="none"/>
            </w:rPr>
            <w:t>概况</w:t>
          </w:r>
          <w:r>
            <w:rPr>
              <w:b/>
              <w:highlight w:val="none"/>
            </w:rPr>
            <w:tab/>
          </w:r>
          <w:r>
            <w:rPr>
              <w:b/>
              <w:highlight w:val="none"/>
            </w:rPr>
            <w:fldChar w:fldCharType="begin"/>
          </w:r>
          <w:r>
            <w:rPr>
              <w:b/>
              <w:highlight w:val="none"/>
            </w:rPr>
            <w:instrText xml:space="preserve"> PAGEREF _Toc19597 \h </w:instrText>
          </w:r>
          <w:r>
            <w:rPr>
              <w:b/>
              <w:highlight w:val="none"/>
            </w:rPr>
            <w:fldChar w:fldCharType="separate"/>
          </w:r>
          <w:r>
            <w:rPr>
              <w:b/>
              <w:highlight w:val="none"/>
            </w:rPr>
            <w:t>1</w:t>
          </w:r>
          <w:r>
            <w:rPr>
              <w:b/>
              <w:highlight w:val="none"/>
            </w:rPr>
            <w:fldChar w:fldCharType="end"/>
          </w:r>
          <w:r>
            <w:rPr>
              <w:rFonts w:hint="eastAsia" w:ascii="黑体" w:hAnsi="黑体" w:eastAsia="黑体" w:cs="黑体"/>
              <w:b/>
              <w:color w:val="auto"/>
              <w:szCs w:val="44"/>
              <w:highlight w:val="none"/>
            </w:rPr>
            <w:fldChar w:fldCharType="end"/>
          </w:r>
        </w:p>
        <w:p>
          <w:pPr>
            <w:pStyle w:val="16"/>
            <w:tabs>
              <w:tab w:val="right" w:leader="dot" w:pos="8306"/>
            </w:tabs>
            <w:rPr>
              <w:highlight w:val="none"/>
            </w:rPr>
          </w:pPr>
          <w:r>
            <w:rPr>
              <w:rFonts w:hint="eastAsia" w:ascii="黑体" w:hAnsi="黑体" w:eastAsia="黑体" w:cs="黑体"/>
              <w:color w:val="auto"/>
              <w:szCs w:val="44"/>
              <w:highlight w:val="none"/>
            </w:rPr>
            <w:fldChar w:fldCharType="begin"/>
          </w:r>
          <w:r>
            <w:rPr>
              <w:rFonts w:hint="eastAsia" w:ascii="黑体" w:hAnsi="黑体" w:eastAsia="黑体" w:cs="黑体"/>
              <w:szCs w:val="44"/>
              <w:highlight w:val="none"/>
            </w:rPr>
            <w:instrText xml:space="preserve"> HYPERLINK \l _Toc21778 </w:instrText>
          </w:r>
          <w:r>
            <w:rPr>
              <w:rFonts w:hint="eastAsia" w:ascii="黑体" w:hAnsi="黑体" w:eastAsia="黑体" w:cs="黑体"/>
              <w:szCs w:val="44"/>
              <w:highlight w:val="none"/>
            </w:rPr>
            <w:fldChar w:fldCharType="separate"/>
          </w:r>
          <w:r>
            <w:rPr>
              <w:rFonts w:hint="eastAsia" w:ascii="黑体" w:hAnsi="黑体" w:eastAsia="黑体" w:cs="黑体"/>
              <w:szCs w:val="32"/>
              <w:highlight w:val="none"/>
            </w:rPr>
            <w:t>一、</w:t>
          </w:r>
          <w:r>
            <w:rPr>
              <w:rFonts w:hint="eastAsia" w:ascii="黑体" w:hAnsi="黑体" w:eastAsia="黑体" w:cs="黑体"/>
              <w:szCs w:val="32"/>
              <w:highlight w:val="none"/>
              <w:lang w:eastAsia="zh-CN"/>
            </w:rPr>
            <w:t>主要职责</w:t>
          </w:r>
          <w:r>
            <w:rPr>
              <w:highlight w:val="none"/>
            </w:rPr>
            <w:tab/>
          </w:r>
          <w:r>
            <w:rPr>
              <w:highlight w:val="none"/>
            </w:rPr>
            <w:fldChar w:fldCharType="begin"/>
          </w:r>
          <w:r>
            <w:rPr>
              <w:highlight w:val="none"/>
            </w:rPr>
            <w:instrText xml:space="preserve"> PAGEREF _Toc21778 \h </w:instrText>
          </w:r>
          <w:r>
            <w:rPr>
              <w:highlight w:val="none"/>
            </w:rPr>
            <w:fldChar w:fldCharType="separate"/>
          </w:r>
          <w:r>
            <w:rPr>
              <w:highlight w:val="none"/>
            </w:rPr>
            <w:t>1</w:t>
          </w:r>
          <w:r>
            <w:rPr>
              <w:highlight w:val="none"/>
            </w:rPr>
            <w:fldChar w:fldCharType="end"/>
          </w:r>
          <w:r>
            <w:rPr>
              <w:rFonts w:hint="eastAsia" w:ascii="黑体" w:hAnsi="黑体" w:eastAsia="黑体" w:cs="黑体"/>
              <w:color w:val="auto"/>
              <w:szCs w:val="44"/>
              <w:highlight w:val="none"/>
            </w:rPr>
            <w:fldChar w:fldCharType="end"/>
          </w:r>
        </w:p>
        <w:p>
          <w:pPr>
            <w:pStyle w:val="16"/>
            <w:tabs>
              <w:tab w:val="right" w:leader="dot" w:pos="8306"/>
            </w:tabs>
            <w:rPr>
              <w:highlight w:val="none"/>
            </w:rPr>
          </w:pPr>
          <w:r>
            <w:rPr>
              <w:rFonts w:hint="eastAsia" w:ascii="黑体" w:hAnsi="黑体" w:eastAsia="黑体" w:cs="黑体"/>
              <w:color w:val="auto"/>
              <w:szCs w:val="44"/>
              <w:highlight w:val="none"/>
            </w:rPr>
            <w:fldChar w:fldCharType="begin"/>
          </w:r>
          <w:r>
            <w:rPr>
              <w:rFonts w:hint="eastAsia" w:ascii="黑体" w:hAnsi="黑体" w:eastAsia="黑体" w:cs="黑体"/>
              <w:szCs w:val="44"/>
              <w:highlight w:val="none"/>
            </w:rPr>
            <w:instrText xml:space="preserve"> HYPERLINK \l _Toc12950 </w:instrText>
          </w:r>
          <w:r>
            <w:rPr>
              <w:rFonts w:hint="eastAsia" w:ascii="黑体" w:hAnsi="黑体" w:eastAsia="黑体" w:cs="黑体"/>
              <w:szCs w:val="44"/>
              <w:highlight w:val="none"/>
            </w:rPr>
            <w:fldChar w:fldCharType="separate"/>
          </w:r>
          <w:r>
            <w:rPr>
              <w:rFonts w:hint="eastAsia" w:ascii="黑体" w:hAnsi="黑体" w:eastAsia="黑体" w:cs="黑体"/>
              <w:szCs w:val="32"/>
              <w:highlight w:val="none"/>
              <w:lang w:val="en-US" w:eastAsia="zh-CN"/>
            </w:rPr>
            <w:t>二、</w:t>
          </w:r>
          <w:r>
            <w:rPr>
              <w:rFonts w:hint="eastAsia" w:ascii="黑体" w:hAnsi="黑体" w:eastAsia="黑体" w:cs="黑体"/>
              <w:szCs w:val="32"/>
              <w:highlight w:val="none"/>
              <w:lang w:eastAsia="zh-CN"/>
            </w:rPr>
            <w:t>机构设置</w:t>
          </w:r>
          <w:r>
            <w:rPr>
              <w:highlight w:val="none"/>
            </w:rPr>
            <w:tab/>
          </w:r>
          <w:r>
            <w:rPr>
              <w:highlight w:val="none"/>
            </w:rPr>
            <w:fldChar w:fldCharType="begin"/>
          </w:r>
          <w:r>
            <w:rPr>
              <w:highlight w:val="none"/>
            </w:rPr>
            <w:instrText xml:space="preserve"> PAGEREF _Toc12950 \h </w:instrText>
          </w:r>
          <w:r>
            <w:rPr>
              <w:highlight w:val="none"/>
            </w:rPr>
            <w:fldChar w:fldCharType="separate"/>
          </w:r>
          <w:r>
            <w:rPr>
              <w:highlight w:val="none"/>
            </w:rPr>
            <w:t>1</w:t>
          </w:r>
          <w:r>
            <w:rPr>
              <w:highlight w:val="none"/>
            </w:rPr>
            <w:fldChar w:fldCharType="end"/>
          </w:r>
          <w:r>
            <w:rPr>
              <w:rFonts w:hint="eastAsia" w:ascii="黑体" w:hAnsi="黑体" w:eastAsia="黑体" w:cs="黑体"/>
              <w:color w:val="auto"/>
              <w:szCs w:val="44"/>
              <w:highlight w:val="none"/>
            </w:rPr>
            <w:fldChar w:fldCharType="end"/>
          </w:r>
        </w:p>
        <w:p>
          <w:pPr>
            <w:pStyle w:val="15"/>
            <w:tabs>
              <w:tab w:val="right" w:leader="dot" w:pos="8306"/>
            </w:tabs>
            <w:rPr>
              <w:b/>
              <w:highlight w:val="none"/>
            </w:rPr>
          </w:pPr>
          <w:r>
            <w:rPr>
              <w:rFonts w:hint="eastAsia" w:ascii="黑体" w:hAnsi="黑体" w:eastAsia="黑体" w:cs="黑体"/>
              <w:b/>
              <w:color w:val="auto"/>
              <w:szCs w:val="44"/>
              <w:highlight w:val="none"/>
            </w:rPr>
            <w:fldChar w:fldCharType="begin"/>
          </w:r>
          <w:r>
            <w:rPr>
              <w:rFonts w:hint="eastAsia" w:ascii="黑体" w:hAnsi="黑体" w:eastAsia="黑体" w:cs="黑体"/>
              <w:b/>
              <w:szCs w:val="44"/>
              <w:highlight w:val="none"/>
            </w:rPr>
            <w:instrText xml:space="preserve"> HYPERLINK \l _Toc21308 </w:instrText>
          </w:r>
          <w:r>
            <w:rPr>
              <w:rFonts w:hint="eastAsia" w:ascii="黑体" w:hAnsi="黑体" w:eastAsia="黑体" w:cs="黑体"/>
              <w:b/>
              <w:szCs w:val="44"/>
              <w:highlight w:val="none"/>
            </w:rPr>
            <w:fldChar w:fldCharType="separate"/>
          </w:r>
          <w:r>
            <w:rPr>
              <w:rFonts w:hint="eastAsia" w:ascii="黑体" w:hAnsi="黑体" w:eastAsia="黑体" w:cs="黑体"/>
              <w:b/>
              <w:szCs w:val="44"/>
              <w:highlight w:val="none"/>
              <w:lang w:val="en-US" w:eastAsia="zh-CN"/>
            </w:rPr>
            <w:t>第二部分 2023年度</w:t>
          </w:r>
          <w:r>
            <w:rPr>
              <w:rFonts w:hint="eastAsia" w:ascii="黑体" w:hAnsi="黑体" w:eastAsia="黑体" w:cs="黑体"/>
              <w:b/>
              <w:szCs w:val="44"/>
              <w:highlight w:val="none"/>
              <w:lang w:eastAsia="zh-CN"/>
            </w:rPr>
            <w:t>单位</w:t>
          </w:r>
          <w:r>
            <w:rPr>
              <w:rFonts w:hint="eastAsia" w:ascii="黑体" w:hAnsi="黑体" w:eastAsia="黑体" w:cs="黑体"/>
              <w:b/>
              <w:szCs w:val="44"/>
              <w:highlight w:val="none"/>
            </w:rPr>
            <w:t>决算情况说明</w:t>
          </w:r>
          <w:r>
            <w:rPr>
              <w:b/>
              <w:highlight w:val="none"/>
            </w:rPr>
            <w:tab/>
          </w:r>
          <w:r>
            <w:rPr>
              <w:b/>
              <w:highlight w:val="none"/>
            </w:rPr>
            <w:fldChar w:fldCharType="begin"/>
          </w:r>
          <w:r>
            <w:rPr>
              <w:b/>
              <w:highlight w:val="none"/>
            </w:rPr>
            <w:instrText xml:space="preserve"> PAGEREF _Toc21308 \h </w:instrText>
          </w:r>
          <w:r>
            <w:rPr>
              <w:b/>
              <w:highlight w:val="none"/>
            </w:rPr>
            <w:fldChar w:fldCharType="separate"/>
          </w:r>
          <w:r>
            <w:rPr>
              <w:b/>
              <w:highlight w:val="none"/>
            </w:rPr>
            <w:t>1</w:t>
          </w:r>
          <w:r>
            <w:rPr>
              <w:b/>
              <w:highlight w:val="none"/>
            </w:rPr>
            <w:fldChar w:fldCharType="end"/>
          </w:r>
          <w:r>
            <w:rPr>
              <w:rFonts w:hint="eastAsia" w:ascii="黑体" w:hAnsi="黑体" w:eastAsia="黑体" w:cs="黑体"/>
              <w:b/>
              <w:color w:val="auto"/>
              <w:szCs w:val="44"/>
              <w:highlight w:val="none"/>
            </w:rPr>
            <w:fldChar w:fldCharType="end"/>
          </w:r>
        </w:p>
        <w:p>
          <w:pPr>
            <w:pStyle w:val="16"/>
            <w:tabs>
              <w:tab w:val="right" w:leader="dot" w:pos="8306"/>
            </w:tabs>
            <w:rPr>
              <w:highlight w:val="none"/>
            </w:rPr>
          </w:pPr>
          <w:r>
            <w:rPr>
              <w:rFonts w:hint="eastAsia" w:ascii="黑体" w:hAnsi="黑体" w:eastAsia="黑体" w:cs="黑体"/>
              <w:color w:val="auto"/>
              <w:szCs w:val="44"/>
              <w:highlight w:val="none"/>
            </w:rPr>
            <w:fldChar w:fldCharType="begin"/>
          </w:r>
          <w:r>
            <w:rPr>
              <w:rFonts w:hint="eastAsia" w:ascii="黑体" w:hAnsi="黑体" w:eastAsia="黑体" w:cs="黑体"/>
              <w:szCs w:val="44"/>
              <w:highlight w:val="none"/>
            </w:rPr>
            <w:instrText xml:space="preserve"> HYPERLINK \l _Toc10855 </w:instrText>
          </w:r>
          <w:r>
            <w:rPr>
              <w:rFonts w:hint="eastAsia" w:ascii="黑体" w:hAnsi="黑体" w:eastAsia="黑体" w:cs="黑体"/>
              <w:szCs w:val="44"/>
              <w:highlight w:val="none"/>
            </w:rPr>
            <w:fldChar w:fldCharType="separate"/>
          </w:r>
          <w:r>
            <w:rPr>
              <w:rFonts w:hint="eastAsia" w:ascii="黑体" w:hAnsi="黑体" w:eastAsia="黑体" w:cs="黑体"/>
              <w:szCs w:val="32"/>
              <w:highlight w:val="none"/>
              <w:lang w:val="en-US" w:eastAsia="zh-CN"/>
            </w:rPr>
            <w:t>一、</w:t>
          </w:r>
          <w:r>
            <w:rPr>
              <w:rFonts w:hint="eastAsia" w:ascii="黑体" w:hAnsi="黑体" w:eastAsia="黑体" w:cs="黑体"/>
              <w:szCs w:val="32"/>
              <w:highlight w:val="none"/>
            </w:rPr>
            <w:t>收入支出决算总体情况说明</w:t>
          </w:r>
          <w:r>
            <w:rPr>
              <w:highlight w:val="none"/>
            </w:rPr>
            <w:tab/>
          </w:r>
          <w:r>
            <w:rPr>
              <w:highlight w:val="none"/>
            </w:rPr>
            <w:fldChar w:fldCharType="begin"/>
          </w:r>
          <w:r>
            <w:rPr>
              <w:highlight w:val="none"/>
            </w:rPr>
            <w:instrText xml:space="preserve"> PAGEREF _Toc10855 \h </w:instrText>
          </w:r>
          <w:r>
            <w:rPr>
              <w:highlight w:val="none"/>
            </w:rPr>
            <w:fldChar w:fldCharType="separate"/>
          </w:r>
          <w:r>
            <w:rPr>
              <w:highlight w:val="none"/>
            </w:rPr>
            <w:t>1</w:t>
          </w:r>
          <w:r>
            <w:rPr>
              <w:highlight w:val="none"/>
            </w:rPr>
            <w:fldChar w:fldCharType="end"/>
          </w:r>
          <w:r>
            <w:rPr>
              <w:rFonts w:hint="eastAsia" w:ascii="黑体" w:hAnsi="黑体" w:eastAsia="黑体" w:cs="黑体"/>
              <w:color w:val="auto"/>
              <w:szCs w:val="44"/>
              <w:highlight w:val="none"/>
            </w:rPr>
            <w:fldChar w:fldCharType="end"/>
          </w:r>
        </w:p>
        <w:p>
          <w:pPr>
            <w:pStyle w:val="16"/>
            <w:tabs>
              <w:tab w:val="right" w:leader="dot" w:pos="8306"/>
            </w:tabs>
            <w:rPr>
              <w:highlight w:val="none"/>
            </w:rPr>
          </w:pPr>
          <w:r>
            <w:rPr>
              <w:rFonts w:hint="eastAsia" w:ascii="黑体" w:hAnsi="黑体" w:eastAsia="黑体" w:cs="黑体"/>
              <w:color w:val="auto"/>
              <w:szCs w:val="44"/>
              <w:highlight w:val="none"/>
            </w:rPr>
            <w:fldChar w:fldCharType="begin"/>
          </w:r>
          <w:r>
            <w:rPr>
              <w:rFonts w:hint="eastAsia" w:ascii="黑体" w:hAnsi="黑体" w:eastAsia="黑体" w:cs="黑体"/>
              <w:szCs w:val="44"/>
              <w:highlight w:val="none"/>
            </w:rPr>
            <w:instrText xml:space="preserve"> HYPERLINK \l _Toc2948 </w:instrText>
          </w:r>
          <w:r>
            <w:rPr>
              <w:rFonts w:hint="eastAsia" w:ascii="黑体" w:hAnsi="黑体" w:eastAsia="黑体" w:cs="黑体"/>
              <w:szCs w:val="44"/>
              <w:highlight w:val="none"/>
            </w:rPr>
            <w:fldChar w:fldCharType="separate"/>
          </w:r>
          <w:r>
            <w:rPr>
              <w:rFonts w:hint="eastAsia" w:ascii="黑体" w:hAnsi="黑体" w:eastAsia="黑体" w:cs="黑体"/>
              <w:szCs w:val="32"/>
              <w:highlight w:val="none"/>
              <w:lang w:val="en-US" w:eastAsia="zh-CN"/>
            </w:rPr>
            <w:t>二、</w:t>
          </w:r>
          <w:r>
            <w:rPr>
              <w:rFonts w:hint="eastAsia" w:ascii="黑体" w:hAnsi="黑体" w:eastAsia="黑体" w:cs="黑体"/>
              <w:szCs w:val="32"/>
              <w:highlight w:val="none"/>
            </w:rPr>
            <w:t>收入决算情况说明</w:t>
          </w:r>
          <w:r>
            <w:rPr>
              <w:highlight w:val="none"/>
            </w:rPr>
            <w:tab/>
          </w:r>
          <w:r>
            <w:rPr>
              <w:highlight w:val="none"/>
            </w:rPr>
            <w:fldChar w:fldCharType="begin"/>
          </w:r>
          <w:r>
            <w:rPr>
              <w:highlight w:val="none"/>
            </w:rPr>
            <w:instrText xml:space="preserve"> PAGEREF _Toc2948 \h </w:instrText>
          </w:r>
          <w:r>
            <w:rPr>
              <w:highlight w:val="none"/>
            </w:rPr>
            <w:fldChar w:fldCharType="separate"/>
          </w:r>
          <w:r>
            <w:rPr>
              <w:highlight w:val="none"/>
            </w:rPr>
            <w:t>2</w:t>
          </w:r>
          <w:r>
            <w:rPr>
              <w:highlight w:val="none"/>
            </w:rPr>
            <w:fldChar w:fldCharType="end"/>
          </w:r>
          <w:r>
            <w:rPr>
              <w:rFonts w:hint="eastAsia" w:ascii="黑体" w:hAnsi="黑体" w:eastAsia="黑体" w:cs="黑体"/>
              <w:color w:val="auto"/>
              <w:szCs w:val="44"/>
              <w:highlight w:val="none"/>
            </w:rPr>
            <w:fldChar w:fldCharType="end"/>
          </w:r>
        </w:p>
        <w:p>
          <w:pPr>
            <w:pStyle w:val="16"/>
            <w:tabs>
              <w:tab w:val="right" w:leader="dot" w:pos="8306"/>
            </w:tabs>
            <w:rPr>
              <w:highlight w:val="none"/>
            </w:rPr>
          </w:pPr>
          <w:r>
            <w:rPr>
              <w:rFonts w:hint="eastAsia" w:ascii="黑体" w:hAnsi="黑体" w:eastAsia="黑体" w:cs="黑体"/>
              <w:color w:val="auto"/>
              <w:szCs w:val="44"/>
              <w:highlight w:val="none"/>
            </w:rPr>
            <w:fldChar w:fldCharType="begin"/>
          </w:r>
          <w:r>
            <w:rPr>
              <w:rFonts w:hint="eastAsia" w:ascii="黑体" w:hAnsi="黑体" w:eastAsia="黑体" w:cs="黑体"/>
              <w:szCs w:val="44"/>
              <w:highlight w:val="none"/>
            </w:rPr>
            <w:instrText xml:space="preserve"> HYPERLINK \l _Toc17379 </w:instrText>
          </w:r>
          <w:r>
            <w:rPr>
              <w:rFonts w:hint="eastAsia" w:ascii="黑体" w:hAnsi="黑体" w:eastAsia="黑体" w:cs="黑体"/>
              <w:szCs w:val="44"/>
              <w:highlight w:val="none"/>
            </w:rPr>
            <w:fldChar w:fldCharType="separate"/>
          </w:r>
          <w:r>
            <w:rPr>
              <w:rFonts w:hint="eastAsia" w:ascii="黑体" w:hAnsi="黑体" w:eastAsia="黑体" w:cs="黑体"/>
              <w:szCs w:val="32"/>
              <w:highlight w:val="none"/>
              <w:lang w:val="en-US" w:eastAsia="zh-CN"/>
            </w:rPr>
            <w:t>三、</w:t>
          </w:r>
          <w:r>
            <w:rPr>
              <w:rFonts w:hint="eastAsia" w:ascii="黑体" w:hAnsi="黑体" w:eastAsia="黑体" w:cs="黑体"/>
              <w:szCs w:val="32"/>
              <w:highlight w:val="none"/>
            </w:rPr>
            <w:t>支出决算情况说明</w:t>
          </w:r>
          <w:r>
            <w:rPr>
              <w:highlight w:val="none"/>
            </w:rPr>
            <w:tab/>
          </w:r>
          <w:r>
            <w:rPr>
              <w:highlight w:val="none"/>
            </w:rPr>
            <w:fldChar w:fldCharType="begin"/>
          </w:r>
          <w:r>
            <w:rPr>
              <w:highlight w:val="none"/>
            </w:rPr>
            <w:instrText xml:space="preserve"> PAGEREF _Toc17379 \h </w:instrText>
          </w:r>
          <w:r>
            <w:rPr>
              <w:highlight w:val="none"/>
            </w:rPr>
            <w:fldChar w:fldCharType="separate"/>
          </w:r>
          <w:r>
            <w:rPr>
              <w:highlight w:val="none"/>
            </w:rPr>
            <w:t>2</w:t>
          </w:r>
          <w:r>
            <w:rPr>
              <w:highlight w:val="none"/>
            </w:rPr>
            <w:fldChar w:fldCharType="end"/>
          </w:r>
          <w:r>
            <w:rPr>
              <w:rFonts w:hint="eastAsia" w:ascii="黑体" w:hAnsi="黑体" w:eastAsia="黑体" w:cs="黑体"/>
              <w:color w:val="auto"/>
              <w:szCs w:val="44"/>
              <w:highlight w:val="none"/>
            </w:rPr>
            <w:fldChar w:fldCharType="end"/>
          </w:r>
        </w:p>
        <w:p>
          <w:pPr>
            <w:pStyle w:val="16"/>
            <w:tabs>
              <w:tab w:val="right" w:leader="dot" w:pos="8306"/>
            </w:tabs>
            <w:rPr>
              <w:highlight w:val="none"/>
            </w:rPr>
          </w:pPr>
          <w:r>
            <w:rPr>
              <w:rFonts w:hint="eastAsia" w:ascii="黑体" w:hAnsi="黑体" w:eastAsia="黑体" w:cs="黑体"/>
              <w:color w:val="auto"/>
              <w:szCs w:val="44"/>
              <w:highlight w:val="none"/>
            </w:rPr>
            <w:fldChar w:fldCharType="begin"/>
          </w:r>
          <w:r>
            <w:rPr>
              <w:rFonts w:hint="eastAsia" w:ascii="黑体" w:hAnsi="黑体" w:eastAsia="黑体" w:cs="黑体"/>
              <w:szCs w:val="44"/>
              <w:highlight w:val="none"/>
            </w:rPr>
            <w:instrText xml:space="preserve"> HYPERLINK \l _Toc3681 </w:instrText>
          </w:r>
          <w:r>
            <w:rPr>
              <w:rFonts w:hint="eastAsia" w:ascii="黑体" w:hAnsi="黑体" w:eastAsia="黑体" w:cs="黑体"/>
              <w:szCs w:val="44"/>
              <w:highlight w:val="none"/>
            </w:rPr>
            <w:fldChar w:fldCharType="separate"/>
          </w:r>
          <w:r>
            <w:rPr>
              <w:rFonts w:hint="eastAsia" w:ascii="黑体" w:hAnsi="黑体" w:eastAsia="黑体" w:cs="黑体"/>
              <w:szCs w:val="32"/>
              <w:highlight w:val="none"/>
            </w:rPr>
            <w:t>四、 财政拨款收入支出决算总体情况说明</w:t>
          </w:r>
          <w:r>
            <w:rPr>
              <w:highlight w:val="none"/>
            </w:rPr>
            <w:tab/>
          </w:r>
          <w:r>
            <w:rPr>
              <w:highlight w:val="none"/>
            </w:rPr>
            <w:fldChar w:fldCharType="begin"/>
          </w:r>
          <w:r>
            <w:rPr>
              <w:highlight w:val="none"/>
            </w:rPr>
            <w:instrText xml:space="preserve"> PAGEREF _Toc3681 \h </w:instrText>
          </w:r>
          <w:r>
            <w:rPr>
              <w:highlight w:val="none"/>
            </w:rPr>
            <w:fldChar w:fldCharType="separate"/>
          </w:r>
          <w:r>
            <w:rPr>
              <w:highlight w:val="none"/>
            </w:rPr>
            <w:t>2</w:t>
          </w:r>
          <w:r>
            <w:rPr>
              <w:highlight w:val="none"/>
            </w:rPr>
            <w:fldChar w:fldCharType="end"/>
          </w:r>
          <w:r>
            <w:rPr>
              <w:rFonts w:hint="eastAsia" w:ascii="黑体" w:hAnsi="黑体" w:eastAsia="黑体" w:cs="黑体"/>
              <w:color w:val="auto"/>
              <w:szCs w:val="44"/>
              <w:highlight w:val="none"/>
            </w:rPr>
            <w:fldChar w:fldCharType="end"/>
          </w:r>
        </w:p>
        <w:p>
          <w:pPr>
            <w:pStyle w:val="16"/>
            <w:tabs>
              <w:tab w:val="right" w:leader="dot" w:pos="8306"/>
            </w:tabs>
            <w:rPr>
              <w:highlight w:val="none"/>
            </w:rPr>
          </w:pPr>
          <w:r>
            <w:rPr>
              <w:rFonts w:hint="eastAsia" w:ascii="黑体" w:hAnsi="黑体" w:eastAsia="黑体" w:cs="黑体"/>
              <w:color w:val="auto"/>
              <w:szCs w:val="44"/>
              <w:highlight w:val="none"/>
            </w:rPr>
            <w:fldChar w:fldCharType="begin"/>
          </w:r>
          <w:r>
            <w:rPr>
              <w:rFonts w:hint="eastAsia" w:ascii="黑体" w:hAnsi="黑体" w:eastAsia="黑体" w:cs="黑体"/>
              <w:szCs w:val="44"/>
              <w:highlight w:val="none"/>
            </w:rPr>
            <w:instrText xml:space="preserve"> HYPERLINK \l _Toc14159 </w:instrText>
          </w:r>
          <w:r>
            <w:rPr>
              <w:rFonts w:hint="eastAsia" w:ascii="黑体" w:hAnsi="黑体" w:eastAsia="黑体" w:cs="黑体"/>
              <w:szCs w:val="44"/>
              <w:highlight w:val="none"/>
            </w:rPr>
            <w:fldChar w:fldCharType="separate"/>
          </w:r>
          <w:r>
            <w:rPr>
              <w:rFonts w:hint="eastAsia" w:ascii="黑体" w:hAnsi="黑体" w:eastAsia="黑体" w:cs="黑体"/>
              <w:szCs w:val="32"/>
              <w:highlight w:val="none"/>
              <w:lang w:val="en-US" w:eastAsia="zh-CN"/>
            </w:rPr>
            <w:t>五、</w:t>
          </w:r>
          <w:r>
            <w:rPr>
              <w:rFonts w:hint="eastAsia" w:ascii="黑体" w:hAnsi="黑体" w:eastAsia="黑体" w:cs="黑体"/>
              <w:szCs w:val="32"/>
              <w:highlight w:val="none"/>
            </w:rPr>
            <w:t>一般公共预算财政拨款支出决算情况说明</w:t>
          </w:r>
          <w:r>
            <w:rPr>
              <w:highlight w:val="none"/>
            </w:rPr>
            <w:tab/>
          </w:r>
          <w:r>
            <w:rPr>
              <w:highlight w:val="none"/>
            </w:rPr>
            <w:fldChar w:fldCharType="begin"/>
          </w:r>
          <w:r>
            <w:rPr>
              <w:highlight w:val="none"/>
            </w:rPr>
            <w:instrText xml:space="preserve"> PAGEREF _Toc14159 \h </w:instrText>
          </w:r>
          <w:r>
            <w:rPr>
              <w:highlight w:val="none"/>
            </w:rPr>
            <w:fldChar w:fldCharType="separate"/>
          </w:r>
          <w:r>
            <w:rPr>
              <w:highlight w:val="none"/>
            </w:rPr>
            <w:t>3</w:t>
          </w:r>
          <w:r>
            <w:rPr>
              <w:highlight w:val="none"/>
            </w:rPr>
            <w:fldChar w:fldCharType="end"/>
          </w:r>
          <w:r>
            <w:rPr>
              <w:rFonts w:hint="eastAsia" w:ascii="黑体" w:hAnsi="黑体" w:eastAsia="黑体" w:cs="黑体"/>
              <w:color w:val="auto"/>
              <w:szCs w:val="44"/>
              <w:highlight w:val="none"/>
            </w:rPr>
            <w:fldChar w:fldCharType="end"/>
          </w:r>
        </w:p>
        <w:p>
          <w:pPr>
            <w:pStyle w:val="16"/>
            <w:tabs>
              <w:tab w:val="right" w:leader="dot" w:pos="8306"/>
            </w:tabs>
            <w:rPr>
              <w:highlight w:val="none"/>
            </w:rPr>
          </w:pPr>
          <w:r>
            <w:rPr>
              <w:rFonts w:hint="eastAsia" w:ascii="黑体" w:hAnsi="黑体" w:eastAsia="黑体" w:cs="黑体"/>
              <w:color w:val="auto"/>
              <w:szCs w:val="44"/>
              <w:highlight w:val="none"/>
            </w:rPr>
            <w:fldChar w:fldCharType="begin"/>
          </w:r>
          <w:r>
            <w:rPr>
              <w:rFonts w:hint="eastAsia" w:ascii="黑体" w:hAnsi="黑体" w:eastAsia="黑体" w:cs="黑体"/>
              <w:szCs w:val="44"/>
              <w:highlight w:val="none"/>
            </w:rPr>
            <w:instrText xml:space="preserve"> HYPERLINK \l _Toc4901 </w:instrText>
          </w:r>
          <w:r>
            <w:rPr>
              <w:rFonts w:hint="eastAsia" w:ascii="黑体" w:hAnsi="黑体" w:eastAsia="黑体" w:cs="黑体"/>
              <w:szCs w:val="44"/>
              <w:highlight w:val="none"/>
            </w:rPr>
            <w:fldChar w:fldCharType="separate"/>
          </w:r>
          <w:r>
            <w:rPr>
              <w:rFonts w:hint="eastAsia" w:ascii="黑体" w:hAnsi="黑体" w:eastAsia="黑体" w:cs="黑体"/>
              <w:szCs w:val="32"/>
              <w:highlight w:val="none"/>
              <w:lang w:val="en-US" w:eastAsia="zh-CN"/>
            </w:rPr>
            <w:t>六、</w:t>
          </w:r>
          <w:r>
            <w:rPr>
              <w:rFonts w:hint="eastAsia" w:ascii="黑体" w:hAnsi="黑体" w:eastAsia="黑体" w:cs="黑体"/>
              <w:szCs w:val="32"/>
              <w:highlight w:val="none"/>
            </w:rPr>
            <w:t>一般公共预算财政拨款基本支出决算情况说明</w:t>
          </w:r>
          <w:r>
            <w:rPr>
              <w:highlight w:val="none"/>
            </w:rPr>
            <w:tab/>
          </w:r>
          <w:r>
            <w:rPr>
              <w:highlight w:val="none"/>
            </w:rPr>
            <w:fldChar w:fldCharType="begin"/>
          </w:r>
          <w:r>
            <w:rPr>
              <w:highlight w:val="none"/>
            </w:rPr>
            <w:instrText xml:space="preserve"> PAGEREF _Toc4901 \h </w:instrText>
          </w:r>
          <w:r>
            <w:rPr>
              <w:highlight w:val="none"/>
            </w:rPr>
            <w:fldChar w:fldCharType="separate"/>
          </w:r>
          <w:r>
            <w:rPr>
              <w:highlight w:val="none"/>
            </w:rPr>
            <w:t>5</w:t>
          </w:r>
          <w:r>
            <w:rPr>
              <w:highlight w:val="none"/>
            </w:rPr>
            <w:fldChar w:fldCharType="end"/>
          </w:r>
          <w:r>
            <w:rPr>
              <w:rFonts w:hint="eastAsia" w:ascii="黑体" w:hAnsi="黑体" w:eastAsia="黑体" w:cs="黑体"/>
              <w:color w:val="auto"/>
              <w:szCs w:val="44"/>
              <w:highlight w:val="none"/>
            </w:rPr>
            <w:fldChar w:fldCharType="end"/>
          </w:r>
        </w:p>
        <w:p>
          <w:pPr>
            <w:pStyle w:val="16"/>
            <w:tabs>
              <w:tab w:val="right" w:leader="dot" w:pos="8306"/>
            </w:tabs>
            <w:rPr>
              <w:highlight w:val="none"/>
            </w:rPr>
          </w:pPr>
          <w:r>
            <w:rPr>
              <w:rFonts w:hint="eastAsia" w:ascii="黑体" w:hAnsi="黑体" w:eastAsia="黑体" w:cs="黑体"/>
              <w:color w:val="auto"/>
              <w:szCs w:val="44"/>
              <w:highlight w:val="none"/>
            </w:rPr>
            <w:fldChar w:fldCharType="begin"/>
          </w:r>
          <w:r>
            <w:rPr>
              <w:rFonts w:hint="eastAsia" w:ascii="黑体" w:hAnsi="黑体" w:eastAsia="黑体" w:cs="黑体"/>
              <w:szCs w:val="44"/>
              <w:highlight w:val="none"/>
            </w:rPr>
            <w:instrText xml:space="preserve"> HYPERLINK \l _Toc13712 </w:instrText>
          </w:r>
          <w:r>
            <w:rPr>
              <w:rFonts w:hint="eastAsia" w:ascii="黑体" w:hAnsi="黑体" w:eastAsia="黑体" w:cs="黑体"/>
              <w:szCs w:val="44"/>
              <w:highlight w:val="none"/>
            </w:rPr>
            <w:fldChar w:fldCharType="separate"/>
          </w:r>
          <w:r>
            <w:rPr>
              <w:rFonts w:hint="eastAsia" w:ascii="黑体" w:hAnsi="黑体" w:eastAsia="黑体" w:cs="黑体"/>
              <w:szCs w:val="32"/>
              <w:highlight w:val="none"/>
            </w:rPr>
            <w:t>七、 财政拨款</w:t>
          </w:r>
          <w:r>
            <w:rPr>
              <w:rFonts w:hint="eastAsia" w:ascii="黑体" w:hAnsi="黑体" w:eastAsia="黑体" w:cs="黑体"/>
              <w:szCs w:val="32"/>
              <w:highlight w:val="none"/>
              <w:lang w:eastAsia="zh-CN"/>
            </w:rPr>
            <w:t>“</w:t>
          </w:r>
          <w:r>
            <w:rPr>
              <w:rFonts w:hint="eastAsia" w:ascii="黑体" w:hAnsi="黑体" w:eastAsia="黑体" w:cs="黑体"/>
              <w:szCs w:val="32"/>
              <w:highlight w:val="none"/>
            </w:rPr>
            <w:t>三公”经费支出决算情况说明</w:t>
          </w:r>
          <w:r>
            <w:rPr>
              <w:highlight w:val="none"/>
            </w:rPr>
            <w:tab/>
          </w:r>
          <w:r>
            <w:rPr>
              <w:highlight w:val="none"/>
            </w:rPr>
            <w:fldChar w:fldCharType="begin"/>
          </w:r>
          <w:r>
            <w:rPr>
              <w:highlight w:val="none"/>
            </w:rPr>
            <w:instrText xml:space="preserve"> PAGEREF _Toc13712 \h </w:instrText>
          </w:r>
          <w:r>
            <w:rPr>
              <w:highlight w:val="none"/>
            </w:rPr>
            <w:fldChar w:fldCharType="separate"/>
          </w:r>
          <w:r>
            <w:rPr>
              <w:highlight w:val="none"/>
            </w:rPr>
            <w:t>5</w:t>
          </w:r>
          <w:r>
            <w:rPr>
              <w:highlight w:val="none"/>
            </w:rPr>
            <w:fldChar w:fldCharType="end"/>
          </w:r>
          <w:r>
            <w:rPr>
              <w:rFonts w:hint="eastAsia" w:ascii="黑体" w:hAnsi="黑体" w:eastAsia="黑体" w:cs="黑体"/>
              <w:color w:val="auto"/>
              <w:szCs w:val="44"/>
              <w:highlight w:val="none"/>
            </w:rPr>
            <w:fldChar w:fldCharType="end"/>
          </w:r>
        </w:p>
        <w:p>
          <w:pPr>
            <w:pStyle w:val="16"/>
            <w:tabs>
              <w:tab w:val="right" w:leader="dot" w:pos="8306"/>
            </w:tabs>
            <w:rPr>
              <w:highlight w:val="none"/>
            </w:rPr>
          </w:pPr>
          <w:r>
            <w:rPr>
              <w:rFonts w:hint="eastAsia" w:ascii="黑体" w:hAnsi="黑体" w:eastAsia="黑体" w:cs="黑体"/>
              <w:color w:val="auto"/>
              <w:szCs w:val="44"/>
              <w:highlight w:val="none"/>
            </w:rPr>
            <w:fldChar w:fldCharType="begin"/>
          </w:r>
          <w:r>
            <w:rPr>
              <w:rFonts w:hint="eastAsia" w:ascii="黑体" w:hAnsi="黑体" w:eastAsia="黑体" w:cs="黑体"/>
              <w:szCs w:val="44"/>
              <w:highlight w:val="none"/>
            </w:rPr>
            <w:instrText xml:space="preserve"> HYPERLINK \l _Toc21883 </w:instrText>
          </w:r>
          <w:r>
            <w:rPr>
              <w:rFonts w:hint="eastAsia" w:ascii="黑体" w:hAnsi="黑体" w:eastAsia="黑体" w:cs="黑体"/>
              <w:szCs w:val="44"/>
              <w:highlight w:val="none"/>
            </w:rPr>
            <w:fldChar w:fldCharType="separate"/>
          </w:r>
          <w:r>
            <w:rPr>
              <w:rFonts w:hint="eastAsia" w:ascii="黑体" w:hAnsi="黑体" w:eastAsia="黑体" w:cs="黑体"/>
              <w:szCs w:val="32"/>
              <w:highlight w:val="none"/>
              <w:lang w:val="en-US" w:eastAsia="zh-CN"/>
            </w:rPr>
            <w:t>八、</w:t>
          </w:r>
          <w:r>
            <w:rPr>
              <w:rFonts w:hint="eastAsia" w:ascii="黑体" w:hAnsi="黑体" w:eastAsia="黑体" w:cs="黑体"/>
              <w:szCs w:val="32"/>
              <w:highlight w:val="none"/>
            </w:rPr>
            <w:t>政府性基金预算支出决算情况说明</w:t>
          </w:r>
          <w:r>
            <w:rPr>
              <w:highlight w:val="none"/>
            </w:rPr>
            <w:tab/>
          </w:r>
          <w:r>
            <w:rPr>
              <w:highlight w:val="none"/>
            </w:rPr>
            <w:fldChar w:fldCharType="begin"/>
          </w:r>
          <w:r>
            <w:rPr>
              <w:highlight w:val="none"/>
            </w:rPr>
            <w:instrText xml:space="preserve"> PAGEREF _Toc21883 \h </w:instrText>
          </w:r>
          <w:r>
            <w:rPr>
              <w:highlight w:val="none"/>
            </w:rPr>
            <w:fldChar w:fldCharType="separate"/>
          </w:r>
          <w:r>
            <w:rPr>
              <w:highlight w:val="none"/>
            </w:rPr>
            <w:t>7</w:t>
          </w:r>
          <w:r>
            <w:rPr>
              <w:highlight w:val="none"/>
            </w:rPr>
            <w:fldChar w:fldCharType="end"/>
          </w:r>
          <w:r>
            <w:rPr>
              <w:rFonts w:hint="eastAsia" w:ascii="黑体" w:hAnsi="黑体" w:eastAsia="黑体" w:cs="黑体"/>
              <w:color w:val="auto"/>
              <w:szCs w:val="44"/>
              <w:highlight w:val="none"/>
            </w:rPr>
            <w:fldChar w:fldCharType="end"/>
          </w:r>
        </w:p>
        <w:p>
          <w:pPr>
            <w:pStyle w:val="16"/>
            <w:tabs>
              <w:tab w:val="right" w:leader="dot" w:pos="8306"/>
            </w:tabs>
            <w:rPr>
              <w:highlight w:val="none"/>
            </w:rPr>
          </w:pPr>
          <w:r>
            <w:rPr>
              <w:rFonts w:hint="eastAsia" w:ascii="黑体" w:hAnsi="黑体" w:eastAsia="黑体" w:cs="黑体"/>
              <w:color w:val="auto"/>
              <w:szCs w:val="44"/>
              <w:highlight w:val="none"/>
            </w:rPr>
            <w:fldChar w:fldCharType="begin"/>
          </w:r>
          <w:r>
            <w:rPr>
              <w:rFonts w:hint="eastAsia" w:ascii="黑体" w:hAnsi="黑体" w:eastAsia="黑体" w:cs="黑体"/>
              <w:szCs w:val="44"/>
              <w:highlight w:val="none"/>
            </w:rPr>
            <w:instrText xml:space="preserve"> HYPERLINK \l _Toc14826 </w:instrText>
          </w:r>
          <w:r>
            <w:rPr>
              <w:rFonts w:hint="eastAsia" w:ascii="黑体" w:hAnsi="黑体" w:eastAsia="黑体" w:cs="黑体"/>
              <w:szCs w:val="44"/>
              <w:highlight w:val="none"/>
            </w:rPr>
            <w:fldChar w:fldCharType="separate"/>
          </w:r>
          <w:r>
            <w:rPr>
              <w:rFonts w:hint="eastAsia" w:ascii="黑体" w:hAnsi="黑体" w:eastAsia="黑体"/>
              <w:highlight w:val="none"/>
              <w:lang w:eastAsia="zh-CN"/>
            </w:rPr>
            <w:t>九、</w:t>
          </w:r>
          <w:r>
            <w:rPr>
              <w:rFonts w:hint="eastAsia" w:ascii="黑体" w:hAnsi="黑体" w:eastAsia="黑体"/>
              <w:highlight w:val="none"/>
            </w:rPr>
            <w:t>国有资本经营预算支出决算情况说明</w:t>
          </w:r>
          <w:r>
            <w:rPr>
              <w:highlight w:val="none"/>
            </w:rPr>
            <w:tab/>
          </w:r>
          <w:r>
            <w:rPr>
              <w:highlight w:val="none"/>
            </w:rPr>
            <w:fldChar w:fldCharType="begin"/>
          </w:r>
          <w:r>
            <w:rPr>
              <w:highlight w:val="none"/>
            </w:rPr>
            <w:instrText xml:space="preserve"> PAGEREF _Toc14826 \h </w:instrText>
          </w:r>
          <w:r>
            <w:rPr>
              <w:highlight w:val="none"/>
            </w:rPr>
            <w:fldChar w:fldCharType="separate"/>
          </w:r>
          <w:r>
            <w:rPr>
              <w:highlight w:val="none"/>
            </w:rPr>
            <w:t>7</w:t>
          </w:r>
          <w:r>
            <w:rPr>
              <w:highlight w:val="none"/>
            </w:rPr>
            <w:fldChar w:fldCharType="end"/>
          </w:r>
          <w:r>
            <w:rPr>
              <w:rFonts w:hint="eastAsia" w:ascii="黑体" w:hAnsi="黑体" w:eastAsia="黑体" w:cs="黑体"/>
              <w:color w:val="auto"/>
              <w:szCs w:val="44"/>
              <w:highlight w:val="none"/>
            </w:rPr>
            <w:fldChar w:fldCharType="end"/>
          </w:r>
        </w:p>
        <w:p>
          <w:pPr>
            <w:pStyle w:val="16"/>
            <w:tabs>
              <w:tab w:val="right" w:leader="dot" w:pos="8306"/>
            </w:tabs>
            <w:rPr>
              <w:highlight w:val="none"/>
            </w:rPr>
          </w:pPr>
          <w:r>
            <w:rPr>
              <w:rFonts w:hint="eastAsia" w:ascii="黑体" w:hAnsi="黑体" w:eastAsia="黑体" w:cs="黑体"/>
              <w:color w:val="auto"/>
              <w:szCs w:val="44"/>
              <w:highlight w:val="none"/>
            </w:rPr>
            <w:fldChar w:fldCharType="begin"/>
          </w:r>
          <w:r>
            <w:rPr>
              <w:rFonts w:hint="eastAsia" w:ascii="黑体" w:hAnsi="黑体" w:eastAsia="黑体" w:cs="黑体"/>
              <w:szCs w:val="44"/>
              <w:highlight w:val="none"/>
            </w:rPr>
            <w:instrText xml:space="preserve"> HYPERLINK \l _Toc29436 </w:instrText>
          </w:r>
          <w:r>
            <w:rPr>
              <w:rFonts w:hint="eastAsia" w:ascii="黑体" w:hAnsi="黑体" w:eastAsia="黑体" w:cs="黑体"/>
              <w:szCs w:val="44"/>
              <w:highlight w:val="none"/>
            </w:rPr>
            <w:fldChar w:fldCharType="separate"/>
          </w:r>
          <w:r>
            <w:rPr>
              <w:rFonts w:hint="eastAsia" w:ascii="黑体" w:hAnsi="黑体" w:eastAsia="黑体" w:cs="黑体"/>
              <w:szCs w:val="32"/>
              <w:highlight w:val="none"/>
              <w:lang w:val="en-US" w:eastAsia="zh-CN"/>
            </w:rPr>
            <w:t>十、</w:t>
          </w:r>
          <w:r>
            <w:rPr>
              <w:rFonts w:hint="eastAsia" w:ascii="黑体" w:hAnsi="黑体" w:eastAsia="黑体" w:cs="黑体"/>
              <w:szCs w:val="32"/>
              <w:highlight w:val="none"/>
            </w:rPr>
            <w:t>其他重要事项的情况说明</w:t>
          </w:r>
          <w:r>
            <w:rPr>
              <w:highlight w:val="none"/>
            </w:rPr>
            <w:tab/>
          </w:r>
          <w:r>
            <w:rPr>
              <w:highlight w:val="none"/>
            </w:rPr>
            <w:fldChar w:fldCharType="begin"/>
          </w:r>
          <w:r>
            <w:rPr>
              <w:highlight w:val="none"/>
            </w:rPr>
            <w:instrText xml:space="preserve"> PAGEREF _Toc29436 \h </w:instrText>
          </w:r>
          <w:r>
            <w:rPr>
              <w:highlight w:val="none"/>
            </w:rPr>
            <w:fldChar w:fldCharType="separate"/>
          </w:r>
          <w:r>
            <w:rPr>
              <w:highlight w:val="none"/>
            </w:rPr>
            <w:t>7</w:t>
          </w:r>
          <w:r>
            <w:rPr>
              <w:highlight w:val="none"/>
            </w:rPr>
            <w:fldChar w:fldCharType="end"/>
          </w:r>
          <w:r>
            <w:rPr>
              <w:rFonts w:hint="eastAsia" w:ascii="黑体" w:hAnsi="黑体" w:eastAsia="黑体" w:cs="黑体"/>
              <w:color w:val="auto"/>
              <w:szCs w:val="44"/>
              <w:highlight w:val="none"/>
            </w:rPr>
            <w:fldChar w:fldCharType="end"/>
          </w:r>
        </w:p>
        <w:p>
          <w:pPr>
            <w:pStyle w:val="15"/>
            <w:tabs>
              <w:tab w:val="right" w:leader="dot" w:pos="8306"/>
            </w:tabs>
            <w:rPr>
              <w:b/>
              <w:highlight w:val="none"/>
            </w:rPr>
          </w:pPr>
          <w:r>
            <w:rPr>
              <w:rFonts w:hint="eastAsia" w:ascii="黑体" w:hAnsi="黑体" w:eastAsia="黑体" w:cs="黑体"/>
              <w:b/>
              <w:color w:val="auto"/>
              <w:szCs w:val="44"/>
              <w:highlight w:val="none"/>
            </w:rPr>
            <w:fldChar w:fldCharType="begin"/>
          </w:r>
          <w:r>
            <w:rPr>
              <w:rFonts w:hint="eastAsia" w:ascii="黑体" w:hAnsi="黑体" w:eastAsia="黑体" w:cs="黑体"/>
              <w:b/>
              <w:szCs w:val="44"/>
              <w:highlight w:val="none"/>
            </w:rPr>
            <w:instrText xml:space="preserve"> HYPERLINK \l _Toc15316 </w:instrText>
          </w:r>
          <w:r>
            <w:rPr>
              <w:rFonts w:hint="eastAsia" w:ascii="黑体" w:hAnsi="黑体" w:eastAsia="黑体" w:cs="黑体"/>
              <w:b/>
              <w:szCs w:val="44"/>
              <w:highlight w:val="none"/>
            </w:rPr>
            <w:fldChar w:fldCharType="separate"/>
          </w:r>
          <w:r>
            <w:rPr>
              <w:rFonts w:hint="eastAsia" w:ascii="黑体" w:hAnsi="黑体" w:eastAsia="黑体" w:cs="黑体"/>
              <w:b/>
              <w:szCs w:val="44"/>
              <w:highlight w:val="none"/>
              <w:lang w:val="en-US" w:eastAsia="zh-CN"/>
            </w:rPr>
            <w:t xml:space="preserve">第三部分 </w:t>
          </w:r>
          <w:r>
            <w:rPr>
              <w:rFonts w:hint="eastAsia" w:ascii="黑体" w:hAnsi="黑体" w:eastAsia="黑体" w:cs="黑体"/>
              <w:b/>
              <w:szCs w:val="44"/>
              <w:highlight w:val="none"/>
            </w:rPr>
            <w:t>名词解释</w:t>
          </w:r>
          <w:r>
            <w:rPr>
              <w:b/>
              <w:highlight w:val="none"/>
            </w:rPr>
            <w:tab/>
          </w:r>
          <w:r>
            <w:rPr>
              <w:b/>
              <w:highlight w:val="none"/>
            </w:rPr>
            <w:fldChar w:fldCharType="begin"/>
          </w:r>
          <w:r>
            <w:rPr>
              <w:b/>
              <w:highlight w:val="none"/>
            </w:rPr>
            <w:instrText xml:space="preserve"> PAGEREF _Toc15316 \h </w:instrText>
          </w:r>
          <w:r>
            <w:rPr>
              <w:b/>
              <w:highlight w:val="none"/>
            </w:rPr>
            <w:fldChar w:fldCharType="separate"/>
          </w:r>
          <w:r>
            <w:rPr>
              <w:b/>
              <w:highlight w:val="none"/>
            </w:rPr>
            <w:t>9</w:t>
          </w:r>
          <w:r>
            <w:rPr>
              <w:b/>
              <w:highlight w:val="none"/>
            </w:rPr>
            <w:fldChar w:fldCharType="end"/>
          </w:r>
          <w:r>
            <w:rPr>
              <w:rFonts w:hint="eastAsia" w:ascii="黑体" w:hAnsi="黑体" w:eastAsia="黑体" w:cs="黑体"/>
              <w:b/>
              <w:color w:val="auto"/>
              <w:szCs w:val="44"/>
              <w:highlight w:val="none"/>
            </w:rPr>
            <w:fldChar w:fldCharType="end"/>
          </w:r>
        </w:p>
        <w:p>
          <w:pPr>
            <w:pStyle w:val="15"/>
            <w:tabs>
              <w:tab w:val="right" w:leader="dot" w:pos="8306"/>
            </w:tabs>
            <w:rPr>
              <w:b/>
              <w:highlight w:val="none"/>
            </w:rPr>
          </w:pPr>
          <w:r>
            <w:rPr>
              <w:rFonts w:hint="eastAsia" w:ascii="黑体" w:hAnsi="黑体" w:eastAsia="黑体" w:cs="黑体"/>
              <w:b/>
              <w:color w:val="auto"/>
              <w:szCs w:val="44"/>
              <w:highlight w:val="none"/>
            </w:rPr>
            <w:fldChar w:fldCharType="begin"/>
          </w:r>
          <w:r>
            <w:rPr>
              <w:rFonts w:hint="eastAsia" w:ascii="黑体" w:hAnsi="黑体" w:eastAsia="黑体" w:cs="黑体"/>
              <w:b/>
              <w:szCs w:val="44"/>
              <w:highlight w:val="none"/>
            </w:rPr>
            <w:instrText xml:space="preserve"> HYPERLINK \l _Toc10833 </w:instrText>
          </w:r>
          <w:r>
            <w:rPr>
              <w:rFonts w:hint="eastAsia" w:ascii="黑体" w:hAnsi="黑体" w:eastAsia="黑体" w:cs="黑体"/>
              <w:b/>
              <w:szCs w:val="44"/>
              <w:highlight w:val="none"/>
            </w:rPr>
            <w:fldChar w:fldCharType="separate"/>
          </w:r>
          <w:r>
            <w:rPr>
              <w:rFonts w:hint="eastAsia" w:ascii="黑体" w:hAnsi="黑体" w:eastAsia="黑体"/>
              <w:b/>
              <w:szCs w:val="44"/>
              <w:highlight w:val="none"/>
            </w:rPr>
            <w:t>第</w:t>
          </w:r>
          <w:r>
            <w:rPr>
              <w:rFonts w:hint="eastAsia" w:ascii="黑体" w:hAnsi="黑体" w:eastAsia="黑体"/>
              <w:b/>
              <w:highlight w:val="none"/>
            </w:rPr>
            <w:t>五部分 附表</w:t>
          </w:r>
          <w:r>
            <w:rPr>
              <w:b/>
              <w:highlight w:val="none"/>
            </w:rPr>
            <w:tab/>
          </w:r>
          <w:r>
            <w:rPr>
              <w:b/>
              <w:highlight w:val="none"/>
            </w:rPr>
            <w:fldChar w:fldCharType="begin"/>
          </w:r>
          <w:r>
            <w:rPr>
              <w:b/>
              <w:highlight w:val="none"/>
            </w:rPr>
            <w:instrText xml:space="preserve"> PAGEREF _Toc10833 \h </w:instrText>
          </w:r>
          <w:r>
            <w:rPr>
              <w:b/>
              <w:highlight w:val="none"/>
            </w:rPr>
            <w:fldChar w:fldCharType="separate"/>
          </w:r>
          <w:r>
            <w:rPr>
              <w:b/>
              <w:highlight w:val="none"/>
            </w:rPr>
            <w:t>36</w:t>
          </w:r>
          <w:r>
            <w:rPr>
              <w:b/>
              <w:highlight w:val="none"/>
            </w:rPr>
            <w:fldChar w:fldCharType="end"/>
          </w:r>
          <w:r>
            <w:rPr>
              <w:rFonts w:hint="eastAsia" w:ascii="黑体" w:hAnsi="黑体" w:eastAsia="黑体" w:cs="黑体"/>
              <w:b/>
              <w:color w:val="auto"/>
              <w:szCs w:val="44"/>
              <w:highlight w:val="none"/>
            </w:rPr>
            <w:fldChar w:fldCharType="end"/>
          </w:r>
        </w:p>
        <w:p>
          <w:pPr>
            <w:pStyle w:val="16"/>
            <w:tabs>
              <w:tab w:val="right" w:leader="dot" w:pos="8306"/>
            </w:tabs>
            <w:rPr>
              <w:highlight w:val="none"/>
            </w:rPr>
          </w:pPr>
          <w:r>
            <w:rPr>
              <w:rFonts w:hint="eastAsia" w:ascii="黑体" w:hAnsi="黑体" w:eastAsia="黑体" w:cs="黑体"/>
              <w:color w:val="auto"/>
              <w:szCs w:val="44"/>
              <w:highlight w:val="none"/>
            </w:rPr>
            <w:fldChar w:fldCharType="begin"/>
          </w:r>
          <w:r>
            <w:rPr>
              <w:rFonts w:hint="eastAsia" w:ascii="黑体" w:hAnsi="黑体" w:eastAsia="黑体" w:cs="黑体"/>
              <w:szCs w:val="44"/>
              <w:highlight w:val="none"/>
            </w:rPr>
            <w:instrText xml:space="preserve"> HYPERLINK \l _Toc30248 </w:instrText>
          </w:r>
          <w:r>
            <w:rPr>
              <w:rFonts w:hint="eastAsia" w:ascii="黑体" w:hAnsi="黑体" w:eastAsia="黑体" w:cs="黑体"/>
              <w:szCs w:val="44"/>
              <w:highlight w:val="none"/>
            </w:rPr>
            <w:fldChar w:fldCharType="separate"/>
          </w:r>
          <w:r>
            <w:rPr>
              <w:rFonts w:hint="eastAsia" w:ascii="仿宋" w:hAnsi="仿宋" w:eastAsia="仿宋"/>
              <w:highlight w:val="none"/>
            </w:rPr>
            <w:t>一、收</w:t>
          </w:r>
          <w:r>
            <w:rPr>
              <w:rFonts w:hint="eastAsia" w:ascii="仿宋" w:hAnsi="仿宋" w:eastAsia="仿宋"/>
              <w:bCs w:val="0"/>
              <w:highlight w:val="none"/>
            </w:rPr>
            <w:t>入支出决算总表</w:t>
          </w:r>
          <w:r>
            <w:rPr>
              <w:highlight w:val="none"/>
            </w:rPr>
            <w:tab/>
          </w:r>
          <w:r>
            <w:rPr>
              <w:highlight w:val="none"/>
            </w:rPr>
            <w:fldChar w:fldCharType="begin"/>
          </w:r>
          <w:r>
            <w:rPr>
              <w:highlight w:val="none"/>
            </w:rPr>
            <w:instrText xml:space="preserve"> PAGEREF _Toc30248 \h </w:instrText>
          </w:r>
          <w:r>
            <w:rPr>
              <w:highlight w:val="none"/>
            </w:rPr>
            <w:fldChar w:fldCharType="separate"/>
          </w:r>
          <w:r>
            <w:rPr>
              <w:highlight w:val="none"/>
            </w:rPr>
            <w:t>36</w:t>
          </w:r>
          <w:r>
            <w:rPr>
              <w:highlight w:val="none"/>
            </w:rPr>
            <w:fldChar w:fldCharType="end"/>
          </w:r>
          <w:r>
            <w:rPr>
              <w:rFonts w:hint="eastAsia" w:ascii="黑体" w:hAnsi="黑体" w:eastAsia="黑体" w:cs="黑体"/>
              <w:color w:val="auto"/>
              <w:szCs w:val="44"/>
              <w:highlight w:val="none"/>
            </w:rPr>
            <w:fldChar w:fldCharType="end"/>
          </w:r>
        </w:p>
        <w:p>
          <w:pPr>
            <w:pStyle w:val="16"/>
            <w:tabs>
              <w:tab w:val="right" w:leader="dot" w:pos="8306"/>
            </w:tabs>
            <w:rPr>
              <w:highlight w:val="none"/>
            </w:rPr>
          </w:pPr>
          <w:r>
            <w:rPr>
              <w:rFonts w:hint="eastAsia" w:ascii="黑体" w:hAnsi="黑体" w:eastAsia="黑体" w:cs="黑体"/>
              <w:color w:val="auto"/>
              <w:szCs w:val="44"/>
              <w:highlight w:val="none"/>
            </w:rPr>
            <w:fldChar w:fldCharType="begin"/>
          </w:r>
          <w:r>
            <w:rPr>
              <w:rFonts w:hint="eastAsia" w:ascii="黑体" w:hAnsi="黑体" w:eastAsia="黑体" w:cs="黑体"/>
              <w:szCs w:val="44"/>
              <w:highlight w:val="none"/>
            </w:rPr>
            <w:instrText xml:space="preserve"> HYPERLINK \l _Toc25704 </w:instrText>
          </w:r>
          <w:r>
            <w:rPr>
              <w:rFonts w:hint="eastAsia" w:ascii="黑体" w:hAnsi="黑体" w:eastAsia="黑体" w:cs="黑体"/>
              <w:szCs w:val="44"/>
              <w:highlight w:val="none"/>
            </w:rPr>
            <w:fldChar w:fldCharType="separate"/>
          </w:r>
          <w:r>
            <w:rPr>
              <w:rFonts w:hint="eastAsia" w:ascii="仿宋" w:hAnsi="仿宋" w:eastAsia="仿宋"/>
              <w:highlight w:val="none"/>
            </w:rPr>
            <w:t>二、收</w:t>
          </w:r>
          <w:r>
            <w:rPr>
              <w:rFonts w:hint="eastAsia" w:ascii="仿宋" w:hAnsi="仿宋" w:eastAsia="仿宋"/>
              <w:bCs w:val="0"/>
              <w:highlight w:val="none"/>
            </w:rPr>
            <w:t>入决算表</w:t>
          </w:r>
          <w:r>
            <w:rPr>
              <w:highlight w:val="none"/>
            </w:rPr>
            <w:tab/>
          </w:r>
          <w:r>
            <w:rPr>
              <w:highlight w:val="none"/>
            </w:rPr>
            <w:fldChar w:fldCharType="begin"/>
          </w:r>
          <w:r>
            <w:rPr>
              <w:highlight w:val="none"/>
            </w:rPr>
            <w:instrText xml:space="preserve"> PAGEREF _Toc25704 \h </w:instrText>
          </w:r>
          <w:r>
            <w:rPr>
              <w:highlight w:val="none"/>
            </w:rPr>
            <w:fldChar w:fldCharType="separate"/>
          </w:r>
          <w:r>
            <w:rPr>
              <w:highlight w:val="none"/>
            </w:rPr>
            <w:t>36</w:t>
          </w:r>
          <w:r>
            <w:rPr>
              <w:highlight w:val="none"/>
            </w:rPr>
            <w:fldChar w:fldCharType="end"/>
          </w:r>
          <w:r>
            <w:rPr>
              <w:rFonts w:hint="eastAsia" w:ascii="黑体" w:hAnsi="黑体" w:eastAsia="黑体" w:cs="黑体"/>
              <w:color w:val="auto"/>
              <w:szCs w:val="44"/>
              <w:highlight w:val="none"/>
            </w:rPr>
            <w:fldChar w:fldCharType="end"/>
          </w:r>
        </w:p>
        <w:p>
          <w:pPr>
            <w:pStyle w:val="16"/>
            <w:tabs>
              <w:tab w:val="right" w:leader="dot" w:pos="8306"/>
            </w:tabs>
            <w:rPr>
              <w:highlight w:val="none"/>
            </w:rPr>
          </w:pPr>
          <w:r>
            <w:rPr>
              <w:rFonts w:hint="eastAsia" w:ascii="黑体" w:hAnsi="黑体" w:eastAsia="黑体" w:cs="黑体"/>
              <w:color w:val="auto"/>
              <w:szCs w:val="44"/>
              <w:highlight w:val="none"/>
            </w:rPr>
            <w:fldChar w:fldCharType="begin"/>
          </w:r>
          <w:r>
            <w:rPr>
              <w:rFonts w:hint="eastAsia" w:ascii="黑体" w:hAnsi="黑体" w:eastAsia="黑体" w:cs="黑体"/>
              <w:szCs w:val="44"/>
              <w:highlight w:val="none"/>
            </w:rPr>
            <w:instrText xml:space="preserve"> HYPERLINK \l _Toc12748 </w:instrText>
          </w:r>
          <w:r>
            <w:rPr>
              <w:rFonts w:hint="eastAsia" w:ascii="黑体" w:hAnsi="黑体" w:eastAsia="黑体" w:cs="黑体"/>
              <w:szCs w:val="44"/>
              <w:highlight w:val="none"/>
            </w:rPr>
            <w:fldChar w:fldCharType="separate"/>
          </w:r>
          <w:r>
            <w:rPr>
              <w:rFonts w:hint="eastAsia" w:ascii="仿宋" w:hAnsi="仿宋" w:eastAsia="仿宋"/>
              <w:bCs w:val="0"/>
              <w:highlight w:val="none"/>
            </w:rPr>
            <w:t>三、</w:t>
          </w:r>
          <w:r>
            <w:rPr>
              <w:rFonts w:hint="eastAsia" w:ascii="仿宋" w:hAnsi="仿宋" w:eastAsia="仿宋"/>
              <w:highlight w:val="none"/>
            </w:rPr>
            <w:t>支</w:t>
          </w:r>
          <w:r>
            <w:rPr>
              <w:rFonts w:hint="eastAsia" w:ascii="仿宋" w:hAnsi="仿宋" w:eastAsia="仿宋"/>
              <w:bCs w:val="0"/>
              <w:highlight w:val="none"/>
            </w:rPr>
            <w:t>出决算表</w:t>
          </w:r>
          <w:r>
            <w:rPr>
              <w:highlight w:val="none"/>
            </w:rPr>
            <w:tab/>
          </w:r>
          <w:r>
            <w:rPr>
              <w:highlight w:val="none"/>
            </w:rPr>
            <w:fldChar w:fldCharType="begin"/>
          </w:r>
          <w:r>
            <w:rPr>
              <w:highlight w:val="none"/>
            </w:rPr>
            <w:instrText xml:space="preserve"> PAGEREF _Toc12748 \h </w:instrText>
          </w:r>
          <w:r>
            <w:rPr>
              <w:highlight w:val="none"/>
            </w:rPr>
            <w:fldChar w:fldCharType="separate"/>
          </w:r>
          <w:r>
            <w:rPr>
              <w:highlight w:val="none"/>
            </w:rPr>
            <w:t>36</w:t>
          </w:r>
          <w:r>
            <w:rPr>
              <w:highlight w:val="none"/>
            </w:rPr>
            <w:fldChar w:fldCharType="end"/>
          </w:r>
          <w:r>
            <w:rPr>
              <w:rFonts w:hint="eastAsia" w:ascii="黑体" w:hAnsi="黑体" w:eastAsia="黑体" w:cs="黑体"/>
              <w:color w:val="auto"/>
              <w:szCs w:val="44"/>
              <w:highlight w:val="none"/>
            </w:rPr>
            <w:fldChar w:fldCharType="end"/>
          </w:r>
        </w:p>
        <w:p>
          <w:pPr>
            <w:pStyle w:val="16"/>
            <w:tabs>
              <w:tab w:val="right" w:leader="dot" w:pos="8306"/>
            </w:tabs>
            <w:rPr>
              <w:highlight w:val="none"/>
            </w:rPr>
          </w:pPr>
          <w:r>
            <w:rPr>
              <w:rFonts w:hint="eastAsia" w:ascii="黑体" w:hAnsi="黑体" w:eastAsia="黑体" w:cs="黑体"/>
              <w:color w:val="auto"/>
              <w:szCs w:val="44"/>
              <w:highlight w:val="none"/>
            </w:rPr>
            <w:fldChar w:fldCharType="begin"/>
          </w:r>
          <w:r>
            <w:rPr>
              <w:rFonts w:hint="eastAsia" w:ascii="黑体" w:hAnsi="黑体" w:eastAsia="黑体" w:cs="黑体"/>
              <w:szCs w:val="44"/>
              <w:highlight w:val="none"/>
            </w:rPr>
            <w:instrText xml:space="preserve"> HYPERLINK \l _Toc6378 </w:instrText>
          </w:r>
          <w:r>
            <w:rPr>
              <w:rFonts w:hint="eastAsia" w:ascii="黑体" w:hAnsi="黑体" w:eastAsia="黑体" w:cs="黑体"/>
              <w:szCs w:val="44"/>
              <w:highlight w:val="none"/>
            </w:rPr>
            <w:fldChar w:fldCharType="separate"/>
          </w:r>
          <w:r>
            <w:rPr>
              <w:rFonts w:hint="eastAsia" w:ascii="仿宋" w:hAnsi="仿宋" w:eastAsia="仿宋"/>
              <w:bCs w:val="0"/>
              <w:highlight w:val="none"/>
            </w:rPr>
            <w:t>四、</w:t>
          </w:r>
          <w:r>
            <w:rPr>
              <w:rFonts w:hint="eastAsia" w:ascii="仿宋" w:hAnsi="仿宋" w:eastAsia="仿宋"/>
              <w:highlight w:val="none"/>
            </w:rPr>
            <w:t>财</w:t>
          </w:r>
          <w:r>
            <w:rPr>
              <w:rFonts w:hint="eastAsia" w:ascii="仿宋" w:hAnsi="仿宋" w:eastAsia="仿宋"/>
              <w:bCs w:val="0"/>
              <w:highlight w:val="none"/>
            </w:rPr>
            <w:t>政拨款收入支出决算总表</w:t>
          </w:r>
          <w:r>
            <w:rPr>
              <w:highlight w:val="none"/>
            </w:rPr>
            <w:tab/>
          </w:r>
          <w:r>
            <w:rPr>
              <w:highlight w:val="none"/>
            </w:rPr>
            <w:fldChar w:fldCharType="begin"/>
          </w:r>
          <w:r>
            <w:rPr>
              <w:highlight w:val="none"/>
            </w:rPr>
            <w:instrText xml:space="preserve"> PAGEREF _Toc6378 \h </w:instrText>
          </w:r>
          <w:r>
            <w:rPr>
              <w:highlight w:val="none"/>
            </w:rPr>
            <w:fldChar w:fldCharType="separate"/>
          </w:r>
          <w:r>
            <w:rPr>
              <w:highlight w:val="none"/>
            </w:rPr>
            <w:t>36</w:t>
          </w:r>
          <w:r>
            <w:rPr>
              <w:highlight w:val="none"/>
            </w:rPr>
            <w:fldChar w:fldCharType="end"/>
          </w:r>
          <w:r>
            <w:rPr>
              <w:rFonts w:hint="eastAsia" w:ascii="黑体" w:hAnsi="黑体" w:eastAsia="黑体" w:cs="黑体"/>
              <w:color w:val="auto"/>
              <w:szCs w:val="44"/>
              <w:highlight w:val="none"/>
            </w:rPr>
            <w:fldChar w:fldCharType="end"/>
          </w:r>
        </w:p>
        <w:p>
          <w:pPr>
            <w:pStyle w:val="16"/>
            <w:tabs>
              <w:tab w:val="right" w:leader="dot" w:pos="8306"/>
            </w:tabs>
            <w:rPr>
              <w:highlight w:val="none"/>
            </w:rPr>
          </w:pPr>
          <w:r>
            <w:rPr>
              <w:rFonts w:hint="eastAsia" w:ascii="黑体" w:hAnsi="黑体" w:eastAsia="黑体" w:cs="黑体"/>
              <w:color w:val="auto"/>
              <w:szCs w:val="44"/>
              <w:highlight w:val="none"/>
            </w:rPr>
            <w:fldChar w:fldCharType="begin"/>
          </w:r>
          <w:r>
            <w:rPr>
              <w:rFonts w:hint="eastAsia" w:ascii="黑体" w:hAnsi="黑体" w:eastAsia="黑体" w:cs="黑体"/>
              <w:szCs w:val="44"/>
              <w:highlight w:val="none"/>
            </w:rPr>
            <w:instrText xml:space="preserve"> HYPERLINK \l _Toc28324 </w:instrText>
          </w:r>
          <w:r>
            <w:rPr>
              <w:rFonts w:hint="eastAsia" w:ascii="黑体" w:hAnsi="黑体" w:eastAsia="黑体" w:cs="黑体"/>
              <w:szCs w:val="44"/>
              <w:highlight w:val="none"/>
            </w:rPr>
            <w:fldChar w:fldCharType="separate"/>
          </w:r>
          <w:r>
            <w:rPr>
              <w:rFonts w:hint="eastAsia" w:ascii="仿宋" w:hAnsi="仿宋" w:eastAsia="仿宋"/>
              <w:bCs w:val="0"/>
              <w:highlight w:val="none"/>
            </w:rPr>
            <w:t>五、</w:t>
          </w:r>
          <w:r>
            <w:rPr>
              <w:rFonts w:hint="eastAsia" w:ascii="仿宋" w:hAnsi="仿宋" w:eastAsia="仿宋"/>
              <w:highlight w:val="none"/>
            </w:rPr>
            <w:t>财</w:t>
          </w:r>
          <w:r>
            <w:rPr>
              <w:rFonts w:hint="eastAsia" w:ascii="仿宋" w:hAnsi="仿宋" w:eastAsia="仿宋"/>
              <w:bCs w:val="0"/>
              <w:highlight w:val="none"/>
            </w:rPr>
            <w:t>政拨款支出决算明细表</w:t>
          </w:r>
          <w:r>
            <w:rPr>
              <w:highlight w:val="none"/>
            </w:rPr>
            <w:tab/>
          </w:r>
          <w:r>
            <w:rPr>
              <w:highlight w:val="none"/>
            </w:rPr>
            <w:fldChar w:fldCharType="begin"/>
          </w:r>
          <w:r>
            <w:rPr>
              <w:highlight w:val="none"/>
            </w:rPr>
            <w:instrText xml:space="preserve"> PAGEREF _Toc28324 \h </w:instrText>
          </w:r>
          <w:r>
            <w:rPr>
              <w:highlight w:val="none"/>
            </w:rPr>
            <w:fldChar w:fldCharType="separate"/>
          </w:r>
          <w:r>
            <w:rPr>
              <w:highlight w:val="none"/>
            </w:rPr>
            <w:t>36</w:t>
          </w:r>
          <w:r>
            <w:rPr>
              <w:highlight w:val="none"/>
            </w:rPr>
            <w:fldChar w:fldCharType="end"/>
          </w:r>
          <w:r>
            <w:rPr>
              <w:rFonts w:hint="eastAsia" w:ascii="黑体" w:hAnsi="黑体" w:eastAsia="黑体" w:cs="黑体"/>
              <w:color w:val="auto"/>
              <w:szCs w:val="44"/>
              <w:highlight w:val="none"/>
            </w:rPr>
            <w:fldChar w:fldCharType="end"/>
          </w:r>
        </w:p>
        <w:p>
          <w:pPr>
            <w:pStyle w:val="16"/>
            <w:tabs>
              <w:tab w:val="right" w:leader="dot" w:pos="8306"/>
            </w:tabs>
            <w:rPr>
              <w:highlight w:val="none"/>
            </w:rPr>
          </w:pPr>
          <w:r>
            <w:rPr>
              <w:rFonts w:hint="eastAsia" w:ascii="黑体" w:hAnsi="黑体" w:eastAsia="黑体" w:cs="黑体"/>
              <w:color w:val="auto"/>
              <w:szCs w:val="44"/>
              <w:highlight w:val="none"/>
            </w:rPr>
            <w:fldChar w:fldCharType="begin"/>
          </w:r>
          <w:r>
            <w:rPr>
              <w:rFonts w:hint="eastAsia" w:ascii="黑体" w:hAnsi="黑体" w:eastAsia="黑体" w:cs="黑体"/>
              <w:szCs w:val="44"/>
              <w:highlight w:val="none"/>
            </w:rPr>
            <w:instrText xml:space="preserve"> HYPERLINK \l _Toc8554 </w:instrText>
          </w:r>
          <w:r>
            <w:rPr>
              <w:rFonts w:hint="eastAsia" w:ascii="黑体" w:hAnsi="黑体" w:eastAsia="黑体" w:cs="黑体"/>
              <w:szCs w:val="44"/>
              <w:highlight w:val="none"/>
            </w:rPr>
            <w:fldChar w:fldCharType="separate"/>
          </w:r>
          <w:r>
            <w:rPr>
              <w:rFonts w:hint="eastAsia" w:ascii="仿宋" w:hAnsi="仿宋" w:eastAsia="仿宋"/>
              <w:bCs w:val="0"/>
              <w:highlight w:val="none"/>
            </w:rPr>
            <w:t>六、</w:t>
          </w:r>
          <w:r>
            <w:rPr>
              <w:rFonts w:hint="eastAsia" w:ascii="仿宋" w:hAnsi="仿宋" w:eastAsia="仿宋"/>
              <w:highlight w:val="none"/>
            </w:rPr>
            <w:t>一</w:t>
          </w:r>
          <w:r>
            <w:rPr>
              <w:rFonts w:hint="eastAsia" w:ascii="仿宋" w:hAnsi="仿宋" w:eastAsia="仿宋"/>
              <w:bCs w:val="0"/>
              <w:highlight w:val="none"/>
            </w:rPr>
            <w:t>般公共预算财政拨款支出决算表</w:t>
          </w:r>
          <w:r>
            <w:rPr>
              <w:highlight w:val="none"/>
            </w:rPr>
            <w:tab/>
          </w:r>
          <w:r>
            <w:rPr>
              <w:highlight w:val="none"/>
            </w:rPr>
            <w:fldChar w:fldCharType="begin"/>
          </w:r>
          <w:r>
            <w:rPr>
              <w:highlight w:val="none"/>
            </w:rPr>
            <w:instrText xml:space="preserve"> PAGEREF _Toc8554 \h </w:instrText>
          </w:r>
          <w:r>
            <w:rPr>
              <w:highlight w:val="none"/>
            </w:rPr>
            <w:fldChar w:fldCharType="separate"/>
          </w:r>
          <w:r>
            <w:rPr>
              <w:highlight w:val="none"/>
            </w:rPr>
            <w:t>36</w:t>
          </w:r>
          <w:r>
            <w:rPr>
              <w:highlight w:val="none"/>
            </w:rPr>
            <w:fldChar w:fldCharType="end"/>
          </w:r>
          <w:r>
            <w:rPr>
              <w:rFonts w:hint="eastAsia" w:ascii="黑体" w:hAnsi="黑体" w:eastAsia="黑体" w:cs="黑体"/>
              <w:color w:val="auto"/>
              <w:szCs w:val="44"/>
              <w:highlight w:val="none"/>
            </w:rPr>
            <w:fldChar w:fldCharType="end"/>
          </w:r>
        </w:p>
        <w:p>
          <w:pPr>
            <w:pStyle w:val="16"/>
            <w:tabs>
              <w:tab w:val="right" w:leader="dot" w:pos="8306"/>
            </w:tabs>
            <w:rPr>
              <w:highlight w:val="none"/>
            </w:rPr>
          </w:pPr>
          <w:r>
            <w:rPr>
              <w:rFonts w:hint="eastAsia" w:ascii="黑体" w:hAnsi="黑体" w:eastAsia="黑体" w:cs="黑体"/>
              <w:color w:val="auto"/>
              <w:szCs w:val="44"/>
              <w:highlight w:val="none"/>
            </w:rPr>
            <w:fldChar w:fldCharType="begin"/>
          </w:r>
          <w:r>
            <w:rPr>
              <w:rFonts w:hint="eastAsia" w:ascii="黑体" w:hAnsi="黑体" w:eastAsia="黑体" w:cs="黑体"/>
              <w:szCs w:val="44"/>
              <w:highlight w:val="none"/>
            </w:rPr>
            <w:instrText xml:space="preserve"> HYPERLINK \l _Toc11688 </w:instrText>
          </w:r>
          <w:r>
            <w:rPr>
              <w:rFonts w:hint="eastAsia" w:ascii="黑体" w:hAnsi="黑体" w:eastAsia="黑体" w:cs="黑体"/>
              <w:szCs w:val="44"/>
              <w:highlight w:val="none"/>
            </w:rPr>
            <w:fldChar w:fldCharType="separate"/>
          </w:r>
          <w:r>
            <w:rPr>
              <w:rFonts w:hint="eastAsia" w:ascii="仿宋" w:hAnsi="仿宋" w:eastAsia="仿宋"/>
              <w:bCs w:val="0"/>
              <w:highlight w:val="none"/>
            </w:rPr>
            <w:t>七、</w:t>
          </w:r>
          <w:r>
            <w:rPr>
              <w:rFonts w:hint="eastAsia" w:ascii="仿宋" w:hAnsi="仿宋" w:eastAsia="仿宋"/>
              <w:highlight w:val="none"/>
            </w:rPr>
            <w:t>一</w:t>
          </w:r>
          <w:r>
            <w:rPr>
              <w:rFonts w:hint="eastAsia" w:ascii="仿宋" w:hAnsi="仿宋" w:eastAsia="仿宋"/>
              <w:bCs w:val="0"/>
              <w:highlight w:val="none"/>
            </w:rPr>
            <w:t>般公共预算财政拨款支出决算明细表</w:t>
          </w:r>
          <w:r>
            <w:rPr>
              <w:highlight w:val="none"/>
            </w:rPr>
            <w:tab/>
          </w:r>
          <w:r>
            <w:rPr>
              <w:highlight w:val="none"/>
            </w:rPr>
            <w:fldChar w:fldCharType="begin"/>
          </w:r>
          <w:r>
            <w:rPr>
              <w:highlight w:val="none"/>
            </w:rPr>
            <w:instrText xml:space="preserve"> PAGEREF _Toc11688 \h </w:instrText>
          </w:r>
          <w:r>
            <w:rPr>
              <w:highlight w:val="none"/>
            </w:rPr>
            <w:fldChar w:fldCharType="separate"/>
          </w:r>
          <w:r>
            <w:rPr>
              <w:highlight w:val="none"/>
            </w:rPr>
            <w:t>36</w:t>
          </w:r>
          <w:r>
            <w:rPr>
              <w:highlight w:val="none"/>
            </w:rPr>
            <w:fldChar w:fldCharType="end"/>
          </w:r>
          <w:r>
            <w:rPr>
              <w:rFonts w:hint="eastAsia" w:ascii="黑体" w:hAnsi="黑体" w:eastAsia="黑体" w:cs="黑体"/>
              <w:color w:val="auto"/>
              <w:szCs w:val="44"/>
              <w:highlight w:val="none"/>
            </w:rPr>
            <w:fldChar w:fldCharType="end"/>
          </w:r>
        </w:p>
        <w:p>
          <w:pPr>
            <w:pStyle w:val="16"/>
            <w:tabs>
              <w:tab w:val="right" w:leader="dot" w:pos="8306"/>
            </w:tabs>
            <w:rPr>
              <w:highlight w:val="none"/>
            </w:rPr>
          </w:pPr>
          <w:r>
            <w:rPr>
              <w:rFonts w:hint="eastAsia" w:ascii="黑体" w:hAnsi="黑体" w:eastAsia="黑体" w:cs="黑体"/>
              <w:color w:val="auto"/>
              <w:szCs w:val="44"/>
              <w:highlight w:val="none"/>
            </w:rPr>
            <w:fldChar w:fldCharType="begin"/>
          </w:r>
          <w:r>
            <w:rPr>
              <w:rFonts w:hint="eastAsia" w:ascii="黑体" w:hAnsi="黑体" w:eastAsia="黑体" w:cs="黑体"/>
              <w:szCs w:val="44"/>
              <w:highlight w:val="none"/>
            </w:rPr>
            <w:instrText xml:space="preserve"> HYPERLINK \l _Toc6639 </w:instrText>
          </w:r>
          <w:r>
            <w:rPr>
              <w:rFonts w:hint="eastAsia" w:ascii="黑体" w:hAnsi="黑体" w:eastAsia="黑体" w:cs="黑体"/>
              <w:szCs w:val="44"/>
              <w:highlight w:val="none"/>
            </w:rPr>
            <w:fldChar w:fldCharType="separate"/>
          </w:r>
          <w:r>
            <w:rPr>
              <w:rFonts w:hint="eastAsia" w:ascii="仿宋" w:hAnsi="仿宋" w:eastAsia="仿宋"/>
              <w:bCs w:val="0"/>
              <w:highlight w:val="none"/>
            </w:rPr>
            <w:t>八、</w:t>
          </w:r>
          <w:r>
            <w:rPr>
              <w:rFonts w:hint="eastAsia" w:ascii="仿宋" w:hAnsi="仿宋" w:eastAsia="仿宋"/>
              <w:highlight w:val="none"/>
            </w:rPr>
            <w:t>一</w:t>
          </w:r>
          <w:r>
            <w:rPr>
              <w:rFonts w:hint="eastAsia" w:ascii="仿宋" w:hAnsi="仿宋" w:eastAsia="仿宋"/>
              <w:bCs w:val="0"/>
              <w:highlight w:val="none"/>
            </w:rPr>
            <w:t>般公共预算财政拨款基本支出决算表</w:t>
          </w:r>
          <w:r>
            <w:rPr>
              <w:highlight w:val="none"/>
            </w:rPr>
            <w:tab/>
          </w:r>
          <w:r>
            <w:rPr>
              <w:highlight w:val="none"/>
            </w:rPr>
            <w:fldChar w:fldCharType="begin"/>
          </w:r>
          <w:r>
            <w:rPr>
              <w:highlight w:val="none"/>
            </w:rPr>
            <w:instrText xml:space="preserve"> PAGEREF _Toc6639 \h </w:instrText>
          </w:r>
          <w:r>
            <w:rPr>
              <w:highlight w:val="none"/>
            </w:rPr>
            <w:fldChar w:fldCharType="separate"/>
          </w:r>
          <w:r>
            <w:rPr>
              <w:highlight w:val="none"/>
            </w:rPr>
            <w:t>36</w:t>
          </w:r>
          <w:r>
            <w:rPr>
              <w:highlight w:val="none"/>
            </w:rPr>
            <w:fldChar w:fldCharType="end"/>
          </w:r>
          <w:r>
            <w:rPr>
              <w:rFonts w:hint="eastAsia" w:ascii="黑体" w:hAnsi="黑体" w:eastAsia="黑体" w:cs="黑体"/>
              <w:color w:val="auto"/>
              <w:szCs w:val="44"/>
              <w:highlight w:val="none"/>
            </w:rPr>
            <w:fldChar w:fldCharType="end"/>
          </w:r>
        </w:p>
        <w:p>
          <w:pPr>
            <w:pStyle w:val="16"/>
            <w:tabs>
              <w:tab w:val="right" w:leader="dot" w:pos="8306"/>
            </w:tabs>
            <w:rPr>
              <w:highlight w:val="none"/>
            </w:rPr>
          </w:pPr>
          <w:r>
            <w:rPr>
              <w:rFonts w:hint="eastAsia" w:ascii="黑体" w:hAnsi="黑体" w:eastAsia="黑体" w:cs="黑体"/>
              <w:color w:val="auto"/>
              <w:szCs w:val="44"/>
              <w:highlight w:val="none"/>
            </w:rPr>
            <w:fldChar w:fldCharType="begin"/>
          </w:r>
          <w:r>
            <w:rPr>
              <w:rFonts w:hint="eastAsia" w:ascii="黑体" w:hAnsi="黑体" w:eastAsia="黑体" w:cs="黑体"/>
              <w:szCs w:val="44"/>
              <w:highlight w:val="none"/>
            </w:rPr>
            <w:instrText xml:space="preserve"> HYPERLINK \l _Toc26119 </w:instrText>
          </w:r>
          <w:r>
            <w:rPr>
              <w:rFonts w:hint="eastAsia" w:ascii="黑体" w:hAnsi="黑体" w:eastAsia="黑体" w:cs="黑体"/>
              <w:szCs w:val="44"/>
              <w:highlight w:val="none"/>
            </w:rPr>
            <w:fldChar w:fldCharType="separate"/>
          </w:r>
          <w:r>
            <w:rPr>
              <w:rFonts w:hint="eastAsia" w:ascii="仿宋" w:hAnsi="仿宋" w:eastAsia="仿宋"/>
              <w:bCs w:val="0"/>
              <w:highlight w:val="none"/>
            </w:rPr>
            <w:t>九、</w:t>
          </w:r>
          <w:r>
            <w:rPr>
              <w:rFonts w:hint="eastAsia" w:ascii="仿宋" w:hAnsi="仿宋" w:eastAsia="仿宋"/>
              <w:highlight w:val="none"/>
            </w:rPr>
            <w:t>一</w:t>
          </w:r>
          <w:r>
            <w:rPr>
              <w:rFonts w:hint="eastAsia" w:ascii="仿宋" w:hAnsi="仿宋" w:eastAsia="仿宋"/>
              <w:bCs w:val="0"/>
              <w:highlight w:val="none"/>
            </w:rPr>
            <w:t>般公共预算财政拨款项目支出决算表</w:t>
          </w:r>
          <w:r>
            <w:rPr>
              <w:highlight w:val="none"/>
            </w:rPr>
            <w:tab/>
          </w:r>
          <w:r>
            <w:rPr>
              <w:highlight w:val="none"/>
            </w:rPr>
            <w:fldChar w:fldCharType="begin"/>
          </w:r>
          <w:r>
            <w:rPr>
              <w:highlight w:val="none"/>
            </w:rPr>
            <w:instrText xml:space="preserve"> PAGEREF _Toc26119 \h </w:instrText>
          </w:r>
          <w:r>
            <w:rPr>
              <w:highlight w:val="none"/>
            </w:rPr>
            <w:fldChar w:fldCharType="separate"/>
          </w:r>
          <w:r>
            <w:rPr>
              <w:highlight w:val="none"/>
            </w:rPr>
            <w:t>36</w:t>
          </w:r>
          <w:r>
            <w:rPr>
              <w:highlight w:val="none"/>
            </w:rPr>
            <w:fldChar w:fldCharType="end"/>
          </w:r>
          <w:r>
            <w:rPr>
              <w:rFonts w:hint="eastAsia" w:ascii="黑体" w:hAnsi="黑体" w:eastAsia="黑体" w:cs="黑体"/>
              <w:color w:val="auto"/>
              <w:szCs w:val="44"/>
              <w:highlight w:val="none"/>
            </w:rPr>
            <w:fldChar w:fldCharType="end"/>
          </w:r>
        </w:p>
        <w:p>
          <w:pPr>
            <w:pStyle w:val="16"/>
            <w:tabs>
              <w:tab w:val="right" w:leader="dot" w:pos="8306"/>
            </w:tabs>
            <w:rPr>
              <w:highlight w:val="none"/>
            </w:rPr>
          </w:pPr>
          <w:r>
            <w:rPr>
              <w:rFonts w:hint="eastAsia" w:ascii="黑体" w:hAnsi="黑体" w:eastAsia="黑体" w:cs="黑体"/>
              <w:color w:val="auto"/>
              <w:szCs w:val="44"/>
              <w:highlight w:val="none"/>
            </w:rPr>
            <w:fldChar w:fldCharType="begin"/>
          </w:r>
          <w:r>
            <w:rPr>
              <w:rFonts w:hint="eastAsia" w:ascii="黑体" w:hAnsi="黑体" w:eastAsia="黑体" w:cs="黑体"/>
              <w:szCs w:val="44"/>
              <w:highlight w:val="none"/>
            </w:rPr>
            <w:instrText xml:space="preserve"> HYPERLINK \l _Toc17187 </w:instrText>
          </w:r>
          <w:r>
            <w:rPr>
              <w:rFonts w:hint="eastAsia" w:ascii="黑体" w:hAnsi="黑体" w:eastAsia="黑体" w:cs="黑体"/>
              <w:szCs w:val="44"/>
              <w:highlight w:val="none"/>
            </w:rPr>
            <w:fldChar w:fldCharType="separate"/>
          </w:r>
          <w:r>
            <w:rPr>
              <w:rFonts w:hint="eastAsia" w:ascii="仿宋" w:hAnsi="仿宋" w:eastAsia="仿宋"/>
              <w:bCs w:val="0"/>
              <w:highlight w:val="none"/>
            </w:rPr>
            <w:t>十、</w:t>
          </w:r>
          <w:r>
            <w:rPr>
              <w:rFonts w:hint="eastAsia" w:ascii="仿宋" w:hAnsi="仿宋" w:eastAsia="仿宋"/>
              <w:highlight w:val="none"/>
            </w:rPr>
            <w:t>政</w:t>
          </w:r>
          <w:r>
            <w:rPr>
              <w:rFonts w:hint="eastAsia" w:ascii="仿宋" w:hAnsi="仿宋" w:eastAsia="仿宋"/>
              <w:bCs w:val="0"/>
              <w:highlight w:val="none"/>
            </w:rPr>
            <w:t>府性基金预算财政拨款收入支出决算表</w:t>
          </w:r>
          <w:r>
            <w:rPr>
              <w:highlight w:val="none"/>
            </w:rPr>
            <w:tab/>
          </w:r>
          <w:r>
            <w:rPr>
              <w:highlight w:val="none"/>
            </w:rPr>
            <w:fldChar w:fldCharType="begin"/>
          </w:r>
          <w:r>
            <w:rPr>
              <w:highlight w:val="none"/>
            </w:rPr>
            <w:instrText xml:space="preserve"> PAGEREF _Toc17187 \h </w:instrText>
          </w:r>
          <w:r>
            <w:rPr>
              <w:highlight w:val="none"/>
            </w:rPr>
            <w:fldChar w:fldCharType="separate"/>
          </w:r>
          <w:r>
            <w:rPr>
              <w:highlight w:val="none"/>
            </w:rPr>
            <w:t>36</w:t>
          </w:r>
          <w:r>
            <w:rPr>
              <w:highlight w:val="none"/>
            </w:rPr>
            <w:fldChar w:fldCharType="end"/>
          </w:r>
          <w:r>
            <w:rPr>
              <w:rFonts w:hint="eastAsia" w:ascii="黑体" w:hAnsi="黑体" w:eastAsia="黑体" w:cs="黑体"/>
              <w:color w:val="auto"/>
              <w:szCs w:val="44"/>
              <w:highlight w:val="none"/>
            </w:rPr>
            <w:fldChar w:fldCharType="end"/>
          </w:r>
        </w:p>
        <w:p>
          <w:pPr>
            <w:pStyle w:val="16"/>
            <w:tabs>
              <w:tab w:val="right" w:leader="dot" w:pos="8306"/>
            </w:tabs>
            <w:rPr>
              <w:highlight w:val="none"/>
            </w:rPr>
          </w:pPr>
          <w:r>
            <w:rPr>
              <w:rFonts w:hint="eastAsia" w:ascii="黑体" w:hAnsi="黑体" w:eastAsia="黑体" w:cs="黑体"/>
              <w:color w:val="auto"/>
              <w:szCs w:val="44"/>
              <w:highlight w:val="none"/>
            </w:rPr>
            <w:fldChar w:fldCharType="begin"/>
          </w:r>
          <w:r>
            <w:rPr>
              <w:rFonts w:hint="eastAsia" w:ascii="黑体" w:hAnsi="黑体" w:eastAsia="黑体" w:cs="黑体"/>
              <w:szCs w:val="44"/>
              <w:highlight w:val="none"/>
            </w:rPr>
            <w:instrText xml:space="preserve"> HYPERLINK \l _Toc19224 </w:instrText>
          </w:r>
          <w:r>
            <w:rPr>
              <w:rFonts w:hint="eastAsia" w:ascii="黑体" w:hAnsi="黑体" w:eastAsia="黑体" w:cs="黑体"/>
              <w:szCs w:val="44"/>
              <w:highlight w:val="none"/>
            </w:rPr>
            <w:fldChar w:fldCharType="separate"/>
          </w:r>
          <w:r>
            <w:rPr>
              <w:rFonts w:hint="eastAsia" w:ascii="仿宋" w:hAnsi="仿宋" w:eastAsia="仿宋"/>
              <w:bCs w:val="0"/>
              <w:highlight w:val="none"/>
            </w:rPr>
            <w:t>十一、</w:t>
          </w:r>
          <w:r>
            <w:rPr>
              <w:rFonts w:hint="eastAsia" w:ascii="仿宋" w:hAnsi="仿宋" w:eastAsia="仿宋"/>
              <w:highlight w:val="none"/>
            </w:rPr>
            <w:t>国</w:t>
          </w:r>
          <w:r>
            <w:rPr>
              <w:rFonts w:hint="eastAsia" w:ascii="仿宋" w:hAnsi="仿宋" w:eastAsia="仿宋"/>
              <w:bCs w:val="0"/>
              <w:highlight w:val="none"/>
            </w:rPr>
            <w:t>有资本经营预算</w:t>
          </w:r>
          <w:r>
            <w:rPr>
              <w:rFonts w:hint="eastAsia" w:ascii="仿宋" w:hAnsi="仿宋" w:eastAsia="仿宋"/>
              <w:bCs w:val="0"/>
              <w:highlight w:val="none"/>
              <w:lang w:eastAsia="zh-CN"/>
            </w:rPr>
            <w:t>财政拨款收入</w:t>
          </w:r>
          <w:r>
            <w:rPr>
              <w:rFonts w:hint="eastAsia" w:ascii="仿宋" w:hAnsi="仿宋" w:eastAsia="仿宋"/>
              <w:bCs w:val="0"/>
              <w:highlight w:val="none"/>
            </w:rPr>
            <w:t>支出决算表</w:t>
          </w:r>
          <w:r>
            <w:rPr>
              <w:highlight w:val="none"/>
            </w:rPr>
            <w:tab/>
          </w:r>
          <w:r>
            <w:rPr>
              <w:highlight w:val="none"/>
            </w:rPr>
            <w:fldChar w:fldCharType="begin"/>
          </w:r>
          <w:r>
            <w:rPr>
              <w:highlight w:val="none"/>
            </w:rPr>
            <w:instrText xml:space="preserve"> PAGEREF _Toc19224 \h </w:instrText>
          </w:r>
          <w:r>
            <w:rPr>
              <w:highlight w:val="none"/>
            </w:rPr>
            <w:fldChar w:fldCharType="separate"/>
          </w:r>
          <w:r>
            <w:rPr>
              <w:highlight w:val="none"/>
            </w:rPr>
            <w:t>36</w:t>
          </w:r>
          <w:r>
            <w:rPr>
              <w:highlight w:val="none"/>
            </w:rPr>
            <w:fldChar w:fldCharType="end"/>
          </w:r>
          <w:r>
            <w:rPr>
              <w:rFonts w:hint="eastAsia" w:ascii="黑体" w:hAnsi="黑体" w:eastAsia="黑体" w:cs="黑体"/>
              <w:color w:val="auto"/>
              <w:szCs w:val="44"/>
              <w:highlight w:val="none"/>
            </w:rPr>
            <w:fldChar w:fldCharType="end"/>
          </w:r>
        </w:p>
        <w:p>
          <w:pPr>
            <w:pStyle w:val="16"/>
            <w:tabs>
              <w:tab w:val="right" w:leader="dot" w:pos="8306"/>
            </w:tabs>
            <w:rPr>
              <w:highlight w:val="none"/>
            </w:rPr>
          </w:pPr>
          <w:r>
            <w:rPr>
              <w:rFonts w:hint="eastAsia" w:ascii="黑体" w:hAnsi="黑体" w:eastAsia="黑体" w:cs="黑体"/>
              <w:color w:val="auto"/>
              <w:szCs w:val="44"/>
              <w:highlight w:val="none"/>
            </w:rPr>
            <w:fldChar w:fldCharType="begin"/>
          </w:r>
          <w:r>
            <w:rPr>
              <w:rFonts w:hint="eastAsia" w:ascii="黑体" w:hAnsi="黑体" w:eastAsia="黑体" w:cs="黑体"/>
              <w:szCs w:val="44"/>
              <w:highlight w:val="none"/>
            </w:rPr>
            <w:instrText xml:space="preserve"> HYPERLINK \l _Toc27403 </w:instrText>
          </w:r>
          <w:r>
            <w:rPr>
              <w:rFonts w:hint="eastAsia" w:ascii="黑体" w:hAnsi="黑体" w:eastAsia="黑体" w:cs="黑体"/>
              <w:szCs w:val="44"/>
              <w:highlight w:val="none"/>
            </w:rPr>
            <w:fldChar w:fldCharType="separate"/>
          </w:r>
          <w:r>
            <w:rPr>
              <w:rFonts w:hint="eastAsia" w:ascii="仿宋" w:hAnsi="仿宋" w:eastAsia="仿宋"/>
              <w:bCs w:val="0"/>
              <w:highlight w:val="none"/>
            </w:rPr>
            <w:t>十二、</w:t>
          </w:r>
          <w:r>
            <w:rPr>
              <w:rFonts w:hint="eastAsia" w:ascii="仿宋" w:hAnsi="仿宋" w:eastAsia="仿宋"/>
              <w:bCs w:val="0"/>
              <w:highlight w:val="none"/>
              <w:lang w:eastAsia="zh-CN"/>
            </w:rPr>
            <w:t>国有资本经营预算财政拨款支出决算表</w:t>
          </w:r>
          <w:r>
            <w:rPr>
              <w:highlight w:val="none"/>
            </w:rPr>
            <w:tab/>
          </w:r>
          <w:r>
            <w:rPr>
              <w:highlight w:val="none"/>
            </w:rPr>
            <w:fldChar w:fldCharType="begin"/>
          </w:r>
          <w:r>
            <w:rPr>
              <w:highlight w:val="none"/>
            </w:rPr>
            <w:instrText xml:space="preserve"> PAGEREF _Toc27403 \h </w:instrText>
          </w:r>
          <w:r>
            <w:rPr>
              <w:highlight w:val="none"/>
            </w:rPr>
            <w:fldChar w:fldCharType="separate"/>
          </w:r>
          <w:r>
            <w:rPr>
              <w:highlight w:val="none"/>
            </w:rPr>
            <w:t>36</w:t>
          </w:r>
          <w:r>
            <w:rPr>
              <w:highlight w:val="none"/>
            </w:rPr>
            <w:fldChar w:fldCharType="end"/>
          </w:r>
          <w:r>
            <w:rPr>
              <w:rFonts w:hint="eastAsia" w:ascii="黑体" w:hAnsi="黑体" w:eastAsia="黑体" w:cs="黑体"/>
              <w:color w:val="auto"/>
              <w:szCs w:val="44"/>
              <w:highlight w:val="none"/>
            </w:rPr>
            <w:fldChar w:fldCharType="end"/>
          </w:r>
        </w:p>
        <w:p>
          <w:pPr>
            <w:pStyle w:val="16"/>
            <w:tabs>
              <w:tab w:val="right" w:leader="dot" w:pos="8306"/>
            </w:tabs>
            <w:rPr>
              <w:highlight w:val="none"/>
            </w:rPr>
          </w:pPr>
          <w:r>
            <w:rPr>
              <w:rFonts w:hint="eastAsia" w:ascii="黑体" w:hAnsi="黑体" w:eastAsia="黑体" w:cs="黑体"/>
              <w:color w:val="auto"/>
              <w:szCs w:val="44"/>
              <w:highlight w:val="none"/>
            </w:rPr>
            <w:fldChar w:fldCharType="begin"/>
          </w:r>
          <w:r>
            <w:rPr>
              <w:rFonts w:hint="eastAsia" w:ascii="黑体" w:hAnsi="黑体" w:eastAsia="黑体" w:cs="黑体"/>
              <w:szCs w:val="44"/>
              <w:highlight w:val="none"/>
            </w:rPr>
            <w:instrText xml:space="preserve"> HYPERLINK \l _Toc25258 </w:instrText>
          </w:r>
          <w:r>
            <w:rPr>
              <w:rFonts w:hint="eastAsia" w:ascii="黑体" w:hAnsi="黑体" w:eastAsia="黑体" w:cs="黑体"/>
              <w:szCs w:val="44"/>
              <w:highlight w:val="none"/>
            </w:rPr>
            <w:fldChar w:fldCharType="separate"/>
          </w:r>
          <w:r>
            <w:rPr>
              <w:rFonts w:hint="eastAsia" w:ascii="仿宋" w:hAnsi="仿宋" w:eastAsia="仿宋"/>
              <w:bCs w:val="0"/>
              <w:highlight w:val="none"/>
            </w:rPr>
            <w:t>十三、</w:t>
          </w:r>
          <w:r>
            <w:rPr>
              <w:rFonts w:hint="eastAsia" w:ascii="仿宋" w:hAnsi="仿宋" w:eastAsia="仿宋"/>
              <w:bCs w:val="0"/>
              <w:highlight w:val="none"/>
              <w:lang w:eastAsia="zh-CN"/>
            </w:rPr>
            <w:t>财政拨款“三公”经费支出决算表</w:t>
          </w:r>
          <w:r>
            <w:rPr>
              <w:highlight w:val="none"/>
            </w:rPr>
            <w:tab/>
          </w:r>
          <w:r>
            <w:rPr>
              <w:highlight w:val="none"/>
            </w:rPr>
            <w:fldChar w:fldCharType="begin"/>
          </w:r>
          <w:r>
            <w:rPr>
              <w:highlight w:val="none"/>
            </w:rPr>
            <w:instrText xml:space="preserve"> PAGEREF _Toc25258 \h </w:instrText>
          </w:r>
          <w:r>
            <w:rPr>
              <w:highlight w:val="none"/>
            </w:rPr>
            <w:fldChar w:fldCharType="separate"/>
          </w:r>
          <w:r>
            <w:rPr>
              <w:highlight w:val="none"/>
            </w:rPr>
            <w:t>36</w:t>
          </w:r>
          <w:r>
            <w:rPr>
              <w:highlight w:val="none"/>
            </w:rPr>
            <w:fldChar w:fldCharType="end"/>
          </w:r>
          <w:r>
            <w:rPr>
              <w:rFonts w:hint="eastAsia" w:ascii="黑体" w:hAnsi="黑体" w:eastAsia="黑体" w:cs="黑体"/>
              <w:color w:val="auto"/>
              <w:szCs w:val="44"/>
              <w:highlight w:val="none"/>
            </w:rPr>
            <w:fldChar w:fldCharType="end"/>
          </w:r>
        </w:p>
        <w:p>
          <w:pPr>
            <w:pStyle w:val="7"/>
            <w:pageBreakBefore w:val="0"/>
            <w:kinsoku/>
            <w:wordWrap/>
            <w:overflowPunct/>
            <w:topLinePunct w:val="0"/>
            <w:bidi w:val="0"/>
            <w:adjustRightInd w:val="0"/>
            <w:snapToGrid w:val="0"/>
            <w:spacing w:before="0" w:line="560" w:lineRule="exact"/>
            <w:jc w:val="both"/>
            <w:textAlignment w:val="auto"/>
            <w:rPr>
              <w:rFonts w:hint="eastAsia" w:ascii="黑体" w:hAnsi="黑体" w:eastAsia="黑体" w:cs="黑体"/>
              <w:b/>
              <w:color w:val="auto"/>
              <w:kern w:val="2"/>
              <w:sz w:val="28"/>
              <w:szCs w:val="44"/>
              <w:highlight w:val="none"/>
              <w:lang w:val="en-US" w:eastAsia="zh-CN" w:bidi="ar-SA"/>
            </w:rPr>
          </w:pPr>
          <w:r>
            <w:rPr>
              <w:rFonts w:hint="eastAsia" w:ascii="黑体" w:hAnsi="黑体" w:eastAsia="黑体" w:cs="黑体"/>
              <w:b/>
              <w:color w:val="auto"/>
              <w:szCs w:val="44"/>
              <w:highlight w:val="none"/>
            </w:rPr>
            <w:fldChar w:fldCharType="end"/>
          </w:r>
        </w:p>
      </w:sdtContent>
    </w:sdt>
    <w:p>
      <w:pPr>
        <w:rPr>
          <w:rFonts w:hint="eastAsia"/>
          <w:highlight w:val="none"/>
        </w:rPr>
      </w:pPr>
    </w:p>
    <w:p>
      <w:pPr>
        <w:pStyle w:val="7"/>
        <w:keepNext w:val="0"/>
        <w:keepLines w:val="0"/>
        <w:pageBreakBefore w:val="0"/>
        <w:widowControl w:val="0"/>
        <w:kinsoku/>
        <w:wordWrap/>
        <w:overflowPunct/>
        <w:topLinePunct w:val="0"/>
        <w:autoSpaceDE/>
        <w:autoSpaceDN/>
        <w:bidi w:val="0"/>
        <w:adjustRightInd w:val="0"/>
        <w:snapToGrid w:val="0"/>
        <w:spacing w:before="0" w:line="560" w:lineRule="exact"/>
        <w:jc w:val="center"/>
        <w:textAlignment w:val="auto"/>
        <w:rPr>
          <w:rFonts w:hint="eastAsia" w:ascii="黑体" w:hAnsi="黑体" w:eastAsia="黑体" w:cs="黑体"/>
          <w:color w:val="auto"/>
          <w:sz w:val="44"/>
          <w:szCs w:val="44"/>
          <w:highlight w:val="none"/>
        </w:rPr>
        <w:sectPr>
          <w:footerReference r:id="rId4" w:type="default"/>
          <w:pgSz w:w="11906" w:h="16838"/>
          <w:pgMar w:top="1440" w:right="1800" w:bottom="1440" w:left="1800" w:header="851" w:footer="992" w:gutter="0"/>
          <w:pgNumType w:start="1"/>
          <w:cols w:space="425" w:num="1"/>
          <w:docGrid w:type="lines" w:linePitch="312" w:charSpace="0"/>
        </w:sectPr>
      </w:pPr>
    </w:p>
    <w:p>
      <w:pPr>
        <w:pStyle w:val="7"/>
        <w:keepNext w:val="0"/>
        <w:keepLines w:val="0"/>
        <w:pageBreakBefore w:val="0"/>
        <w:widowControl w:val="0"/>
        <w:kinsoku/>
        <w:wordWrap/>
        <w:overflowPunct/>
        <w:topLinePunct w:val="0"/>
        <w:autoSpaceDE/>
        <w:autoSpaceDN/>
        <w:bidi w:val="0"/>
        <w:adjustRightInd w:val="0"/>
        <w:snapToGrid w:val="0"/>
        <w:spacing w:before="0" w:line="560" w:lineRule="exact"/>
        <w:jc w:val="center"/>
        <w:textAlignment w:val="auto"/>
        <w:outlineLvl w:val="0"/>
        <w:rPr>
          <w:rFonts w:hint="eastAsia" w:ascii="黑体" w:hAnsi="黑体" w:eastAsia="黑体" w:cs="黑体"/>
          <w:color w:val="auto"/>
          <w:sz w:val="32"/>
          <w:szCs w:val="32"/>
          <w:highlight w:val="none"/>
        </w:rPr>
      </w:pPr>
      <w:bookmarkStart w:id="0" w:name="_Toc19597"/>
      <w:r>
        <w:rPr>
          <w:rFonts w:hint="eastAsia" w:ascii="黑体" w:hAnsi="黑体" w:eastAsia="黑体" w:cs="黑体"/>
          <w:color w:val="auto"/>
          <w:sz w:val="44"/>
          <w:szCs w:val="44"/>
          <w:highlight w:val="none"/>
        </w:rPr>
        <w:t xml:space="preserve">第一部分 </w:t>
      </w:r>
      <w:r>
        <w:rPr>
          <w:rFonts w:hint="eastAsia" w:ascii="黑体" w:hAnsi="黑体" w:eastAsia="黑体" w:cs="黑体"/>
          <w:color w:val="auto"/>
          <w:sz w:val="44"/>
          <w:szCs w:val="44"/>
          <w:highlight w:val="none"/>
          <w:lang w:eastAsia="zh-CN"/>
        </w:rPr>
        <w:t>单位</w:t>
      </w:r>
      <w:r>
        <w:rPr>
          <w:rFonts w:hint="eastAsia" w:ascii="黑体" w:hAnsi="黑体" w:eastAsia="黑体" w:cs="黑体"/>
          <w:color w:val="auto"/>
          <w:sz w:val="44"/>
          <w:szCs w:val="44"/>
          <w:highlight w:val="none"/>
        </w:rPr>
        <w:t>概况</w:t>
      </w:r>
      <w:bookmarkEnd w:id="0"/>
    </w:p>
    <w:p>
      <w:pPr>
        <w:pStyle w:val="8"/>
        <w:keepNext w:val="0"/>
        <w:keepLines w:val="0"/>
        <w:pageBreakBefore w:val="0"/>
        <w:widowControl w:val="0"/>
        <w:kinsoku/>
        <w:wordWrap/>
        <w:overflowPunct/>
        <w:topLinePunct w:val="0"/>
        <w:autoSpaceDE/>
        <w:autoSpaceDN/>
        <w:bidi w:val="0"/>
        <w:adjustRightInd w:val="0"/>
        <w:snapToGrid w:val="0"/>
        <w:spacing w:line="560" w:lineRule="exact"/>
        <w:ind w:firstLine="320" w:firstLineChars="100"/>
        <w:jc w:val="left"/>
        <w:textAlignment w:val="auto"/>
        <w:outlineLvl w:val="1"/>
        <w:rPr>
          <w:rFonts w:hint="eastAsia" w:ascii="黑体" w:hAnsi="黑体" w:eastAsia="黑体" w:cs="黑体"/>
          <w:color w:val="auto"/>
          <w:sz w:val="32"/>
          <w:szCs w:val="32"/>
          <w:highlight w:val="none"/>
          <w:lang w:eastAsia="zh-CN"/>
        </w:rPr>
      </w:pPr>
      <w:bookmarkStart w:id="1" w:name="_Toc21778"/>
      <w:r>
        <w:rPr>
          <w:rFonts w:hint="eastAsia" w:ascii="黑体" w:hAnsi="黑体" w:eastAsia="黑体" w:cs="黑体"/>
          <w:color w:val="auto"/>
          <w:sz w:val="32"/>
          <w:szCs w:val="32"/>
          <w:highlight w:val="none"/>
        </w:rPr>
        <w:t>一、</w:t>
      </w:r>
      <w:r>
        <w:rPr>
          <w:rFonts w:hint="eastAsia" w:ascii="黑体" w:hAnsi="黑体" w:eastAsia="黑体" w:cs="黑体"/>
          <w:color w:val="auto"/>
          <w:sz w:val="32"/>
          <w:szCs w:val="32"/>
          <w:highlight w:val="none"/>
          <w:lang w:eastAsia="zh-CN"/>
        </w:rPr>
        <w:t>主要职责</w:t>
      </w:r>
      <w:bookmarkEnd w:id="1"/>
    </w:p>
    <w:p>
      <w:pPr>
        <w:keepNext w:val="0"/>
        <w:keepLines w:val="0"/>
        <w:pageBreakBefore w:val="0"/>
        <w:widowControl w:val="0"/>
        <w:kinsoku/>
        <w:wordWrap/>
        <w:overflowPunct/>
        <w:topLinePunct w:val="0"/>
        <w:autoSpaceDE/>
        <w:autoSpaceDN/>
        <w:bidi w:val="0"/>
        <w:spacing w:beforeLines="0" w:afterLines="0" w:line="560" w:lineRule="exact"/>
        <w:ind w:firstLine="640" w:firstLineChars="200"/>
        <w:textAlignment w:val="auto"/>
        <w:rPr>
          <w:rFonts w:hint="eastAsia"/>
          <w:highlight w:val="none"/>
          <w:lang w:eastAsia="zh-CN"/>
        </w:rPr>
      </w:pPr>
      <w:r>
        <w:rPr>
          <w:rFonts w:hint="eastAsia" w:ascii="仿宋" w:hAnsi="仿宋" w:eastAsia="仿宋" w:cs="仿宋"/>
          <w:sz w:val="32"/>
          <w:szCs w:val="32"/>
          <w:highlight w:val="none"/>
        </w:rPr>
        <w:t>我校始建于1996年6月，是由广元市市委、市政府创办的一所面向全市老年人的社会公益学校，为财政拨款的副县级事业单位。近年来，我校认真贯彻党的老年教育的方针政策，积极发展本市的老年教育事业。加强教育管理，提高教学质量，组织好具体教学活动，使教学管理工作制度化、规范化，带动全市老年教育工作上档次、上台阶。</w:t>
      </w:r>
    </w:p>
    <w:p>
      <w:pPr>
        <w:pStyle w:val="8"/>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left"/>
        <w:textAlignment w:val="auto"/>
        <w:outlineLvl w:val="1"/>
        <w:rPr>
          <w:rFonts w:hint="eastAsia" w:ascii="黑体" w:hAnsi="黑体" w:eastAsia="黑体" w:cs="黑体"/>
          <w:color w:val="auto"/>
          <w:sz w:val="32"/>
          <w:szCs w:val="32"/>
          <w:highlight w:val="none"/>
          <w:lang w:eastAsia="zh-CN"/>
        </w:rPr>
      </w:pPr>
      <w:bookmarkStart w:id="2" w:name="_Toc12950"/>
      <w:r>
        <w:rPr>
          <w:rFonts w:hint="eastAsia" w:ascii="黑体" w:hAnsi="黑体" w:eastAsia="黑体" w:cs="黑体"/>
          <w:color w:val="auto"/>
          <w:sz w:val="32"/>
          <w:szCs w:val="32"/>
          <w:highlight w:val="none"/>
          <w:lang w:val="en-US" w:eastAsia="zh-CN"/>
        </w:rPr>
        <w:t>二、</w:t>
      </w:r>
      <w:r>
        <w:rPr>
          <w:rFonts w:hint="eastAsia" w:ascii="黑体" w:hAnsi="黑体" w:eastAsia="黑体" w:cs="黑体"/>
          <w:color w:val="auto"/>
          <w:sz w:val="32"/>
          <w:szCs w:val="32"/>
          <w:highlight w:val="none"/>
          <w:lang w:eastAsia="zh-CN"/>
        </w:rPr>
        <w:t>机构设置</w:t>
      </w:r>
      <w:bookmarkEnd w:id="2"/>
    </w:p>
    <w:p>
      <w:pPr>
        <w:keepNext w:val="0"/>
        <w:keepLines w:val="0"/>
        <w:pageBreakBefore w:val="0"/>
        <w:widowControl w:val="0"/>
        <w:kinsoku/>
        <w:wordWrap/>
        <w:overflowPunct/>
        <w:topLinePunct w:val="0"/>
        <w:autoSpaceDE/>
        <w:autoSpaceDN/>
        <w:bidi w:val="0"/>
        <w:spacing w:beforeLines="0" w:afterLines="0"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广元市老年大学为广元市民政局下属二级预算单位，内设三个科室，分别是办公室、教务科、宣教科，编制9人。</w:t>
      </w:r>
    </w:p>
    <w:p>
      <w:pPr>
        <w:keepNext w:val="0"/>
        <w:keepLines w:val="0"/>
        <w:pageBreakBefore w:val="0"/>
        <w:widowControl w:val="0"/>
        <w:kinsoku/>
        <w:wordWrap/>
        <w:overflowPunct/>
        <w:topLinePunct w:val="0"/>
        <w:autoSpaceDE/>
        <w:autoSpaceDN/>
        <w:bidi w:val="0"/>
        <w:spacing w:beforeLines="0" w:afterLines="0" w:line="560" w:lineRule="exact"/>
        <w:ind w:firstLine="640" w:firstLineChars="200"/>
        <w:textAlignment w:val="auto"/>
        <w:rPr>
          <w:rFonts w:hint="eastAsia" w:ascii="仿宋" w:hAnsi="仿宋" w:eastAsia="仿宋" w:cs="仿宋"/>
          <w:sz w:val="32"/>
          <w:szCs w:val="32"/>
          <w:highlight w:val="none"/>
          <w:lang w:val="en-US" w:eastAsia="zh-CN"/>
        </w:rPr>
      </w:pPr>
    </w:p>
    <w:p>
      <w:pPr>
        <w:pStyle w:val="7"/>
        <w:keepNext w:val="0"/>
        <w:keepLines w:val="0"/>
        <w:pageBreakBefore w:val="0"/>
        <w:widowControl w:val="0"/>
        <w:numPr>
          <w:ilvl w:val="0"/>
          <w:numId w:val="0"/>
        </w:numPr>
        <w:kinsoku/>
        <w:wordWrap/>
        <w:overflowPunct/>
        <w:topLinePunct w:val="0"/>
        <w:autoSpaceDE/>
        <w:autoSpaceDN/>
        <w:bidi w:val="0"/>
        <w:adjustRightInd w:val="0"/>
        <w:snapToGrid w:val="0"/>
        <w:spacing w:before="0" w:line="560" w:lineRule="exact"/>
        <w:jc w:val="center"/>
        <w:textAlignment w:val="auto"/>
        <w:outlineLvl w:val="0"/>
        <w:rPr>
          <w:rFonts w:hint="eastAsia"/>
          <w:highlight w:val="none"/>
        </w:rPr>
      </w:pPr>
      <w:bookmarkStart w:id="3" w:name="_Toc21308"/>
      <w:r>
        <w:rPr>
          <w:rFonts w:hint="eastAsia" w:ascii="黑体" w:hAnsi="黑体" w:eastAsia="黑体" w:cs="黑体"/>
          <w:color w:val="auto"/>
          <w:sz w:val="44"/>
          <w:szCs w:val="44"/>
          <w:highlight w:val="none"/>
          <w:lang w:val="en-US" w:eastAsia="zh-CN"/>
        </w:rPr>
        <w:t>第二部分 2023年度</w:t>
      </w:r>
      <w:r>
        <w:rPr>
          <w:rFonts w:hint="eastAsia" w:ascii="黑体" w:hAnsi="黑体" w:eastAsia="黑体" w:cs="黑体"/>
          <w:color w:val="auto"/>
          <w:sz w:val="44"/>
          <w:szCs w:val="44"/>
          <w:highlight w:val="none"/>
          <w:lang w:eastAsia="zh-CN"/>
        </w:rPr>
        <w:t>单位</w:t>
      </w:r>
      <w:r>
        <w:rPr>
          <w:rFonts w:hint="eastAsia" w:ascii="黑体" w:hAnsi="黑体" w:eastAsia="黑体" w:cs="黑体"/>
          <w:color w:val="auto"/>
          <w:sz w:val="44"/>
          <w:szCs w:val="44"/>
          <w:highlight w:val="none"/>
        </w:rPr>
        <w:t>决算情况说明</w:t>
      </w:r>
      <w:bookmarkEnd w:id="3"/>
    </w:p>
    <w:p>
      <w:pPr>
        <w:pStyle w:val="8"/>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left"/>
        <w:textAlignment w:val="auto"/>
        <w:outlineLvl w:val="1"/>
        <w:rPr>
          <w:rFonts w:hint="default" w:ascii="仿宋_GB2312" w:hAnsi="仿宋_GB2312" w:eastAsia="仿宋_GB2312"/>
          <w:color w:val="000000"/>
          <w:kern w:val="2"/>
          <w:sz w:val="32"/>
          <w:szCs w:val="24"/>
          <w:highlight w:val="none"/>
          <w:lang w:val="zh-CN"/>
        </w:rPr>
      </w:pPr>
      <w:bookmarkStart w:id="4" w:name="_Toc10855"/>
      <w:r>
        <w:rPr>
          <w:rFonts w:hint="eastAsia" w:ascii="黑体" w:hAnsi="黑体" w:eastAsia="黑体" w:cs="黑体"/>
          <w:color w:val="auto"/>
          <w:sz w:val="32"/>
          <w:szCs w:val="32"/>
          <w:highlight w:val="none"/>
          <w:lang w:val="en-US" w:eastAsia="zh-CN"/>
        </w:rPr>
        <w:t>一、</w:t>
      </w:r>
      <w:r>
        <w:rPr>
          <w:rFonts w:hint="eastAsia" w:ascii="黑体" w:hAnsi="黑体" w:eastAsia="黑体" w:cs="黑体"/>
          <w:color w:val="auto"/>
          <w:sz w:val="32"/>
          <w:szCs w:val="32"/>
          <w:highlight w:val="none"/>
        </w:rPr>
        <w:t>收入支出决算总体情况说明</w:t>
      </w:r>
      <w:bookmarkEnd w:id="4"/>
    </w:p>
    <w:p>
      <w:pPr>
        <w:keepNext/>
        <w:keepLines/>
        <w:spacing w:beforeLines="0" w:afterLines="0" w:line="640" w:lineRule="exact"/>
        <w:ind w:firstLine="640"/>
        <w:jc w:val="both"/>
        <w:rPr>
          <w:rFonts w:hint="default" w:ascii="仿宋_GB2312" w:hAnsi="仿宋_GB2312" w:eastAsia="仿宋_GB2312"/>
          <w:color w:val="000000"/>
          <w:kern w:val="2"/>
          <w:sz w:val="32"/>
          <w:szCs w:val="24"/>
          <w:highlight w:val="none"/>
          <w:lang w:val="zh-CN"/>
        </w:rPr>
      </w:pPr>
      <w:r>
        <w:rPr>
          <w:rFonts w:hint="default" w:ascii="仿宋_GB2312" w:hAnsi="仿宋_GB2312" w:eastAsia="仿宋_GB2312"/>
          <w:color w:val="000000"/>
          <w:kern w:val="2"/>
          <w:sz w:val="32"/>
          <w:szCs w:val="24"/>
          <w:highlight w:val="none"/>
          <w:lang w:val="zh-CN"/>
        </w:rPr>
        <w:t>202</w:t>
      </w:r>
      <w:r>
        <w:rPr>
          <w:rFonts w:hint="eastAsia" w:ascii="仿宋_GB2312" w:hAnsi="仿宋_GB2312" w:eastAsia="仿宋_GB2312"/>
          <w:color w:val="000000"/>
          <w:kern w:val="2"/>
          <w:sz w:val="32"/>
          <w:szCs w:val="24"/>
          <w:highlight w:val="none"/>
          <w:lang w:val="en-US" w:eastAsia="zh-CN"/>
        </w:rPr>
        <w:t>3</w:t>
      </w:r>
      <w:r>
        <w:rPr>
          <w:rFonts w:hint="default" w:ascii="仿宋_GB2312" w:hAnsi="仿宋_GB2312" w:eastAsia="仿宋_GB2312"/>
          <w:color w:val="000000"/>
          <w:kern w:val="2"/>
          <w:sz w:val="32"/>
          <w:szCs w:val="24"/>
          <w:highlight w:val="none"/>
          <w:lang w:val="zh-CN"/>
        </w:rPr>
        <w:t>年度收、支总计</w:t>
      </w:r>
      <w:r>
        <w:rPr>
          <w:rFonts w:hint="eastAsia" w:ascii="仿宋_GB2312" w:hAnsi="仿宋_GB2312" w:eastAsia="仿宋_GB2312"/>
          <w:color w:val="000000"/>
          <w:kern w:val="2"/>
          <w:sz w:val="32"/>
          <w:szCs w:val="24"/>
          <w:highlight w:val="none"/>
          <w:lang w:val="en-US" w:eastAsia="zh-CN"/>
        </w:rPr>
        <w:t>237.84</w:t>
      </w:r>
      <w:r>
        <w:rPr>
          <w:rFonts w:hint="default" w:ascii="仿宋_GB2312" w:hAnsi="仿宋_GB2312" w:eastAsia="仿宋_GB2312"/>
          <w:color w:val="000000"/>
          <w:kern w:val="2"/>
          <w:sz w:val="32"/>
          <w:szCs w:val="24"/>
          <w:highlight w:val="none"/>
          <w:lang w:val="zh-CN"/>
        </w:rPr>
        <w:t>万元。与202</w:t>
      </w:r>
      <w:r>
        <w:rPr>
          <w:rFonts w:hint="eastAsia" w:ascii="仿宋_GB2312" w:hAnsi="仿宋_GB2312" w:eastAsia="仿宋_GB2312"/>
          <w:color w:val="000000"/>
          <w:kern w:val="2"/>
          <w:sz w:val="32"/>
          <w:szCs w:val="24"/>
          <w:highlight w:val="none"/>
          <w:lang w:val="en-US" w:eastAsia="zh-CN"/>
        </w:rPr>
        <w:t>2</w:t>
      </w:r>
      <w:r>
        <w:rPr>
          <w:rFonts w:hint="default" w:ascii="仿宋_GB2312" w:hAnsi="仿宋_GB2312" w:eastAsia="仿宋_GB2312"/>
          <w:color w:val="000000"/>
          <w:kern w:val="2"/>
          <w:sz w:val="32"/>
          <w:szCs w:val="24"/>
          <w:highlight w:val="none"/>
          <w:lang w:val="zh-CN"/>
        </w:rPr>
        <w:t>年相比，收、支总计各</w:t>
      </w:r>
      <w:r>
        <w:rPr>
          <w:rFonts w:hint="eastAsia" w:ascii="仿宋_GB2312" w:hAnsi="仿宋_GB2312" w:eastAsia="仿宋_GB2312"/>
          <w:color w:val="000000"/>
          <w:kern w:val="2"/>
          <w:sz w:val="32"/>
          <w:szCs w:val="24"/>
          <w:highlight w:val="none"/>
          <w:lang w:val="en-US" w:eastAsia="zh-CN"/>
        </w:rPr>
        <w:t>减少12.89</w:t>
      </w:r>
      <w:r>
        <w:rPr>
          <w:rFonts w:hint="default" w:ascii="仿宋_GB2312" w:hAnsi="仿宋_GB2312" w:eastAsia="仿宋_GB2312"/>
          <w:color w:val="000000"/>
          <w:kern w:val="2"/>
          <w:sz w:val="32"/>
          <w:szCs w:val="24"/>
          <w:highlight w:val="none"/>
          <w:lang w:val="zh-CN"/>
        </w:rPr>
        <w:t>万元，</w:t>
      </w:r>
      <w:r>
        <w:rPr>
          <w:rFonts w:hint="eastAsia" w:ascii="仿宋_GB2312" w:hAnsi="仿宋_GB2312" w:eastAsia="仿宋_GB2312" w:cs="仿宋_GB2312"/>
          <w:color w:val="auto"/>
          <w:sz w:val="32"/>
          <w:szCs w:val="32"/>
          <w:highlight w:val="none"/>
          <w:lang w:val="en-US" w:eastAsia="zh-CN"/>
        </w:rPr>
        <w:t>下降</w:t>
      </w:r>
      <w:r>
        <w:rPr>
          <w:rFonts w:hint="eastAsia" w:ascii="仿宋_GB2312" w:hAnsi="仿宋_GB2312" w:eastAsia="仿宋_GB2312"/>
          <w:color w:val="000000"/>
          <w:kern w:val="2"/>
          <w:sz w:val="32"/>
          <w:szCs w:val="24"/>
          <w:highlight w:val="none"/>
          <w:lang w:val="en-US" w:eastAsia="zh-CN"/>
        </w:rPr>
        <w:t>5.1</w:t>
      </w:r>
      <w:r>
        <w:rPr>
          <w:rFonts w:hint="default" w:ascii="仿宋_GB2312" w:hAnsi="仿宋_GB2312" w:eastAsia="仿宋_GB2312"/>
          <w:color w:val="000000"/>
          <w:kern w:val="2"/>
          <w:sz w:val="32"/>
          <w:szCs w:val="24"/>
          <w:highlight w:val="none"/>
          <w:lang w:val="zh-CN"/>
        </w:rPr>
        <w:t>%。主要变动原因是</w:t>
      </w:r>
      <w:r>
        <w:rPr>
          <w:rFonts w:hint="eastAsia" w:ascii="仿宋" w:hAnsi="仿宋" w:eastAsia="仿宋" w:cs="仿宋"/>
          <w:sz w:val="32"/>
          <w:szCs w:val="32"/>
          <w:highlight w:val="none"/>
          <w:lang w:val="en-US" w:eastAsia="zh-CN"/>
        </w:rPr>
        <w:t>人员变动、项目资金压减</w:t>
      </w:r>
      <w:r>
        <w:rPr>
          <w:rFonts w:hint="default" w:ascii="仿宋_GB2312" w:hAnsi="仿宋_GB2312" w:eastAsia="仿宋_GB2312"/>
          <w:color w:val="000000"/>
          <w:kern w:val="2"/>
          <w:sz w:val="32"/>
          <w:szCs w:val="24"/>
          <w:highlight w:val="none"/>
          <w:lang w:val="zh-CN"/>
        </w:rPr>
        <w:t>。</w:t>
      </w:r>
    </w:p>
    <w:p>
      <w:pPr>
        <w:jc w:val="center"/>
        <w:rPr>
          <w:rFonts w:hint="default"/>
          <w:highlight w:val="none"/>
          <w:lang w:val="zh-CN"/>
        </w:rPr>
      </w:pPr>
      <w:r>
        <w:rPr>
          <w:rFonts w:hint="eastAsia" w:ascii="仿宋_GB2312" w:eastAsia="仿宋_GB2312"/>
          <w:color w:val="auto"/>
          <w:sz w:val="32"/>
          <w:szCs w:val="32"/>
          <w:highlight w:val="none"/>
          <w:lang w:eastAsia="zh-CN"/>
        </w:rPr>
        <w:drawing>
          <wp:inline distT="0" distB="0" distL="114300" distR="114300">
            <wp:extent cx="3641090" cy="2081530"/>
            <wp:effectExtent l="4445" t="4445" r="12065" b="1714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600" w:lineRule="exact"/>
        <w:ind w:firstLine="1280" w:firstLineChars="400"/>
        <w:jc w:val="both"/>
        <w:rPr>
          <w:rFonts w:hint="eastAsia"/>
          <w:highlight w:val="none"/>
        </w:rPr>
      </w:pPr>
      <w:r>
        <w:rPr>
          <w:rFonts w:hint="eastAsia" w:ascii="仿宋_GB2312" w:hAnsi="仿宋_GB2312" w:eastAsia="仿宋_GB2312" w:cs="仿宋_GB2312"/>
          <w:color w:val="auto"/>
          <w:sz w:val="32"/>
          <w:szCs w:val="32"/>
          <w:highlight w:val="none"/>
        </w:rPr>
        <w:t>（图1：收、支决算总计变动情况图）</w:t>
      </w:r>
    </w:p>
    <w:p>
      <w:pPr>
        <w:pStyle w:val="8"/>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left"/>
        <w:textAlignment w:val="auto"/>
        <w:outlineLvl w:val="1"/>
        <w:rPr>
          <w:rFonts w:hint="eastAsia" w:ascii="黑体" w:hAnsi="黑体" w:eastAsia="黑体" w:cs="黑体"/>
          <w:color w:val="auto"/>
          <w:sz w:val="32"/>
          <w:szCs w:val="32"/>
          <w:highlight w:val="none"/>
        </w:rPr>
      </w:pPr>
      <w:bookmarkStart w:id="5" w:name="_Toc2948"/>
      <w:r>
        <w:rPr>
          <w:rFonts w:hint="eastAsia" w:ascii="黑体" w:hAnsi="黑体" w:eastAsia="黑体" w:cs="黑体"/>
          <w:color w:val="auto"/>
          <w:sz w:val="32"/>
          <w:szCs w:val="32"/>
          <w:highlight w:val="none"/>
          <w:lang w:val="en-US" w:eastAsia="zh-CN"/>
        </w:rPr>
        <w:t>二、</w:t>
      </w:r>
      <w:r>
        <w:rPr>
          <w:rFonts w:hint="eastAsia" w:ascii="黑体" w:hAnsi="黑体" w:eastAsia="黑体" w:cs="黑体"/>
          <w:color w:val="auto"/>
          <w:sz w:val="32"/>
          <w:szCs w:val="32"/>
          <w:highlight w:val="none"/>
        </w:rPr>
        <w:t>收入决算情况说明</w:t>
      </w:r>
      <w:bookmarkEnd w:id="5"/>
    </w:p>
    <w:p>
      <w:pPr>
        <w:keepNext w:val="0"/>
        <w:keepLines w:val="0"/>
        <w:pageBreakBefore w:val="0"/>
        <w:widowControl w:val="0"/>
        <w:kinsoku/>
        <w:wordWrap/>
        <w:overflowPunct/>
        <w:topLinePunct w:val="0"/>
        <w:autoSpaceDE/>
        <w:autoSpaceDN/>
        <w:bidi w:val="0"/>
        <w:spacing w:line="560" w:lineRule="exact"/>
        <w:ind w:firstLine="640" w:firstLineChars="200"/>
        <w:textAlignment w:val="auto"/>
        <w:outlineLvl w:val="1"/>
        <w:rPr>
          <w:rFonts w:hint="eastAsia" w:ascii="仿宋" w:hAnsi="仿宋" w:eastAsia="仿宋" w:cs="仿宋"/>
          <w:color w:val="auto"/>
          <w:sz w:val="32"/>
          <w:szCs w:val="32"/>
          <w:highlight w:val="none"/>
          <w:lang w:val="en-US" w:eastAsia="zh-CN"/>
        </w:rPr>
      </w:pPr>
      <w:bookmarkStart w:id="6" w:name="_Toc16006"/>
      <w:r>
        <w:rPr>
          <w:rFonts w:hint="eastAsia" w:ascii="仿宋" w:hAnsi="仿宋" w:eastAsia="仿宋" w:cs="仿宋"/>
          <w:color w:val="auto"/>
          <w:sz w:val="32"/>
          <w:szCs w:val="32"/>
          <w:highlight w:val="none"/>
          <w:lang w:eastAsia="zh-CN"/>
        </w:rPr>
        <w:t>2023</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eastAsia="zh-CN"/>
        </w:rPr>
        <w:t>度</w:t>
      </w:r>
      <w:r>
        <w:rPr>
          <w:rFonts w:hint="eastAsia" w:ascii="仿宋" w:hAnsi="仿宋" w:eastAsia="仿宋" w:cs="仿宋"/>
          <w:color w:val="auto"/>
          <w:sz w:val="32"/>
          <w:szCs w:val="32"/>
          <w:highlight w:val="none"/>
        </w:rPr>
        <w:t>本年收入合计</w:t>
      </w:r>
      <w:r>
        <w:rPr>
          <w:rFonts w:hint="eastAsia" w:ascii="仿宋" w:hAnsi="仿宋" w:eastAsia="仿宋" w:cs="仿宋"/>
          <w:color w:val="auto"/>
          <w:sz w:val="32"/>
          <w:szCs w:val="32"/>
          <w:highlight w:val="none"/>
          <w:lang w:val="en-US" w:eastAsia="zh-CN"/>
        </w:rPr>
        <w:t>237.47</w:t>
      </w:r>
      <w:r>
        <w:rPr>
          <w:rFonts w:hint="eastAsia" w:ascii="仿宋" w:hAnsi="仿宋" w:eastAsia="仿宋" w:cs="仿宋"/>
          <w:color w:val="auto"/>
          <w:sz w:val="32"/>
          <w:szCs w:val="32"/>
          <w:highlight w:val="none"/>
        </w:rPr>
        <w:t>万元，其中：一般公共预算财政拨款收入</w:t>
      </w:r>
      <w:r>
        <w:rPr>
          <w:rFonts w:hint="eastAsia" w:ascii="仿宋" w:hAnsi="仿宋" w:eastAsia="仿宋" w:cs="仿宋"/>
          <w:color w:val="auto"/>
          <w:sz w:val="32"/>
          <w:szCs w:val="32"/>
          <w:highlight w:val="none"/>
          <w:lang w:val="en-US" w:eastAsia="zh-CN"/>
        </w:rPr>
        <w:t>237.47</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w:t>
      </w:r>
      <w:bookmarkEnd w:id="6"/>
      <w:r>
        <w:rPr>
          <w:rFonts w:hint="eastAsia" w:ascii="仿宋" w:hAnsi="仿宋" w:eastAsia="仿宋" w:cs="仿宋"/>
          <w:color w:val="auto"/>
          <w:sz w:val="32"/>
          <w:szCs w:val="32"/>
          <w:highlight w:val="none"/>
          <w:lang w:eastAsia="zh-CN"/>
        </w:rPr>
        <w:t>。</w:t>
      </w:r>
    </w:p>
    <w:p>
      <w:pPr>
        <w:pStyle w:val="4"/>
        <w:rPr>
          <w:rFonts w:hint="eastAsia"/>
          <w:highlight w:val="none"/>
        </w:rPr>
      </w:pPr>
      <w:r>
        <w:rPr>
          <w:rFonts w:hint="eastAsia" w:ascii="仿宋" w:hAnsi="仿宋" w:eastAsia="仿宋"/>
          <w:color w:val="auto"/>
          <w:sz w:val="32"/>
          <w:szCs w:val="32"/>
          <w:highlight w:val="none"/>
          <w:lang w:eastAsia="zh-CN"/>
        </w:rPr>
        <w:drawing>
          <wp:anchor distT="0" distB="0" distL="114300" distR="114300" simplePos="0" relativeHeight="251659264" behindDoc="0" locked="0" layoutInCell="1" allowOverlap="1">
            <wp:simplePos x="0" y="0"/>
            <wp:positionH relativeFrom="column">
              <wp:posOffset>1033780</wp:posOffset>
            </wp:positionH>
            <wp:positionV relativeFrom="paragraph">
              <wp:posOffset>151765</wp:posOffset>
            </wp:positionV>
            <wp:extent cx="3427730" cy="2082800"/>
            <wp:effectExtent l="4445" t="4445" r="12065" b="15875"/>
            <wp:wrapSquare wrapText="bothSides"/>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numPr>
          <w:ilvl w:val="0"/>
          <w:numId w:val="0"/>
        </w:numPr>
        <w:rPr>
          <w:rFonts w:hint="eastAsia"/>
          <w:highlight w:val="none"/>
        </w:rPr>
      </w:pPr>
    </w:p>
    <w:p>
      <w:pPr>
        <w:pStyle w:val="8"/>
        <w:pageBreakBefore w:val="0"/>
        <w:kinsoku/>
        <w:wordWrap/>
        <w:overflowPunct/>
        <w:topLinePunct w:val="0"/>
        <w:bidi w:val="0"/>
        <w:adjustRightInd w:val="0"/>
        <w:snapToGrid w:val="0"/>
        <w:spacing w:line="560" w:lineRule="exact"/>
        <w:jc w:val="left"/>
        <w:textAlignment w:val="auto"/>
        <w:rPr>
          <w:rFonts w:hint="eastAsia" w:ascii="黑体" w:hAnsi="黑体" w:eastAsia="黑体" w:cs="黑体"/>
          <w:color w:val="auto"/>
          <w:sz w:val="32"/>
          <w:szCs w:val="32"/>
          <w:highlight w:val="none"/>
        </w:rPr>
      </w:pPr>
    </w:p>
    <w:p>
      <w:pPr>
        <w:pStyle w:val="8"/>
        <w:pageBreakBefore w:val="0"/>
        <w:kinsoku/>
        <w:wordWrap/>
        <w:overflowPunct/>
        <w:topLinePunct w:val="0"/>
        <w:bidi w:val="0"/>
        <w:adjustRightInd w:val="0"/>
        <w:snapToGrid w:val="0"/>
        <w:spacing w:line="560" w:lineRule="exact"/>
        <w:jc w:val="left"/>
        <w:textAlignment w:val="auto"/>
        <w:rPr>
          <w:rFonts w:hint="eastAsia" w:ascii="黑体" w:hAnsi="黑体" w:eastAsia="黑体" w:cs="黑体"/>
          <w:color w:val="auto"/>
          <w:sz w:val="32"/>
          <w:szCs w:val="32"/>
          <w:highlight w:val="none"/>
        </w:rPr>
      </w:pPr>
    </w:p>
    <w:p>
      <w:pPr>
        <w:pStyle w:val="8"/>
        <w:pageBreakBefore w:val="0"/>
        <w:kinsoku/>
        <w:wordWrap/>
        <w:overflowPunct/>
        <w:topLinePunct w:val="0"/>
        <w:bidi w:val="0"/>
        <w:adjustRightInd w:val="0"/>
        <w:snapToGrid w:val="0"/>
        <w:spacing w:line="560" w:lineRule="exact"/>
        <w:jc w:val="left"/>
        <w:textAlignment w:val="auto"/>
        <w:rPr>
          <w:rFonts w:hint="eastAsia" w:ascii="黑体" w:hAnsi="黑体" w:eastAsia="黑体" w:cs="黑体"/>
          <w:color w:val="auto"/>
          <w:sz w:val="32"/>
          <w:szCs w:val="32"/>
          <w:highlight w:val="none"/>
        </w:rPr>
      </w:pPr>
    </w:p>
    <w:p>
      <w:pPr>
        <w:pStyle w:val="8"/>
        <w:pageBreakBefore w:val="0"/>
        <w:kinsoku/>
        <w:wordWrap/>
        <w:overflowPunct/>
        <w:topLinePunct w:val="0"/>
        <w:bidi w:val="0"/>
        <w:adjustRightInd w:val="0"/>
        <w:snapToGrid w:val="0"/>
        <w:spacing w:line="560" w:lineRule="exact"/>
        <w:jc w:val="left"/>
        <w:textAlignment w:val="auto"/>
        <w:rPr>
          <w:rFonts w:hint="eastAsia" w:ascii="黑体" w:hAnsi="黑体" w:eastAsia="黑体" w:cs="黑体"/>
          <w:color w:val="auto"/>
          <w:sz w:val="32"/>
          <w:szCs w:val="32"/>
          <w:highlight w:val="none"/>
        </w:rPr>
      </w:pPr>
    </w:p>
    <w:p>
      <w:pPr>
        <w:pStyle w:val="8"/>
        <w:pageBreakBefore w:val="0"/>
        <w:kinsoku/>
        <w:wordWrap/>
        <w:overflowPunct/>
        <w:topLinePunct w:val="0"/>
        <w:bidi w:val="0"/>
        <w:adjustRightInd w:val="0"/>
        <w:snapToGrid w:val="0"/>
        <w:spacing w:line="560" w:lineRule="exact"/>
        <w:ind w:left="0" w:leftChars="0" w:firstLine="0" w:firstLineChars="0"/>
        <w:jc w:val="left"/>
        <w:textAlignment w:val="auto"/>
        <w:rPr>
          <w:rFonts w:hint="eastAsia" w:ascii="黑体" w:hAnsi="黑体" w:eastAsia="黑体" w:cs="黑体"/>
          <w:color w:val="auto"/>
          <w:sz w:val="32"/>
          <w:szCs w:val="32"/>
          <w:highlight w:val="none"/>
        </w:rPr>
      </w:pPr>
    </w:p>
    <w:p>
      <w:pPr>
        <w:pStyle w:val="8"/>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黑体" w:hAnsi="黑体" w:eastAsia="黑体" w:cs="黑体"/>
          <w:color w:val="auto"/>
          <w:sz w:val="32"/>
          <w:szCs w:val="32"/>
          <w:highlight w:val="none"/>
        </w:rPr>
      </w:pPr>
      <w:r>
        <w:rPr>
          <w:rFonts w:hint="eastAsia" w:ascii="仿宋_GB2312" w:hAnsi="仿宋_GB2312" w:eastAsia="仿宋_GB2312" w:cs="仿宋_GB2312"/>
          <w:color w:val="auto"/>
          <w:sz w:val="32"/>
          <w:szCs w:val="32"/>
          <w:highlight w:val="none"/>
        </w:rPr>
        <w:t>（图2：收入决算结构图）</w:t>
      </w:r>
    </w:p>
    <w:p>
      <w:pPr>
        <w:pStyle w:val="8"/>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Chars="200" w:firstLine="320" w:firstLineChars="100"/>
        <w:jc w:val="left"/>
        <w:textAlignment w:val="auto"/>
        <w:outlineLvl w:val="1"/>
        <w:rPr>
          <w:rFonts w:hint="eastAsia" w:ascii="黑体" w:hAnsi="黑体" w:eastAsia="黑体" w:cs="黑体"/>
          <w:color w:val="auto"/>
          <w:sz w:val="32"/>
          <w:szCs w:val="32"/>
          <w:highlight w:val="none"/>
        </w:rPr>
      </w:pPr>
      <w:bookmarkStart w:id="7" w:name="_Toc17379"/>
      <w:r>
        <w:rPr>
          <w:rFonts w:hint="eastAsia" w:ascii="黑体" w:hAnsi="黑体" w:eastAsia="黑体" w:cs="黑体"/>
          <w:color w:val="auto"/>
          <w:sz w:val="32"/>
          <w:szCs w:val="32"/>
          <w:highlight w:val="none"/>
          <w:lang w:val="en-US" w:eastAsia="zh-CN"/>
        </w:rPr>
        <w:t>三、</w:t>
      </w:r>
      <w:r>
        <w:rPr>
          <w:rFonts w:hint="eastAsia" w:ascii="黑体" w:hAnsi="黑体" w:eastAsia="黑体" w:cs="黑体"/>
          <w:color w:val="auto"/>
          <w:sz w:val="32"/>
          <w:szCs w:val="32"/>
          <w:highlight w:val="none"/>
        </w:rPr>
        <w:t>支出决算情况说明</w:t>
      </w:r>
      <w:bookmarkEnd w:id="7"/>
    </w:p>
    <w:p>
      <w:pPr>
        <w:keepNext w:val="0"/>
        <w:keepLines w:val="0"/>
        <w:pageBreakBefore w:val="0"/>
        <w:widowControl w:val="0"/>
        <w:kinsoku/>
        <w:wordWrap/>
        <w:overflowPunct/>
        <w:topLinePunct w:val="0"/>
        <w:autoSpaceDE/>
        <w:autoSpaceDN/>
        <w:bidi w:val="0"/>
        <w:spacing w:line="560" w:lineRule="exact"/>
        <w:ind w:firstLine="640" w:firstLineChars="200"/>
        <w:textAlignment w:val="auto"/>
        <w:outlineLvl w:val="1"/>
        <w:rPr>
          <w:rFonts w:hint="eastAsia" w:ascii="仿宋" w:hAnsi="仿宋" w:eastAsia="仿宋"/>
          <w:color w:val="auto"/>
          <w:sz w:val="32"/>
          <w:szCs w:val="32"/>
          <w:highlight w:val="none"/>
        </w:rPr>
      </w:pPr>
      <w:bookmarkStart w:id="8" w:name="_Toc13394"/>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本年支出合计</w:t>
      </w:r>
      <w:r>
        <w:rPr>
          <w:rFonts w:hint="eastAsia" w:ascii="仿宋_GB2312" w:hAnsi="仿宋_GB2312" w:eastAsia="仿宋_GB2312" w:cs="仿宋_GB2312"/>
          <w:color w:val="auto"/>
          <w:sz w:val="32"/>
          <w:szCs w:val="32"/>
          <w:highlight w:val="none"/>
          <w:lang w:val="en-US" w:eastAsia="zh-CN"/>
        </w:rPr>
        <w:t>237.84</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172.25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72.42</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65.59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27.58</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8"/>
    </w:p>
    <w:p>
      <w:pPr>
        <w:pStyle w:val="4"/>
        <w:rPr>
          <w:rFonts w:hint="eastAsia" w:ascii="仿宋" w:hAnsi="仿宋" w:eastAsia="仿宋"/>
          <w:color w:val="auto"/>
          <w:sz w:val="32"/>
          <w:szCs w:val="32"/>
          <w:highlight w:val="none"/>
        </w:rPr>
      </w:pPr>
      <w:r>
        <w:rPr>
          <w:rFonts w:hint="eastAsia" w:ascii="仿宋" w:hAnsi="仿宋" w:eastAsia="仿宋"/>
          <w:color w:val="auto"/>
          <w:sz w:val="32"/>
          <w:szCs w:val="32"/>
          <w:highlight w:val="none"/>
          <w:shd w:val="pct10" w:color="auto" w:fill="FFFFFF"/>
          <w:lang w:eastAsia="zh-CN"/>
        </w:rPr>
        <w:drawing>
          <wp:anchor distT="0" distB="0" distL="114300" distR="114300" simplePos="0" relativeHeight="251660288" behindDoc="0" locked="0" layoutInCell="1" allowOverlap="1">
            <wp:simplePos x="0" y="0"/>
            <wp:positionH relativeFrom="column">
              <wp:posOffset>1002665</wp:posOffset>
            </wp:positionH>
            <wp:positionV relativeFrom="paragraph">
              <wp:posOffset>201295</wp:posOffset>
            </wp:positionV>
            <wp:extent cx="3373120" cy="2202815"/>
            <wp:effectExtent l="4445" t="4445" r="5715" b="17780"/>
            <wp:wrapSquare wrapText="bothSides"/>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pStyle w:val="4"/>
        <w:rPr>
          <w:rFonts w:hint="eastAsia" w:ascii="仿宋" w:hAnsi="仿宋" w:eastAsia="仿宋"/>
          <w:color w:val="auto"/>
          <w:sz w:val="32"/>
          <w:szCs w:val="32"/>
          <w:highlight w:val="none"/>
        </w:rPr>
      </w:pPr>
    </w:p>
    <w:p>
      <w:pPr>
        <w:pStyle w:val="4"/>
        <w:rPr>
          <w:rFonts w:hint="eastAsia" w:ascii="仿宋" w:hAnsi="仿宋" w:eastAsia="仿宋"/>
          <w:color w:val="auto"/>
          <w:sz w:val="32"/>
          <w:szCs w:val="32"/>
          <w:highlight w:val="none"/>
        </w:rPr>
      </w:pPr>
    </w:p>
    <w:p>
      <w:pPr>
        <w:pStyle w:val="4"/>
        <w:rPr>
          <w:rFonts w:hint="eastAsia" w:ascii="仿宋" w:hAnsi="仿宋" w:eastAsia="仿宋"/>
          <w:color w:val="auto"/>
          <w:sz w:val="32"/>
          <w:szCs w:val="32"/>
          <w:highlight w:val="none"/>
        </w:rPr>
      </w:pPr>
    </w:p>
    <w:p>
      <w:pPr>
        <w:numPr>
          <w:ilvl w:val="0"/>
          <w:numId w:val="0"/>
        </w:numPr>
        <w:ind w:leftChars="200"/>
        <w:rPr>
          <w:rFonts w:hint="eastAsia"/>
          <w:highlight w:val="none"/>
        </w:rPr>
      </w:pPr>
    </w:p>
    <w:p>
      <w:pPr>
        <w:pStyle w:val="8"/>
        <w:pageBreakBefore w:val="0"/>
        <w:kinsoku/>
        <w:wordWrap/>
        <w:overflowPunct/>
        <w:topLinePunct w:val="0"/>
        <w:bidi w:val="0"/>
        <w:adjustRightInd w:val="0"/>
        <w:snapToGrid w:val="0"/>
        <w:spacing w:line="560" w:lineRule="exact"/>
        <w:ind w:left="0" w:leftChars="0" w:firstLine="0" w:firstLineChars="0"/>
        <w:jc w:val="left"/>
        <w:textAlignment w:val="auto"/>
        <w:rPr>
          <w:rFonts w:hint="eastAsia" w:ascii="黑体" w:hAnsi="黑体" w:eastAsia="黑体" w:cs="黑体"/>
          <w:color w:val="auto"/>
          <w:sz w:val="32"/>
          <w:szCs w:val="32"/>
          <w:highlight w:val="none"/>
        </w:rPr>
      </w:pPr>
    </w:p>
    <w:p>
      <w:pPr>
        <w:pStyle w:val="8"/>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黑体" w:hAnsi="黑体" w:eastAsia="黑体" w:cs="黑体"/>
          <w:color w:val="auto"/>
          <w:sz w:val="32"/>
          <w:szCs w:val="32"/>
          <w:highlight w:val="none"/>
        </w:rPr>
      </w:pPr>
      <w:r>
        <w:rPr>
          <w:rFonts w:hint="eastAsia" w:ascii="仿宋_GB2312" w:hAnsi="仿宋_GB2312" w:eastAsia="仿宋_GB2312" w:cs="仿宋_GB2312"/>
          <w:color w:val="auto"/>
          <w:sz w:val="32"/>
          <w:szCs w:val="32"/>
          <w:highlight w:val="none"/>
        </w:rPr>
        <w:t>（图3：支出决算结构图）</w:t>
      </w:r>
    </w:p>
    <w:p>
      <w:pPr>
        <w:pStyle w:val="8"/>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leftChars="200" w:firstLine="320" w:firstLineChars="100"/>
        <w:jc w:val="left"/>
        <w:textAlignment w:val="auto"/>
        <w:outlineLvl w:val="1"/>
        <w:rPr>
          <w:rFonts w:hint="eastAsia" w:ascii="黑体" w:hAnsi="黑体" w:eastAsia="黑体" w:cs="黑体"/>
          <w:color w:val="auto"/>
          <w:sz w:val="32"/>
          <w:szCs w:val="32"/>
          <w:highlight w:val="none"/>
        </w:rPr>
      </w:pPr>
      <w:bookmarkStart w:id="9" w:name="_Toc3681"/>
      <w:r>
        <w:rPr>
          <w:rFonts w:hint="eastAsia" w:ascii="黑体" w:hAnsi="黑体" w:eastAsia="黑体" w:cs="黑体"/>
          <w:color w:val="auto"/>
          <w:sz w:val="32"/>
          <w:szCs w:val="32"/>
          <w:highlight w:val="none"/>
        </w:rPr>
        <w:t>财政拨款收入支出决算总体情况说明</w:t>
      </w:r>
      <w:bookmarkEnd w:id="9"/>
    </w:p>
    <w:p>
      <w:pPr>
        <w:ind w:firstLine="640" w:firstLineChars="200"/>
        <w:rPr>
          <w:rFonts w:hint="eastAsia" w:ascii="仿宋" w:hAnsi="仿宋" w:eastAsia="仿宋" w:cs="仿宋"/>
          <w:sz w:val="32"/>
          <w:szCs w:val="32"/>
          <w:highlight w:val="none"/>
          <w:lang w:val="zh-CN"/>
        </w:rPr>
      </w:pPr>
      <w:r>
        <w:rPr>
          <w:rFonts w:hint="eastAsia" w:ascii="仿宋" w:hAnsi="仿宋" w:eastAsia="仿宋" w:cs="仿宋"/>
          <w:sz w:val="32"/>
          <w:szCs w:val="32"/>
          <w:highlight w:val="none"/>
          <w:lang w:eastAsia="zh-CN"/>
        </w:rPr>
        <w:t>2023</w:t>
      </w:r>
      <w:r>
        <w:rPr>
          <w:rFonts w:hint="eastAsia" w:ascii="仿宋" w:hAnsi="仿宋" w:eastAsia="仿宋" w:cs="仿宋"/>
          <w:sz w:val="32"/>
          <w:szCs w:val="32"/>
          <w:highlight w:val="none"/>
        </w:rPr>
        <w:t>年</w:t>
      </w:r>
      <w:r>
        <w:rPr>
          <w:rFonts w:hint="eastAsia" w:ascii="仿宋" w:hAnsi="仿宋" w:eastAsia="仿宋" w:cs="仿宋"/>
          <w:sz w:val="32"/>
          <w:szCs w:val="32"/>
          <w:highlight w:val="none"/>
          <w:lang w:eastAsia="zh-CN"/>
        </w:rPr>
        <w:t>度</w:t>
      </w:r>
      <w:r>
        <w:rPr>
          <w:rFonts w:hint="eastAsia" w:ascii="仿宋" w:hAnsi="仿宋" w:eastAsia="仿宋" w:cs="仿宋"/>
          <w:sz w:val="32"/>
          <w:szCs w:val="32"/>
          <w:highlight w:val="none"/>
        </w:rPr>
        <w:t>财政拨款收、支总计</w:t>
      </w:r>
      <w:r>
        <w:rPr>
          <w:rFonts w:hint="eastAsia" w:ascii="仿宋" w:hAnsi="仿宋" w:eastAsia="仿宋" w:cs="仿宋"/>
          <w:sz w:val="32"/>
          <w:szCs w:val="32"/>
          <w:highlight w:val="none"/>
          <w:lang w:eastAsia="zh-CN"/>
        </w:rPr>
        <w:t>均为</w:t>
      </w:r>
      <w:r>
        <w:rPr>
          <w:rFonts w:hint="eastAsia" w:ascii="仿宋" w:hAnsi="仿宋" w:eastAsia="仿宋" w:cs="仿宋"/>
          <w:sz w:val="32"/>
          <w:szCs w:val="32"/>
          <w:highlight w:val="none"/>
          <w:lang w:val="en-US" w:eastAsia="zh-CN"/>
        </w:rPr>
        <w:t>237.84</w:t>
      </w:r>
      <w:r>
        <w:rPr>
          <w:rFonts w:hint="eastAsia" w:ascii="仿宋" w:hAnsi="仿宋" w:eastAsia="仿宋" w:cs="仿宋"/>
          <w:sz w:val="32"/>
          <w:szCs w:val="32"/>
          <w:highlight w:val="none"/>
        </w:rPr>
        <w:t>万元。与</w:t>
      </w:r>
      <w:r>
        <w:rPr>
          <w:rFonts w:hint="eastAsia" w:ascii="仿宋" w:hAnsi="仿宋" w:eastAsia="仿宋" w:cs="仿宋"/>
          <w:sz w:val="32"/>
          <w:szCs w:val="32"/>
          <w:highlight w:val="none"/>
          <w:lang w:eastAsia="zh-CN"/>
        </w:rPr>
        <w:t>202</w:t>
      </w:r>
      <w:r>
        <w:rPr>
          <w:rFonts w:hint="eastAsia" w:ascii="仿宋" w:hAnsi="仿宋" w:eastAsia="仿宋" w:cs="仿宋"/>
          <w:sz w:val="32"/>
          <w:szCs w:val="32"/>
          <w:highlight w:val="none"/>
          <w:lang w:val="en-US" w:eastAsia="zh-CN"/>
        </w:rPr>
        <w:t>2</w:t>
      </w:r>
      <w:r>
        <w:rPr>
          <w:rFonts w:hint="eastAsia" w:ascii="仿宋" w:hAnsi="仿宋" w:eastAsia="仿宋" w:cs="仿宋"/>
          <w:sz w:val="32"/>
          <w:szCs w:val="32"/>
          <w:highlight w:val="none"/>
        </w:rPr>
        <w:t>年</w:t>
      </w:r>
      <w:r>
        <w:rPr>
          <w:rFonts w:hint="eastAsia" w:ascii="仿宋" w:hAnsi="仿宋" w:eastAsia="仿宋" w:cs="仿宋"/>
          <w:sz w:val="32"/>
          <w:szCs w:val="32"/>
          <w:highlight w:val="none"/>
          <w:lang w:eastAsia="zh-CN"/>
        </w:rPr>
        <w:t>度</w:t>
      </w:r>
      <w:r>
        <w:rPr>
          <w:rFonts w:hint="eastAsia" w:ascii="仿宋" w:hAnsi="仿宋" w:eastAsia="仿宋" w:cs="仿宋"/>
          <w:sz w:val="32"/>
          <w:szCs w:val="32"/>
          <w:highlight w:val="none"/>
        </w:rPr>
        <w:t>相比，财政拨款收、支总计各减少</w:t>
      </w:r>
      <w:r>
        <w:rPr>
          <w:rFonts w:hint="eastAsia" w:ascii="仿宋" w:hAnsi="仿宋" w:eastAsia="仿宋" w:cs="仿宋"/>
          <w:sz w:val="32"/>
          <w:szCs w:val="32"/>
          <w:highlight w:val="none"/>
          <w:lang w:val="en-US" w:eastAsia="zh-CN"/>
        </w:rPr>
        <w:t>0.14</w:t>
      </w:r>
      <w:r>
        <w:rPr>
          <w:rFonts w:hint="eastAsia" w:ascii="仿宋" w:hAnsi="仿宋" w:eastAsia="仿宋" w:cs="仿宋"/>
          <w:sz w:val="32"/>
          <w:szCs w:val="32"/>
          <w:highlight w:val="none"/>
        </w:rPr>
        <w:t>万元，下降</w:t>
      </w:r>
      <w:r>
        <w:rPr>
          <w:rFonts w:hint="eastAsia" w:ascii="仿宋" w:hAnsi="仿宋" w:eastAsia="仿宋" w:cs="仿宋"/>
          <w:sz w:val="32"/>
          <w:szCs w:val="32"/>
          <w:highlight w:val="none"/>
          <w:lang w:val="en-US" w:eastAsia="zh-CN"/>
        </w:rPr>
        <w:t>0.5</w:t>
      </w:r>
      <w:r>
        <w:rPr>
          <w:rFonts w:hint="eastAsia" w:ascii="仿宋" w:hAnsi="仿宋" w:eastAsia="仿宋" w:cs="仿宋"/>
          <w:sz w:val="32"/>
          <w:szCs w:val="32"/>
          <w:highlight w:val="none"/>
        </w:rPr>
        <w:t>%。主要变动原因是</w:t>
      </w:r>
      <w:r>
        <w:rPr>
          <w:rFonts w:hint="eastAsia" w:ascii="仿宋" w:hAnsi="仿宋" w:eastAsia="仿宋" w:cs="仿宋"/>
          <w:sz w:val="32"/>
          <w:szCs w:val="32"/>
          <w:highlight w:val="none"/>
          <w:lang w:val="en-US" w:eastAsia="zh-CN"/>
        </w:rPr>
        <w:t>人员变动</w:t>
      </w:r>
      <w:r>
        <w:rPr>
          <w:rFonts w:hint="eastAsia" w:ascii="仿宋" w:hAnsi="仿宋" w:eastAsia="仿宋" w:cs="仿宋"/>
          <w:sz w:val="32"/>
          <w:szCs w:val="32"/>
          <w:highlight w:val="none"/>
          <w:lang w:val="zh-CN"/>
        </w:rPr>
        <w:t>。</w:t>
      </w:r>
    </w:p>
    <w:p>
      <w:pPr>
        <w:keepNext/>
        <w:keepLines/>
        <w:pageBreakBefore w:val="0"/>
        <w:widowControl w:val="0"/>
        <w:kinsoku/>
        <w:wordWrap/>
        <w:overflowPunct/>
        <w:topLinePunct w:val="0"/>
        <w:autoSpaceDE/>
        <w:autoSpaceDN/>
        <w:bidi w:val="0"/>
        <w:spacing w:beforeLines="0" w:afterLines="0" w:line="560" w:lineRule="exact"/>
        <w:ind w:firstLine="960" w:firstLineChars="300"/>
        <w:jc w:val="both"/>
        <w:textAlignment w:val="auto"/>
        <w:rPr>
          <w:rFonts w:hint="eastAsia" w:ascii="黑体" w:hAnsi="黑体" w:eastAsia="黑体" w:cs="黑体"/>
          <w:color w:val="auto"/>
          <w:sz w:val="32"/>
          <w:szCs w:val="32"/>
          <w:highlight w:val="none"/>
          <w:lang w:val="en-US" w:eastAsia="zh-CN"/>
        </w:rPr>
      </w:pPr>
      <w:r>
        <w:rPr>
          <w:rFonts w:hint="eastAsia" w:ascii="仿宋_GB2312" w:eastAsia="仿宋_GB2312"/>
          <w:color w:val="auto"/>
          <w:sz w:val="32"/>
          <w:szCs w:val="32"/>
          <w:highlight w:val="none"/>
          <w:lang w:eastAsia="zh-CN"/>
        </w:rPr>
        <w:drawing>
          <wp:anchor distT="0" distB="0" distL="114300" distR="114300" simplePos="0" relativeHeight="251661312" behindDoc="0" locked="0" layoutInCell="1" allowOverlap="1">
            <wp:simplePos x="0" y="0"/>
            <wp:positionH relativeFrom="column">
              <wp:posOffset>1033145</wp:posOffset>
            </wp:positionH>
            <wp:positionV relativeFrom="paragraph">
              <wp:posOffset>212725</wp:posOffset>
            </wp:positionV>
            <wp:extent cx="3481070" cy="2094865"/>
            <wp:effectExtent l="4445" t="4445" r="19685" b="1905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仿宋_GB2312" w:hAnsi="仿宋_GB2312" w:eastAsia="仿宋_GB2312" w:cs="仿宋_GB2312"/>
          <w:color w:val="auto"/>
          <w:sz w:val="32"/>
          <w:szCs w:val="32"/>
          <w:highlight w:val="none"/>
        </w:rPr>
        <w:t>（图4：财政拨款收、支决算总计变动情况）</w:t>
      </w:r>
    </w:p>
    <w:p>
      <w:pPr>
        <w:pStyle w:val="8"/>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left"/>
        <w:textAlignment w:val="auto"/>
        <w:outlineLvl w:val="1"/>
        <w:rPr>
          <w:rFonts w:hint="eastAsia" w:ascii="黑体" w:hAnsi="黑体" w:eastAsia="黑体" w:cs="黑体"/>
          <w:color w:val="auto"/>
          <w:sz w:val="32"/>
          <w:szCs w:val="32"/>
          <w:highlight w:val="none"/>
        </w:rPr>
      </w:pPr>
      <w:bookmarkStart w:id="10" w:name="_Toc14159"/>
      <w:r>
        <w:rPr>
          <w:rFonts w:hint="eastAsia" w:ascii="黑体" w:hAnsi="黑体" w:eastAsia="黑体" w:cs="黑体"/>
          <w:color w:val="auto"/>
          <w:sz w:val="32"/>
          <w:szCs w:val="32"/>
          <w:highlight w:val="none"/>
          <w:lang w:val="en-US" w:eastAsia="zh-CN"/>
        </w:rPr>
        <w:t>五、</w:t>
      </w:r>
      <w:r>
        <w:rPr>
          <w:rFonts w:hint="eastAsia" w:ascii="黑体" w:hAnsi="黑体" w:eastAsia="黑体" w:cs="黑体"/>
          <w:color w:val="auto"/>
          <w:sz w:val="32"/>
          <w:szCs w:val="32"/>
          <w:highlight w:val="none"/>
        </w:rPr>
        <w:t>一般公共预算财政拨款支出决算情况说明</w:t>
      </w:r>
      <w:bookmarkEnd w:id="10"/>
    </w:p>
    <w:p>
      <w:pPr>
        <w:pageBreakBefore w:val="0"/>
        <w:widowControl w:val="0"/>
        <w:kinsoku/>
        <w:wordWrap/>
        <w:overflowPunct/>
        <w:topLinePunct w:val="0"/>
        <w:autoSpaceDE/>
        <w:autoSpaceDN/>
        <w:bidi w:val="0"/>
        <w:spacing w:line="560" w:lineRule="exact"/>
        <w:ind w:firstLine="642" w:firstLineChars="200"/>
        <w:textAlignment w:val="auto"/>
        <w:outlineLvl w:val="2"/>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（一）一般公共预算财政拨款支出决算总体情况</w:t>
      </w:r>
    </w:p>
    <w:p>
      <w:pPr>
        <w:pStyle w:val="8"/>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 w:hAnsi="仿宋" w:eastAsia="仿宋" w:cs="仿宋"/>
          <w:color w:val="000000"/>
          <w:kern w:val="2"/>
          <w:sz w:val="32"/>
          <w:szCs w:val="24"/>
          <w:highlight w:val="none"/>
          <w:lang w:val="zh-CN"/>
        </w:rPr>
      </w:pPr>
      <w:r>
        <w:rPr>
          <w:rFonts w:hint="eastAsia" w:ascii="仿宋" w:hAnsi="仿宋" w:eastAsia="仿宋" w:cs="仿宋"/>
          <w:color w:val="auto"/>
          <w:sz w:val="32"/>
          <w:szCs w:val="32"/>
          <w:highlight w:val="none"/>
          <w:lang w:eastAsia="zh-CN"/>
        </w:rPr>
        <w:t>2023</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eastAsia="zh-CN"/>
        </w:rPr>
        <w:t>度</w:t>
      </w:r>
      <w:r>
        <w:rPr>
          <w:rFonts w:hint="eastAsia" w:ascii="仿宋" w:hAnsi="仿宋" w:eastAsia="仿宋" w:cs="仿宋"/>
          <w:color w:val="auto"/>
          <w:sz w:val="32"/>
          <w:szCs w:val="32"/>
          <w:highlight w:val="none"/>
        </w:rPr>
        <w:t>一般公共预算财政拨款支出</w:t>
      </w:r>
      <w:r>
        <w:rPr>
          <w:rFonts w:hint="eastAsia" w:ascii="仿宋" w:hAnsi="仿宋" w:eastAsia="仿宋" w:cs="仿宋"/>
          <w:color w:val="auto"/>
          <w:sz w:val="32"/>
          <w:szCs w:val="32"/>
          <w:highlight w:val="none"/>
          <w:lang w:val="en-US" w:eastAsia="zh-CN"/>
        </w:rPr>
        <w:t>237.84</w:t>
      </w:r>
      <w:r>
        <w:rPr>
          <w:rFonts w:hint="eastAsia" w:ascii="仿宋" w:hAnsi="仿宋" w:eastAsia="仿宋" w:cs="仿宋"/>
          <w:color w:val="auto"/>
          <w:sz w:val="32"/>
          <w:szCs w:val="32"/>
          <w:highlight w:val="none"/>
        </w:rPr>
        <w:t>万元，占本年支出合计的</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%。与</w:t>
      </w:r>
      <w:r>
        <w:rPr>
          <w:rFonts w:hint="eastAsia" w:ascii="仿宋" w:hAnsi="仿宋" w:eastAsia="仿宋" w:cs="仿宋"/>
          <w:color w:val="auto"/>
          <w:sz w:val="32"/>
          <w:szCs w:val="32"/>
          <w:highlight w:val="none"/>
          <w:lang w:eastAsia="zh-CN"/>
        </w:rPr>
        <w:t>2022</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eastAsia="zh-CN"/>
        </w:rPr>
        <w:t>度</w:t>
      </w:r>
      <w:r>
        <w:rPr>
          <w:rFonts w:hint="eastAsia" w:ascii="仿宋" w:hAnsi="仿宋" w:eastAsia="仿宋" w:cs="仿宋"/>
          <w:color w:val="auto"/>
          <w:sz w:val="32"/>
          <w:szCs w:val="32"/>
          <w:highlight w:val="none"/>
        </w:rPr>
        <w:t>相比，一般公共预算财政拨款</w:t>
      </w:r>
      <w:r>
        <w:rPr>
          <w:rFonts w:hint="eastAsia" w:ascii="仿宋" w:hAnsi="仿宋" w:eastAsia="仿宋" w:cs="仿宋"/>
          <w:color w:val="auto"/>
          <w:sz w:val="32"/>
          <w:szCs w:val="32"/>
          <w:highlight w:val="none"/>
          <w:lang w:eastAsia="zh-CN"/>
        </w:rPr>
        <w:t>支出</w:t>
      </w:r>
      <w:r>
        <w:rPr>
          <w:rFonts w:hint="eastAsia" w:ascii="仿宋" w:hAnsi="仿宋" w:eastAsia="仿宋" w:cs="仿宋"/>
          <w:color w:val="auto"/>
          <w:sz w:val="32"/>
          <w:szCs w:val="32"/>
          <w:highlight w:val="none"/>
        </w:rPr>
        <w:t>增加</w:t>
      </w:r>
      <w:r>
        <w:rPr>
          <w:rFonts w:hint="eastAsia" w:ascii="仿宋" w:hAnsi="仿宋" w:eastAsia="仿宋" w:cs="仿宋"/>
          <w:color w:val="auto"/>
          <w:sz w:val="32"/>
          <w:szCs w:val="32"/>
          <w:highlight w:val="none"/>
          <w:lang w:val="en-US" w:eastAsia="zh-CN"/>
        </w:rPr>
        <w:t>19.86</w:t>
      </w:r>
      <w:r>
        <w:rPr>
          <w:rFonts w:hint="eastAsia" w:ascii="仿宋" w:hAnsi="仿宋" w:eastAsia="仿宋" w:cs="仿宋"/>
          <w:color w:val="auto"/>
          <w:sz w:val="32"/>
          <w:szCs w:val="32"/>
          <w:highlight w:val="none"/>
        </w:rPr>
        <w:t>万元，增长</w:t>
      </w:r>
      <w:r>
        <w:rPr>
          <w:rFonts w:hint="eastAsia" w:ascii="仿宋" w:hAnsi="仿宋" w:eastAsia="仿宋" w:cs="仿宋"/>
          <w:color w:val="auto"/>
          <w:sz w:val="32"/>
          <w:szCs w:val="32"/>
          <w:highlight w:val="none"/>
          <w:lang w:val="en-US" w:eastAsia="zh-CN"/>
        </w:rPr>
        <w:t>9.1</w:t>
      </w:r>
      <w:r>
        <w:rPr>
          <w:rFonts w:hint="eastAsia" w:ascii="仿宋" w:hAnsi="仿宋" w:eastAsia="仿宋" w:cs="仿宋"/>
          <w:color w:val="auto"/>
          <w:sz w:val="32"/>
          <w:szCs w:val="32"/>
          <w:highlight w:val="none"/>
        </w:rPr>
        <w:t>%。</w:t>
      </w:r>
      <w:r>
        <w:rPr>
          <w:rFonts w:hint="eastAsia" w:ascii="仿宋" w:hAnsi="仿宋" w:eastAsia="仿宋" w:cs="仿宋"/>
          <w:color w:val="000000"/>
          <w:kern w:val="2"/>
          <w:sz w:val="32"/>
          <w:szCs w:val="24"/>
          <w:highlight w:val="none"/>
          <w:lang w:val="zh-CN"/>
        </w:rPr>
        <w:t>主要变动原因是</w:t>
      </w:r>
      <w:r>
        <w:rPr>
          <w:rFonts w:hint="eastAsia" w:ascii="仿宋" w:hAnsi="仿宋" w:eastAsia="仿宋" w:cs="仿宋"/>
          <w:sz w:val="32"/>
          <w:szCs w:val="32"/>
          <w:highlight w:val="none"/>
          <w:lang w:val="en-US" w:eastAsia="zh-CN"/>
        </w:rPr>
        <w:t>人员变动、生存环境及社会环境的改善和医疗水平的提高</w:t>
      </w:r>
      <w:r>
        <w:rPr>
          <w:rFonts w:hint="eastAsia" w:ascii="仿宋" w:hAnsi="仿宋" w:eastAsia="仿宋" w:cs="仿宋"/>
          <w:color w:val="000000"/>
          <w:kern w:val="2"/>
          <w:sz w:val="32"/>
          <w:szCs w:val="24"/>
          <w:highlight w:val="none"/>
          <w:lang w:val="zh-CN"/>
        </w:rPr>
        <w:t>。</w:t>
      </w:r>
    </w:p>
    <w:p>
      <w:pPr>
        <w:pageBreakBefore w:val="0"/>
        <w:widowControl w:val="0"/>
        <w:kinsoku/>
        <w:wordWrap/>
        <w:overflowPunct/>
        <w:topLinePunct w:val="0"/>
        <w:autoSpaceDE/>
        <w:autoSpaceDN/>
        <w:bidi w:val="0"/>
        <w:spacing w:line="560" w:lineRule="exact"/>
        <w:textAlignment w:val="auto"/>
        <w:rPr>
          <w:rFonts w:hint="default" w:ascii="仿宋_GB2312" w:hAnsi="仿宋_GB2312" w:eastAsia="仿宋_GB2312"/>
          <w:color w:val="000000"/>
          <w:kern w:val="2"/>
          <w:sz w:val="32"/>
          <w:szCs w:val="24"/>
          <w:highlight w:val="none"/>
          <w:lang w:val="zh-CN"/>
        </w:rPr>
      </w:pPr>
      <w:r>
        <w:rPr>
          <w:rFonts w:hint="eastAsia" w:ascii="仿宋_GB2312" w:eastAsia="仿宋_GB2312"/>
          <w:color w:val="auto"/>
          <w:sz w:val="32"/>
          <w:szCs w:val="32"/>
          <w:highlight w:val="none"/>
          <w:lang w:eastAsia="zh-CN"/>
        </w:rPr>
        <w:drawing>
          <wp:anchor distT="0" distB="0" distL="114300" distR="114300" simplePos="0" relativeHeight="251663360" behindDoc="0" locked="0" layoutInCell="1" allowOverlap="1">
            <wp:simplePos x="0" y="0"/>
            <wp:positionH relativeFrom="column">
              <wp:posOffset>766445</wp:posOffset>
            </wp:positionH>
            <wp:positionV relativeFrom="paragraph">
              <wp:posOffset>113030</wp:posOffset>
            </wp:positionV>
            <wp:extent cx="3596005" cy="2186940"/>
            <wp:effectExtent l="4445" t="4445" r="11430" b="18415"/>
            <wp:wrapTopAndBottom/>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pStyle w:val="4"/>
        <w:jc w:val="center"/>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rPr>
        <w:t>（图5：一般公共预算财政拨款支出决算变动情况）</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textAlignment w:val="auto"/>
        <w:outlineLvl w:val="2"/>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（二）一般公共预算财政拨款支出决算结构情况</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 w:hAnsi="仿宋" w:eastAsia="仿宋" w:cs="仿宋"/>
          <w:b/>
          <w:color w:val="auto"/>
          <w:sz w:val="32"/>
          <w:szCs w:val="32"/>
          <w:highlight w:val="none"/>
          <w:lang w:eastAsia="zh-CN"/>
        </w:rPr>
      </w:pPr>
      <w:r>
        <w:rPr>
          <w:rFonts w:hint="eastAsia" w:ascii="仿宋" w:hAnsi="仿宋" w:eastAsia="仿宋" w:cs="仿宋"/>
          <w:color w:val="auto"/>
          <w:sz w:val="32"/>
          <w:szCs w:val="32"/>
          <w:highlight w:val="none"/>
          <w:lang w:eastAsia="zh-CN"/>
        </w:rPr>
        <w:t>2023</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eastAsia="zh-CN"/>
        </w:rPr>
        <w:t>度</w:t>
      </w:r>
      <w:r>
        <w:rPr>
          <w:rFonts w:hint="eastAsia" w:ascii="仿宋" w:hAnsi="仿宋" w:eastAsia="仿宋" w:cs="仿宋"/>
          <w:color w:val="auto"/>
          <w:sz w:val="32"/>
          <w:szCs w:val="32"/>
          <w:highlight w:val="none"/>
        </w:rPr>
        <w:t>一般公共预算财政拨款支出</w:t>
      </w:r>
      <w:r>
        <w:rPr>
          <w:rFonts w:hint="eastAsia" w:ascii="仿宋" w:hAnsi="仿宋" w:eastAsia="仿宋" w:cs="仿宋"/>
          <w:color w:val="auto"/>
          <w:sz w:val="32"/>
          <w:szCs w:val="32"/>
          <w:highlight w:val="none"/>
          <w:lang w:val="en-US" w:eastAsia="zh-CN"/>
        </w:rPr>
        <w:t>237.84</w:t>
      </w:r>
      <w:r>
        <w:rPr>
          <w:rFonts w:hint="eastAsia" w:ascii="仿宋" w:hAnsi="仿宋" w:eastAsia="仿宋" w:cs="仿宋"/>
          <w:color w:val="auto"/>
          <w:sz w:val="32"/>
          <w:szCs w:val="32"/>
          <w:highlight w:val="none"/>
        </w:rPr>
        <w:t>万元，主要用于以下方面</w:t>
      </w:r>
      <w:r>
        <w:rPr>
          <w:rFonts w:hint="eastAsia" w:ascii="仿宋" w:hAnsi="仿宋" w:eastAsia="仿宋" w:cs="仿宋"/>
          <w:color w:val="auto"/>
          <w:sz w:val="32"/>
          <w:szCs w:val="32"/>
          <w:highlight w:val="none"/>
          <w:lang w:eastAsia="zh-CN"/>
        </w:rPr>
        <w:t>：</w:t>
      </w:r>
      <w:r>
        <w:rPr>
          <w:rFonts w:hint="eastAsia" w:ascii="仿宋" w:hAnsi="仿宋" w:eastAsia="仿宋" w:cs="仿宋"/>
          <w:b/>
          <w:color w:val="auto"/>
          <w:sz w:val="32"/>
          <w:szCs w:val="32"/>
          <w:highlight w:val="none"/>
        </w:rPr>
        <w:t>社会保障和就业</w:t>
      </w:r>
      <w:r>
        <w:rPr>
          <w:rFonts w:hint="eastAsia" w:ascii="仿宋" w:hAnsi="仿宋" w:eastAsia="仿宋" w:cs="仿宋"/>
          <w:b/>
          <w:bCs/>
          <w:color w:val="auto"/>
          <w:sz w:val="32"/>
          <w:szCs w:val="32"/>
          <w:highlight w:val="none"/>
        </w:rPr>
        <w:t>支出</w:t>
      </w:r>
      <w:r>
        <w:rPr>
          <w:rFonts w:hint="eastAsia" w:ascii="仿宋" w:hAnsi="仿宋" w:eastAsia="仿宋" w:cs="仿宋"/>
          <w:color w:val="auto"/>
          <w:sz w:val="32"/>
          <w:szCs w:val="32"/>
          <w:highlight w:val="none"/>
          <w:lang w:val="en-US" w:eastAsia="zh-CN"/>
        </w:rPr>
        <w:t>221.76</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93.23</w:t>
      </w:r>
      <w:r>
        <w:rPr>
          <w:rFonts w:hint="eastAsia" w:ascii="仿宋" w:hAnsi="仿宋" w:eastAsia="仿宋" w:cs="仿宋"/>
          <w:color w:val="auto"/>
          <w:sz w:val="32"/>
          <w:szCs w:val="32"/>
          <w:highlight w:val="none"/>
        </w:rPr>
        <w:t>%；</w:t>
      </w:r>
      <w:r>
        <w:rPr>
          <w:rFonts w:hint="eastAsia" w:ascii="仿宋" w:hAnsi="仿宋" w:eastAsia="仿宋" w:cs="仿宋"/>
          <w:b/>
          <w:bCs/>
          <w:color w:val="auto"/>
          <w:sz w:val="32"/>
          <w:szCs w:val="32"/>
          <w:highlight w:val="none"/>
        </w:rPr>
        <w:t>卫生健康支出</w:t>
      </w:r>
      <w:r>
        <w:rPr>
          <w:rFonts w:hint="eastAsia" w:ascii="仿宋" w:hAnsi="仿宋" w:eastAsia="仿宋" w:cs="仿宋"/>
          <w:color w:val="auto"/>
          <w:sz w:val="32"/>
          <w:szCs w:val="32"/>
          <w:highlight w:val="none"/>
          <w:lang w:val="en-US" w:eastAsia="zh-CN"/>
        </w:rPr>
        <w:t>5.37</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2.26</w:t>
      </w:r>
      <w:r>
        <w:rPr>
          <w:rFonts w:hint="eastAsia" w:ascii="仿宋" w:hAnsi="仿宋" w:eastAsia="仿宋" w:cs="仿宋"/>
          <w:color w:val="auto"/>
          <w:sz w:val="32"/>
          <w:szCs w:val="32"/>
          <w:highlight w:val="none"/>
        </w:rPr>
        <w:t>%；</w:t>
      </w:r>
      <w:r>
        <w:rPr>
          <w:rFonts w:hint="eastAsia" w:ascii="仿宋" w:hAnsi="仿宋" w:eastAsia="仿宋" w:cs="仿宋"/>
          <w:b/>
          <w:bCs/>
          <w:color w:val="auto"/>
          <w:sz w:val="32"/>
          <w:szCs w:val="32"/>
          <w:highlight w:val="none"/>
        </w:rPr>
        <w:t>住房保障支出</w:t>
      </w:r>
      <w:r>
        <w:rPr>
          <w:rFonts w:hint="eastAsia" w:ascii="仿宋" w:hAnsi="仿宋" w:eastAsia="仿宋" w:cs="仿宋"/>
          <w:color w:val="auto"/>
          <w:sz w:val="32"/>
          <w:szCs w:val="32"/>
          <w:highlight w:val="none"/>
          <w:lang w:val="en-US" w:eastAsia="zh-CN"/>
        </w:rPr>
        <w:t>10.72</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4.51</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p>
    <w:p>
      <w:pPr>
        <w:pStyle w:val="4"/>
        <w:rPr>
          <w:rFonts w:hint="default" w:ascii="仿宋_GB2312" w:hAnsi="仿宋_GB2312" w:eastAsia="仿宋_GB2312"/>
          <w:color w:val="000000"/>
          <w:kern w:val="2"/>
          <w:sz w:val="32"/>
          <w:szCs w:val="24"/>
          <w:highlight w:val="none"/>
          <w:lang w:val="zh-CN"/>
        </w:rPr>
      </w:pPr>
      <w:r>
        <w:rPr>
          <w:rFonts w:hint="eastAsia" w:ascii="仿宋" w:hAnsi="仿宋" w:eastAsia="仿宋"/>
          <w:color w:val="auto"/>
          <w:sz w:val="32"/>
          <w:szCs w:val="32"/>
          <w:highlight w:val="none"/>
          <w:shd w:val="pct10" w:color="auto" w:fill="FFFFFF"/>
          <w:lang w:eastAsia="zh-CN"/>
        </w:rPr>
        <w:drawing>
          <wp:anchor distT="0" distB="0" distL="114300" distR="114300" simplePos="0" relativeHeight="251662336" behindDoc="0" locked="0" layoutInCell="1" allowOverlap="1">
            <wp:simplePos x="0" y="0"/>
            <wp:positionH relativeFrom="column">
              <wp:posOffset>423545</wp:posOffset>
            </wp:positionH>
            <wp:positionV relativeFrom="paragraph">
              <wp:posOffset>271145</wp:posOffset>
            </wp:positionV>
            <wp:extent cx="4439920" cy="2499360"/>
            <wp:effectExtent l="4445" t="4445" r="5715" b="10795"/>
            <wp:wrapSquare wrapText="bothSides"/>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pStyle w:val="4"/>
        <w:rPr>
          <w:rFonts w:hint="default" w:ascii="仿宋_GB2312" w:hAnsi="仿宋_GB2312" w:eastAsia="仿宋_GB2312"/>
          <w:color w:val="000000"/>
          <w:kern w:val="2"/>
          <w:sz w:val="32"/>
          <w:szCs w:val="24"/>
          <w:highlight w:val="none"/>
          <w:lang w:val="zh-CN"/>
        </w:rPr>
      </w:pPr>
    </w:p>
    <w:p>
      <w:pPr>
        <w:spacing w:line="600" w:lineRule="exact"/>
        <w:ind w:firstLine="640" w:firstLineChars="200"/>
        <w:rPr>
          <w:rFonts w:hint="eastAsia" w:ascii="仿宋_GB2312" w:hAnsi="仿宋_GB2312" w:eastAsia="仿宋_GB2312" w:cs="仿宋_GB2312"/>
          <w:color w:val="auto"/>
          <w:sz w:val="32"/>
          <w:szCs w:val="32"/>
          <w:highlight w:val="none"/>
        </w:rPr>
      </w:pPr>
    </w:p>
    <w:p>
      <w:pPr>
        <w:spacing w:line="600" w:lineRule="exact"/>
        <w:ind w:firstLine="640" w:firstLineChars="200"/>
        <w:rPr>
          <w:rFonts w:hint="eastAsia" w:ascii="仿宋_GB2312" w:hAnsi="仿宋_GB2312" w:eastAsia="仿宋_GB2312" w:cs="仿宋_GB2312"/>
          <w:color w:val="auto"/>
          <w:sz w:val="32"/>
          <w:szCs w:val="32"/>
          <w:highlight w:val="none"/>
        </w:rPr>
      </w:pPr>
    </w:p>
    <w:p>
      <w:pPr>
        <w:pStyle w:val="4"/>
        <w:keepNext w:val="0"/>
        <w:keepLines w:val="0"/>
        <w:pageBreakBefore w:val="0"/>
        <w:widowControl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（图6：一般公共预算财政拨款支出决算结构）</w:t>
      </w:r>
    </w:p>
    <w:p>
      <w:pPr>
        <w:keepNext w:val="0"/>
        <w:keepLines w:val="0"/>
        <w:pageBreakBefore w:val="0"/>
        <w:widowControl w:val="0"/>
        <w:kinsoku/>
        <w:wordWrap/>
        <w:overflowPunct/>
        <w:topLinePunct w:val="0"/>
        <w:autoSpaceDE/>
        <w:autoSpaceDN/>
        <w:bidi w:val="0"/>
        <w:spacing w:line="560" w:lineRule="exact"/>
        <w:ind w:firstLine="642" w:firstLineChars="200"/>
        <w:textAlignment w:val="auto"/>
        <w:outlineLvl w:val="2"/>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（三）一般公共预算财政拨款支出决算具体情况</w:t>
      </w:r>
    </w:p>
    <w:p>
      <w:pPr>
        <w:keepNext w:val="0"/>
        <w:keepLines w:val="0"/>
        <w:pageBreakBefore w:val="0"/>
        <w:widowControl w:val="0"/>
        <w:kinsoku/>
        <w:wordWrap/>
        <w:overflowPunct/>
        <w:topLinePunct w:val="0"/>
        <w:autoSpaceDE/>
        <w:autoSpaceDN/>
        <w:bidi w:val="0"/>
        <w:spacing w:line="560" w:lineRule="exact"/>
        <w:ind w:firstLine="642" w:firstLineChars="200"/>
        <w:textAlignment w:val="auto"/>
        <w:outlineLvl w:val="1"/>
        <w:rPr>
          <w:rFonts w:hint="eastAsia" w:ascii="仿宋" w:hAnsi="仿宋" w:eastAsia="仿宋" w:cs="仿宋"/>
          <w:color w:val="auto"/>
          <w:sz w:val="32"/>
          <w:szCs w:val="32"/>
          <w:highlight w:val="none"/>
        </w:rPr>
      </w:pPr>
      <w:bookmarkStart w:id="11" w:name="_Toc11175"/>
      <w:r>
        <w:rPr>
          <w:rFonts w:hint="eastAsia" w:ascii="仿宋" w:hAnsi="仿宋" w:eastAsia="仿宋" w:cs="仿宋"/>
          <w:b/>
          <w:color w:val="auto"/>
          <w:sz w:val="32"/>
          <w:szCs w:val="32"/>
          <w:highlight w:val="none"/>
          <w:lang w:eastAsia="zh-CN"/>
        </w:rPr>
        <w:t>2023</w:t>
      </w:r>
      <w:r>
        <w:rPr>
          <w:rFonts w:hint="eastAsia" w:ascii="仿宋" w:hAnsi="仿宋" w:eastAsia="仿宋" w:cs="仿宋"/>
          <w:b/>
          <w:color w:val="auto"/>
          <w:sz w:val="32"/>
          <w:szCs w:val="32"/>
          <w:highlight w:val="none"/>
        </w:rPr>
        <w:t>年</w:t>
      </w:r>
      <w:r>
        <w:rPr>
          <w:rFonts w:hint="eastAsia" w:ascii="仿宋" w:hAnsi="仿宋" w:eastAsia="仿宋" w:cs="仿宋"/>
          <w:b/>
          <w:color w:val="auto"/>
          <w:sz w:val="32"/>
          <w:szCs w:val="32"/>
          <w:highlight w:val="none"/>
          <w:lang w:eastAsia="zh-CN"/>
        </w:rPr>
        <w:t>度一</w:t>
      </w:r>
      <w:r>
        <w:rPr>
          <w:rFonts w:hint="eastAsia" w:ascii="仿宋" w:hAnsi="仿宋" w:eastAsia="仿宋" w:cs="仿宋"/>
          <w:b/>
          <w:color w:val="auto"/>
          <w:sz w:val="32"/>
          <w:szCs w:val="32"/>
          <w:highlight w:val="none"/>
        </w:rPr>
        <w:t>般公共预算支出决算数为</w:t>
      </w:r>
      <w:r>
        <w:rPr>
          <w:rFonts w:hint="eastAsia" w:ascii="仿宋" w:hAnsi="仿宋" w:eastAsia="仿宋" w:cs="仿宋"/>
          <w:color w:val="auto"/>
          <w:sz w:val="32"/>
          <w:szCs w:val="32"/>
          <w:highlight w:val="none"/>
          <w:lang w:val="en-US" w:eastAsia="zh-CN"/>
        </w:rPr>
        <w:t>237.84</w:t>
      </w:r>
      <w:r>
        <w:rPr>
          <w:rFonts w:hint="eastAsia" w:ascii="仿宋" w:hAnsi="仿宋" w:eastAsia="仿宋" w:cs="仿宋"/>
          <w:b/>
          <w:color w:val="auto"/>
          <w:sz w:val="32"/>
          <w:szCs w:val="32"/>
          <w:highlight w:val="none"/>
          <w:lang w:eastAsia="zh-CN"/>
        </w:rPr>
        <w:t>万元</w:t>
      </w:r>
      <w:r>
        <w:rPr>
          <w:rFonts w:hint="eastAsia" w:ascii="仿宋" w:hAnsi="仿宋" w:eastAsia="仿宋" w:cs="仿宋"/>
          <w:color w:val="auto"/>
          <w:sz w:val="32"/>
          <w:szCs w:val="32"/>
          <w:highlight w:val="none"/>
        </w:rPr>
        <w:t>，</w:t>
      </w:r>
      <w:r>
        <w:rPr>
          <w:rStyle w:val="11"/>
          <w:rFonts w:hint="eastAsia" w:ascii="仿宋" w:hAnsi="仿宋" w:eastAsia="仿宋" w:cs="仿宋"/>
          <w:bCs/>
          <w:color w:val="auto"/>
          <w:sz w:val="32"/>
          <w:szCs w:val="32"/>
          <w:highlight w:val="none"/>
        </w:rPr>
        <w:t>完成预算</w:t>
      </w:r>
      <w:r>
        <w:rPr>
          <w:rStyle w:val="11"/>
          <w:rFonts w:hint="eastAsia" w:ascii="仿宋" w:hAnsi="仿宋" w:eastAsia="仿宋" w:cs="仿宋"/>
          <w:bCs/>
          <w:color w:val="auto"/>
          <w:sz w:val="32"/>
          <w:szCs w:val="32"/>
          <w:highlight w:val="none"/>
          <w:lang w:val="en-US" w:eastAsia="zh-CN"/>
        </w:rPr>
        <w:t>100</w:t>
      </w:r>
      <w:r>
        <w:rPr>
          <w:rStyle w:val="11"/>
          <w:rFonts w:hint="eastAsia" w:ascii="仿宋" w:hAnsi="仿宋" w:eastAsia="仿宋" w:cs="仿宋"/>
          <w:bCs/>
          <w:color w:val="auto"/>
          <w:sz w:val="32"/>
          <w:szCs w:val="32"/>
          <w:highlight w:val="none"/>
        </w:rPr>
        <w:t>%。其中：</w:t>
      </w:r>
      <w:bookmarkEnd w:id="11"/>
    </w:p>
    <w:p>
      <w:pPr>
        <w:keepNext w:val="0"/>
        <w:keepLines w:val="0"/>
        <w:pageBreakBefore w:val="0"/>
        <w:widowControl w:val="0"/>
        <w:numPr>
          <w:ilvl w:val="0"/>
          <w:numId w:val="0"/>
        </w:numPr>
        <w:kinsoku/>
        <w:wordWrap/>
        <w:overflowPunct/>
        <w:topLinePunct w:val="0"/>
        <w:autoSpaceDE/>
        <w:autoSpaceDN/>
        <w:bidi w:val="0"/>
        <w:spacing w:beforeLines="0" w:afterLines="0" w:line="560" w:lineRule="exact"/>
        <w:ind w:firstLine="642" w:firstLineChars="200"/>
        <w:textAlignment w:val="auto"/>
        <w:rPr>
          <w:rStyle w:val="11"/>
          <w:rFonts w:hint="eastAsia" w:ascii="仿宋" w:hAnsi="仿宋" w:eastAsia="仿宋" w:cs="仿宋"/>
          <w:color w:val="auto"/>
          <w:sz w:val="32"/>
          <w:szCs w:val="24"/>
          <w:highlight w:val="none"/>
        </w:rPr>
      </w:pPr>
      <w:r>
        <w:rPr>
          <w:rStyle w:val="11"/>
          <w:rFonts w:hint="eastAsia" w:ascii="仿宋" w:hAnsi="仿宋" w:eastAsia="仿宋" w:cs="仿宋"/>
          <w:color w:val="auto"/>
          <w:sz w:val="32"/>
          <w:szCs w:val="24"/>
          <w:highlight w:val="none"/>
          <w:lang w:val="en-US" w:eastAsia="zh-CN"/>
        </w:rPr>
        <w:t>1.</w:t>
      </w:r>
      <w:r>
        <w:rPr>
          <w:rStyle w:val="11"/>
          <w:rFonts w:hint="eastAsia" w:ascii="仿宋" w:hAnsi="仿宋" w:eastAsia="仿宋" w:cs="仿宋"/>
          <w:color w:val="auto"/>
          <w:sz w:val="32"/>
          <w:szCs w:val="24"/>
          <w:highlight w:val="none"/>
        </w:rPr>
        <w:t>社会保障和就业</w:t>
      </w:r>
      <w:r>
        <w:rPr>
          <w:rFonts w:hint="eastAsia" w:ascii="仿宋" w:hAnsi="仿宋" w:eastAsia="仿宋" w:cs="仿宋"/>
          <w:b/>
          <w:sz w:val="32"/>
          <w:szCs w:val="32"/>
          <w:highlight w:val="none"/>
          <w:lang w:val="en-US" w:eastAsia="zh-CN"/>
        </w:rPr>
        <w:t>支出（类）行政事业单位养老支出（款）机关事业单位基本养老保险缴费支出（项）</w:t>
      </w:r>
      <w:r>
        <w:rPr>
          <w:rFonts w:hint="eastAsia" w:ascii="仿宋" w:hAnsi="仿宋" w:eastAsia="仿宋" w:cs="仿宋"/>
          <w:sz w:val="32"/>
          <w:szCs w:val="32"/>
          <w:highlight w:val="none"/>
          <w:lang w:val="en-US" w:eastAsia="zh-CN"/>
        </w:rPr>
        <w:t>：</w:t>
      </w:r>
      <w:r>
        <w:rPr>
          <w:rStyle w:val="11"/>
          <w:rFonts w:hint="eastAsia" w:ascii="仿宋" w:hAnsi="仿宋" w:eastAsia="仿宋" w:cs="仿宋"/>
          <w:b w:val="0"/>
          <w:color w:val="auto"/>
          <w:sz w:val="32"/>
          <w:szCs w:val="24"/>
          <w:highlight w:val="none"/>
        </w:rPr>
        <w:t>支出决算为</w:t>
      </w:r>
      <w:r>
        <w:rPr>
          <w:rStyle w:val="11"/>
          <w:rFonts w:hint="eastAsia" w:ascii="仿宋" w:hAnsi="仿宋" w:eastAsia="仿宋" w:cs="仿宋"/>
          <w:b w:val="0"/>
          <w:color w:val="auto"/>
          <w:sz w:val="32"/>
          <w:szCs w:val="24"/>
          <w:highlight w:val="none"/>
          <w:lang w:val="en-US" w:eastAsia="zh-CN"/>
        </w:rPr>
        <w:t>20.19</w:t>
      </w:r>
      <w:r>
        <w:rPr>
          <w:rStyle w:val="11"/>
          <w:rFonts w:hint="eastAsia" w:ascii="仿宋" w:hAnsi="仿宋" w:eastAsia="仿宋" w:cs="仿宋"/>
          <w:b w:val="0"/>
          <w:color w:val="auto"/>
          <w:sz w:val="32"/>
          <w:szCs w:val="24"/>
          <w:highlight w:val="none"/>
        </w:rPr>
        <w:t>万元，完成预算</w:t>
      </w:r>
      <w:r>
        <w:rPr>
          <w:rStyle w:val="11"/>
          <w:rFonts w:hint="eastAsia" w:ascii="仿宋" w:hAnsi="仿宋" w:eastAsia="仿宋" w:cs="仿宋"/>
          <w:b w:val="0"/>
          <w:color w:val="auto"/>
          <w:sz w:val="32"/>
          <w:szCs w:val="24"/>
          <w:highlight w:val="none"/>
          <w:lang w:val="en-US" w:eastAsia="zh-CN"/>
        </w:rPr>
        <w:t>100</w:t>
      </w:r>
      <w:r>
        <w:rPr>
          <w:rStyle w:val="11"/>
          <w:rFonts w:hint="eastAsia" w:ascii="仿宋" w:hAnsi="仿宋" w:eastAsia="仿宋" w:cs="仿宋"/>
          <w:b w:val="0"/>
          <w:color w:val="auto"/>
          <w:sz w:val="32"/>
          <w:szCs w:val="24"/>
          <w:highlight w:val="none"/>
        </w:rPr>
        <w:t>%。</w:t>
      </w:r>
    </w:p>
    <w:p>
      <w:pPr>
        <w:keepNext w:val="0"/>
        <w:keepLines w:val="0"/>
        <w:pageBreakBefore w:val="0"/>
        <w:widowControl w:val="0"/>
        <w:numPr>
          <w:ilvl w:val="0"/>
          <w:numId w:val="0"/>
        </w:numPr>
        <w:kinsoku/>
        <w:wordWrap/>
        <w:overflowPunct/>
        <w:topLinePunct w:val="0"/>
        <w:autoSpaceDE/>
        <w:autoSpaceDN/>
        <w:bidi w:val="0"/>
        <w:spacing w:beforeLines="0" w:afterLines="0" w:line="560" w:lineRule="exact"/>
        <w:ind w:firstLine="642" w:firstLineChars="200"/>
        <w:textAlignment w:val="auto"/>
        <w:rPr>
          <w:rFonts w:hint="eastAsia" w:ascii="仿宋" w:hAnsi="仿宋" w:eastAsia="仿宋" w:cs="仿宋"/>
          <w:b/>
          <w:color w:val="auto"/>
          <w:sz w:val="32"/>
          <w:szCs w:val="24"/>
          <w:highlight w:val="none"/>
        </w:rPr>
      </w:pPr>
      <w:r>
        <w:rPr>
          <w:rStyle w:val="11"/>
          <w:rFonts w:hint="eastAsia" w:ascii="仿宋" w:hAnsi="仿宋" w:eastAsia="仿宋" w:cs="仿宋"/>
          <w:color w:val="auto"/>
          <w:sz w:val="32"/>
          <w:szCs w:val="24"/>
          <w:highlight w:val="none"/>
          <w:lang w:val="en-US" w:eastAsia="zh-CN"/>
        </w:rPr>
        <w:t>2.</w:t>
      </w:r>
      <w:r>
        <w:rPr>
          <w:rStyle w:val="11"/>
          <w:rFonts w:hint="eastAsia" w:ascii="仿宋" w:hAnsi="仿宋" w:eastAsia="仿宋" w:cs="仿宋"/>
          <w:color w:val="auto"/>
          <w:sz w:val="32"/>
          <w:szCs w:val="24"/>
          <w:highlight w:val="none"/>
        </w:rPr>
        <w:t>社会保障和就业</w:t>
      </w:r>
      <w:r>
        <w:rPr>
          <w:rFonts w:hint="eastAsia" w:ascii="仿宋" w:hAnsi="仿宋" w:eastAsia="仿宋" w:cs="仿宋"/>
          <w:b/>
          <w:sz w:val="32"/>
          <w:szCs w:val="32"/>
          <w:highlight w:val="none"/>
          <w:lang w:val="en-US" w:eastAsia="zh-CN"/>
        </w:rPr>
        <w:t>支出（类）行政事业单位养老支出</w:t>
      </w:r>
      <w:r>
        <w:rPr>
          <w:rStyle w:val="11"/>
          <w:rFonts w:hint="eastAsia" w:ascii="仿宋" w:hAnsi="仿宋" w:eastAsia="仿宋" w:cs="仿宋"/>
          <w:color w:val="auto"/>
          <w:sz w:val="32"/>
          <w:szCs w:val="24"/>
          <w:highlight w:val="none"/>
        </w:rPr>
        <w:t>（款）</w:t>
      </w:r>
      <w:r>
        <w:rPr>
          <w:rFonts w:hint="eastAsia" w:ascii="仿宋" w:hAnsi="仿宋" w:eastAsia="仿宋" w:cs="仿宋"/>
          <w:b/>
          <w:sz w:val="32"/>
          <w:szCs w:val="32"/>
          <w:highlight w:val="none"/>
          <w:lang w:val="en-US" w:eastAsia="zh-CN"/>
        </w:rPr>
        <w:t>机关事业单位职业年金缴费支出</w:t>
      </w:r>
      <w:r>
        <w:rPr>
          <w:rStyle w:val="11"/>
          <w:rFonts w:hint="eastAsia" w:ascii="仿宋" w:hAnsi="仿宋" w:eastAsia="仿宋" w:cs="仿宋"/>
          <w:color w:val="auto"/>
          <w:sz w:val="32"/>
          <w:szCs w:val="24"/>
          <w:highlight w:val="none"/>
        </w:rPr>
        <w:t>（项）</w:t>
      </w:r>
      <w:r>
        <w:rPr>
          <w:rStyle w:val="11"/>
          <w:rFonts w:hint="eastAsia" w:ascii="仿宋" w:hAnsi="仿宋" w:eastAsia="仿宋" w:cs="仿宋"/>
          <w:color w:val="auto"/>
          <w:sz w:val="32"/>
          <w:szCs w:val="24"/>
          <w:highlight w:val="none"/>
          <w:lang w:eastAsia="zh-CN"/>
        </w:rPr>
        <w:t>：</w:t>
      </w:r>
      <w:r>
        <w:rPr>
          <w:rStyle w:val="11"/>
          <w:rFonts w:hint="eastAsia" w:ascii="仿宋" w:hAnsi="仿宋" w:eastAsia="仿宋" w:cs="仿宋"/>
          <w:b w:val="0"/>
          <w:color w:val="auto"/>
          <w:sz w:val="32"/>
          <w:szCs w:val="24"/>
          <w:highlight w:val="none"/>
        </w:rPr>
        <w:t>支出决算为</w:t>
      </w:r>
      <w:r>
        <w:rPr>
          <w:rStyle w:val="11"/>
          <w:rFonts w:hint="eastAsia" w:ascii="仿宋" w:hAnsi="仿宋" w:eastAsia="仿宋" w:cs="仿宋"/>
          <w:b w:val="0"/>
          <w:color w:val="auto"/>
          <w:sz w:val="32"/>
          <w:szCs w:val="24"/>
          <w:highlight w:val="none"/>
          <w:lang w:val="en-US" w:eastAsia="zh-CN"/>
        </w:rPr>
        <w:t>6.81</w:t>
      </w:r>
      <w:r>
        <w:rPr>
          <w:rStyle w:val="11"/>
          <w:rFonts w:hint="eastAsia" w:ascii="仿宋" w:hAnsi="仿宋" w:eastAsia="仿宋" w:cs="仿宋"/>
          <w:b w:val="0"/>
          <w:color w:val="auto"/>
          <w:sz w:val="32"/>
          <w:szCs w:val="24"/>
          <w:highlight w:val="none"/>
        </w:rPr>
        <w:t>万元，完成预算</w:t>
      </w:r>
      <w:r>
        <w:rPr>
          <w:rStyle w:val="11"/>
          <w:rFonts w:hint="eastAsia" w:ascii="仿宋" w:hAnsi="仿宋" w:eastAsia="仿宋" w:cs="仿宋"/>
          <w:b w:val="0"/>
          <w:color w:val="auto"/>
          <w:sz w:val="32"/>
          <w:szCs w:val="24"/>
          <w:highlight w:val="none"/>
          <w:lang w:val="en-US" w:eastAsia="zh-CN"/>
        </w:rPr>
        <w:t>100</w:t>
      </w:r>
      <w:r>
        <w:rPr>
          <w:rStyle w:val="11"/>
          <w:rFonts w:hint="eastAsia" w:ascii="仿宋" w:hAnsi="仿宋" w:eastAsia="仿宋" w:cs="仿宋"/>
          <w:b w:val="0"/>
          <w:color w:val="auto"/>
          <w:sz w:val="32"/>
          <w:szCs w:val="24"/>
          <w:highlight w:val="none"/>
        </w:rPr>
        <w:t>%。</w:t>
      </w:r>
    </w:p>
    <w:p>
      <w:pPr>
        <w:keepNext w:val="0"/>
        <w:keepLines w:val="0"/>
        <w:pageBreakBefore w:val="0"/>
        <w:widowControl w:val="0"/>
        <w:numPr>
          <w:ilvl w:val="0"/>
          <w:numId w:val="0"/>
        </w:numPr>
        <w:kinsoku/>
        <w:wordWrap/>
        <w:overflowPunct/>
        <w:topLinePunct w:val="0"/>
        <w:autoSpaceDE/>
        <w:autoSpaceDN/>
        <w:bidi w:val="0"/>
        <w:spacing w:beforeLines="0" w:afterLines="0" w:line="560" w:lineRule="exact"/>
        <w:ind w:firstLine="642" w:firstLineChars="200"/>
        <w:textAlignment w:val="auto"/>
        <w:rPr>
          <w:rStyle w:val="11"/>
          <w:rFonts w:hint="eastAsia" w:ascii="仿宋" w:hAnsi="仿宋" w:eastAsia="仿宋" w:cs="仿宋"/>
          <w:b w:val="0"/>
          <w:color w:val="auto"/>
          <w:sz w:val="32"/>
          <w:szCs w:val="24"/>
          <w:highlight w:val="none"/>
        </w:rPr>
      </w:pPr>
      <w:r>
        <w:rPr>
          <w:rStyle w:val="11"/>
          <w:rFonts w:hint="eastAsia" w:ascii="仿宋" w:hAnsi="仿宋" w:eastAsia="仿宋" w:cs="仿宋"/>
          <w:color w:val="auto"/>
          <w:sz w:val="32"/>
          <w:szCs w:val="24"/>
          <w:highlight w:val="none"/>
          <w:lang w:val="en-US" w:eastAsia="zh-CN"/>
        </w:rPr>
        <w:t>3.</w:t>
      </w:r>
      <w:r>
        <w:rPr>
          <w:rFonts w:hint="eastAsia" w:ascii="仿宋" w:hAnsi="仿宋" w:eastAsia="仿宋" w:cs="仿宋"/>
          <w:b/>
          <w:sz w:val="32"/>
          <w:szCs w:val="32"/>
          <w:highlight w:val="none"/>
          <w:lang w:val="en-US" w:eastAsia="zh-CN"/>
        </w:rPr>
        <w:t>社会保障和就业支出（类）社会福利（款）老年福利（项）：</w:t>
      </w:r>
      <w:r>
        <w:rPr>
          <w:rStyle w:val="11"/>
          <w:rFonts w:hint="eastAsia" w:ascii="仿宋" w:hAnsi="仿宋" w:eastAsia="仿宋" w:cs="仿宋"/>
          <w:b w:val="0"/>
          <w:color w:val="auto"/>
          <w:sz w:val="32"/>
          <w:szCs w:val="24"/>
          <w:highlight w:val="none"/>
        </w:rPr>
        <w:t>支出决算为</w:t>
      </w:r>
      <w:r>
        <w:rPr>
          <w:rStyle w:val="11"/>
          <w:rFonts w:hint="eastAsia" w:ascii="仿宋" w:hAnsi="仿宋" w:eastAsia="仿宋" w:cs="仿宋"/>
          <w:b w:val="0"/>
          <w:color w:val="auto"/>
          <w:sz w:val="32"/>
          <w:szCs w:val="24"/>
          <w:highlight w:val="none"/>
          <w:lang w:val="en-US" w:eastAsia="zh-CN"/>
        </w:rPr>
        <w:t>157.25</w:t>
      </w:r>
      <w:r>
        <w:rPr>
          <w:rStyle w:val="11"/>
          <w:rFonts w:hint="eastAsia" w:ascii="仿宋" w:hAnsi="仿宋" w:eastAsia="仿宋" w:cs="仿宋"/>
          <w:b w:val="0"/>
          <w:color w:val="auto"/>
          <w:sz w:val="32"/>
          <w:szCs w:val="24"/>
          <w:highlight w:val="none"/>
        </w:rPr>
        <w:t>万元，完成预算</w:t>
      </w:r>
      <w:r>
        <w:rPr>
          <w:rStyle w:val="11"/>
          <w:rFonts w:hint="eastAsia" w:ascii="仿宋" w:hAnsi="仿宋" w:eastAsia="仿宋" w:cs="仿宋"/>
          <w:b w:val="0"/>
          <w:color w:val="auto"/>
          <w:sz w:val="32"/>
          <w:szCs w:val="24"/>
          <w:highlight w:val="none"/>
          <w:lang w:val="en-US" w:eastAsia="zh-CN"/>
        </w:rPr>
        <w:t>100</w:t>
      </w:r>
      <w:r>
        <w:rPr>
          <w:rStyle w:val="11"/>
          <w:rFonts w:hint="eastAsia" w:ascii="仿宋" w:hAnsi="仿宋" w:eastAsia="仿宋" w:cs="仿宋"/>
          <w:b w:val="0"/>
          <w:color w:val="auto"/>
          <w:sz w:val="32"/>
          <w:szCs w:val="24"/>
          <w:highlight w:val="none"/>
        </w:rPr>
        <w:t>%。</w:t>
      </w:r>
    </w:p>
    <w:p>
      <w:pPr>
        <w:keepNext w:val="0"/>
        <w:keepLines w:val="0"/>
        <w:pageBreakBefore w:val="0"/>
        <w:widowControl w:val="0"/>
        <w:numPr>
          <w:ilvl w:val="0"/>
          <w:numId w:val="0"/>
        </w:numPr>
        <w:kinsoku/>
        <w:wordWrap/>
        <w:overflowPunct/>
        <w:topLinePunct w:val="0"/>
        <w:autoSpaceDE/>
        <w:autoSpaceDN/>
        <w:bidi w:val="0"/>
        <w:spacing w:beforeLines="0" w:afterLines="0" w:line="560" w:lineRule="exact"/>
        <w:ind w:firstLine="642" w:firstLineChars="200"/>
        <w:textAlignment w:val="auto"/>
        <w:rPr>
          <w:rStyle w:val="11"/>
          <w:rFonts w:hint="eastAsia" w:ascii="仿宋" w:hAnsi="仿宋" w:eastAsia="仿宋" w:cs="仿宋"/>
          <w:b w:val="0"/>
          <w:color w:val="auto"/>
          <w:sz w:val="32"/>
          <w:szCs w:val="24"/>
          <w:highlight w:val="none"/>
          <w:lang w:val="en-US" w:eastAsia="zh-CN"/>
        </w:rPr>
      </w:pPr>
      <w:r>
        <w:rPr>
          <w:rStyle w:val="11"/>
          <w:rFonts w:hint="eastAsia" w:ascii="仿宋" w:hAnsi="仿宋" w:eastAsia="仿宋" w:cs="仿宋"/>
          <w:b/>
          <w:bCs/>
          <w:color w:val="auto"/>
          <w:sz w:val="32"/>
          <w:szCs w:val="24"/>
          <w:highlight w:val="none"/>
          <w:lang w:val="en-US" w:eastAsia="zh-CN"/>
        </w:rPr>
        <w:t>4</w:t>
      </w:r>
      <w:r>
        <w:rPr>
          <w:rStyle w:val="11"/>
          <w:rFonts w:hint="eastAsia" w:ascii="仿宋" w:hAnsi="仿宋" w:eastAsia="仿宋" w:cs="仿宋"/>
          <w:b w:val="0"/>
          <w:color w:val="auto"/>
          <w:sz w:val="32"/>
          <w:szCs w:val="24"/>
          <w:highlight w:val="none"/>
          <w:lang w:val="en-US" w:eastAsia="zh-CN"/>
        </w:rPr>
        <w:t>.</w:t>
      </w:r>
      <w:r>
        <w:rPr>
          <w:rFonts w:hint="eastAsia" w:ascii="仿宋" w:hAnsi="仿宋" w:eastAsia="仿宋" w:cs="仿宋"/>
          <w:b/>
          <w:sz w:val="32"/>
          <w:szCs w:val="32"/>
          <w:highlight w:val="none"/>
          <w:lang w:val="en-US" w:eastAsia="zh-CN"/>
        </w:rPr>
        <w:t>社会保障和就业支出（类）</w:t>
      </w:r>
      <w:r>
        <w:rPr>
          <w:rStyle w:val="11"/>
          <w:rFonts w:hint="eastAsia" w:ascii="仿宋" w:hAnsi="仿宋" w:eastAsia="仿宋" w:cs="仿宋"/>
          <w:b/>
          <w:bCs/>
          <w:color w:val="auto"/>
          <w:sz w:val="32"/>
          <w:szCs w:val="24"/>
          <w:highlight w:val="none"/>
          <w:lang w:val="en-US" w:eastAsia="zh-CN"/>
        </w:rPr>
        <w:t>其他</w:t>
      </w:r>
      <w:r>
        <w:rPr>
          <w:rFonts w:hint="eastAsia" w:ascii="仿宋" w:hAnsi="仿宋" w:eastAsia="仿宋" w:cs="仿宋"/>
          <w:b/>
          <w:sz w:val="32"/>
          <w:szCs w:val="32"/>
          <w:highlight w:val="none"/>
          <w:lang w:val="en-US" w:eastAsia="zh-CN"/>
        </w:rPr>
        <w:t>社会保障和就业支出（款）</w:t>
      </w:r>
      <w:r>
        <w:rPr>
          <w:rStyle w:val="11"/>
          <w:rFonts w:hint="eastAsia" w:ascii="仿宋" w:hAnsi="仿宋" w:eastAsia="仿宋" w:cs="仿宋"/>
          <w:b/>
          <w:bCs/>
          <w:color w:val="auto"/>
          <w:sz w:val="32"/>
          <w:szCs w:val="24"/>
          <w:highlight w:val="none"/>
          <w:lang w:val="en-US" w:eastAsia="zh-CN"/>
        </w:rPr>
        <w:t>其他</w:t>
      </w:r>
      <w:r>
        <w:rPr>
          <w:rFonts w:hint="eastAsia" w:ascii="仿宋" w:hAnsi="仿宋" w:eastAsia="仿宋" w:cs="仿宋"/>
          <w:b/>
          <w:sz w:val="32"/>
          <w:szCs w:val="32"/>
          <w:highlight w:val="none"/>
          <w:lang w:val="en-US" w:eastAsia="zh-CN"/>
        </w:rPr>
        <w:t>社会保障和就业支出（项）：</w:t>
      </w:r>
      <w:r>
        <w:rPr>
          <w:rStyle w:val="11"/>
          <w:rFonts w:hint="eastAsia" w:ascii="仿宋" w:hAnsi="仿宋" w:eastAsia="仿宋" w:cs="仿宋"/>
          <w:b w:val="0"/>
          <w:color w:val="auto"/>
          <w:sz w:val="32"/>
          <w:szCs w:val="24"/>
          <w:highlight w:val="none"/>
        </w:rPr>
        <w:t>支出决算为</w:t>
      </w:r>
      <w:r>
        <w:rPr>
          <w:rStyle w:val="11"/>
          <w:rFonts w:hint="eastAsia" w:ascii="仿宋" w:hAnsi="仿宋" w:eastAsia="仿宋" w:cs="仿宋"/>
          <w:b w:val="0"/>
          <w:color w:val="auto"/>
          <w:sz w:val="32"/>
          <w:szCs w:val="24"/>
          <w:highlight w:val="none"/>
          <w:lang w:val="en-US" w:eastAsia="zh-CN"/>
        </w:rPr>
        <w:t>37.5</w:t>
      </w:r>
      <w:r>
        <w:rPr>
          <w:rStyle w:val="11"/>
          <w:rFonts w:hint="eastAsia" w:ascii="仿宋" w:hAnsi="仿宋" w:eastAsia="仿宋" w:cs="仿宋"/>
          <w:b w:val="0"/>
          <w:color w:val="auto"/>
          <w:sz w:val="32"/>
          <w:szCs w:val="24"/>
          <w:highlight w:val="none"/>
        </w:rPr>
        <w:t>万元，完成预算</w:t>
      </w:r>
      <w:r>
        <w:rPr>
          <w:rStyle w:val="11"/>
          <w:rFonts w:hint="eastAsia" w:ascii="仿宋" w:hAnsi="仿宋" w:eastAsia="仿宋" w:cs="仿宋"/>
          <w:b w:val="0"/>
          <w:color w:val="auto"/>
          <w:sz w:val="32"/>
          <w:szCs w:val="24"/>
          <w:highlight w:val="none"/>
          <w:lang w:val="en-US" w:eastAsia="zh-CN"/>
        </w:rPr>
        <w:t>100</w:t>
      </w:r>
      <w:r>
        <w:rPr>
          <w:rStyle w:val="11"/>
          <w:rFonts w:hint="eastAsia" w:ascii="仿宋" w:hAnsi="仿宋" w:eastAsia="仿宋" w:cs="仿宋"/>
          <w:b w:val="0"/>
          <w:color w:val="auto"/>
          <w:sz w:val="32"/>
          <w:szCs w:val="24"/>
          <w:highlight w:val="none"/>
        </w:rPr>
        <w:t>%。</w:t>
      </w:r>
    </w:p>
    <w:p>
      <w:pPr>
        <w:keepNext w:val="0"/>
        <w:keepLines w:val="0"/>
        <w:pageBreakBefore w:val="0"/>
        <w:widowControl w:val="0"/>
        <w:kinsoku/>
        <w:wordWrap/>
        <w:overflowPunct/>
        <w:topLinePunct w:val="0"/>
        <w:autoSpaceDE/>
        <w:autoSpaceDN/>
        <w:bidi w:val="0"/>
        <w:spacing w:beforeLines="0" w:afterLines="0" w:line="560" w:lineRule="exact"/>
        <w:ind w:firstLine="642" w:firstLineChars="200"/>
        <w:textAlignment w:val="auto"/>
        <w:rPr>
          <w:rFonts w:hint="eastAsia" w:ascii="仿宋" w:hAnsi="仿宋" w:eastAsia="仿宋" w:cs="仿宋"/>
          <w:b/>
          <w:color w:val="auto"/>
          <w:sz w:val="32"/>
          <w:szCs w:val="24"/>
          <w:highlight w:val="none"/>
        </w:rPr>
      </w:pPr>
      <w:r>
        <w:rPr>
          <w:rStyle w:val="11"/>
          <w:rFonts w:hint="eastAsia" w:ascii="仿宋" w:hAnsi="仿宋" w:eastAsia="仿宋" w:cs="仿宋"/>
          <w:color w:val="auto"/>
          <w:sz w:val="32"/>
          <w:szCs w:val="24"/>
          <w:highlight w:val="none"/>
          <w:lang w:val="en-US" w:eastAsia="zh-CN"/>
        </w:rPr>
        <w:t>5.</w:t>
      </w:r>
      <w:r>
        <w:rPr>
          <w:rFonts w:hint="eastAsia" w:ascii="仿宋" w:hAnsi="仿宋" w:eastAsia="仿宋" w:cs="仿宋"/>
          <w:b/>
          <w:color w:val="auto"/>
          <w:sz w:val="32"/>
          <w:szCs w:val="24"/>
          <w:highlight w:val="none"/>
        </w:rPr>
        <w:t>卫生健康</w:t>
      </w:r>
      <w:r>
        <w:rPr>
          <w:rFonts w:hint="eastAsia" w:ascii="仿宋" w:hAnsi="仿宋" w:eastAsia="仿宋" w:cs="仿宋"/>
          <w:b/>
          <w:sz w:val="32"/>
          <w:szCs w:val="32"/>
          <w:highlight w:val="none"/>
          <w:lang w:val="en-US" w:eastAsia="zh-CN"/>
        </w:rPr>
        <w:t>支出</w:t>
      </w:r>
      <w:r>
        <w:rPr>
          <w:rStyle w:val="11"/>
          <w:rFonts w:hint="eastAsia" w:ascii="仿宋" w:hAnsi="仿宋" w:eastAsia="仿宋" w:cs="仿宋"/>
          <w:color w:val="auto"/>
          <w:sz w:val="32"/>
          <w:szCs w:val="24"/>
          <w:highlight w:val="none"/>
        </w:rPr>
        <w:t>（类）</w:t>
      </w:r>
      <w:r>
        <w:rPr>
          <w:rStyle w:val="11"/>
          <w:rFonts w:hint="eastAsia" w:ascii="仿宋" w:hAnsi="仿宋" w:eastAsia="仿宋" w:cs="仿宋"/>
          <w:color w:val="auto"/>
          <w:sz w:val="32"/>
          <w:szCs w:val="24"/>
          <w:highlight w:val="none"/>
          <w:lang w:val="en-US" w:eastAsia="zh-CN"/>
        </w:rPr>
        <w:t>行政事业单位医疗</w:t>
      </w:r>
      <w:r>
        <w:rPr>
          <w:rStyle w:val="11"/>
          <w:rFonts w:hint="eastAsia" w:ascii="仿宋" w:hAnsi="仿宋" w:eastAsia="仿宋" w:cs="仿宋"/>
          <w:color w:val="auto"/>
          <w:sz w:val="32"/>
          <w:szCs w:val="24"/>
          <w:highlight w:val="none"/>
        </w:rPr>
        <w:t>（款）</w:t>
      </w:r>
      <w:r>
        <w:rPr>
          <w:rStyle w:val="11"/>
          <w:rFonts w:hint="eastAsia" w:ascii="仿宋" w:hAnsi="仿宋" w:eastAsia="仿宋" w:cs="仿宋"/>
          <w:color w:val="auto"/>
          <w:sz w:val="32"/>
          <w:szCs w:val="24"/>
          <w:highlight w:val="none"/>
          <w:lang w:val="en-US" w:eastAsia="zh-CN"/>
        </w:rPr>
        <w:t>事业单位医疗</w:t>
      </w:r>
      <w:r>
        <w:rPr>
          <w:rStyle w:val="11"/>
          <w:rFonts w:hint="eastAsia" w:ascii="仿宋" w:hAnsi="仿宋" w:eastAsia="仿宋" w:cs="仿宋"/>
          <w:color w:val="auto"/>
          <w:sz w:val="32"/>
          <w:szCs w:val="24"/>
          <w:highlight w:val="none"/>
        </w:rPr>
        <w:t>（项）</w:t>
      </w:r>
      <w:r>
        <w:rPr>
          <w:rStyle w:val="11"/>
          <w:rFonts w:hint="eastAsia" w:ascii="仿宋" w:hAnsi="仿宋" w:eastAsia="仿宋" w:cs="仿宋"/>
          <w:color w:val="auto"/>
          <w:sz w:val="32"/>
          <w:szCs w:val="24"/>
          <w:highlight w:val="none"/>
          <w:lang w:eastAsia="zh-CN"/>
        </w:rPr>
        <w:t>：</w:t>
      </w:r>
      <w:r>
        <w:rPr>
          <w:rStyle w:val="11"/>
          <w:rFonts w:hint="eastAsia" w:ascii="仿宋" w:hAnsi="仿宋" w:eastAsia="仿宋" w:cs="仿宋"/>
          <w:b w:val="0"/>
          <w:color w:val="auto"/>
          <w:sz w:val="32"/>
          <w:szCs w:val="24"/>
          <w:highlight w:val="none"/>
        </w:rPr>
        <w:t>支出决算为</w:t>
      </w:r>
      <w:r>
        <w:rPr>
          <w:rStyle w:val="11"/>
          <w:rFonts w:hint="eastAsia" w:ascii="仿宋" w:hAnsi="仿宋" w:eastAsia="仿宋" w:cs="仿宋"/>
          <w:b w:val="0"/>
          <w:color w:val="auto"/>
          <w:sz w:val="32"/>
          <w:szCs w:val="24"/>
          <w:highlight w:val="none"/>
          <w:lang w:val="en-US" w:eastAsia="zh-CN"/>
        </w:rPr>
        <w:t>5.37</w:t>
      </w:r>
      <w:r>
        <w:rPr>
          <w:rStyle w:val="11"/>
          <w:rFonts w:hint="eastAsia" w:ascii="仿宋" w:hAnsi="仿宋" w:eastAsia="仿宋" w:cs="仿宋"/>
          <w:b w:val="0"/>
          <w:color w:val="auto"/>
          <w:sz w:val="32"/>
          <w:szCs w:val="24"/>
          <w:highlight w:val="none"/>
        </w:rPr>
        <w:t>万元，完成预算</w:t>
      </w:r>
      <w:r>
        <w:rPr>
          <w:rStyle w:val="11"/>
          <w:rFonts w:hint="eastAsia" w:ascii="仿宋" w:hAnsi="仿宋" w:eastAsia="仿宋" w:cs="仿宋"/>
          <w:b w:val="0"/>
          <w:color w:val="auto"/>
          <w:sz w:val="32"/>
          <w:szCs w:val="24"/>
          <w:highlight w:val="none"/>
          <w:lang w:val="en-US" w:eastAsia="zh-CN"/>
        </w:rPr>
        <w:t>100</w:t>
      </w:r>
      <w:r>
        <w:rPr>
          <w:rStyle w:val="11"/>
          <w:rFonts w:hint="eastAsia" w:ascii="仿宋" w:hAnsi="仿宋" w:eastAsia="仿宋" w:cs="仿宋"/>
          <w:b w:val="0"/>
          <w:color w:val="auto"/>
          <w:sz w:val="32"/>
          <w:szCs w:val="24"/>
          <w:highlight w:val="none"/>
        </w:rPr>
        <w:t>%。</w:t>
      </w:r>
    </w:p>
    <w:p>
      <w:pPr>
        <w:keepNext w:val="0"/>
        <w:keepLines w:val="0"/>
        <w:pageBreakBefore w:val="0"/>
        <w:widowControl w:val="0"/>
        <w:tabs>
          <w:tab w:val="right" w:pos="8306"/>
        </w:tabs>
        <w:kinsoku/>
        <w:wordWrap/>
        <w:overflowPunct/>
        <w:topLinePunct w:val="0"/>
        <w:autoSpaceDE/>
        <w:autoSpaceDN/>
        <w:bidi w:val="0"/>
        <w:spacing w:beforeLines="0" w:afterLines="0" w:line="560" w:lineRule="exact"/>
        <w:ind w:firstLine="640"/>
        <w:textAlignment w:val="auto"/>
        <w:outlineLvl w:val="1"/>
        <w:rPr>
          <w:rStyle w:val="11"/>
          <w:rFonts w:hint="eastAsia" w:ascii="仿宋" w:hAnsi="仿宋" w:eastAsia="仿宋" w:cs="仿宋"/>
          <w:b w:val="0"/>
          <w:color w:val="auto"/>
          <w:sz w:val="32"/>
          <w:szCs w:val="24"/>
          <w:highlight w:val="none"/>
        </w:rPr>
      </w:pPr>
      <w:bookmarkStart w:id="12" w:name="_Toc19505"/>
      <w:bookmarkStart w:id="13" w:name="_Toc1004"/>
      <w:r>
        <w:rPr>
          <w:rFonts w:hint="eastAsia" w:ascii="仿宋" w:hAnsi="仿宋" w:eastAsia="仿宋" w:cs="仿宋"/>
          <w:b/>
          <w:color w:val="auto"/>
          <w:sz w:val="32"/>
          <w:szCs w:val="24"/>
          <w:highlight w:val="none"/>
          <w:lang w:val="en-US" w:eastAsia="zh-CN"/>
        </w:rPr>
        <w:t>6.</w:t>
      </w:r>
      <w:r>
        <w:rPr>
          <w:rFonts w:hint="eastAsia" w:ascii="仿宋" w:hAnsi="仿宋" w:eastAsia="仿宋" w:cs="仿宋"/>
          <w:b/>
          <w:color w:val="auto"/>
          <w:sz w:val="32"/>
          <w:szCs w:val="24"/>
          <w:highlight w:val="none"/>
        </w:rPr>
        <w:t>住房保障</w:t>
      </w:r>
      <w:r>
        <w:rPr>
          <w:rFonts w:hint="eastAsia" w:ascii="仿宋" w:hAnsi="仿宋" w:eastAsia="仿宋" w:cs="仿宋"/>
          <w:b/>
          <w:sz w:val="32"/>
          <w:szCs w:val="32"/>
          <w:highlight w:val="none"/>
          <w:lang w:val="en-US" w:eastAsia="zh-CN"/>
        </w:rPr>
        <w:t>支出</w:t>
      </w:r>
      <w:r>
        <w:rPr>
          <w:rStyle w:val="11"/>
          <w:rFonts w:hint="eastAsia" w:ascii="仿宋" w:hAnsi="仿宋" w:eastAsia="仿宋" w:cs="仿宋"/>
          <w:color w:val="auto"/>
          <w:sz w:val="32"/>
          <w:szCs w:val="24"/>
          <w:highlight w:val="none"/>
        </w:rPr>
        <w:t>（类）</w:t>
      </w:r>
      <w:r>
        <w:rPr>
          <w:rStyle w:val="11"/>
          <w:rFonts w:hint="eastAsia" w:ascii="仿宋" w:hAnsi="仿宋" w:eastAsia="仿宋" w:cs="仿宋"/>
          <w:color w:val="auto"/>
          <w:sz w:val="32"/>
          <w:szCs w:val="24"/>
          <w:highlight w:val="none"/>
          <w:lang w:val="en-US" w:eastAsia="zh-CN"/>
        </w:rPr>
        <w:t>住房改革</w:t>
      </w:r>
      <w:r>
        <w:rPr>
          <w:rFonts w:hint="eastAsia" w:ascii="仿宋" w:hAnsi="仿宋" w:eastAsia="仿宋" w:cs="仿宋"/>
          <w:b/>
          <w:sz w:val="32"/>
          <w:szCs w:val="32"/>
          <w:highlight w:val="none"/>
          <w:lang w:val="en-US" w:eastAsia="zh-CN"/>
        </w:rPr>
        <w:t>支出</w:t>
      </w:r>
      <w:r>
        <w:rPr>
          <w:rStyle w:val="11"/>
          <w:rFonts w:hint="eastAsia" w:ascii="仿宋" w:hAnsi="仿宋" w:eastAsia="仿宋" w:cs="仿宋"/>
          <w:color w:val="auto"/>
          <w:sz w:val="32"/>
          <w:szCs w:val="24"/>
          <w:highlight w:val="none"/>
        </w:rPr>
        <w:t>（款）</w:t>
      </w:r>
      <w:r>
        <w:rPr>
          <w:rStyle w:val="11"/>
          <w:rFonts w:hint="eastAsia" w:ascii="仿宋" w:hAnsi="仿宋" w:eastAsia="仿宋" w:cs="仿宋"/>
          <w:color w:val="auto"/>
          <w:sz w:val="32"/>
          <w:szCs w:val="24"/>
          <w:highlight w:val="none"/>
          <w:lang w:val="en-US" w:eastAsia="zh-CN"/>
        </w:rPr>
        <w:t>住房公积金</w:t>
      </w:r>
      <w:r>
        <w:rPr>
          <w:rStyle w:val="11"/>
          <w:rFonts w:hint="eastAsia" w:ascii="仿宋" w:hAnsi="仿宋" w:eastAsia="仿宋" w:cs="仿宋"/>
          <w:color w:val="auto"/>
          <w:sz w:val="32"/>
          <w:szCs w:val="24"/>
          <w:highlight w:val="none"/>
        </w:rPr>
        <w:t>（项）</w:t>
      </w:r>
      <w:r>
        <w:rPr>
          <w:rStyle w:val="11"/>
          <w:rFonts w:hint="eastAsia" w:ascii="仿宋" w:hAnsi="仿宋" w:eastAsia="仿宋" w:cs="仿宋"/>
          <w:color w:val="auto"/>
          <w:sz w:val="32"/>
          <w:szCs w:val="24"/>
          <w:highlight w:val="none"/>
          <w:lang w:eastAsia="zh-CN"/>
        </w:rPr>
        <w:t>：</w:t>
      </w:r>
      <w:r>
        <w:rPr>
          <w:rStyle w:val="11"/>
          <w:rFonts w:hint="eastAsia" w:ascii="仿宋" w:hAnsi="仿宋" w:eastAsia="仿宋" w:cs="仿宋"/>
          <w:b w:val="0"/>
          <w:color w:val="auto"/>
          <w:sz w:val="32"/>
          <w:szCs w:val="24"/>
          <w:highlight w:val="none"/>
        </w:rPr>
        <w:t>支出决算为</w:t>
      </w:r>
      <w:r>
        <w:rPr>
          <w:rStyle w:val="11"/>
          <w:rFonts w:hint="eastAsia" w:ascii="仿宋" w:hAnsi="仿宋" w:eastAsia="仿宋" w:cs="仿宋"/>
          <w:b w:val="0"/>
          <w:color w:val="auto"/>
          <w:sz w:val="32"/>
          <w:szCs w:val="24"/>
          <w:highlight w:val="none"/>
          <w:lang w:val="en-US" w:eastAsia="zh-CN"/>
        </w:rPr>
        <w:t>10.72</w:t>
      </w:r>
      <w:r>
        <w:rPr>
          <w:rStyle w:val="11"/>
          <w:rFonts w:hint="eastAsia" w:ascii="仿宋" w:hAnsi="仿宋" w:eastAsia="仿宋" w:cs="仿宋"/>
          <w:b w:val="0"/>
          <w:color w:val="auto"/>
          <w:sz w:val="32"/>
          <w:szCs w:val="24"/>
          <w:highlight w:val="none"/>
        </w:rPr>
        <w:t>万元，完成预算</w:t>
      </w:r>
      <w:r>
        <w:rPr>
          <w:rStyle w:val="11"/>
          <w:rFonts w:hint="eastAsia" w:ascii="仿宋" w:hAnsi="仿宋" w:eastAsia="仿宋" w:cs="仿宋"/>
          <w:b w:val="0"/>
          <w:color w:val="auto"/>
          <w:sz w:val="32"/>
          <w:szCs w:val="24"/>
          <w:highlight w:val="none"/>
          <w:lang w:val="en-US" w:eastAsia="zh-CN"/>
        </w:rPr>
        <w:t>100</w:t>
      </w:r>
      <w:r>
        <w:rPr>
          <w:rStyle w:val="11"/>
          <w:rFonts w:hint="eastAsia" w:ascii="仿宋" w:hAnsi="仿宋" w:eastAsia="仿宋" w:cs="仿宋"/>
          <w:b w:val="0"/>
          <w:color w:val="auto"/>
          <w:sz w:val="32"/>
          <w:szCs w:val="24"/>
          <w:highlight w:val="none"/>
        </w:rPr>
        <w:t>%。</w:t>
      </w:r>
      <w:bookmarkEnd w:id="12"/>
      <w:bookmarkEnd w:id="13"/>
    </w:p>
    <w:p>
      <w:pPr>
        <w:pStyle w:val="8"/>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Chars="300"/>
        <w:jc w:val="left"/>
        <w:textAlignment w:val="auto"/>
        <w:outlineLvl w:val="1"/>
        <w:rPr>
          <w:rFonts w:hint="eastAsia" w:ascii="黑体" w:hAnsi="黑体" w:eastAsia="黑体" w:cs="黑体"/>
          <w:color w:val="auto"/>
          <w:sz w:val="32"/>
          <w:szCs w:val="32"/>
          <w:highlight w:val="none"/>
        </w:rPr>
      </w:pPr>
      <w:bookmarkStart w:id="14" w:name="_Toc4901"/>
      <w:r>
        <w:rPr>
          <w:rFonts w:hint="eastAsia" w:ascii="黑体" w:hAnsi="黑体" w:eastAsia="黑体" w:cs="黑体"/>
          <w:color w:val="auto"/>
          <w:sz w:val="32"/>
          <w:szCs w:val="32"/>
          <w:highlight w:val="none"/>
          <w:lang w:val="en-US" w:eastAsia="zh-CN"/>
        </w:rPr>
        <w:t>六、</w:t>
      </w:r>
      <w:r>
        <w:rPr>
          <w:rFonts w:hint="eastAsia" w:ascii="黑体" w:hAnsi="黑体" w:eastAsia="黑体" w:cs="黑体"/>
          <w:color w:val="auto"/>
          <w:sz w:val="32"/>
          <w:szCs w:val="32"/>
          <w:highlight w:val="none"/>
        </w:rPr>
        <w:t>一般公共预算财政拨款基本支出决算情况说明</w:t>
      </w:r>
      <w:bookmarkEnd w:id="14"/>
    </w:p>
    <w:p>
      <w:pPr>
        <w:keepNext w:val="0"/>
        <w:keepLines w:val="0"/>
        <w:pageBreakBefore w:val="0"/>
        <w:widowControl w:val="0"/>
        <w:kinsoku/>
        <w:wordWrap/>
        <w:overflowPunct/>
        <w:topLinePunct w:val="0"/>
        <w:autoSpaceDE/>
        <w:autoSpaceDN/>
        <w:bidi w:val="0"/>
        <w:spacing w:line="560" w:lineRule="exact"/>
        <w:ind w:firstLine="645"/>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2023</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eastAsia="zh-CN"/>
        </w:rPr>
        <w:t>度</w:t>
      </w:r>
      <w:r>
        <w:rPr>
          <w:rFonts w:hint="eastAsia" w:ascii="仿宋" w:hAnsi="仿宋" w:eastAsia="仿宋" w:cs="仿宋"/>
          <w:color w:val="auto"/>
          <w:sz w:val="32"/>
          <w:szCs w:val="32"/>
          <w:highlight w:val="none"/>
        </w:rPr>
        <w:t>一般公共预算财政拨款基本支出</w:t>
      </w:r>
      <w:r>
        <w:rPr>
          <w:rFonts w:hint="eastAsia" w:ascii="仿宋" w:hAnsi="仿宋" w:eastAsia="仿宋" w:cs="仿宋"/>
          <w:color w:val="auto"/>
          <w:sz w:val="32"/>
          <w:szCs w:val="32"/>
          <w:highlight w:val="none"/>
          <w:lang w:val="en-US" w:eastAsia="zh-CN"/>
        </w:rPr>
        <w:t>172.25</w:t>
      </w:r>
      <w:r>
        <w:rPr>
          <w:rFonts w:hint="eastAsia" w:ascii="仿宋" w:hAnsi="仿宋" w:eastAsia="仿宋" w:cs="仿宋"/>
          <w:color w:val="auto"/>
          <w:sz w:val="32"/>
          <w:szCs w:val="32"/>
          <w:highlight w:val="none"/>
        </w:rPr>
        <w:t>万元，其中：</w:t>
      </w:r>
    </w:p>
    <w:p>
      <w:pPr>
        <w:keepNext w:val="0"/>
        <w:keepLines w:val="0"/>
        <w:pageBreakBefore w:val="0"/>
        <w:widowControl w:val="0"/>
        <w:kinsoku/>
        <w:wordWrap/>
        <w:overflowPunct/>
        <w:topLinePunct w:val="0"/>
        <w:autoSpaceDE/>
        <w:autoSpaceDN/>
        <w:bidi w:val="0"/>
        <w:spacing w:line="560" w:lineRule="exact"/>
        <w:ind w:firstLine="645"/>
        <w:textAlignment w:val="auto"/>
        <w:rPr>
          <w:rFonts w:hint="eastAsia" w:ascii="仿宋" w:hAnsi="仿宋" w:eastAsia="仿宋" w:cs="仿宋"/>
          <w:sz w:val="32"/>
          <w:szCs w:val="32"/>
          <w:highlight w:val="none"/>
        </w:rPr>
      </w:pPr>
      <w:r>
        <w:rPr>
          <w:rFonts w:hint="eastAsia" w:ascii="仿宋" w:hAnsi="仿宋" w:eastAsia="仿宋" w:cs="仿宋"/>
          <w:color w:val="auto"/>
          <w:sz w:val="32"/>
          <w:szCs w:val="32"/>
          <w:highlight w:val="none"/>
        </w:rPr>
        <w:t>人员经费</w:t>
      </w:r>
      <w:r>
        <w:rPr>
          <w:rFonts w:hint="eastAsia" w:ascii="仿宋" w:hAnsi="仿宋" w:eastAsia="仿宋" w:cs="仿宋"/>
          <w:color w:val="auto"/>
          <w:sz w:val="32"/>
          <w:szCs w:val="32"/>
          <w:highlight w:val="none"/>
          <w:lang w:val="en-US" w:eastAsia="zh-CN"/>
        </w:rPr>
        <w:t>157.48</w:t>
      </w:r>
      <w:r>
        <w:rPr>
          <w:rFonts w:hint="eastAsia" w:ascii="仿宋" w:hAnsi="仿宋" w:eastAsia="仿宋" w:cs="仿宋"/>
          <w:color w:val="auto"/>
          <w:sz w:val="32"/>
          <w:szCs w:val="32"/>
          <w:highlight w:val="none"/>
        </w:rPr>
        <w:t>万元，主要包括：基本工资、津贴补贴、奖金、绩效工资、机关事业单位基本养老保险缴费、职业年金缴费、</w:t>
      </w:r>
      <w:r>
        <w:rPr>
          <w:rFonts w:hint="eastAsia" w:ascii="仿宋" w:hAnsi="仿宋" w:eastAsia="仿宋" w:cs="仿宋"/>
          <w:color w:val="auto"/>
          <w:sz w:val="32"/>
          <w:szCs w:val="32"/>
          <w:highlight w:val="none"/>
          <w:lang w:val="en-US" w:eastAsia="zh-CN"/>
        </w:rPr>
        <w:t>职工基本医疗保险缴费、其他社会保障缴费、</w:t>
      </w:r>
      <w:r>
        <w:rPr>
          <w:rFonts w:hint="eastAsia" w:ascii="仿宋" w:hAnsi="仿宋" w:eastAsia="仿宋" w:cs="仿宋"/>
          <w:color w:val="auto"/>
          <w:sz w:val="32"/>
          <w:szCs w:val="32"/>
          <w:highlight w:val="none"/>
        </w:rPr>
        <w:t>住房公积金、</w:t>
      </w:r>
      <w:r>
        <w:rPr>
          <w:rFonts w:hint="eastAsia" w:ascii="仿宋" w:hAnsi="仿宋" w:eastAsia="仿宋" w:cs="仿宋"/>
          <w:color w:val="auto"/>
          <w:sz w:val="32"/>
          <w:szCs w:val="32"/>
          <w:highlight w:val="none"/>
          <w:lang w:val="en-US" w:eastAsia="zh-CN"/>
        </w:rPr>
        <w:t>其他工资福利支出、生活补助、奖励金</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rPr>
        <w:br w:type="textWrapping"/>
      </w:r>
      <w:r>
        <w:rPr>
          <w:rFonts w:hint="eastAsia" w:ascii="仿宋" w:hAnsi="仿宋" w:eastAsia="仿宋" w:cs="仿宋"/>
          <w:color w:val="auto"/>
          <w:sz w:val="32"/>
          <w:szCs w:val="32"/>
          <w:highlight w:val="none"/>
        </w:rPr>
        <w:t>　　公用经费</w:t>
      </w:r>
      <w:r>
        <w:rPr>
          <w:rFonts w:hint="eastAsia" w:ascii="仿宋" w:hAnsi="仿宋" w:eastAsia="仿宋" w:cs="仿宋"/>
          <w:color w:val="auto"/>
          <w:sz w:val="32"/>
          <w:szCs w:val="32"/>
          <w:highlight w:val="none"/>
          <w:lang w:val="en-US" w:eastAsia="zh-CN"/>
        </w:rPr>
        <w:t>14.77</w:t>
      </w:r>
      <w:r>
        <w:rPr>
          <w:rFonts w:hint="eastAsia" w:ascii="仿宋" w:hAnsi="仿宋" w:eastAsia="仿宋" w:cs="仿宋"/>
          <w:color w:val="auto"/>
          <w:sz w:val="32"/>
          <w:szCs w:val="32"/>
          <w:highlight w:val="none"/>
        </w:rPr>
        <w:t>万元，主要包括：办公费、水费、邮电费、物业管理费、差旅费、维修（护）费、公务接待费、劳务费</w:t>
      </w:r>
      <w:r>
        <w:rPr>
          <w:rFonts w:hint="eastAsia" w:ascii="仿宋" w:hAnsi="仿宋" w:eastAsia="仿宋" w:cs="仿宋"/>
          <w:color w:val="auto"/>
          <w:sz w:val="32"/>
          <w:szCs w:val="32"/>
          <w:highlight w:val="none"/>
          <w:lang w:eastAsia="zh-CN"/>
        </w:rPr>
        <w:t>、工会经费、福利费、其他交通费用、</w:t>
      </w:r>
      <w:r>
        <w:rPr>
          <w:rFonts w:hint="eastAsia" w:ascii="仿宋" w:hAnsi="仿宋" w:eastAsia="仿宋" w:cs="仿宋"/>
          <w:color w:val="auto"/>
          <w:sz w:val="32"/>
          <w:szCs w:val="32"/>
          <w:highlight w:val="none"/>
        </w:rPr>
        <w:t>其他商品和服务支出。</w:t>
      </w:r>
    </w:p>
    <w:p>
      <w:pPr>
        <w:pStyle w:val="8"/>
        <w:keepNext w:val="0"/>
        <w:keepLines w:val="0"/>
        <w:pageBreakBefore w:val="0"/>
        <w:widowControl w:val="0"/>
        <w:numPr>
          <w:ilvl w:val="0"/>
          <w:numId w:val="2"/>
        </w:numPr>
        <w:kinsoku/>
        <w:wordWrap/>
        <w:overflowPunct/>
        <w:topLinePunct w:val="0"/>
        <w:autoSpaceDE/>
        <w:autoSpaceDN/>
        <w:bidi w:val="0"/>
        <w:adjustRightInd w:val="0"/>
        <w:snapToGrid w:val="0"/>
        <w:spacing w:line="560" w:lineRule="exact"/>
        <w:jc w:val="left"/>
        <w:textAlignment w:val="auto"/>
        <w:outlineLvl w:val="1"/>
        <w:rPr>
          <w:rFonts w:hint="eastAsia" w:ascii="黑体" w:hAnsi="黑体" w:eastAsia="黑体" w:cs="黑体"/>
          <w:color w:val="auto"/>
          <w:sz w:val="32"/>
          <w:szCs w:val="32"/>
          <w:highlight w:val="none"/>
        </w:rPr>
      </w:pPr>
      <w:bookmarkStart w:id="15" w:name="_Toc13712"/>
      <w:r>
        <w:rPr>
          <w:rFonts w:hint="eastAsia" w:ascii="黑体" w:hAnsi="黑体" w:eastAsia="黑体" w:cs="黑体"/>
          <w:color w:val="auto"/>
          <w:sz w:val="32"/>
          <w:szCs w:val="32"/>
          <w:highlight w:val="none"/>
        </w:rPr>
        <w:t>财政拨款</w:t>
      </w:r>
      <w:r>
        <w:rPr>
          <w:rFonts w:hint="eastAsia" w:ascii="黑体" w:hAnsi="黑体" w:eastAsia="黑体" w:cs="黑体"/>
          <w:color w:val="auto"/>
          <w:sz w:val="32"/>
          <w:szCs w:val="32"/>
          <w:highlight w:val="none"/>
          <w:lang w:eastAsia="zh-CN"/>
        </w:rPr>
        <w:t>“</w:t>
      </w:r>
      <w:r>
        <w:rPr>
          <w:rFonts w:hint="eastAsia" w:ascii="黑体" w:hAnsi="黑体" w:eastAsia="黑体" w:cs="黑体"/>
          <w:color w:val="auto"/>
          <w:sz w:val="32"/>
          <w:szCs w:val="32"/>
          <w:highlight w:val="none"/>
        </w:rPr>
        <w:t>三公”经费支出决算情况说明</w:t>
      </w:r>
      <w:bookmarkEnd w:id="15"/>
    </w:p>
    <w:p>
      <w:pPr>
        <w:keepNext w:val="0"/>
        <w:keepLines w:val="0"/>
        <w:pageBreakBefore w:val="0"/>
        <w:widowControl w:val="0"/>
        <w:kinsoku/>
        <w:wordWrap/>
        <w:overflowPunct/>
        <w:topLinePunct w:val="0"/>
        <w:autoSpaceDE/>
        <w:autoSpaceDN/>
        <w:bidi w:val="0"/>
        <w:spacing w:line="560" w:lineRule="exact"/>
        <w:ind w:firstLine="640"/>
        <w:textAlignment w:val="auto"/>
        <w:outlineLvl w:val="2"/>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（一）“三公”经费财政拨款支出决算总体情况说明</w:t>
      </w:r>
    </w:p>
    <w:p>
      <w:pPr>
        <w:keepNext w:val="0"/>
        <w:keepLines w:val="0"/>
        <w:pageBreakBefore w:val="0"/>
        <w:widowControl w:val="0"/>
        <w:kinsoku/>
        <w:wordWrap/>
        <w:overflowPunct/>
        <w:topLinePunct w:val="0"/>
        <w:autoSpaceDE/>
        <w:autoSpaceDN/>
        <w:bidi w:val="0"/>
        <w:spacing w:line="560" w:lineRule="exact"/>
        <w:ind w:firstLine="64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2023</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eastAsia="zh-CN"/>
        </w:rPr>
        <w:t>度</w:t>
      </w:r>
      <w:r>
        <w:rPr>
          <w:rFonts w:hint="eastAsia" w:ascii="仿宋" w:hAnsi="仿宋" w:eastAsia="仿宋" w:cs="仿宋"/>
          <w:color w:val="auto"/>
          <w:sz w:val="32"/>
          <w:szCs w:val="32"/>
          <w:highlight w:val="none"/>
        </w:rPr>
        <w:t>“三公”经费财政拨款支出决算为</w:t>
      </w:r>
      <w:r>
        <w:rPr>
          <w:rFonts w:hint="eastAsia" w:ascii="仿宋" w:hAnsi="仿宋" w:eastAsia="仿宋" w:cs="仿宋"/>
          <w:color w:val="auto"/>
          <w:sz w:val="32"/>
          <w:szCs w:val="32"/>
          <w:highlight w:val="none"/>
          <w:lang w:val="en-US" w:eastAsia="zh-CN"/>
        </w:rPr>
        <w:t>0.15</w:t>
      </w:r>
      <w:r>
        <w:rPr>
          <w:rFonts w:hint="eastAsia" w:ascii="仿宋" w:hAnsi="仿宋" w:eastAsia="仿宋" w:cs="仿宋"/>
          <w:color w:val="auto"/>
          <w:sz w:val="32"/>
          <w:szCs w:val="32"/>
          <w:highlight w:val="none"/>
        </w:rPr>
        <w:t>万元，完成预算</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较上年度增加</w:t>
      </w:r>
      <w:r>
        <w:rPr>
          <w:rFonts w:hint="eastAsia" w:ascii="仿宋" w:hAnsi="仿宋" w:eastAsia="仿宋" w:cs="仿宋"/>
          <w:color w:val="auto"/>
          <w:sz w:val="32"/>
          <w:szCs w:val="32"/>
          <w:highlight w:val="none"/>
          <w:lang w:val="en-US" w:eastAsia="zh-CN"/>
        </w:rPr>
        <w:t>0.15万元，增长100%。</w:t>
      </w:r>
      <w:r>
        <w:rPr>
          <w:rFonts w:hint="eastAsia" w:ascii="仿宋" w:hAnsi="仿宋" w:eastAsia="仿宋" w:cs="仿宋"/>
          <w:color w:val="auto"/>
          <w:sz w:val="32"/>
          <w:szCs w:val="32"/>
          <w:highlight w:val="none"/>
        </w:rPr>
        <w:t>决算数与预算数持平。</w:t>
      </w:r>
    </w:p>
    <w:p>
      <w:pPr>
        <w:keepNext w:val="0"/>
        <w:keepLines w:val="0"/>
        <w:pageBreakBefore w:val="0"/>
        <w:widowControl w:val="0"/>
        <w:kinsoku/>
        <w:wordWrap/>
        <w:overflowPunct/>
        <w:topLinePunct w:val="0"/>
        <w:autoSpaceDE/>
        <w:autoSpaceDN/>
        <w:bidi w:val="0"/>
        <w:spacing w:line="560" w:lineRule="exact"/>
        <w:ind w:firstLine="640"/>
        <w:textAlignment w:val="auto"/>
        <w:outlineLvl w:val="2"/>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（二）“三公”经费财政拨款支出决算具体情况说明</w:t>
      </w:r>
    </w:p>
    <w:p>
      <w:pPr>
        <w:keepNext w:val="0"/>
        <w:keepLines w:val="0"/>
        <w:pageBreakBefore w:val="0"/>
        <w:widowControl w:val="0"/>
        <w:kinsoku/>
        <w:wordWrap/>
        <w:overflowPunct/>
        <w:topLinePunct w:val="0"/>
        <w:autoSpaceDE/>
        <w:autoSpaceDN/>
        <w:bidi w:val="0"/>
        <w:spacing w:line="560" w:lineRule="exact"/>
        <w:ind w:firstLine="64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2023</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eastAsia="zh-CN"/>
        </w:rPr>
        <w:t>度</w:t>
      </w:r>
      <w:r>
        <w:rPr>
          <w:rFonts w:hint="eastAsia" w:ascii="仿宋" w:hAnsi="仿宋" w:eastAsia="仿宋" w:cs="仿宋"/>
          <w:color w:val="auto"/>
          <w:sz w:val="32"/>
          <w:szCs w:val="32"/>
          <w:highlight w:val="none"/>
        </w:rPr>
        <w:t>“三公”经费财政拨款支出决算中，因公出国（境）费支出决算</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%；公务用车购置及运行维护费支出决算</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%；公务接待费支出决算</w:t>
      </w:r>
      <w:r>
        <w:rPr>
          <w:rFonts w:hint="eastAsia" w:ascii="仿宋" w:hAnsi="仿宋" w:eastAsia="仿宋" w:cs="仿宋"/>
          <w:color w:val="auto"/>
          <w:sz w:val="32"/>
          <w:szCs w:val="32"/>
          <w:highlight w:val="none"/>
          <w:lang w:val="en-US" w:eastAsia="zh-CN"/>
        </w:rPr>
        <w:t>0.15</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%。具体情况如下：</w:t>
      </w:r>
    </w:p>
    <w:p>
      <w:pPr>
        <w:pStyle w:val="4"/>
        <w:rPr>
          <w:rFonts w:hint="eastAsia" w:ascii="仿宋_GB2312" w:hAnsi="仿宋_GB2312" w:eastAsia="仿宋_GB2312" w:cs="仿宋_GB2312"/>
          <w:color w:val="auto"/>
          <w:sz w:val="32"/>
          <w:szCs w:val="32"/>
          <w:highlight w:val="none"/>
        </w:rPr>
      </w:pPr>
      <w:r>
        <w:rPr>
          <w:rFonts w:hint="eastAsia" w:ascii="仿宋" w:hAnsi="仿宋" w:eastAsia="仿宋"/>
          <w:color w:val="auto"/>
          <w:sz w:val="32"/>
          <w:szCs w:val="32"/>
          <w:highlight w:val="none"/>
          <w:shd w:val="pct10" w:color="auto" w:fill="FFFFFF"/>
          <w:lang w:eastAsia="zh-CN"/>
        </w:rPr>
        <w:drawing>
          <wp:anchor distT="0" distB="0" distL="114300" distR="114300" simplePos="0" relativeHeight="251664384" behindDoc="0" locked="0" layoutInCell="1" allowOverlap="1">
            <wp:simplePos x="0" y="0"/>
            <wp:positionH relativeFrom="column">
              <wp:posOffset>522605</wp:posOffset>
            </wp:positionH>
            <wp:positionV relativeFrom="paragraph">
              <wp:posOffset>118745</wp:posOffset>
            </wp:positionV>
            <wp:extent cx="4439920" cy="2499360"/>
            <wp:effectExtent l="4445" t="4445" r="5715" b="10795"/>
            <wp:wrapSquare wrapText="bothSides"/>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pStyle w:val="4"/>
        <w:rPr>
          <w:rFonts w:hint="eastAsia" w:ascii="仿宋_GB2312" w:hAnsi="仿宋_GB2312" w:eastAsia="仿宋_GB2312" w:cs="仿宋_GB2312"/>
          <w:color w:val="auto"/>
          <w:sz w:val="32"/>
          <w:szCs w:val="32"/>
          <w:highlight w:val="none"/>
        </w:rPr>
      </w:pPr>
    </w:p>
    <w:p>
      <w:pPr>
        <w:pStyle w:val="4"/>
        <w:rPr>
          <w:rFonts w:hint="eastAsia"/>
          <w:highlight w:val="none"/>
        </w:rPr>
      </w:pPr>
    </w:p>
    <w:p>
      <w:pPr>
        <w:spacing w:line="600" w:lineRule="exact"/>
        <w:ind w:firstLine="640"/>
        <w:rPr>
          <w:rFonts w:hint="eastAsia" w:ascii="仿宋_GB2312" w:hAnsi="仿宋_GB2312" w:eastAsia="仿宋_GB2312" w:cs="仿宋_GB2312"/>
          <w:color w:val="auto"/>
          <w:sz w:val="32"/>
          <w:szCs w:val="32"/>
          <w:highlight w:val="none"/>
        </w:rPr>
      </w:pPr>
    </w:p>
    <w:p>
      <w:pPr>
        <w:spacing w:line="600" w:lineRule="exact"/>
        <w:ind w:firstLine="640"/>
        <w:rPr>
          <w:rFonts w:hint="eastAsia" w:ascii="仿宋_GB2312" w:hAnsi="仿宋_GB2312" w:eastAsia="仿宋_GB2312" w:cs="仿宋_GB2312"/>
          <w:color w:val="auto"/>
          <w:sz w:val="32"/>
          <w:szCs w:val="32"/>
          <w:highlight w:val="none"/>
        </w:rPr>
      </w:pPr>
    </w:p>
    <w:p>
      <w:pPr>
        <w:spacing w:line="600" w:lineRule="exact"/>
        <w:ind w:firstLine="640"/>
        <w:rPr>
          <w:rFonts w:hint="eastAsia" w:ascii="仿宋_GB2312" w:hAnsi="仿宋_GB2312" w:eastAsia="仿宋_GB2312" w:cs="仿宋_GB2312"/>
          <w:color w:val="auto"/>
          <w:sz w:val="32"/>
          <w:szCs w:val="32"/>
          <w:highlight w:val="none"/>
        </w:rPr>
      </w:pPr>
    </w:p>
    <w:p>
      <w:pPr>
        <w:spacing w:line="600" w:lineRule="exact"/>
        <w:ind w:firstLine="640"/>
        <w:rPr>
          <w:rFonts w:hint="eastAsia" w:ascii="仿宋_GB2312" w:hAnsi="仿宋_GB2312" w:eastAsia="仿宋_GB2312" w:cs="仿宋_GB2312"/>
          <w:color w:val="auto"/>
          <w:sz w:val="32"/>
          <w:szCs w:val="32"/>
          <w:highlight w:val="none"/>
        </w:rPr>
      </w:pPr>
    </w:p>
    <w:p>
      <w:pPr>
        <w:keepNext w:val="0"/>
        <w:keepLines w:val="0"/>
        <w:pageBreakBefore w:val="0"/>
        <w:widowControl w:val="0"/>
        <w:kinsoku/>
        <w:wordWrap/>
        <w:overflowPunct/>
        <w:topLinePunct w:val="0"/>
        <w:bidi w:val="0"/>
        <w:spacing w:line="560" w:lineRule="exact"/>
        <w:ind w:firstLine="640"/>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（图7：“三公”经费财政拨款支出结构）</w:t>
      </w:r>
    </w:p>
    <w:p>
      <w:pPr>
        <w:keepNext w:val="0"/>
        <w:keepLines w:val="0"/>
        <w:pageBreakBefore w:val="0"/>
        <w:widowControl w:val="0"/>
        <w:numPr>
          <w:ilvl w:val="0"/>
          <w:numId w:val="0"/>
        </w:numPr>
        <w:kinsoku/>
        <w:wordWrap/>
        <w:overflowPunct/>
        <w:topLinePunct w:val="0"/>
        <w:bidi w:val="0"/>
        <w:spacing w:line="560" w:lineRule="exact"/>
        <w:ind w:firstLine="642"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bCs w:val="0"/>
          <w:color w:val="auto"/>
          <w:sz w:val="32"/>
          <w:szCs w:val="32"/>
          <w:highlight w:val="none"/>
          <w:shd w:val="clear"/>
          <w:lang w:val="en-US" w:eastAsia="zh-CN"/>
        </w:rPr>
        <w:t>1.因公出国</w:t>
      </w:r>
      <w:r>
        <w:rPr>
          <w:rFonts w:hint="eastAsia" w:ascii="仿宋" w:hAnsi="仿宋" w:eastAsia="仿宋" w:cs="仿宋"/>
          <w:b/>
          <w:bCs w:val="0"/>
          <w:color w:val="auto"/>
          <w:sz w:val="32"/>
          <w:szCs w:val="32"/>
          <w:highlight w:val="none"/>
          <w:shd w:val="clear"/>
        </w:rPr>
        <w:t>（境）</w:t>
      </w:r>
      <w:r>
        <w:rPr>
          <w:rFonts w:hint="eastAsia" w:ascii="仿宋" w:hAnsi="仿宋" w:eastAsia="仿宋" w:cs="仿宋"/>
          <w:b/>
          <w:bCs w:val="0"/>
          <w:color w:val="auto"/>
          <w:sz w:val="32"/>
          <w:szCs w:val="32"/>
          <w:highlight w:val="none"/>
          <w:shd w:val="clear"/>
          <w:lang w:val="en-US" w:eastAsia="zh-CN"/>
        </w:rPr>
        <w:t>经费支出</w:t>
      </w:r>
      <w:r>
        <w:rPr>
          <w:rFonts w:hint="eastAsia" w:ascii="仿宋" w:hAnsi="仿宋" w:eastAsia="仿宋" w:cs="仿宋"/>
          <w:b w:val="0"/>
          <w:bCs/>
          <w:color w:val="auto"/>
          <w:sz w:val="32"/>
          <w:szCs w:val="32"/>
          <w:highlight w:val="none"/>
          <w:shd w:val="clear"/>
          <w:lang w:val="en-US" w:eastAsia="zh-CN"/>
        </w:rPr>
        <w:t>0万元，年初未安排预算</w:t>
      </w:r>
      <w:r>
        <w:rPr>
          <w:rStyle w:val="11"/>
          <w:rFonts w:hint="eastAsia" w:ascii="仿宋" w:hAnsi="仿宋" w:eastAsia="仿宋" w:cs="仿宋"/>
          <w:b w:val="0"/>
          <w:bCs/>
          <w:color w:val="auto"/>
          <w:sz w:val="32"/>
          <w:szCs w:val="32"/>
          <w:highlight w:val="none"/>
          <w:shd w:val="clear"/>
        </w:rPr>
        <w:t>。</w:t>
      </w:r>
      <w:r>
        <w:rPr>
          <w:rFonts w:hint="eastAsia" w:ascii="仿宋" w:hAnsi="仿宋" w:eastAsia="仿宋" w:cs="仿宋"/>
          <w:b w:val="0"/>
          <w:bCs/>
          <w:color w:val="auto"/>
          <w:sz w:val="32"/>
          <w:szCs w:val="32"/>
          <w:highlight w:val="none"/>
        </w:rPr>
        <w:t>全年安排因公出国（境）团组</w:t>
      </w:r>
      <w:r>
        <w:rPr>
          <w:rFonts w:hint="eastAsia" w:ascii="仿宋" w:hAnsi="仿宋" w:eastAsia="仿宋" w:cs="仿宋"/>
          <w:b w:val="0"/>
          <w:bCs/>
          <w:color w:val="auto"/>
          <w:sz w:val="32"/>
          <w:szCs w:val="32"/>
          <w:highlight w:val="none"/>
          <w:lang w:val="en-US" w:eastAsia="zh-CN"/>
        </w:rPr>
        <w:t>0</w:t>
      </w:r>
      <w:r>
        <w:rPr>
          <w:rFonts w:hint="eastAsia" w:ascii="仿宋" w:hAnsi="仿宋" w:eastAsia="仿宋" w:cs="仿宋"/>
          <w:b w:val="0"/>
          <w:bCs/>
          <w:color w:val="auto"/>
          <w:sz w:val="32"/>
          <w:szCs w:val="32"/>
          <w:highlight w:val="none"/>
        </w:rPr>
        <w:t>次，出国（境）</w:t>
      </w:r>
      <w:r>
        <w:rPr>
          <w:rFonts w:hint="eastAsia" w:ascii="仿宋" w:hAnsi="仿宋" w:eastAsia="仿宋" w:cs="仿宋"/>
          <w:b w:val="0"/>
          <w:bCs/>
          <w:color w:val="auto"/>
          <w:sz w:val="32"/>
          <w:szCs w:val="32"/>
          <w:highlight w:val="none"/>
          <w:lang w:val="en-US" w:eastAsia="zh-CN"/>
        </w:rPr>
        <w:t>0</w:t>
      </w:r>
      <w:r>
        <w:rPr>
          <w:rFonts w:hint="eastAsia" w:ascii="仿宋" w:hAnsi="仿宋" w:eastAsia="仿宋" w:cs="仿宋"/>
          <w:b w:val="0"/>
          <w:bCs/>
          <w:color w:val="auto"/>
          <w:sz w:val="32"/>
          <w:szCs w:val="32"/>
          <w:highlight w:val="none"/>
        </w:rPr>
        <w:t>人。</w:t>
      </w:r>
      <w:r>
        <w:rPr>
          <w:rFonts w:hint="eastAsia" w:ascii="仿宋" w:hAnsi="仿宋" w:eastAsia="仿宋" w:cs="仿宋"/>
          <w:b w:val="0"/>
          <w:bCs/>
          <w:color w:val="auto"/>
          <w:sz w:val="32"/>
          <w:szCs w:val="32"/>
          <w:highlight w:val="none"/>
          <w:lang w:val="en-US" w:eastAsia="zh-CN"/>
        </w:rPr>
        <w:t>因公出国</w:t>
      </w:r>
      <w:r>
        <w:rPr>
          <w:rFonts w:hint="eastAsia" w:ascii="仿宋" w:hAnsi="仿宋" w:eastAsia="仿宋" w:cs="仿宋"/>
          <w:b w:val="0"/>
          <w:bCs/>
          <w:color w:val="auto"/>
          <w:sz w:val="32"/>
          <w:szCs w:val="32"/>
          <w:highlight w:val="none"/>
        </w:rPr>
        <w:t>（境）</w:t>
      </w:r>
      <w:r>
        <w:rPr>
          <w:rFonts w:hint="eastAsia" w:ascii="仿宋" w:hAnsi="仿宋" w:eastAsia="仿宋" w:cs="仿宋"/>
          <w:b w:val="0"/>
          <w:bCs/>
          <w:color w:val="auto"/>
          <w:sz w:val="32"/>
          <w:szCs w:val="32"/>
          <w:highlight w:val="none"/>
          <w:lang w:val="en-US" w:eastAsia="zh-CN"/>
        </w:rPr>
        <w:t>支出决算较2022年无变化</w:t>
      </w:r>
      <w:r>
        <w:rPr>
          <w:rFonts w:hint="eastAsia" w:ascii="仿宋" w:hAnsi="仿宋" w:eastAsia="仿宋" w:cs="仿宋"/>
          <w:b w:val="0"/>
          <w:bCs/>
          <w:color w:val="auto"/>
          <w:sz w:val="32"/>
          <w:szCs w:val="32"/>
          <w:highlight w:val="none"/>
        </w:rPr>
        <w:t>。</w:t>
      </w:r>
    </w:p>
    <w:p>
      <w:pPr>
        <w:keepNext w:val="0"/>
        <w:keepLines w:val="0"/>
        <w:pageBreakBefore w:val="0"/>
        <w:widowControl w:val="0"/>
        <w:numPr>
          <w:ilvl w:val="0"/>
          <w:numId w:val="0"/>
        </w:numPr>
        <w:kinsoku/>
        <w:wordWrap/>
        <w:overflowPunct/>
        <w:topLinePunct w:val="0"/>
        <w:bidi w:val="0"/>
        <w:spacing w:beforeLines="0" w:afterLines="0" w:line="560" w:lineRule="exact"/>
        <w:ind w:firstLine="642" w:firstLineChars="200"/>
        <w:textAlignment w:val="auto"/>
        <w:rPr>
          <w:rFonts w:hint="eastAsia" w:ascii="仿宋" w:hAnsi="仿宋" w:eastAsia="仿宋" w:cs="仿宋"/>
          <w:b w:val="0"/>
          <w:bCs/>
          <w:color w:val="auto"/>
          <w:sz w:val="32"/>
          <w:szCs w:val="32"/>
          <w:highlight w:val="none"/>
        </w:rPr>
      </w:pPr>
      <w:r>
        <w:rPr>
          <w:rFonts w:hint="eastAsia" w:ascii="仿宋" w:hAnsi="仿宋" w:eastAsia="仿宋" w:cs="仿宋"/>
          <w:b/>
          <w:bCs w:val="0"/>
          <w:color w:val="auto"/>
          <w:sz w:val="32"/>
          <w:szCs w:val="32"/>
          <w:highlight w:val="none"/>
        </w:rPr>
        <w:t>2.公务用车购置及运行维护费支出</w:t>
      </w:r>
      <w:r>
        <w:rPr>
          <w:rFonts w:hint="eastAsia" w:ascii="仿宋" w:hAnsi="仿宋" w:eastAsia="仿宋" w:cs="仿宋"/>
          <w:b w:val="0"/>
          <w:bCs/>
          <w:color w:val="auto"/>
          <w:sz w:val="32"/>
          <w:szCs w:val="32"/>
          <w:highlight w:val="none"/>
          <w:lang w:val="en-US" w:eastAsia="zh-CN"/>
        </w:rPr>
        <w:t>0</w:t>
      </w:r>
      <w:r>
        <w:rPr>
          <w:rFonts w:hint="eastAsia" w:ascii="仿宋" w:hAnsi="仿宋" w:eastAsia="仿宋" w:cs="仿宋"/>
          <w:b w:val="0"/>
          <w:bCs/>
          <w:color w:val="auto"/>
          <w:sz w:val="32"/>
          <w:szCs w:val="32"/>
          <w:highlight w:val="none"/>
        </w:rPr>
        <w:t>万元</w:t>
      </w:r>
      <w:r>
        <w:rPr>
          <w:rFonts w:hint="eastAsia" w:ascii="仿宋" w:hAnsi="仿宋" w:eastAsia="仿宋" w:cs="仿宋"/>
          <w:b w:val="0"/>
          <w:bCs/>
          <w:color w:val="auto"/>
          <w:sz w:val="32"/>
          <w:szCs w:val="32"/>
          <w:highlight w:val="none"/>
          <w:lang w:eastAsia="zh-CN"/>
        </w:rPr>
        <w:t>，</w:t>
      </w:r>
      <w:r>
        <w:rPr>
          <w:rFonts w:hint="eastAsia" w:ascii="仿宋" w:hAnsi="仿宋" w:eastAsia="仿宋" w:cs="仿宋"/>
          <w:b w:val="0"/>
          <w:bCs/>
          <w:color w:val="auto"/>
          <w:sz w:val="32"/>
          <w:szCs w:val="32"/>
          <w:highlight w:val="none"/>
          <w:shd w:val="clear"/>
          <w:lang w:val="en-US" w:eastAsia="zh-CN"/>
        </w:rPr>
        <w:t>年初未安排预算</w:t>
      </w:r>
      <w:r>
        <w:rPr>
          <w:rStyle w:val="11"/>
          <w:rFonts w:hint="eastAsia" w:ascii="仿宋" w:hAnsi="仿宋" w:eastAsia="仿宋" w:cs="仿宋"/>
          <w:b w:val="0"/>
          <w:bCs/>
          <w:color w:val="auto"/>
          <w:sz w:val="32"/>
          <w:szCs w:val="32"/>
          <w:highlight w:val="none"/>
          <w:shd w:val="clear"/>
        </w:rPr>
        <w:t>。</w:t>
      </w:r>
      <w:r>
        <w:rPr>
          <w:rFonts w:hint="eastAsia" w:ascii="仿宋" w:hAnsi="仿宋" w:eastAsia="仿宋" w:cs="仿宋"/>
          <w:color w:val="auto"/>
          <w:sz w:val="32"/>
          <w:szCs w:val="32"/>
          <w:highlight w:val="none"/>
        </w:rPr>
        <w:t>公务用车购置及运行维护费支出决算</w:t>
      </w:r>
      <w:r>
        <w:rPr>
          <w:rFonts w:hint="eastAsia" w:ascii="仿宋" w:hAnsi="仿宋" w:eastAsia="仿宋" w:cs="仿宋"/>
          <w:color w:val="auto"/>
          <w:sz w:val="32"/>
          <w:szCs w:val="32"/>
          <w:highlight w:val="none"/>
          <w:lang w:val="en-US" w:eastAsia="zh-CN"/>
        </w:rPr>
        <w:t>较2022年无变化</w:t>
      </w:r>
      <w:r>
        <w:rPr>
          <w:rFonts w:hint="eastAsia" w:ascii="仿宋" w:hAnsi="仿宋" w:eastAsia="仿宋" w:cs="仿宋"/>
          <w:color w:val="auto"/>
          <w:sz w:val="32"/>
          <w:szCs w:val="32"/>
          <w:highlight w:val="none"/>
        </w:rPr>
        <w:t>。</w:t>
      </w:r>
    </w:p>
    <w:p>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 w:hAnsi="仿宋" w:eastAsia="仿宋" w:cs="仿宋"/>
          <w:b/>
          <w:color w:val="auto"/>
          <w:sz w:val="32"/>
          <w:szCs w:val="32"/>
          <w:highlight w:val="none"/>
        </w:rPr>
      </w:pPr>
      <w:r>
        <w:rPr>
          <w:rFonts w:hint="eastAsia" w:ascii="仿宋" w:hAnsi="仿宋" w:eastAsia="仿宋" w:cs="仿宋"/>
          <w:color w:val="auto"/>
          <w:sz w:val="32"/>
          <w:szCs w:val="32"/>
          <w:highlight w:val="none"/>
        </w:rPr>
        <w:t>其中：</w:t>
      </w:r>
      <w:r>
        <w:rPr>
          <w:rFonts w:hint="eastAsia" w:ascii="仿宋" w:hAnsi="仿宋" w:eastAsia="仿宋" w:cs="仿宋"/>
          <w:b/>
          <w:color w:val="auto"/>
          <w:sz w:val="32"/>
          <w:szCs w:val="32"/>
          <w:highlight w:val="none"/>
        </w:rPr>
        <w:t>公务用车购置支出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万元。全年按规定更新购置公务用车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截至</w:t>
      </w:r>
      <w:r>
        <w:rPr>
          <w:rFonts w:hint="eastAsia" w:ascii="仿宋" w:hAnsi="仿宋" w:eastAsia="仿宋" w:cs="仿宋"/>
          <w:color w:val="auto"/>
          <w:sz w:val="32"/>
          <w:szCs w:val="32"/>
          <w:highlight w:val="none"/>
          <w:lang w:eastAsia="zh-CN"/>
        </w:rPr>
        <w:t>2023</w:t>
      </w:r>
      <w:r>
        <w:rPr>
          <w:rFonts w:hint="eastAsia" w:ascii="仿宋" w:hAnsi="仿宋" w:eastAsia="仿宋" w:cs="仿宋"/>
          <w:color w:val="auto"/>
          <w:sz w:val="32"/>
          <w:szCs w:val="32"/>
          <w:highlight w:val="none"/>
        </w:rPr>
        <w:t>年12月</w:t>
      </w:r>
      <w:r>
        <w:rPr>
          <w:rFonts w:hint="eastAsia" w:ascii="仿宋" w:hAnsi="仿宋" w:eastAsia="仿宋" w:cs="仿宋"/>
          <w:color w:val="auto"/>
          <w:sz w:val="32"/>
          <w:szCs w:val="32"/>
          <w:highlight w:val="none"/>
          <w:lang w:val="en-US" w:eastAsia="zh-CN"/>
        </w:rPr>
        <w:t>31日</w:t>
      </w:r>
      <w:r>
        <w:rPr>
          <w:rFonts w:hint="eastAsia" w:ascii="仿宋" w:hAnsi="仿宋" w:eastAsia="仿宋" w:cs="仿宋"/>
          <w:color w:val="auto"/>
          <w:sz w:val="32"/>
          <w:szCs w:val="32"/>
          <w:highlight w:val="none"/>
        </w:rPr>
        <w:t>，单位共有公务用车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w:t>
      </w:r>
    </w:p>
    <w:p>
      <w:pPr>
        <w:keepNext w:val="0"/>
        <w:keepLines w:val="0"/>
        <w:pageBreakBefore w:val="0"/>
        <w:widowControl w:val="0"/>
        <w:kinsoku/>
        <w:wordWrap/>
        <w:overflowPunct/>
        <w:topLinePunct w:val="0"/>
        <w:bidi w:val="0"/>
        <w:spacing w:line="560" w:lineRule="exact"/>
        <w:ind w:firstLine="640"/>
        <w:textAlignment w:val="auto"/>
        <w:rPr>
          <w:rFonts w:hint="eastAsia" w:ascii="仿宋" w:hAnsi="仿宋" w:eastAsia="仿宋" w:cs="仿宋"/>
          <w:color w:val="auto"/>
          <w:sz w:val="32"/>
          <w:szCs w:val="32"/>
          <w:highlight w:val="none"/>
        </w:rPr>
      </w:pPr>
      <w:r>
        <w:rPr>
          <w:rFonts w:hint="eastAsia" w:ascii="仿宋" w:hAnsi="仿宋" w:eastAsia="仿宋" w:cs="仿宋"/>
          <w:b/>
          <w:color w:val="auto"/>
          <w:sz w:val="32"/>
          <w:szCs w:val="32"/>
          <w:highlight w:val="none"/>
        </w:rPr>
        <w:t>公务用车运行维护费支出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w:t>
      </w:r>
    </w:p>
    <w:p>
      <w:pPr>
        <w:keepNext w:val="0"/>
        <w:keepLines w:val="0"/>
        <w:pageBreakBefore w:val="0"/>
        <w:widowControl w:val="0"/>
        <w:kinsoku/>
        <w:wordWrap/>
        <w:overflowPunct/>
        <w:topLinePunct w:val="0"/>
        <w:bidi w:val="0"/>
        <w:spacing w:line="560" w:lineRule="exact"/>
        <w:ind w:firstLine="640"/>
        <w:textAlignment w:val="auto"/>
        <w:rPr>
          <w:rFonts w:hint="eastAsia" w:ascii="仿宋" w:hAnsi="仿宋" w:eastAsia="仿宋" w:cs="仿宋"/>
          <w:color w:val="auto"/>
          <w:sz w:val="32"/>
          <w:szCs w:val="32"/>
          <w:highlight w:val="none"/>
        </w:rPr>
      </w:pPr>
      <w:r>
        <w:rPr>
          <w:rFonts w:hint="eastAsia" w:ascii="仿宋" w:hAnsi="仿宋" w:eastAsia="仿宋" w:cs="仿宋"/>
          <w:b/>
          <w:color w:val="auto"/>
          <w:sz w:val="32"/>
          <w:szCs w:val="32"/>
          <w:highlight w:val="none"/>
        </w:rPr>
        <w:t>3.公务接待费支出</w:t>
      </w:r>
      <w:r>
        <w:rPr>
          <w:rFonts w:hint="eastAsia" w:ascii="仿宋" w:hAnsi="仿宋" w:eastAsia="仿宋" w:cs="仿宋"/>
          <w:color w:val="auto"/>
          <w:sz w:val="32"/>
          <w:szCs w:val="32"/>
          <w:highlight w:val="none"/>
          <w:lang w:val="en-US" w:eastAsia="zh-CN"/>
        </w:rPr>
        <w:t>0.15</w:t>
      </w:r>
      <w:r>
        <w:rPr>
          <w:rFonts w:hint="eastAsia" w:ascii="仿宋" w:hAnsi="仿宋" w:eastAsia="仿宋" w:cs="仿宋"/>
          <w:color w:val="auto"/>
          <w:sz w:val="32"/>
          <w:szCs w:val="32"/>
          <w:highlight w:val="none"/>
        </w:rPr>
        <w:t>万元，</w:t>
      </w:r>
      <w:r>
        <w:rPr>
          <w:rStyle w:val="11"/>
          <w:rFonts w:hint="eastAsia" w:ascii="仿宋" w:hAnsi="仿宋" w:eastAsia="仿宋" w:cs="仿宋"/>
          <w:b w:val="0"/>
          <w:bCs/>
          <w:color w:val="auto"/>
          <w:sz w:val="32"/>
          <w:szCs w:val="32"/>
          <w:highlight w:val="none"/>
        </w:rPr>
        <w:t>完成预算</w:t>
      </w:r>
      <w:r>
        <w:rPr>
          <w:rStyle w:val="11"/>
          <w:rFonts w:hint="eastAsia" w:ascii="仿宋" w:hAnsi="仿宋" w:eastAsia="仿宋" w:cs="仿宋"/>
          <w:b w:val="0"/>
          <w:bCs/>
          <w:color w:val="auto"/>
          <w:sz w:val="32"/>
          <w:szCs w:val="32"/>
          <w:highlight w:val="none"/>
          <w:lang w:val="en-US" w:eastAsia="zh-CN"/>
        </w:rPr>
        <w:t>100</w:t>
      </w:r>
      <w:r>
        <w:rPr>
          <w:rStyle w:val="11"/>
          <w:rFonts w:hint="eastAsia" w:ascii="仿宋" w:hAnsi="仿宋" w:eastAsia="仿宋" w:cs="仿宋"/>
          <w:b w:val="0"/>
          <w:bCs/>
          <w:color w:val="auto"/>
          <w:sz w:val="32"/>
          <w:szCs w:val="32"/>
          <w:highlight w:val="none"/>
        </w:rPr>
        <w:t>%。</w:t>
      </w:r>
      <w:r>
        <w:rPr>
          <w:rFonts w:hint="eastAsia" w:ascii="仿宋" w:hAnsi="仿宋" w:eastAsia="仿宋" w:cs="仿宋"/>
          <w:color w:val="auto"/>
          <w:sz w:val="32"/>
          <w:szCs w:val="32"/>
          <w:highlight w:val="none"/>
        </w:rPr>
        <w:t>公务接待费支出决算比</w:t>
      </w:r>
      <w:r>
        <w:rPr>
          <w:rFonts w:hint="eastAsia" w:ascii="仿宋" w:hAnsi="仿宋" w:eastAsia="仿宋" w:cs="仿宋"/>
          <w:color w:val="auto"/>
          <w:sz w:val="32"/>
          <w:szCs w:val="32"/>
          <w:highlight w:val="none"/>
          <w:lang w:eastAsia="zh-CN"/>
        </w:rPr>
        <w:t>2022</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eastAsia="zh-CN"/>
        </w:rPr>
        <w:t>度</w:t>
      </w:r>
      <w:r>
        <w:rPr>
          <w:rFonts w:hint="eastAsia" w:ascii="仿宋" w:hAnsi="仿宋" w:eastAsia="仿宋" w:cs="仿宋"/>
          <w:color w:val="auto"/>
          <w:sz w:val="32"/>
          <w:szCs w:val="32"/>
          <w:highlight w:val="none"/>
        </w:rPr>
        <w:t>增加</w:t>
      </w:r>
      <w:r>
        <w:rPr>
          <w:rFonts w:hint="eastAsia" w:ascii="仿宋" w:hAnsi="仿宋" w:eastAsia="仿宋" w:cs="仿宋"/>
          <w:color w:val="auto"/>
          <w:sz w:val="32"/>
          <w:szCs w:val="32"/>
          <w:highlight w:val="none"/>
          <w:lang w:val="en-US" w:eastAsia="zh-CN"/>
        </w:rPr>
        <w:t>0.15</w:t>
      </w:r>
      <w:r>
        <w:rPr>
          <w:rFonts w:hint="eastAsia" w:ascii="仿宋" w:hAnsi="仿宋" w:eastAsia="仿宋" w:cs="仿宋"/>
          <w:color w:val="auto"/>
          <w:sz w:val="32"/>
          <w:szCs w:val="32"/>
          <w:highlight w:val="none"/>
        </w:rPr>
        <w:t>万元，增长</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%。主要原因是</w:t>
      </w:r>
      <w:r>
        <w:rPr>
          <w:rFonts w:hint="eastAsia" w:ascii="仿宋" w:hAnsi="仿宋" w:eastAsia="仿宋" w:cs="仿宋"/>
          <w:color w:val="auto"/>
          <w:sz w:val="32"/>
          <w:szCs w:val="32"/>
          <w:highlight w:val="none"/>
          <w:lang w:val="en-US" w:eastAsia="zh-CN"/>
        </w:rPr>
        <w:t>业务量增加</w:t>
      </w:r>
      <w:r>
        <w:rPr>
          <w:rFonts w:hint="eastAsia" w:ascii="仿宋" w:hAnsi="仿宋" w:eastAsia="仿宋" w:cs="仿宋"/>
          <w:color w:val="auto"/>
          <w:sz w:val="32"/>
          <w:szCs w:val="32"/>
          <w:highlight w:val="none"/>
        </w:rPr>
        <w:t>。其中：</w:t>
      </w:r>
    </w:p>
    <w:p>
      <w:pPr>
        <w:keepNext w:val="0"/>
        <w:keepLines w:val="0"/>
        <w:pageBreakBefore w:val="0"/>
        <w:widowControl w:val="0"/>
        <w:kinsoku/>
        <w:wordWrap/>
        <w:overflowPunct/>
        <w:topLinePunct w:val="0"/>
        <w:bidi w:val="0"/>
        <w:spacing w:line="560" w:lineRule="exact"/>
        <w:ind w:firstLine="640"/>
        <w:textAlignment w:val="auto"/>
        <w:rPr>
          <w:rFonts w:hint="eastAsia" w:ascii="仿宋" w:hAnsi="仿宋" w:eastAsia="仿宋" w:cs="仿宋"/>
          <w:color w:val="auto"/>
          <w:sz w:val="32"/>
          <w:szCs w:val="32"/>
          <w:highlight w:val="none"/>
        </w:rPr>
      </w:pPr>
      <w:r>
        <w:rPr>
          <w:rFonts w:hint="eastAsia" w:ascii="仿宋" w:hAnsi="仿宋" w:eastAsia="仿宋" w:cs="仿宋"/>
          <w:b/>
          <w:color w:val="auto"/>
          <w:sz w:val="32"/>
          <w:szCs w:val="32"/>
          <w:highlight w:val="none"/>
        </w:rPr>
        <w:t>国内公务接待支出</w:t>
      </w:r>
      <w:r>
        <w:rPr>
          <w:rFonts w:hint="eastAsia" w:ascii="仿宋" w:hAnsi="仿宋" w:eastAsia="仿宋" w:cs="仿宋"/>
          <w:color w:val="auto"/>
          <w:sz w:val="32"/>
          <w:szCs w:val="32"/>
          <w:highlight w:val="none"/>
          <w:lang w:val="en-US" w:eastAsia="zh-CN"/>
        </w:rPr>
        <w:t>0.15</w:t>
      </w:r>
      <w:r>
        <w:rPr>
          <w:rFonts w:hint="eastAsia" w:ascii="仿宋" w:hAnsi="仿宋" w:eastAsia="仿宋" w:cs="仿宋"/>
          <w:color w:val="auto"/>
          <w:sz w:val="32"/>
          <w:szCs w:val="32"/>
          <w:highlight w:val="none"/>
        </w:rPr>
        <w:t>万元，主要用于开展业务活动开支的用餐费。国内公务接待</w:t>
      </w: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sz w:val="32"/>
          <w:szCs w:val="32"/>
          <w:highlight w:val="none"/>
        </w:rPr>
        <w:t>批次，</w:t>
      </w:r>
      <w:r>
        <w:rPr>
          <w:rFonts w:hint="eastAsia" w:ascii="仿宋" w:hAnsi="仿宋" w:eastAsia="仿宋" w:cs="仿宋"/>
          <w:color w:val="auto"/>
          <w:sz w:val="32"/>
          <w:szCs w:val="32"/>
          <w:highlight w:val="none"/>
          <w:lang w:val="en-US" w:eastAsia="zh-CN"/>
        </w:rPr>
        <w:t>13</w:t>
      </w:r>
      <w:r>
        <w:rPr>
          <w:rFonts w:hint="eastAsia" w:ascii="仿宋" w:hAnsi="仿宋" w:eastAsia="仿宋" w:cs="仿宋"/>
          <w:color w:val="auto"/>
          <w:sz w:val="32"/>
          <w:szCs w:val="32"/>
          <w:highlight w:val="none"/>
        </w:rPr>
        <w:t>人次</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共计支出</w:t>
      </w:r>
      <w:r>
        <w:rPr>
          <w:rFonts w:hint="eastAsia" w:ascii="仿宋" w:hAnsi="仿宋" w:eastAsia="仿宋" w:cs="仿宋"/>
          <w:color w:val="auto"/>
          <w:sz w:val="32"/>
          <w:szCs w:val="32"/>
          <w:highlight w:val="none"/>
          <w:lang w:val="en-US" w:eastAsia="zh-CN"/>
        </w:rPr>
        <w:t>0.15</w:t>
      </w:r>
      <w:r>
        <w:rPr>
          <w:rFonts w:hint="eastAsia" w:ascii="仿宋" w:hAnsi="仿宋" w:eastAsia="仿宋" w:cs="仿宋"/>
          <w:color w:val="auto"/>
          <w:sz w:val="32"/>
          <w:szCs w:val="32"/>
          <w:highlight w:val="none"/>
        </w:rPr>
        <w:t>万元，具体内容包括：</w:t>
      </w:r>
      <w:r>
        <w:rPr>
          <w:rFonts w:hint="eastAsia" w:ascii="仿宋" w:hAnsi="仿宋" w:eastAsia="仿宋" w:cs="仿宋"/>
          <w:color w:val="auto"/>
          <w:sz w:val="32"/>
          <w:szCs w:val="32"/>
          <w:highlight w:val="none"/>
          <w:lang w:val="en-US" w:eastAsia="zh-CN"/>
        </w:rPr>
        <w:t>接待汉中市等老年大学参加秦巴教育联席会艺术节，餐饮费0.15万元</w:t>
      </w:r>
      <w:r>
        <w:rPr>
          <w:rFonts w:hint="eastAsia" w:ascii="仿宋" w:hAnsi="仿宋" w:eastAsia="仿宋" w:cs="仿宋"/>
          <w:color w:val="auto"/>
          <w:sz w:val="32"/>
          <w:szCs w:val="32"/>
          <w:highlight w:val="none"/>
        </w:rPr>
        <w:t>。</w:t>
      </w:r>
    </w:p>
    <w:p>
      <w:pPr>
        <w:keepNext w:val="0"/>
        <w:keepLines w:val="0"/>
        <w:pageBreakBefore w:val="0"/>
        <w:widowControl w:val="0"/>
        <w:numPr>
          <w:ilvl w:val="0"/>
          <w:numId w:val="0"/>
        </w:numPr>
        <w:kinsoku/>
        <w:wordWrap/>
        <w:overflowPunct/>
        <w:topLinePunct w:val="0"/>
        <w:bidi w:val="0"/>
        <w:spacing w:beforeLines="0" w:afterLines="0" w:line="560" w:lineRule="exact"/>
        <w:ind w:firstLine="642" w:firstLineChars="200"/>
        <w:jc w:val="both"/>
        <w:textAlignment w:val="auto"/>
        <w:rPr>
          <w:rFonts w:hint="eastAsia" w:ascii="仿宋" w:hAnsi="仿宋" w:eastAsia="仿宋" w:cs="仿宋"/>
          <w:sz w:val="32"/>
          <w:szCs w:val="32"/>
          <w:highlight w:val="none"/>
        </w:rPr>
      </w:pPr>
      <w:r>
        <w:rPr>
          <w:rFonts w:hint="eastAsia" w:ascii="仿宋" w:hAnsi="仿宋" w:eastAsia="仿宋" w:cs="仿宋"/>
          <w:b/>
          <w:color w:val="000000"/>
          <w:kern w:val="2"/>
          <w:sz w:val="32"/>
          <w:szCs w:val="32"/>
          <w:highlight w:val="none"/>
          <w:lang w:val="zh-CN"/>
        </w:rPr>
        <w:t>外事接待</w:t>
      </w:r>
      <w:r>
        <w:rPr>
          <w:rFonts w:hint="eastAsia" w:ascii="仿宋" w:hAnsi="仿宋" w:eastAsia="仿宋" w:cs="仿宋"/>
          <w:color w:val="000000"/>
          <w:kern w:val="2"/>
          <w:sz w:val="32"/>
          <w:szCs w:val="32"/>
          <w:highlight w:val="none"/>
          <w:lang w:val="zh-CN"/>
        </w:rPr>
        <w:t>支出0万元。外事接待0批次，0人，共计支出0万元。</w:t>
      </w:r>
    </w:p>
    <w:p>
      <w:pPr>
        <w:pStyle w:val="8"/>
        <w:keepNext w:val="0"/>
        <w:keepLines w:val="0"/>
        <w:pageBreakBefore w:val="0"/>
        <w:widowControl w:val="0"/>
        <w:numPr>
          <w:ilvl w:val="0"/>
          <w:numId w:val="0"/>
        </w:numPr>
        <w:kinsoku/>
        <w:wordWrap/>
        <w:overflowPunct/>
        <w:topLinePunct w:val="0"/>
        <w:bidi w:val="0"/>
        <w:adjustRightInd w:val="0"/>
        <w:snapToGrid w:val="0"/>
        <w:spacing w:line="560" w:lineRule="exact"/>
        <w:ind w:leftChars="200" w:firstLine="320" w:firstLineChars="100"/>
        <w:jc w:val="left"/>
        <w:textAlignment w:val="auto"/>
        <w:outlineLvl w:val="1"/>
        <w:rPr>
          <w:rFonts w:hint="eastAsia" w:ascii="黑体" w:hAnsi="黑体" w:eastAsia="黑体" w:cs="黑体"/>
          <w:color w:val="auto"/>
          <w:sz w:val="32"/>
          <w:szCs w:val="32"/>
          <w:highlight w:val="none"/>
        </w:rPr>
      </w:pPr>
      <w:bookmarkStart w:id="16" w:name="_Toc21883"/>
      <w:r>
        <w:rPr>
          <w:rFonts w:hint="eastAsia" w:ascii="黑体" w:hAnsi="黑体" w:eastAsia="黑体" w:cs="黑体"/>
          <w:color w:val="auto"/>
          <w:sz w:val="32"/>
          <w:szCs w:val="32"/>
          <w:highlight w:val="none"/>
          <w:lang w:val="en-US" w:eastAsia="zh-CN"/>
        </w:rPr>
        <w:t>八、</w:t>
      </w:r>
      <w:r>
        <w:rPr>
          <w:rFonts w:hint="eastAsia" w:ascii="黑体" w:hAnsi="黑体" w:eastAsia="黑体" w:cs="黑体"/>
          <w:color w:val="auto"/>
          <w:sz w:val="32"/>
          <w:szCs w:val="32"/>
          <w:highlight w:val="none"/>
        </w:rPr>
        <w:t>政府性基金预算支出决算情况说明</w:t>
      </w:r>
      <w:bookmarkEnd w:id="16"/>
    </w:p>
    <w:p>
      <w:pPr>
        <w:keepNext w:val="0"/>
        <w:keepLines w:val="0"/>
        <w:pageBreakBefore w:val="0"/>
        <w:widowControl w:val="0"/>
        <w:kinsoku/>
        <w:wordWrap/>
        <w:overflowPunct/>
        <w:topLinePunct w:val="0"/>
        <w:bidi w:val="0"/>
        <w:spacing w:line="560" w:lineRule="exact"/>
        <w:ind w:firstLine="64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2023</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eastAsia="zh-CN"/>
        </w:rPr>
        <w:t>度</w:t>
      </w:r>
      <w:r>
        <w:rPr>
          <w:rFonts w:hint="eastAsia" w:ascii="仿宋" w:hAnsi="仿宋" w:eastAsia="仿宋" w:cs="仿宋"/>
          <w:color w:val="auto"/>
          <w:sz w:val="32"/>
          <w:szCs w:val="32"/>
          <w:highlight w:val="none"/>
        </w:rPr>
        <w:t>政府性基金预算</w:t>
      </w:r>
      <w:r>
        <w:rPr>
          <w:rFonts w:hint="eastAsia" w:ascii="仿宋" w:hAnsi="仿宋" w:eastAsia="仿宋" w:cs="仿宋"/>
          <w:color w:val="auto"/>
          <w:sz w:val="32"/>
          <w:szCs w:val="32"/>
          <w:highlight w:val="none"/>
          <w:lang w:eastAsia="zh-CN"/>
        </w:rPr>
        <w:t>财政</w:t>
      </w:r>
      <w:r>
        <w:rPr>
          <w:rFonts w:hint="eastAsia" w:ascii="仿宋" w:hAnsi="仿宋" w:eastAsia="仿宋" w:cs="仿宋"/>
          <w:color w:val="auto"/>
          <w:sz w:val="32"/>
          <w:szCs w:val="32"/>
          <w:highlight w:val="none"/>
        </w:rPr>
        <w:t>拨款支出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1"/>
        <w:rPr>
          <w:rStyle w:val="13"/>
          <w:rFonts w:ascii="黑体" w:hAnsi="黑体" w:eastAsia="黑体"/>
          <w:b w:val="0"/>
          <w:color w:val="auto"/>
          <w:highlight w:val="none"/>
        </w:rPr>
      </w:pPr>
      <w:bookmarkStart w:id="17" w:name="_Toc14826"/>
      <w:r>
        <w:rPr>
          <w:rStyle w:val="13"/>
          <w:rFonts w:hint="eastAsia" w:ascii="黑体" w:hAnsi="黑体" w:eastAsia="黑体"/>
          <w:b w:val="0"/>
          <w:color w:val="auto"/>
          <w:highlight w:val="none"/>
          <w:lang w:eastAsia="zh-CN"/>
        </w:rPr>
        <w:t>九、</w:t>
      </w:r>
      <w:r>
        <w:rPr>
          <w:rStyle w:val="13"/>
          <w:rFonts w:hint="eastAsia" w:ascii="黑体" w:hAnsi="黑体" w:eastAsia="黑体"/>
          <w:b w:val="0"/>
          <w:color w:val="auto"/>
          <w:highlight w:val="none"/>
        </w:rPr>
        <w:t>国有资本经营预算支出决算情况说明</w:t>
      </w:r>
      <w:bookmarkEnd w:id="17"/>
    </w:p>
    <w:p>
      <w:pPr>
        <w:keepNext w:val="0"/>
        <w:keepLines w:val="0"/>
        <w:pageBreakBefore w:val="0"/>
        <w:widowControl w:val="0"/>
        <w:kinsoku/>
        <w:wordWrap/>
        <w:overflowPunct/>
        <w:topLinePunct w:val="0"/>
        <w:bidi w:val="0"/>
        <w:spacing w:line="560" w:lineRule="exact"/>
        <w:ind w:firstLine="640"/>
        <w:textAlignment w:val="auto"/>
        <w:rPr>
          <w:rFonts w:hint="eastAsia" w:ascii="仿宋" w:hAnsi="仿宋" w:eastAsia="仿宋" w:cs="仿宋"/>
          <w:highlight w:val="none"/>
        </w:rPr>
      </w:pPr>
      <w:r>
        <w:rPr>
          <w:rFonts w:hint="eastAsia" w:ascii="仿宋" w:hAnsi="仿宋" w:eastAsia="仿宋" w:cs="仿宋"/>
          <w:color w:val="auto"/>
          <w:sz w:val="32"/>
          <w:szCs w:val="32"/>
          <w:highlight w:val="none"/>
          <w:lang w:eastAsia="zh-CN"/>
        </w:rPr>
        <w:t>2023</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eastAsia="zh-CN"/>
        </w:rPr>
        <w:t>度</w:t>
      </w:r>
      <w:r>
        <w:rPr>
          <w:rFonts w:hint="eastAsia" w:ascii="仿宋" w:hAnsi="仿宋" w:eastAsia="仿宋" w:cs="仿宋"/>
          <w:color w:val="auto"/>
          <w:sz w:val="32"/>
          <w:szCs w:val="32"/>
          <w:highlight w:val="none"/>
        </w:rPr>
        <w:t>国有资本经营预算</w:t>
      </w:r>
      <w:r>
        <w:rPr>
          <w:rFonts w:hint="eastAsia" w:ascii="仿宋" w:hAnsi="仿宋" w:eastAsia="仿宋" w:cs="仿宋"/>
          <w:color w:val="auto"/>
          <w:sz w:val="32"/>
          <w:szCs w:val="32"/>
          <w:highlight w:val="none"/>
          <w:lang w:eastAsia="zh-CN"/>
        </w:rPr>
        <w:t>财政</w:t>
      </w:r>
      <w:r>
        <w:rPr>
          <w:rFonts w:hint="eastAsia" w:ascii="仿宋" w:hAnsi="仿宋" w:eastAsia="仿宋" w:cs="仿宋"/>
          <w:color w:val="auto"/>
          <w:sz w:val="32"/>
          <w:szCs w:val="32"/>
          <w:highlight w:val="none"/>
        </w:rPr>
        <w:t>拨款支出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w:t>
      </w:r>
    </w:p>
    <w:p>
      <w:pPr>
        <w:pStyle w:val="8"/>
        <w:keepNext w:val="0"/>
        <w:keepLines w:val="0"/>
        <w:pageBreakBefore w:val="0"/>
        <w:widowControl w:val="0"/>
        <w:numPr>
          <w:ilvl w:val="0"/>
          <w:numId w:val="0"/>
        </w:numPr>
        <w:kinsoku/>
        <w:wordWrap/>
        <w:overflowPunct/>
        <w:topLinePunct w:val="0"/>
        <w:bidi w:val="0"/>
        <w:adjustRightInd w:val="0"/>
        <w:snapToGrid w:val="0"/>
        <w:spacing w:line="560" w:lineRule="exact"/>
        <w:ind w:leftChars="200" w:firstLine="320" w:firstLineChars="100"/>
        <w:jc w:val="left"/>
        <w:textAlignment w:val="auto"/>
        <w:outlineLvl w:val="1"/>
        <w:rPr>
          <w:rFonts w:hint="eastAsia" w:ascii="黑体" w:hAnsi="黑体" w:eastAsia="黑体" w:cs="黑体"/>
          <w:color w:val="auto"/>
          <w:sz w:val="32"/>
          <w:szCs w:val="32"/>
          <w:highlight w:val="none"/>
        </w:rPr>
      </w:pPr>
      <w:bookmarkStart w:id="18" w:name="_Toc29436"/>
      <w:r>
        <w:rPr>
          <w:rFonts w:hint="eastAsia" w:ascii="黑体" w:hAnsi="黑体" w:eastAsia="黑体" w:cs="黑体"/>
          <w:color w:val="auto"/>
          <w:sz w:val="32"/>
          <w:szCs w:val="32"/>
          <w:highlight w:val="none"/>
          <w:lang w:val="en-US" w:eastAsia="zh-CN"/>
        </w:rPr>
        <w:t>十、</w:t>
      </w:r>
      <w:r>
        <w:rPr>
          <w:rFonts w:hint="eastAsia" w:ascii="黑体" w:hAnsi="黑体" w:eastAsia="黑体" w:cs="黑体"/>
          <w:color w:val="auto"/>
          <w:sz w:val="32"/>
          <w:szCs w:val="32"/>
          <w:highlight w:val="none"/>
        </w:rPr>
        <w:t>其他重要事项的情况说明</w:t>
      </w:r>
      <w:bookmarkEnd w:id="18"/>
    </w:p>
    <w:p>
      <w:pPr>
        <w:keepNext w:val="0"/>
        <w:keepLines w:val="0"/>
        <w:pageBreakBefore w:val="0"/>
        <w:widowControl w:val="0"/>
        <w:kinsoku/>
        <w:wordWrap/>
        <w:overflowPunct/>
        <w:topLinePunct w:val="0"/>
        <w:bidi w:val="0"/>
        <w:spacing w:line="560" w:lineRule="exact"/>
        <w:ind w:firstLine="642" w:firstLineChars="200"/>
        <w:textAlignment w:val="auto"/>
        <w:outlineLvl w:val="2"/>
        <w:rPr>
          <w:rFonts w:hint="eastAsia" w:ascii="仿宋" w:hAnsi="仿宋" w:eastAsia="仿宋" w:cs="仿宋"/>
          <w:color w:val="auto"/>
          <w:sz w:val="32"/>
          <w:szCs w:val="32"/>
          <w:highlight w:val="none"/>
        </w:rPr>
      </w:pPr>
      <w:r>
        <w:rPr>
          <w:rFonts w:hint="eastAsia" w:ascii="仿宋" w:hAnsi="仿宋" w:eastAsia="仿宋" w:cs="仿宋"/>
          <w:b/>
          <w:color w:val="auto"/>
          <w:sz w:val="32"/>
          <w:szCs w:val="32"/>
          <w:highlight w:val="none"/>
        </w:rPr>
        <w:t>（一）机关运行经费支出情况</w:t>
      </w:r>
    </w:p>
    <w:p>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 w:hAnsi="仿宋" w:eastAsia="仿宋" w:cs="仿宋"/>
          <w:b w:val="0"/>
          <w:bCs/>
          <w:color w:val="auto"/>
          <w:sz w:val="32"/>
          <w:szCs w:val="32"/>
          <w:highlight w:val="none"/>
        </w:rPr>
      </w:pPr>
      <w:r>
        <w:rPr>
          <w:rFonts w:hint="eastAsia" w:ascii="仿宋" w:hAnsi="仿宋" w:eastAsia="仿宋" w:cs="仿宋"/>
          <w:b w:val="0"/>
          <w:bCs/>
          <w:color w:val="auto"/>
          <w:sz w:val="32"/>
          <w:szCs w:val="32"/>
          <w:highlight w:val="none"/>
          <w:lang w:val="en-US" w:eastAsia="zh-CN"/>
        </w:rPr>
        <w:t>2023年度，</w:t>
      </w:r>
      <w:r>
        <w:rPr>
          <w:rFonts w:hint="eastAsia" w:ascii="仿宋" w:hAnsi="仿宋" w:eastAsia="仿宋" w:cs="仿宋"/>
          <w:color w:val="auto"/>
          <w:kern w:val="2"/>
          <w:sz w:val="32"/>
          <w:szCs w:val="24"/>
          <w:highlight w:val="none"/>
          <w:lang w:val="zh-CN"/>
        </w:rPr>
        <w:t>广元市老年大学（广元市老年活动中心）</w:t>
      </w:r>
      <w:r>
        <w:rPr>
          <w:rFonts w:hint="eastAsia" w:ascii="仿宋" w:hAnsi="仿宋" w:eastAsia="仿宋" w:cs="仿宋"/>
          <w:b w:val="0"/>
          <w:bCs/>
          <w:i w:val="0"/>
          <w:iCs w:val="0"/>
          <w:caps w:val="0"/>
          <w:color w:val="000000"/>
          <w:spacing w:val="0"/>
          <w:sz w:val="32"/>
          <w:szCs w:val="32"/>
          <w:highlight w:val="none"/>
        </w:rPr>
        <w:t>未发生机关运行经费支出</w:t>
      </w:r>
      <w:r>
        <w:rPr>
          <w:rFonts w:hint="eastAsia" w:ascii="仿宋" w:hAnsi="仿宋" w:eastAsia="仿宋" w:cs="仿宋"/>
          <w:b w:val="0"/>
          <w:bCs/>
          <w:i w:val="0"/>
          <w:iCs w:val="0"/>
          <w:caps w:val="0"/>
          <w:color w:val="000000"/>
          <w:spacing w:val="0"/>
          <w:sz w:val="32"/>
          <w:szCs w:val="32"/>
          <w:highlight w:val="none"/>
          <w:lang w:eastAsia="zh-CN"/>
        </w:rPr>
        <w:t>，</w:t>
      </w:r>
      <w:r>
        <w:rPr>
          <w:rFonts w:hint="eastAsia" w:ascii="仿宋" w:hAnsi="仿宋" w:eastAsia="仿宋" w:cs="仿宋"/>
          <w:b w:val="0"/>
          <w:bCs/>
          <w:i w:val="0"/>
          <w:iCs w:val="0"/>
          <w:caps w:val="0"/>
          <w:color w:val="000000"/>
          <w:spacing w:val="0"/>
          <w:sz w:val="32"/>
          <w:szCs w:val="32"/>
          <w:highlight w:val="none"/>
          <w:lang w:val="en-US" w:eastAsia="zh-CN"/>
        </w:rPr>
        <w:t>与2022年决算数持平。</w:t>
      </w:r>
    </w:p>
    <w:p>
      <w:pPr>
        <w:keepNext w:val="0"/>
        <w:keepLines w:val="0"/>
        <w:pageBreakBefore w:val="0"/>
        <w:widowControl w:val="0"/>
        <w:kinsoku/>
        <w:wordWrap/>
        <w:overflowPunct/>
        <w:topLinePunct w:val="0"/>
        <w:autoSpaceDE w:val="0"/>
        <w:autoSpaceDN w:val="0"/>
        <w:bidi w:val="0"/>
        <w:adjustRightInd w:val="0"/>
        <w:spacing w:line="560" w:lineRule="exact"/>
        <w:ind w:firstLine="642" w:firstLineChars="200"/>
        <w:jc w:val="left"/>
        <w:textAlignment w:val="auto"/>
        <w:outlineLvl w:val="2"/>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（二）政府采购支出情况</w:t>
      </w:r>
    </w:p>
    <w:p>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2023</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eastAsia="zh-CN"/>
        </w:rPr>
        <w:t>度</w:t>
      </w:r>
      <w:r>
        <w:rPr>
          <w:rFonts w:hint="eastAsia" w:ascii="仿宋" w:hAnsi="仿宋" w:eastAsia="仿宋" w:cs="仿宋"/>
          <w:color w:val="auto"/>
          <w:sz w:val="32"/>
          <w:szCs w:val="32"/>
          <w:highlight w:val="none"/>
        </w:rPr>
        <w:t>，</w:t>
      </w:r>
      <w:r>
        <w:rPr>
          <w:rFonts w:hint="eastAsia" w:ascii="仿宋" w:hAnsi="仿宋" w:eastAsia="仿宋" w:cs="仿宋"/>
          <w:color w:val="auto"/>
          <w:kern w:val="2"/>
          <w:sz w:val="32"/>
          <w:szCs w:val="24"/>
          <w:highlight w:val="none"/>
          <w:lang w:val="zh-CN"/>
        </w:rPr>
        <w:t>广元市老年大学（广元市老年活动中心）</w:t>
      </w:r>
      <w:r>
        <w:rPr>
          <w:rFonts w:hint="eastAsia" w:ascii="仿宋" w:hAnsi="仿宋" w:eastAsia="仿宋" w:cs="仿宋"/>
          <w:color w:val="auto"/>
          <w:sz w:val="32"/>
          <w:szCs w:val="32"/>
          <w:highlight w:val="none"/>
        </w:rPr>
        <w:t>政府采购支出总额</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w:t>
      </w:r>
    </w:p>
    <w:p>
      <w:pPr>
        <w:keepNext w:val="0"/>
        <w:keepLines w:val="0"/>
        <w:pageBreakBefore w:val="0"/>
        <w:widowControl w:val="0"/>
        <w:kinsoku/>
        <w:wordWrap/>
        <w:overflowPunct/>
        <w:topLinePunct w:val="0"/>
        <w:autoSpaceDE w:val="0"/>
        <w:autoSpaceDN w:val="0"/>
        <w:bidi w:val="0"/>
        <w:adjustRightInd w:val="0"/>
        <w:spacing w:line="560" w:lineRule="exact"/>
        <w:ind w:firstLine="642" w:firstLineChars="200"/>
        <w:jc w:val="left"/>
        <w:textAlignment w:val="auto"/>
        <w:outlineLvl w:val="2"/>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（三）国有资产占有使用情况</w:t>
      </w:r>
    </w:p>
    <w:p>
      <w:pPr>
        <w:keepNext w:val="0"/>
        <w:keepLines w:val="0"/>
        <w:pageBreakBefore w:val="0"/>
        <w:widowControl w:val="0"/>
        <w:kinsoku/>
        <w:wordWrap/>
        <w:overflowPunct/>
        <w:topLinePunct w:val="0"/>
        <w:autoSpaceDE w:val="0"/>
        <w:autoSpaceDN w:val="0"/>
        <w:bidi w:val="0"/>
        <w:adjustRightInd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截至</w:t>
      </w:r>
      <w:r>
        <w:rPr>
          <w:rFonts w:hint="eastAsia" w:ascii="仿宋" w:hAnsi="仿宋" w:eastAsia="仿宋" w:cs="仿宋"/>
          <w:color w:val="auto"/>
          <w:sz w:val="32"/>
          <w:szCs w:val="32"/>
          <w:highlight w:val="none"/>
          <w:lang w:eastAsia="zh-CN"/>
        </w:rPr>
        <w:t>2023</w:t>
      </w:r>
      <w:r>
        <w:rPr>
          <w:rFonts w:hint="eastAsia" w:ascii="仿宋" w:hAnsi="仿宋" w:eastAsia="仿宋" w:cs="仿宋"/>
          <w:color w:val="auto"/>
          <w:sz w:val="32"/>
          <w:szCs w:val="32"/>
          <w:highlight w:val="none"/>
        </w:rPr>
        <w:t>年12月31日，</w:t>
      </w:r>
      <w:r>
        <w:rPr>
          <w:rFonts w:hint="eastAsia" w:ascii="仿宋" w:hAnsi="仿宋" w:eastAsia="仿宋" w:cs="仿宋"/>
          <w:color w:val="auto"/>
          <w:kern w:val="2"/>
          <w:sz w:val="32"/>
          <w:szCs w:val="24"/>
          <w:highlight w:val="none"/>
          <w:lang w:val="zh-CN"/>
        </w:rPr>
        <w:t>广元市老年大学（广元市老年活动中心）</w:t>
      </w:r>
      <w:r>
        <w:rPr>
          <w:rFonts w:hint="eastAsia" w:ascii="仿宋" w:hAnsi="仿宋" w:eastAsia="仿宋" w:cs="仿宋"/>
          <w:color w:val="auto"/>
          <w:sz w:val="32"/>
          <w:szCs w:val="32"/>
          <w:highlight w:val="none"/>
        </w:rPr>
        <w:t>共有车辆</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w:t>
      </w:r>
      <w:bookmarkStart w:id="35" w:name="_GoBack"/>
      <w:bookmarkEnd w:id="35"/>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单价50万元以上通用设备</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台（套），单价100万元以上专用设备</w:t>
      </w:r>
      <w:r>
        <w:rPr>
          <w:rFonts w:hint="eastAsia" w:ascii="仿宋" w:hAnsi="仿宋" w:eastAsia="仿宋" w:cs="仿宋"/>
          <w:color w:val="auto"/>
          <w:sz w:val="32"/>
          <w:szCs w:val="32"/>
          <w:highlight w:val="none"/>
          <w:lang w:eastAsia="zh-CN"/>
        </w:rPr>
        <w:t>（不含车辆）</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台（套）。</w:t>
      </w:r>
    </w:p>
    <w:p>
      <w:pPr>
        <w:keepNext w:val="0"/>
        <w:keepLines w:val="0"/>
        <w:pageBreakBefore w:val="0"/>
        <w:widowControl w:val="0"/>
        <w:kinsoku/>
        <w:wordWrap/>
        <w:overflowPunct/>
        <w:topLinePunct w:val="0"/>
        <w:autoSpaceDE w:val="0"/>
        <w:autoSpaceDN w:val="0"/>
        <w:bidi w:val="0"/>
        <w:adjustRightInd w:val="0"/>
        <w:spacing w:line="560" w:lineRule="exact"/>
        <w:ind w:firstLine="642" w:firstLineChars="200"/>
        <w:jc w:val="left"/>
        <w:textAlignment w:val="auto"/>
        <w:outlineLvl w:val="2"/>
        <w:rPr>
          <w:rFonts w:hint="eastAsia" w:ascii="仿宋" w:hAnsi="仿宋" w:eastAsia="仿宋" w:cs="仿宋"/>
          <w:b/>
          <w:color w:val="auto"/>
          <w:sz w:val="32"/>
          <w:szCs w:val="32"/>
          <w:highlight w:val="none"/>
          <w:lang w:eastAsia="zh-CN"/>
        </w:rPr>
      </w:pPr>
      <w:r>
        <w:rPr>
          <w:rFonts w:hint="eastAsia" w:ascii="仿宋" w:hAnsi="仿宋" w:eastAsia="仿宋" w:cs="仿宋"/>
          <w:b/>
          <w:color w:val="auto"/>
          <w:sz w:val="32"/>
          <w:szCs w:val="32"/>
          <w:highlight w:val="none"/>
        </w:rPr>
        <w:t>（四）预算绩效管理情况</w:t>
      </w:r>
    </w:p>
    <w:p>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eastAsia="zh-CN"/>
        </w:rPr>
        <w:t>根据预算绩效管理要求，本单位在</w:t>
      </w:r>
      <w:r>
        <w:rPr>
          <w:rFonts w:hint="eastAsia" w:ascii="仿宋" w:hAnsi="仿宋" w:eastAsia="仿宋" w:cs="仿宋"/>
          <w:color w:val="auto"/>
          <w:sz w:val="32"/>
          <w:szCs w:val="32"/>
          <w:highlight w:val="none"/>
          <w:lang w:val="en-US" w:eastAsia="zh-CN"/>
        </w:rPr>
        <w:t>2023年度</w:t>
      </w:r>
      <w:r>
        <w:rPr>
          <w:rFonts w:hint="eastAsia" w:ascii="仿宋" w:hAnsi="仿宋" w:eastAsia="仿宋" w:cs="仿宋"/>
          <w:color w:val="auto"/>
          <w:sz w:val="32"/>
          <w:szCs w:val="32"/>
          <w:highlight w:val="none"/>
          <w:lang w:eastAsia="zh-CN"/>
        </w:rPr>
        <w:t>预算编制阶段，组织对</w:t>
      </w:r>
      <w:r>
        <w:rPr>
          <w:rFonts w:hint="eastAsia" w:ascii="仿宋" w:hAnsi="仿宋" w:eastAsia="仿宋" w:cs="仿宋"/>
          <w:color w:val="000000"/>
          <w:sz w:val="32"/>
          <w:szCs w:val="32"/>
          <w:highlight w:val="none"/>
          <w:lang w:val="en-US" w:eastAsia="zh-CN" w:bidi="ar"/>
        </w:rPr>
        <w:t>老年活动中心包干经费</w:t>
      </w:r>
      <w:r>
        <w:rPr>
          <w:rFonts w:hint="eastAsia" w:ascii="仿宋" w:hAnsi="仿宋" w:eastAsia="仿宋" w:cs="仿宋"/>
          <w:color w:val="auto"/>
          <w:sz w:val="32"/>
          <w:szCs w:val="32"/>
          <w:highlight w:val="none"/>
          <w:lang w:eastAsia="zh-CN"/>
        </w:rPr>
        <w:t>项目等</w:t>
      </w:r>
      <w:r>
        <w:rPr>
          <w:rFonts w:hint="eastAsia" w:ascii="仿宋" w:hAnsi="仿宋" w:eastAsia="仿宋" w:cs="仿宋"/>
          <w:color w:val="auto"/>
          <w:sz w:val="32"/>
          <w:szCs w:val="32"/>
          <w:highlight w:val="none"/>
          <w:lang w:val="en-US" w:eastAsia="zh-CN"/>
        </w:rPr>
        <w:t>14个项目</w:t>
      </w:r>
      <w:r>
        <w:rPr>
          <w:rFonts w:hint="eastAsia" w:ascii="仿宋" w:hAnsi="仿宋" w:eastAsia="仿宋" w:cs="仿宋"/>
          <w:color w:val="auto"/>
          <w:sz w:val="32"/>
          <w:szCs w:val="32"/>
          <w:highlight w:val="none"/>
          <w:lang w:eastAsia="zh-CN"/>
        </w:rPr>
        <w:t>开展了预算事前绩效评估，对</w:t>
      </w:r>
      <w:r>
        <w:rPr>
          <w:rFonts w:hint="eastAsia" w:ascii="仿宋" w:hAnsi="仿宋" w:eastAsia="仿宋" w:cs="仿宋"/>
          <w:color w:val="auto"/>
          <w:sz w:val="32"/>
          <w:szCs w:val="32"/>
          <w:highlight w:val="none"/>
          <w:lang w:val="en-US" w:eastAsia="zh-CN"/>
        </w:rPr>
        <w:t>14</w:t>
      </w:r>
      <w:r>
        <w:rPr>
          <w:rFonts w:hint="eastAsia" w:ascii="仿宋" w:hAnsi="仿宋" w:eastAsia="仿宋" w:cs="仿宋"/>
          <w:color w:val="auto"/>
          <w:sz w:val="32"/>
          <w:szCs w:val="32"/>
          <w:highlight w:val="none"/>
          <w:lang w:eastAsia="zh-CN"/>
        </w:rPr>
        <w:t>个项目编制了绩效目标，预算执行过程中，选取</w:t>
      </w:r>
      <w:r>
        <w:rPr>
          <w:rFonts w:hint="eastAsia" w:ascii="仿宋" w:hAnsi="仿宋" w:eastAsia="仿宋" w:cs="仿宋"/>
          <w:color w:val="auto"/>
          <w:sz w:val="32"/>
          <w:szCs w:val="32"/>
          <w:highlight w:val="none"/>
          <w:lang w:val="en-US" w:eastAsia="zh-CN"/>
        </w:rPr>
        <w:t>14</w:t>
      </w:r>
      <w:r>
        <w:rPr>
          <w:rFonts w:hint="eastAsia" w:ascii="仿宋" w:hAnsi="仿宋" w:eastAsia="仿宋" w:cs="仿宋"/>
          <w:color w:val="auto"/>
          <w:sz w:val="32"/>
          <w:szCs w:val="32"/>
          <w:highlight w:val="none"/>
          <w:lang w:eastAsia="zh-CN"/>
        </w:rPr>
        <w:t>个项目开展绩效监控，组织对</w:t>
      </w:r>
      <w:r>
        <w:rPr>
          <w:rFonts w:hint="eastAsia" w:ascii="仿宋" w:hAnsi="仿宋" w:eastAsia="仿宋" w:cs="仿宋"/>
          <w:color w:val="auto"/>
          <w:sz w:val="32"/>
          <w:szCs w:val="32"/>
          <w:highlight w:val="none"/>
          <w:lang w:val="en-US" w:eastAsia="zh-CN"/>
        </w:rPr>
        <w:t>14个项目开展绩效自评，绩效自评表详见第四部分附件。</w:t>
      </w:r>
    </w:p>
    <w:p>
      <w:pPr>
        <w:rPr>
          <w:rFonts w:hint="eastAsia" w:ascii="黑体" w:hAnsi="黑体" w:eastAsia="黑体" w:cs="黑体"/>
          <w:color w:val="auto"/>
          <w:sz w:val="44"/>
          <w:szCs w:val="44"/>
          <w:highlight w:val="none"/>
        </w:rPr>
      </w:pPr>
      <w:r>
        <w:rPr>
          <w:rFonts w:hint="eastAsia" w:ascii="黑体" w:hAnsi="黑体" w:eastAsia="黑体" w:cs="黑体"/>
          <w:color w:val="auto"/>
          <w:sz w:val="44"/>
          <w:szCs w:val="44"/>
          <w:highlight w:val="none"/>
        </w:rPr>
        <w:br w:type="page"/>
      </w:r>
    </w:p>
    <w:p>
      <w:pPr>
        <w:pStyle w:val="7"/>
        <w:keepNext w:val="0"/>
        <w:keepLines w:val="0"/>
        <w:pageBreakBefore w:val="0"/>
        <w:widowControl w:val="0"/>
        <w:numPr>
          <w:ilvl w:val="0"/>
          <w:numId w:val="0"/>
        </w:numPr>
        <w:kinsoku/>
        <w:wordWrap/>
        <w:overflowPunct/>
        <w:topLinePunct w:val="0"/>
        <w:bidi w:val="0"/>
        <w:adjustRightInd w:val="0"/>
        <w:snapToGrid w:val="0"/>
        <w:spacing w:before="0" w:line="560" w:lineRule="exact"/>
        <w:ind w:leftChars="0"/>
        <w:jc w:val="both"/>
        <w:textAlignment w:val="auto"/>
        <w:rPr>
          <w:rFonts w:hint="eastAsia" w:ascii="黑体" w:hAnsi="黑体" w:eastAsia="黑体" w:cs="黑体"/>
          <w:color w:val="auto"/>
          <w:sz w:val="44"/>
          <w:szCs w:val="44"/>
          <w:highlight w:val="none"/>
          <w:lang w:val="en-US" w:eastAsia="zh-CN"/>
        </w:rPr>
      </w:pPr>
    </w:p>
    <w:p>
      <w:pPr>
        <w:pStyle w:val="7"/>
        <w:keepNext w:val="0"/>
        <w:keepLines w:val="0"/>
        <w:pageBreakBefore w:val="0"/>
        <w:widowControl w:val="0"/>
        <w:numPr>
          <w:ilvl w:val="0"/>
          <w:numId w:val="0"/>
        </w:numPr>
        <w:kinsoku/>
        <w:wordWrap/>
        <w:overflowPunct/>
        <w:topLinePunct w:val="0"/>
        <w:bidi w:val="0"/>
        <w:adjustRightInd w:val="0"/>
        <w:snapToGrid w:val="0"/>
        <w:spacing w:before="0" w:line="560" w:lineRule="exact"/>
        <w:ind w:leftChars="0"/>
        <w:jc w:val="center"/>
        <w:textAlignment w:val="auto"/>
        <w:outlineLvl w:val="0"/>
        <w:rPr>
          <w:rFonts w:hint="eastAsia" w:ascii="黑体" w:hAnsi="黑体" w:eastAsia="黑体" w:cs="黑体"/>
          <w:color w:val="auto"/>
          <w:sz w:val="44"/>
          <w:szCs w:val="44"/>
          <w:highlight w:val="none"/>
        </w:rPr>
      </w:pPr>
      <w:bookmarkStart w:id="19" w:name="_Toc15316"/>
      <w:r>
        <w:rPr>
          <w:rFonts w:hint="eastAsia" w:ascii="黑体" w:hAnsi="黑体" w:eastAsia="黑体" w:cs="黑体"/>
          <w:color w:val="auto"/>
          <w:sz w:val="44"/>
          <w:szCs w:val="44"/>
          <w:highlight w:val="none"/>
          <w:lang w:val="en-US" w:eastAsia="zh-CN"/>
        </w:rPr>
        <w:t xml:space="preserve">第三部分 </w:t>
      </w:r>
      <w:r>
        <w:rPr>
          <w:rFonts w:hint="eastAsia" w:ascii="黑体" w:hAnsi="黑体" w:eastAsia="黑体" w:cs="黑体"/>
          <w:color w:val="auto"/>
          <w:sz w:val="44"/>
          <w:szCs w:val="44"/>
          <w:highlight w:val="none"/>
        </w:rPr>
        <w:t>名词解释</w:t>
      </w:r>
      <w:bookmarkEnd w:id="19"/>
    </w:p>
    <w:p>
      <w:pPr>
        <w:keepNext w:val="0"/>
        <w:keepLines w:val="0"/>
        <w:pageBreakBefore w:val="0"/>
        <w:widowControl w:val="0"/>
        <w:numPr>
          <w:ilvl w:val="0"/>
          <w:numId w:val="0"/>
        </w:numPr>
        <w:kinsoku/>
        <w:wordWrap/>
        <w:overflowPunct/>
        <w:topLinePunct w:val="0"/>
        <w:bidi w:val="0"/>
        <w:spacing w:line="560" w:lineRule="exact"/>
        <w:ind w:leftChars="0"/>
        <w:textAlignment w:val="auto"/>
        <w:rPr>
          <w:rFonts w:hint="eastAsia"/>
          <w:highlight w:val="none"/>
        </w:rPr>
      </w:pPr>
    </w:p>
    <w:p>
      <w:pPr>
        <w:ind w:firstLine="640" w:firstLineChars="200"/>
        <w:rPr>
          <w:rFonts w:hint="eastAsia" w:ascii="仿宋" w:hAnsi="仿宋" w:eastAsia="仿宋" w:cs="仿宋"/>
          <w:sz w:val="32"/>
          <w:szCs w:val="32"/>
          <w:highlight w:val="none"/>
        </w:rPr>
      </w:pPr>
      <w:bookmarkStart w:id="20" w:name="_Toc20365"/>
      <w:r>
        <w:rPr>
          <w:rFonts w:hint="eastAsia" w:ascii="仿宋" w:hAnsi="仿宋" w:eastAsia="仿宋" w:cs="仿宋"/>
          <w:sz w:val="32"/>
          <w:szCs w:val="32"/>
          <w:highlight w:val="none"/>
          <w:lang w:val="en-US" w:eastAsia="zh-CN"/>
        </w:rPr>
        <w:t>1.</w:t>
      </w:r>
      <w:r>
        <w:rPr>
          <w:rFonts w:hint="eastAsia" w:ascii="仿宋" w:hAnsi="仿宋" w:eastAsia="仿宋" w:cs="仿宋"/>
          <w:sz w:val="32"/>
          <w:szCs w:val="32"/>
          <w:highlight w:val="none"/>
        </w:rPr>
        <w:t>财政拨款收入：指单位从同级财政部门取得的财政预算资金。</w:t>
      </w:r>
      <w:bookmarkEnd w:id="20"/>
    </w:p>
    <w:p>
      <w:pPr>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2.年</w:t>
      </w:r>
      <w:r>
        <w:rPr>
          <w:rFonts w:hint="eastAsia" w:ascii="仿宋" w:hAnsi="仿宋" w:eastAsia="仿宋" w:cs="仿宋"/>
          <w:sz w:val="32"/>
          <w:szCs w:val="32"/>
          <w:highlight w:val="none"/>
        </w:rPr>
        <w:t>初结转和结余：指以前年度尚未完成、结转到本年按有关规定继续使用的资金。</w:t>
      </w:r>
    </w:p>
    <w:p>
      <w:pPr>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3.</w:t>
      </w:r>
      <w:r>
        <w:rPr>
          <w:rFonts w:hint="eastAsia" w:ascii="仿宋" w:hAnsi="仿宋" w:eastAsia="仿宋" w:cs="仿宋"/>
          <w:sz w:val="32"/>
          <w:szCs w:val="32"/>
          <w:highlight w:val="none"/>
        </w:rPr>
        <w:t>社会保障和就业</w:t>
      </w:r>
      <w:r>
        <w:rPr>
          <w:rFonts w:hint="eastAsia" w:ascii="仿宋" w:hAnsi="仿宋" w:eastAsia="仿宋" w:cs="仿宋"/>
          <w:sz w:val="32"/>
          <w:szCs w:val="32"/>
          <w:highlight w:val="none"/>
          <w:lang w:val="en-US" w:eastAsia="zh-CN"/>
        </w:rPr>
        <w:t>支出（类）行政事业单位养老支出（款）机关事业单位基本养老保险缴费支出（项）</w:t>
      </w:r>
      <w:r>
        <w:rPr>
          <w:rFonts w:hint="eastAsia" w:ascii="仿宋" w:hAnsi="仿宋" w:eastAsia="仿宋" w:cs="仿宋"/>
          <w:sz w:val="32"/>
          <w:szCs w:val="32"/>
          <w:highlight w:val="none"/>
        </w:rPr>
        <w:t>：</w:t>
      </w:r>
      <w:r>
        <w:rPr>
          <w:rFonts w:hint="eastAsia" w:ascii="仿宋" w:hAnsi="仿宋" w:eastAsia="仿宋" w:cs="仿宋"/>
          <w:sz w:val="32"/>
          <w:szCs w:val="32"/>
          <w:highlight w:val="none"/>
          <w:lang w:val="en-US" w:eastAsia="zh-CN"/>
        </w:rPr>
        <w:t>指广元市老年大学用于实施养老保险制度由单位缴纳的基本养老保险费支出</w:t>
      </w:r>
      <w:r>
        <w:rPr>
          <w:rFonts w:hint="eastAsia" w:ascii="仿宋" w:hAnsi="仿宋" w:eastAsia="仿宋" w:cs="仿宋"/>
          <w:sz w:val="32"/>
          <w:szCs w:val="32"/>
          <w:highlight w:val="none"/>
        </w:rPr>
        <w:t>。</w:t>
      </w:r>
    </w:p>
    <w:p>
      <w:pPr>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4.社</w:t>
      </w:r>
      <w:r>
        <w:rPr>
          <w:rFonts w:hint="eastAsia" w:ascii="仿宋" w:hAnsi="仿宋" w:eastAsia="仿宋" w:cs="仿宋"/>
          <w:sz w:val="32"/>
          <w:szCs w:val="32"/>
          <w:highlight w:val="none"/>
        </w:rPr>
        <w:t>会保障和就业</w:t>
      </w:r>
      <w:r>
        <w:rPr>
          <w:rFonts w:hint="eastAsia" w:ascii="仿宋" w:hAnsi="仿宋" w:eastAsia="仿宋" w:cs="仿宋"/>
          <w:sz w:val="32"/>
          <w:szCs w:val="32"/>
          <w:highlight w:val="none"/>
          <w:lang w:val="en-US" w:eastAsia="zh-CN"/>
        </w:rPr>
        <w:t>支出（类）行政事业单位养老支出</w:t>
      </w:r>
      <w:r>
        <w:rPr>
          <w:rFonts w:hint="eastAsia" w:ascii="仿宋" w:hAnsi="仿宋" w:eastAsia="仿宋" w:cs="仿宋"/>
          <w:sz w:val="32"/>
          <w:szCs w:val="32"/>
          <w:highlight w:val="none"/>
        </w:rPr>
        <w:t>（款）</w:t>
      </w:r>
      <w:r>
        <w:rPr>
          <w:rFonts w:hint="eastAsia" w:ascii="仿宋" w:hAnsi="仿宋" w:eastAsia="仿宋" w:cs="仿宋"/>
          <w:sz w:val="32"/>
          <w:szCs w:val="32"/>
          <w:highlight w:val="none"/>
          <w:lang w:val="en-US" w:eastAsia="zh-CN"/>
        </w:rPr>
        <w:t>机关事业单位职业年金缴费支出</w:t>
      </w:r>
      <w:r>
        <w:rPr>
          <w:rFonts w:hint="eastAsia" w:ascii="仿宋" w:hAnsi="仿宋" w:eastAsia="仿宋" w:cs="仿宋"/>
          <w:sz w:val="32"/>
          <w:szCs w:val="32"/>
          <w:highlight w:val="none"/>
        </w:rPr>
        <w:t>（项）</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指广元市老年大学用于</w:t>
      </w:r>
      <w:r>
        <w:rPr>
          <w:rFonts w:hint="eastAsia" w:ascii="仿宋" w:hAnsi="仿宋" w:eastAsia="仿宋" w:cs="仿宋"/>
          <w:sz w:val="32"/>
          <w:szCs w:val="32"/>
          <w:highlight w:val="none"/>
        </w:rPr>
        <w:t>实施养老保险制度由单位实际缴纳的职业年金支出。</w:t>
      </w:r>
    </w:p>
    <w:p>
      <w:pPr>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5.社会保障和就业支出（类）社会福利（款）老年福利（项）：指广元市老年大学用于人员经费、公用经费和项目支出。</w:t>
      </w:r>
    </w:p>
    <w:p>
      <w:pPr>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6.社会保障和就业支出（类）其他社会保障和就业支出（款）其他社会保障和就业支出（项）：指广元市老年大学用于教学项目支出。</w:t>
      </w:r>
    </w:p>
    <w:p>
      <w:pPr>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val="en-US" w:eastAsia="zh-CN"/>
        </w:rPr>
        <w:t>7.</w:t>
      </w:r>
      <w:r>
        <w:rPr>
          <w:rFonts w:hint="eastAsia" w:ascii="仿宋" w:hAnsi="仿宋" w:eastAsia="仿宋" w:cs="仿宋"/>
          <w:sz w:val="32"/>
          <w:szCs w:val="32"/>
          <w:highlight w:val="none"/>
        </w:rPr>
        <w:t>卫生健康</w:t>
      </w:r>
      <w:r>
        <w:rPr>
          <w:rFonts w:hint="eastAsia" w:ascii="仿宋" w:hAnsi="仿宋" w:eastAsia="仿宋" w:cs="仿宋"/>
          <w:sz w:val="32"/>
          <w:szCs w:val="32"/>
          <w:highlight w:val="none"/>
          <w:lang w:val="en-US" w:eastAsia="zh-CN"/>
        </w:rPr>
        <w:t>支出</w:t>
      </w:r>
      <w:r>
        <w:rPr>
          <w:rFonts w:hint="eastAsia" w:ascii="仿宋" w:hAnsi="仿宋" w:eastAsia="仿宋" w:cs="仿宋"/>
          <w:sz w:val="32"/>
          <w:szCs w:val="32"/>
          <w:highlight w:val="none"/>
        </w:rPr>
        <w:t>（类）</w:t>
      </w:r>
      <w:r>
        <w:rPr>
          <w:rFonts w:hint="eastAsia" w:ascii="仿宋" w:hAnsi="仿宋" w:eastAsia="仿宋" w:cs="仿宋"/>
          <w:sz w:val="32"/>
          <w:szCs w:val="32"/>
          <w:highlight w:val="none"/>
          <w:lang w:val="en-US" w:eastAsia="zh-CN"/>
        </w:rPr>
        <w:t>行政事业单位医疗</w:t>
      </w:r>
      <w:r>
        <w:rPr>
          <w:rFonts w:hint="eastAsia" w:ascii="仿宋" w:hAnsi="仿宋" w:eastAsia="仿宋" w:cs="仿宋"/>
          <w:sz w:val="32"/>
          <w:szCs w:val="32"/>
          <w:highlight w:val="none"/>
        </w:rPr>
        <w:t>（款）</w:t>
      </w:r>
      <w:r>
        <w:rPr>
          <w:rFonts w:hint="eastAsia" w:ascii="仿宋" w:hAnsi="仿宋" w:eastAsia="仿宋" w:cs="仿宋"/>
          <w:sz w:val="32"/>
          <w:szCs w:val="32"/>
          <w:highlight w:val="none"/>
          <w:lang w:val="en-US" w:eastAsia="zh-CN"/>
        </w:rPr>
        <w:t>事业单位医疗</w:t>
      </w:r>
      <w:r>
        <w:rPr>
          <w:rFonts w:hint="eastAsia" w:ascii="仿宋" w:hAnsi="仿宋" w:eastAsia="仿宋" w:cs="仿宋"/>
          <w:sz w:val="32"/>
          <w:szCs w:val="32"/>
          <w:highlight w:val="none"/>
        </w:rPr>
        <w:t>（项）</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广元市老年大学用于事业单位基本医疗保险缴费。</w:t>
      </w:r>
    </w:p>
    <w:p>
      <w:pPr>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8.</w:t>
      </w:r>
      <w:r>
        <w:rPr>
          <w:rFonts w:hint="eastAsia" w:ascii="仿宋" w:hAnsi="仿宋" w:eastAsia="仿宋" w:cs="仿宋"/>
          <w:sz w:val="32"/>
          <w:szCs w:val="32"/>
          <w:highlight w:val="none"/>
        </w:rPr>
        <w:t>住房保障</w:t>
      </w:r>
      <w:r>
        <w:rPr>
          <w:rFonts w:hint="eastAsia" w:ascii="仿宋" w:hAnsi="仿宋" w:eastAsia="仿宋" w:cs="仿宋"/>
          <w:sz w:val="32"/>
          <w:szCs w:val="32"/>
          <w:highlight w:val="none"/>
          <w:lang w:val="en-US" w:eastAsia="zh-CN"/>
        </w:rPr>
        <w:t>支出</w:t>
      </w:r>
      <w:r>
        <w:rPr>
          <w:rFonts w:hint="eastAsia" w:ascii="仿宋" w:hAnsi="仿宋" w:eastAsia="仿宋" w:cs="仿宋"/>
          <w:sz w:val="32"/>
          <w:szCs w:val="32"/>
          <w:highlight w:val="none"/>
        </w:rPr>
        <w:t>（类）</w:t>
      </w:r>
      <w:r>
        <w:rPr>
          <w:rFonts w:hint="eastAsia" w:ascii="仿宋" w:hAnsi="仿宋" w:eastAsia="仿宋" w:cs="仿宋"/>
          <w:sz w:val="32"/>
          <w:szCs w:val="32"/>
          <w:highlight w:val="none"/>
          <w:lang w:val="en-US" w:eastAsia="zh-CN"/>
        </w:rPr>
        <w:t>住房改革支出</w:t>
      </w:r>
      <w:r>
        <w:rPr>
          <w:rFonts w:hint="eastAsia" w:ascii="仿宋" w:hAnsi="仿宋" w:eastAsia="仿宋" w:cs="仿宋"/>
          <w:sz w:val="32"/>
          <w:szCs w:val="32"/>
          <w:highlight w:val="none"/>
        </w:rPr>
        <w:t>（款）</w:t>
      </w:r>
      <w:r>
        <w:rPr>
          <w:rFonts w:hint="eastAsia" w:ascii="仿宋" w:hAnsi="仿宋" w:eastAsia="仿宋" w:cs="仿宋"/>
          <w:sz w:val="32"/>
          <w:szCs w:val="32"/>
          <w:highlight w:val="none"/>
          <w:lang w:val="en-US" w:eastAsia="zh-CN"/>
        </w:rPr>
        <w:t>住房公积金</w:t>
      </w:r>
      <w:r>
        <w:rPr>
          <w:rFonts w:hint="eastAsia" w:ascii="仿宋" w:hAnsi="仿宋" w:eastAsia="仿宋" w:cs="仿宋"/>
          <w:sz w:val="32"/>
          <w:szCs w:val="32"/>
          <w:highlight w:val="none"/>
        </w:rPr>
        <w:t>（项）</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指广元市老年大学用于按规定的工资基数以及规定比例为职工缴纳的住房公积金。</w:t>
      </w:r>
    </w:p>
    <w:p>
      <w:pPr>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9.</w:t>
      </w:r>
      <w:r>
        <w:rPr>
          <w:rFonts w:hint="eastAsia" w:ascii="仿宋" w:hAnsi="仿宋" w:eastAsia="仿宋" w:cs="仿宋"/>
          <w:sz w:val="32"/>
          <w:szCs w:val="32"/>
          <w:highlight w:val="none"/>
        </w:rPr>
        <w:t>基本支出：指为保障机构正常运转、完成日常工作任务而发生的人员支出和公用支出。</w:t>
      </w:r>
    </w:p>
    <w:p>
      <w:pPr>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val="en-US" w:eastAsia="zh-CN"/>
        </w:rPr>
        <w:t>10.</w:t>
      </w:r>
      <w:r>
        <w:rPr>
          <w:rFonts w:hint="eastAsia" w:ascii="仿宋" w:hAnsi="仿宋" w:eastAsia="仿宋" w:cs="仿宋"/>
          <w:sz w:val="32"/>
          <w:szCs w:val="32"/>
          <w:highlight w:val="none"/>
        </w:rPr>
        <w:t>项目支出：指在基本支出之外为完成特定行政任务和事业发展目标所发生的支出。</w:t>
      </w:r>
    </w:p>
    <w:p>
      <w:pPr>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11.</w:t>
      </w:r>
      <w:r>
        <w:rPr>
          <w:rFonts w:hint="eastAsia" w:ascii="仿宋" w:hAnsi="仿宋" w:eastAsia="仿宋" w:cs="仿宋"/>
          <w:sz w:val="32"/>
          <w:szCs w:val="32"/>
          <w:highlight w:val="none"/>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rPr>
          <w:rFonts w:hint="eastAsia" w:ascii="仿宋" w:hAnsi="仿宋" w:eastAsia="仿宋" w:cs="仿宋"/>
          <w:color w:val="auto"/>
          <w:sz w:val="44"/>
          <w:szCs w:val="44"/>
          <w:highlight w:val="none"/>
          <w:lang w:val="en-US" w:eastAsia="zh-CN"/>
        </w:rPr>
      </w:pPr>
      <w:r>
        <w:rPr>
          <w:rFonts w:hint="eastAsia" w:ascii="仿宋" w:hAnsi="仿宋" w:eastAsia="仿宋" w:cs="仿宋"/>
          <w:color w:val="auto"/>
          <w:sz w:val="44"/>
          <w:szCs w:val="44"/>
          <w:highlight w:val="none"/>
          <w:lang w:val="en-US" w:eastAsia="zh-CN"/>
        </w:rPr>
        <w:br w:type="page"/>
      </w:r>
    </w:p>
    <w:p>
      <w:pPr>
        <w:pStyle w:val="7"/>
        <w:pageBreakBefore w:val="0"/>
        <w:numPr>
          <w:ilvl w:val="0"/>
          <w:numId w:val="0"/>
        </w:numPr>
        <w:kinsoku/>
        <w:wordWrap/>
        <w:overflowPunct/>
        <w:topLinePunct w:val="0"/>
        <w:bidi w:val="0"/>
        <w:adjustRightInd w:val="0"/>
        <w:snapToGrid w:val="0"/>
        <w:spacing w:before="0" w:line="560" w:lineRule="exact"/>
        <w:ind w:leftChars="0"/>
        <w:jc w:val="center"/>
        <w:textAlignment w:val="auto"/>
        <w:rPr>
          <w:rFonts w:hint="eastAsia" w:ascii="仿宋" w:hAnsi="仿宋" w:eastAsia="仿宋" w:cs="仿宋"/>
          <w:color w:val="auto"/>
          <w:sz w:val="44"/>
          <w:szCs w:val="44"/>
          <w:highlight w:val="none"/>
          <w:lang w:val="en-US" w:eastAsia="zh-CN"/>
        </w:rPr>
        <w:sectPr>
          <w:footerReference r:id="rId5" w:type="default"/>
          <w:pgSz w:w="11906" w:h="16838"/>
          <w:pgMar w:top="1440" w:right="1800" w:bottom="1440" w:left="1800" w:header="851" w:footer="992" w:gutter="0"/>
          <w:pgNumType w:start="1"/>
          <w:cols w:space="425" w:num="1"/>
          <w:docGrid w:type="lines" w:linePitch="312" w:charSpace="0"/>
        </w:sectPr>
      </w:pPr>
    </w:p>
    <w:p>
      <w:pPr>
        <w:pStyle w:val="7"/>
        <w:pageBreakBefore w:val="0"/>
        <w:numPr>
          <w:ilvl w:val="0"/>
          <w:numId w:val="0"/>
        </w:numPr>
        <w:kinsoku/>
        <w:wordWrap/>
        <w:overflowPunct/>
        <w:topLinePunct w:val="0"/>
        <w:bidi w:val="0"/>
        <w:adjustRightInd w:val="0"/>
        <w:snapToGrid w:val="0"/>
        <w:spacing w:before="0" w:line="560" w:lineRule="exact"/>
        <w:ind w:leftChars="0"/>
        <w:jc w:val="center"/>
        <w:textAlignment w:val="auto"/>
        <w:rPr>
          <w:rFonts w:hint="eastAsia" w:ascii="黑体" w:hAnsi="黑体" w:eastAsia="黑体" w:cs="黑体"/>
          <w:color w:val="auto"/>
          <w:sz w:val="44"/>
          <w:szCs w:val="44"/>
          <w:highlight w:val="none"/>
        </w:rPr>
      </w:pPr>
      <w:r>
        <w:rPr>
          <w:rFonts w:hint="eastAsia" w:ascii="黑体" w:hAnsi="黑体" w:eastAsia="黑体" w:cs="黑体"/>
          <w:color w:val="auto"/>
          <w:sz w:val="44"/>
          <w:szCs w:val="44"/>
          <w:highlight w:val="none"/>
          <w:lang w:val="en-US" w:eastAsia="zh-CN"/>
        </w:rPr>
        <w:t xml:space="preserve">第四部分 </w:t>
      </w:r>
      <w:r>
        <w:rPr>
          <w:rFonts w:hint="eastAsia" w:ascii="黑体" w:hAnsi="黑体" w:eastAsia="黑体" w:cs="黑体"/>
          <w:color w:val="auto"/>
          <w:sz w:val="44"/>
          <w:szCs w:val="44"/>
          <w:highlight w:val="none"/>
        </w:rPr>
        <w:t>附件</w:t>
      </w:r>
    </w:p>
    <w:tbl>
      <w:tblPr>
        <w:tblStyle w:val="9"/>
        <w:tblpPr w:leftFromText="180" w:rightFromText="180" w:vertAnchor="text" w:horzAnchor="page" w:tblpXSpec="center" w:tblpY="610"/>
        <w:tblOverlap w:val="never"/>
        <w:tblW w:w="1268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15"/>
        <w:gridCol w:w="1838"/>
        <w:gridCol w:w="1591"/>
        <w:gridCol w:w="2032"/>
        <w:gridCol w:w="469"/>
        <w:gridCol w:w="1503"/>
        <w:gridCol w:w="469"/>
        <w:gridCol w:w="981"/>
        <w:gridCol w:w="486"/>
        <w:gridCol w:w="410"/>
        <w:gridCol w:w="22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26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4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1023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4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60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广元市民政局部门</w:t>
            </w:r>
          </w:p>
        </w:tc>
        <w:tc>
          <w:tcPr>
            <w:tcW w:w="98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31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广元市老年大学（广元市老年活动中心）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18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60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41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8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0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c>
          <w:tcPr>
            <w:tcW w:w="41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1023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推动提高资金使用效力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68.87</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66.87</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65.16</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97.44%</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highlight w:val="none"/>
                <w:u w:val="none"/>
              </w:rPr>
            </w:pPr>
            <w:r>
              <w:rPr>
                <w:rFonts w:hint="eastAsia" w:ascii="黑体" w:hAnsi="黑体" w:eastAsia="黑体" w:cs="黑体"/>
                <w:i/>
                <w:iCs/>
                <w:color w:val="000000"/>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68.87</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66.87</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65.16</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97.44%</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发放（缴纳）覆盖率</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足额保障率（参保率）</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49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1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我单位主要抓好预算绩效过程管理，建立全过程预算绩效管理链条。预算编制环节绩效目标管理与预算编制同步，绩效目标完整细化量化并集体决策；预算执行环目实施和费用控制良好，预算执行按照进度执行，年终无结余；决算环节开展事后绩效评价，绩效目标无偏离，对内加强绩效管理和挂钩，对外及时公开绩效信息；按照财政部门要求反馈结果应用，积极配合评价工作。节开展绩效监控，对绩效目标实现程度和预算执行进度实行“双监控”，努力发挥项目效益，部门整体支出绩效达到预期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1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资金使用和绩效管理还有待加强。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1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一是加强业务培训，进一步提高工作人员财政资金绩效意识；二是进一步细化项目预算，严格控制各项费用，过紧日子；三是今后对于财政资金项目，加大评价结果应用，真正做到“用钱必问效，无效必问责”。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5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项目负责人：何若菡</w:t>
            </w:r>
          </w:p>
        </w:tc>
        <w:tc>
          <w:tcPr>
            <w:tcW w:w="61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财务负责人：李晓曼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83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5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03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50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9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26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4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1023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51000021R000000019956-离退休费支出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4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60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广元市民政局部门</w:t>
            </w:r>
          </w:p>
        </w:tc>
        <w:tc>
          <w:tcPr>
            <w:tcW w:w="98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实施单位 （盖章）</w:t>
            </w:r>
          </w:p>
        </w:tc>
        <w:tc>
          <w:tcPr>
            <w:tcW w:w="31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广元市老年大学（广元市老年活动中心）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18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60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41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8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0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c>
          <w:tcPr>
            <w:tcW w:w="41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1023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推动提高资金使用效力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5.04</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5.04</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5.04</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highlight w:val="none"/>
                <w:u w:val="none"/>
              </w:rPr>
            </w:pPr>
            <w:r>
              <w:rPr>
                <w:rFonts w:hint="eastAsia" w:ascii="黑体" w:hAnsi="黑体" w:eastAsia="黑体" w:cs="黑体"/>
                <w:i/>
                <w:iCs/>
                <w:color w:val="000000"/>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5.04</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5.04</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5.04</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发放（缴纳）覆盖率</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足额保障率（参保率）</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49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1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我单位主要抓好预算绩效过程管理，建立全过程预算绩效管理链条。预算编制环节绩效目标管理与预算编制同步，绩效目标完整细化量化并集体决策；预算执行环目实施和费用控制良好，预算执行按照进度执行，年终无结余；决算环节开展事后绩效评价，绩效目标无偏离，对内加强绩效管理和挂钩，对外及时公开绩效信息；按照财政部门要求反馈结果应用，积极配合评价工作。节开展绩效监控，对绩效目标实现程度和预算执行进度实行“双监控”，努力发挥项目效益，部门整体支出绩效达到预期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1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资金使用和绩效管理还有待加强。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1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一是加强业务培训，进一步提高工作人员财政资金绩效意识；二是进一步细化项目预算，严格控制各项费用，过紧日子；三是今后对于财政资金项目，加大评价结果应用，真正做到“用钱必问效，无效必问责”。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5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项目负责人：何若菡</w:t>
            </w:r>
          </w:p>
        </w:tc>
        <w:tc>
          <w:tcPr>
            <w:tcW w:w="61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财务负责人：李晓曼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83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5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03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50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9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26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4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1023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51000021R000000019958-其他支出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4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60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广元市民政局部门</w:t>
            </w:r>
          </w:p>
        </w:tc>
        <w:tc>
          <w:tcPr>
            <w:tcW w:w="98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31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广元市老年大学（广元市老年活动中心）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18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60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41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8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0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c>
          <w:tcPr>
            <w:tcW w:w="41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1023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推动提高资金使用效力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0.85</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0.85</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0.85</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highlight w:val="none"/>
                <w:u w:val="none"/>
              </w:rPr>
            </w:pPr>
            <w:r>
              <w:rPr>
                <w:rFonts w:hint="eastAsia" w:ascii="黑体" w:hAnsi="黑体" w:eastAsia="黑体" w:cs="黑体"/>
                <w:i/>
                <w:iCs/>
                <w:color w:val="000000"/>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0.85</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0.85</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0.85</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发放（缴纳）覆盖率</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足额保障率（参保率）</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49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1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我单位主要抓好预算绩效过程管理，建立全过程预算绩效管理链条。预算编制环节绩效目标管理与预算编制同步，绩效目标完整细化量化并集体决策；预算执行环目实施和费用控制良好，预算执行按照进度执行，年终无结余；决算环节开展事后绩效评价，绩效目标无偏离，对内加强绩效管理和挂钩，对外及时公开绩效信息；按照财政部门要求反馈结果应用，积极配合评价工作。节开展绩效监控，对绩效目标实现程度和预算执行进度实行“双监控”，努力发挥项目效益，部门整体支出绩效达到预期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1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资金使用和绩效管理还有待加强。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1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一是加强业务培训，进一步提高工作人员财政资金绩效意识；二是进一步细化项目预算，严格控制各项费用，过紧日子；三是今后对于财政资金项目，加大评价结果应用，真正做到“用钱必问效，无效必问责”。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5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项目负责人：何若菡</w:t>
            </w:r>
          </w:p>
        </w:tc>
        <w:tc>
          <w:tcPr>
            <w:tcW w:w="61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财务负责人：李晓曼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83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5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03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50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9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26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4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1023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4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60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广元市民政局部门</w:t>
            </w:r>
          </w:p>
        </w:tc>
        <w:tc>
          <w:tcPr>
            <w:tcW w:w="98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31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广元市老年大学（广元市老年活动中心）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18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60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41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8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0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提高预算编制质量，严格执行预算，保障单位日常运转。</w:t>
            </w:r>
          </w:p>
        </w:tc>
        <w:tc>
          <w:tcPr>
            <w:tcW w:w="41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1023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推动提高资金使用效力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3.99</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3.99</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3.97</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99.63%</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highlight w:val="none"/>
                <w:u w:val="none"/>
              </w:rPr>
            </w:pPr>
            <w:r>
              <w:rPr>
                <w:rFonts w:hint="eastAsia" w:ascii="黑体" w:hAnsi="黑体" w:eastAsia="黑体" w:cs="黑体"/>
                <w:i/>
                <w:iCs/>
                <w:color w:val="000000"/>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3.99</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3.99</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3.97</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99.63%</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科目调整次数</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预算编制准确率（计算方法为：∣（执行数-预算数）/预算数∣）</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经济效益指标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“三公经费”控制率[计算方法为：（三公经费实际支出数/预算安排数]×100%）</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运转保障率</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49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1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我单位主要抓好预算绩效过程管理，建立全过程预算绩效管理链条。预算编制环节绩效目标管理与预算编制同步，绩效目标完整细化量化并集体决策；预算执行环目实施和费用控制良好，预算执行按照进度执行，年终无结余；决算环节开展事后绩效评价，绩效目标无偏离，对内加强绩效管理和挂钩，对外及时公开绩效信息；按照财政部门要求反馈结果应用，积极配合评价工作。节开展绩效监控，对绩效目标实现程度和预算执行进度实行“双监控”，努力发挥项目效益，部门整体支出绩效达到预期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1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资金使用和绩效管理还有待加强。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1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一是加强业务培训，进一步提高工作人员财政资金绩效意识；二是进一步细化项目预算，严格控制各项费用，过紧日子；三是今后对于财政资金项目，加大评价结果应用，真正做到“用钱必问效，无效必问责”。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5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项目负责人：何若菡</w:t>
            </w:r>
          </w:p>
        </w:tc>
        <w:tc>
          <w:tcPr>
            <w:tcW w:w="61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财务负责人：李晓曼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83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5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03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50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9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26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4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1023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51080022R000000267546-工资性支出（事业）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4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60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广元市民政局部门</w:t>
            </w:r>
          </w:p>
        </w:tc>
        <w:tc>
          <w:tcPr>
            <w:tcW w:w="98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31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广元市老年大学（广元市老年活动中心）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18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60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41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8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0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c>
          <w:tcPr>
            <w:tcW w:w="41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1023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推动提高资金使用效力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73.78</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68.15</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68.15</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highlight w:val="none"/>
                <w:u w:val="none"/>
              </w:rPr>
            </w:pPr>
            <w:r>
              <w:rPr>
                <w:rFonts w:hint="eastAsia" w:ascii="黑体" w:hAnsi="黑体" w:eastAsia="黑体" w:cs="黑体"/>
                <w:i/>
                <w:iCs/>
                <w:color w:val="000000"/>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73.78</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68.15</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68.15</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发放（缴纳）覆盖率</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足额保障率（参保率）</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49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1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我单位主要抓好预算绩效过程管理，建立全过程预算绩效管理链条。预算编制环节绩效目标管理与预算编制同步，绩效目标完整细化量化并集体决策；预算执行环目实施和费用控制良好，预算执行按照进度执行，年终无结余；决算环节开展事后绩效评价，绩效目标无偏离，对内加强绩效管理和挂钩，对外及时公开绩效信息；按照财政部门要求反馈结果应用，积极配合评价工作。节开展绩效监控，对绩效目标实现程度和预算执行进度实行“双监控”，努力发挥项目效益，部门整体支出绩效达到预期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1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资金使用和绩效管理还有待加强。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1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一是加强业务培训，进一步提高工作人员财政资金绩效意识；二是进一步细化项目预算，严格控制各项费用，过紧日子；三是今后对于财政资金项目，加大评价结果应用，真正做到“用钱必问效，无效必问责”。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5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项目负责人：何若菡</w:t>
            </w:r>
          </w:p>
        </w:tc>
        <w:tc>
          <w:tcPr>
            <w:tcW w:w="61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财务负责人：李晓曼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83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5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03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50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9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26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4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1023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51080022R000006910914-退休“中人”一次性退休补贴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4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60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广元市民政局部门</w:t>
            </w:r>
          </w:p>
        </w:tc>
        <w:tc>
          <w:tcPr>
            <w:tcW w:w="98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31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广元市老年大学（广元市老年活动中心）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18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60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41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8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0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c>
          <w:tcPr>
            <w:tcW w:w="41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1023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推动提高资金使用效力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2.09</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2.09</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highlight w:val="none"/>
                <w:u w:val="none"/>
              </w:rPr>
            </w:pPr>
            <w:r>
              <w:rPr>
                <w:rFonts w:hint="eastAsia" w:ascii="黑体" w:hAnsi="黑体" w:eastAsia="黑体" w:cs="黑体"/>
                <w:i/>
                <w:iCs/>
                <w:color w:val="000000"/>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2.09</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2.09</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发放（缴纳）覆盖率</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足额保障率（参保率）</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49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1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我单位主要抓好预算绩效过程管理，建立全过程预算绩效管理链条。预算编制环节绩效目标管理与预算编制同步，绩效目标完整细化量化并集体决策；预算执行环目实施和费用控制良好，预算执行按照进度执行，年终无结余；决算环节开展事后绩效评价，绩效目标无偏离，对内加强绩效管理和挂钩，对外及时公开绩效信息；按照财政部门要求反馈结果应用，积极配合评价工作。节开展绩效监控，对绩效目标实现程度和预算执行进度实行“双监控”，努力发挥项目效益，部门整体支出绩效达到预期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1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资金使用和绩效管理还有待加强。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1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一是加强业务培训，进一步提高工作人员财政资金绩效意识；二是进一步细化项目预算，严格控制各项费用，过紧日子；三是今后对于财政资金项目，加大评价结果应用，真正做到“用钱必问效，无效必问责”。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5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项目负责人：何若菡</w:t>
            </w:r>
          </w:p>
        </w:tc>
        <w:tc>
          <w:tcPr>
            <w:tcW w:w="61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财务负责人：李晓曼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83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5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03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50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9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26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4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1023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51080022T000004941377-老年活动中心包干经费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4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60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广元市民政局部门</w:t>
            </w:r>
          </w:p>
        </w:tc>
        <w:tc>
          <w:tcPr>
            <w:tcW w:w="98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31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广元市老年大学（广元市老年活动中心）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18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60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41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8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0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开展活动中心正常管理工作，为老年学员提安定的教学环境及服务，最大化发挥老年活动中心为老年人服务的宗旨。</w:t>
            </w:r>
          </w:p>
        </w:tc>
        <w:tc>
          <w:tcPr>
            <w:tcW w:w="41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为老年学员提安定的教学环境及服务，最大化发挥老年活动中心为老年人服务的宗旨。通过新建、改造和整合等途径，增加老年活动设施和场所，支持各类公共场所为老年人开展文化活动提供便利。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1023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资金使用安全、规范、效果显著。资金支付范围全用于长期编外聘用人员工资、保险及维修、装修水电、绿化费用等。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20.00</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20.00</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highlight w:val="none"/>
                <w:u w:val="none"/>
              </w:rPr>
            </w:pPr>
            <w:r>
              <w:rPr>
                <w:rFonts w:hint="eastAsia" w:ascii="黑体" w:hAnsi="黑体" w:eastAsia="黑体" w:cs="黑体"/>
                <w:i/>
                <w:iCs/>
                <w:color w:val="000000"/>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20.00</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20.00</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15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聘用人员2人</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人数</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房屋修缮、物业管理费等</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推动老年教育发展</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老年学员满意度</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90</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15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聘用人员工资</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支付费用</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49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1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我单位主要抓好预算绩效过程管理，建立全过程预算绩效管理链条。预算编制环节绩效目标管理与预算编制同步，绩效目标完整细化量化并集体决策；预算执行环目实施和费用控制良好，预算执行按照进度执行，年终无结余；决算环节开展事后绩效评价，绩效目标无偏离，对内加强绩效管理和挂钩，对外及时公开绩效信息；按照财政部门要求反馈结果应用，积极配合评价工作。节开展绩效监控，对绩效目标实现程度和预算执行进度实行“双监控”，努力发挥项目效益，部门整体支出绩效达到预期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1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资金使用和绩效管理还有待加强。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1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一是加强业务培训，进一步提高工作人员财政资金绩效意识；二是进一步细化项目预算，严格控制各项费用，过紧日子；三是今后对于财政资金项目，加大评价结果应用，真正做到“用钱必问效，无效必问责”。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5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项目负责人：张芯</w:t>
            </w:r>
          </w:p>
        </w:tc>
        <w:tc>
          <w:tcPr>
            <w:tcW w:w="61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财务负责人：李晓曼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83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5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03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50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9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26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4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1023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51080022T000004941390-教学经费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4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60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广元市民政局部门</w:t>
            </w:r>
          </w:p>
        </w:tc>
        <w:tc>
          <w:tcPr>
            <w:tcW w:w="98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31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广元市老年大学（广元市老年活动中心）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18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60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41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00"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8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0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1.学习资源建设整合，研究制定老年人学习发展指南，为不同年龄层次的老年人提供包括学习规划在内的教学和咨询服务，按照课时发放教师工资。</w:t>
            </w:r>
            <w:r>
              <w:rPr>
                <w:rFonts w:ascii="宋体" w:hAnsi="宋体" w:eastAsia="宋体" w:cs="宋体"/>
                <w:i w:val="0"/>
                <w:iCs w:val="0"/>
                <w:color w:val="000000"/>
                <w:kern w:val="0"/>
                <w:sz w:val="18"/>
                <w:szCs w:val="18"/>
                <w:highlight w:val="none"/>
                <w:u w:val="none"/>
                <w:lang w:val="en-US" w:eastAsia="zh-CN" w:bidi="ar"/>
              </w:rPr>
              <w:br w:type="textWrapping"/>
            </w:r>
            <w:r>
              <w:rPr>
                <w:rFonts w:ascii="宋体" w:hAnsi="宋体" w:eastAsia="宋体" w:cs="宋体"/>
                <w:i w:val="0"/>
                <w:iCs w:val="0"/>
                <w:color w:val="000000"/>
                <w:kern w:val="0"/>
                <w:sz w:val="18"/>
                <w:szCs w:val="18"/>
                <w:highlight w:val="none"/>
                <w:u w:val="none"/>
                <w:lang w:val="en-US" w:eastAsia="zh-CN" w:bidi="ar"/>
              </w:rPr>
              <w:t>2.补充教学所需设备，提升供给能力，加强基础能力建设。</w:t>
            </w:r>
            <w:r>
              <w:rPr>
                <w:rFonts w:ascii="宋体" w:hAnsi="宋体" w:eastAsia="宋体" w:cs="宋体"/>
                <w:i w:val="0"/>
                <w:iCs w:val="0"/>
                <w:color w:val="000000"/>
                <w:kern w:val="0"/>
                <w:sz w:val="18"/>
                <w:szCs w:val="18"/>
                <w:highlight w:val="none"/>
                <w:u w:val="none"/>
                <w:lang w:val="en-US" w:eastAsia="zh-CN" w:bidi="ar"/>
              </w:rPr>
              <w:br w:type="textWrapping"/>
            </w:r>
            <w:r>
              <w:rPr>
                <w:rFonts w:ascii="宋体" w:hAnsi="宋体" w:eastAsia="宋体" w:cs="宋体"/>
                <w:i w:val="0"/>
                <w:iCs w:val="0"/>
                <w:color w:val="000000"/>
                <w:kern w:val="0"/>
                <w:sz w:val="18"/>
                <w:szCs w:val="18"/>
                <w:highlight w:val="none"/>
                <w:u w:val="none"/>
                <w:lang w:val="en-US" w:eastAsia="zh-CN" w:bidi="ar"/>
              </w:rPr>
              <w:t>3.参加3-4次省、市举办的大型老年活动比赛，争取优异成绩；举办重阳节、敬老月、红叶风采、书画展等活动。</w:t>
            </w:r>
            <w:r>
              <w:rPr>
                <w:rFonts w:ascii="宋体" w:hAnsi="宋体" w:eastAsia="宋体" w:cs="宋体"/>
                <w:i w:val="0"/>
                <w:iCs w:val="0"/>
                <w:color w:val="000000"/>
                <w:kern w:val="0"/>
                <w:sz w:val="18"/>
                <w:szCs w:val="18"/>
                <w:highlight w:val="none"/>
                <w:u w:val="none"/>
                <w:lang w:val="en-US" w:eastAsia="zh-CN" w:bidi="ar"/>
              </w:rPr>
              <w:br w:type="textWrapping"/>
            </w:r>
            <w:r>
              <w:rPr>
                <w:rFonts w:ascii="宋体" w:hAnsi="宋体" w:eastAsia="宋体" w:cs="宋体"/>
                <w:i w:val="0"/>
                <w:iCs w:val="0"/>
                <w:color w:val="000000"/>
                <w:kern w:val="0"/>
                <w:sz w:val="18"/>
                <w:szCs w:val="18"/>
                <w:highlight w:val="none"/>
                <w:u w:val="none"/>
                <w:lang w:val="en-US" w:eastAsia="zh-CN" w:bidi="ar"/>
              </w:rPr>
              <w:t>4.选择4-5个爱老敬老社区开展共同联系办学及教学成果展示点。</w:t>
            </w:r>
          </w:p>
        </w:tc>
        <w:tc>
          <w:tcPr>
            <w:tcW w:w="41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学习资源建设整合，研究制定老年人学习发展指南，为不同年龄层次的老年人提供包括学习规划在内的教学和咨询服务。补充教学所需设备，提升供给能力，加强基础能力建设。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1023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资金使用安全、规范、效果显著。资金支付范围全用于聘用教师管理人员工资。支付标准均按照财政资金管理限额（标准）执行，聘用教师课时费100元/节、管理人员补助1000元/人/年。参加3-4次省、市举办的大型老年活动比赛，争取优异成绩；开展教学成果展示、公开课、老年教育进社区“共建共享”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14.93</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8.96</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8.96</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highlight w:val="none"/>
                <w:u w:val="none"/>
              </w:rPr>
            </w:pPr>
            <w:r>
              <w:rPr>
                <w:rFonts w:hint="eastAsia" w:ascii="黑体" w:hAnsi="黑体" w:eastAsia="黑体" w:cs="黑体"/>
                <w:i/>
                <w:iCs/>
                <w:color w:val="000000"/>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14.93</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8.96</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8.96</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15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开展文体活动≧3次</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场次</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开展教学课时≧40课时</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40</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学时</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推动老年教育发展</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老年学员满意度</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15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10000元/场</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2.93</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100元/课</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49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1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我单位主要抓好预算绩效过程管理，建立全过程预算绩效管理链条。预算编制环节绩效目标管理与预算编制同步，绩效目标完整细化量化并集体决策；预算执行环目实施和费用控制良好，预算执行按照进度执行，年终无结余；决算环节开展事后绩效评价，绩效目标无偏离，对内加强绩效管理和挂钩，对外及时公开绩效信息；按照财政部门要求反馈结果应用，积极配合评价工作。节开展绩效监控，对绩效目标实现程度和预算执行进度实行“双监控”，努力发挥项目效益，部门整体支出绩效达到预期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1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资金使用和绩效管理还有待加强。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1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一是加强业务培训，进一步提高工作人员财政资金绩效意识；二是进一步细化项目预算，严格控制各项费用，过紧日子；三是今后对于财政资金项目，加大评价结果应用，真正做到“用钱必问效，无效必问责”。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5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项目负责人：张芯</w:t>
            </w:r>
          </w:p>
        </w:tc>
        <w:tc>
          <w:tcPr>
            <w:tcW w:w="61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财务负责人：李晓曼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83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5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03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50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9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26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4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1023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51080022T000006688431-养老服务业发展补助资金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4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60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广元市民政局部门</w:t>
            </w:r>
          </w:p>
        </w:tc>
        <w:tc>
          <w:tcPr>
            <w:tcW w:w="98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31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广元市老年大学（广元市老年活动中心）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18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60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41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8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0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推动广元市老年大学政治文化、教育师资力量、教学教育规范化建设，开展宣传教学、安全、“三进一加强”工作，推动全市老年教育发展。</w:t>
            </w:r>
          </w:p>
        </w:tc>
        <w:tc>
          <w:tcPr>
            <w:tcW w:w="41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推进政治文化、教育师资力量、教学教育规范化建设，开展宣传教学、安全、“三进一加强”工作。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60"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1023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资金使用安全、规范、效果显著。资金支付范围全用于开展党的建设和意识形态教育，组建老年临时党支部;开展教学文化建设、氛围打造和设施设备购置等工作。开展教师队伍组织聘请、培养培训、交流及各种教研活动。更新教学内容，改进教学方法，规范教学教材、购买教学用品，开展“互联网+养老”线上教学等工作。组织参加全国、省市各类比赛，通过教学成果展示、公开课等形式开展各类教学活动;制作宣传标语、录制教学教育宣传视频等。开展防疫、消防等工作，购买防疫物资及消防设施改造;进行安全教育，引导老年人提高人身安全、防骗及非法集资等意识。通过进机关、机构、社区，设置共同联系办学点;加强老年志愿服务的招募、培训及服务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12.64</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12.64</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12.64</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highlight w:val="none"/>
                <w:u w:val="none"/>
              </w:rPr>
            </w:pPr>
            <w:r>
              <w:rPr>
                <w:rFonts w:hint="eastAsia" w:ascii="黑体" w:hAnsi="黑体" w:eastAsia="黑体" w:cs="黑体"/>
                <w:i/>
                <w:iCs/>
                <w:color w:val="000000"/>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12.64</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12.64</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12.64</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文体活动费用</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人/年</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推动老年教育发展</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人/年</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40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老年学员满意度</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人/年</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49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1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我单位主要抓好预算绩效过程管理，建立全过程预算绩效管理链条。预算编制环节绩效目标管理与预算编制同步，绩效目标完整细化量化并集体决策；预算执行环目实施和费用控制良好，预算执行按照进度执行，年终无结余；决算环节开展事后绩效评价，绩效目标无偏离，对内加强绩效管理和挂钩，对外及时公开绩效信息；按照财政部门要求反馈结果应用，积极配合评价工作。节开展绩效监控，对绩效目标实现程度和预算执行进度实行“双监控”，努力发挥项目效益，部门整体支出绩效达到预期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1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资金使用和绩效管理还有待加强。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1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一是加强业务培训，进一步提高工作人员财政资金绩效意识；二是进一步细化项目预算，严格控制各项费用，过紧日子；三是今后对于财政资金项目，加大评价结果应用，真正做到“用钱必问效，无效必问责”。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5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项目负责人：张芯</w:t>
            </w:r>
          </w:p>
        </w:tc>
        <w:tc>
          <w:tcPr>
            <w:tcW w:w="61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财务负责人：李晓曼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83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5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03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50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9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26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4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1023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51080022T000007159746-养老服务业发展补助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4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60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广元市民政局部门</w:t>
            </w:r>
          </w:p>
        </w:tc>
        <w:tc>
          <w:tcPr>
            <w:tcW w:w="98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31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广元市老年大学（广元市老年活动中心）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18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60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41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8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0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推动广元市老年大学政治文化、师资力量、教学教育规范化建设、开展宣传教学、安全、“三进一加强”、“游学养”工作，推动全市老年教育发展。</w:t>
            </w:r>
          </w:p>
        </w:tc>
        <w:tc>
          <w:tcPr>
            <w:tcW w:w="41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推进政治文化、教育师资力量、教学教育规范化建设，开展宣传教学、安全、“三进一加强”、“游学养”工作。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1023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资金使用安全、规范、效果显著。资金支付范围全用于开展党的建设和意识形态教育，组建老年临时党支部;开展教学文化建设、氛围打造和设施设备购置等工作。开展教师队伍组织聘请、培养培训、交流及各种教研活动。更新教学内容，改进教学方法，规范教学教材、购买教学用品，开展“互联网+养老”线上教学等工作。开展“游学养”工作。组织参加全国、省市各类比赛，通过教学成果展示、公开课等形式开展各类教学活动;制作宣传标语、录制教学教育宣传视频等。开展防疫、消防等工作，购买防疫物资及消防设施改造;进行安全教育，引导老年人提高人身安全、防骗及非法集资等意识。通过进机关、机构、社区，设置共同联系办学点;加强老年志愿服务的招募、培训及服务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230.00</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23.99</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10.43%</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调整预算资金12月下达，下达时间较晚，无法完成正常业务及支付工作。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230.00</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23.99</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10.43%</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15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文体活动</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场次</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25</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调整预算资金12月下达，下达时间较晚，无法完成正常业务及支付工作。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教学日常支出</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人/次</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25</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推动老年教育发展</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人/年</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满意度指标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服务对象满意度指标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老年学员满意度</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人/年</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成本指标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经济成本指标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文体活动、教学日常支出</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万元</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49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1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我单位主要抓好预算绩效过程管理，建立全过程预算绩效管理链条。预算编制环节绩效目标管理与预算编制同步，绩效目标完整细化量化并集体决策；预算执行环目实施和费用控制良好，预算执行按照进度执行，年终无结余；决算环节开展事后绩效评价，绩效目标无偏离，对内加强绩效管理和挂钩，对外及时公开绩效信息；按照财政部门要求反馈结果应用，积极配合评价工作。节开展绩效监控，对绩效目标实现程度和预算执行进度实行“双监控”，努力发挥项目效益，部门整体支出绩效达到预期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1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资金使用和绩效管理还有待加强。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1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一是加强业务培训，进一步提高工作人员财政资金绩效意识；二是进一步细化项目预算，严格控制各项费用，过紧日子；三是今后对于财政资金项目，加大评价结果应用，真正做到“用钱必问效，无效必问责”。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5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项目负责人：张芯</w:t>
            </w:r>
          </w:p>
        </w:tc>
        <w:tc>
          <w:tcPr>
            <w:tcW w:w="61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财务负责人：李晓曼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83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5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03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50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9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26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4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1023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4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60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广元市民政局部门</w:t>
            </w:r>
          </w:p>
        </w:tc>
        <w:tc>
          <w:tcPr>
            <w:tcW w:w="98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31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广元市老年大学（广元市老年活动中心）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18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60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41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8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0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提高预算编制质量，严格执行预算，保障单位日常运转。</w:t>
            </w:r>
          </w:p>
        </w:tc>
        <w:tc>
          <w:tcPr>
            <w:tcW w:w="41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1023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推动提高资金使用效力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10.80</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10.80</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10.80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highlight w:val="none"/>
                <w:u w:val="none"/>
              </w:rPr>
            </w:pPr>
            <w:r>
              <w:rPr>
                <w:rFonts w:hint="eastAsia" w:ascii="黑体" w:hAnsi="黑体" w:eastAsia="黑体" w:cs="黑体"/>
                <w:i/>
                <w:iCs/>
                <w:color w:val="000000"/>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10.80</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10.80</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10.80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科目调整次数</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次</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质量指标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预算编制准确率（计算方法为：∣（执行数-预算数）/预算数∣）</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经济效益指标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“三公经费”控制率[计算方法为：（三公经费实际支出数/预算安排数]×100%）</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运转保障率</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49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1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我单位主要抓好预算绩效过程管理，建立全过程预算绩效管理链条。预算编制环节绩效目标管理与预算编制同步，绩效目标完整细化量化并集体决策；预算执行环目实施和费用控制良好，预算执行按照进度执行，年终无结余；决算环节开展事后绩效评价，绩效目标无偏离，对内加强绩效管理和挂钩，对外及时公开绩效信息；按照财政部门要求反馈结果应用，积极配合评价工作。节开展绩效监控，对绩效目标实现程度和预算执行进度实行“双监控”，努力发挥项目效益，部门整体支出绩效达到预期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1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资金使用和绩效管理还有待加强。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1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一是加强业务培训，进一步提高工作人员财政资金绩效意识；二是进一步细化项目预算，严格控制各项费用，过紧日子；三是今后对于财政资金项目，加大评价结果应用，真正做到“用钱必问效，无效必问责”。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5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项目负责人：何若菡</w:t>
            </w:r>
          </w:p>
        </w:tc>
        <w:tc>
          <w:tcPr>
            <w:tcW w:w="61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财务负责人：李晓曼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83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5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03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50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9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26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4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1023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51080023R000009698970-单位年度考核奖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4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60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广元市民政局部门</w:t>
            </w:r>
          </w:p>
        </w:tc>
        <w:tc>
          <w:tcPr>
            <w:tcW w:w="98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31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广元市老年大学（广元市老年活动中心）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18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60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41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8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0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c>
          <w:tcPr>
            <w:tcW w:w="41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1023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推动提高资金使用效力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2.70</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2.70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highlight w:val="none"/>
                <w:u w:val="none"/>
              </w:rPr>
            </w:pPr>
            <w:r>
              <w:rPr>
                <w:rFonts w:hint="eastAsia" w:ascii="黑体" w:hAnsi="黑体" w:eastAsia="黑体" w:cs="黑体"/>
                <w:i/>
                <w:iCs/>
                <w:color w:val="000000"/>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2.70</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2.70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发放（缴纳）覆盖率</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足额保障率（参保率）</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49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1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我单位主要抓好预算绩效过程管理，建立全过程预算绩效管理链条。预算编制环节绩效目标管理与预算编制同步，绩效目标完整细化量化并集体决策；预算执行环目实施和费用控制良好，预算执行按照进度执行，年终无结余；决算环节开展事后绩效评价，绩效目标无偏离，对内加强绩效管理和挂钩，对外及时公开绩效信息；按照财政部门要求反馈结果应用，积极配合评价工作。节开展绩效监控，对绩效目标实现程度和预算执行进度实行“双监控”，努力发挥项目效益，部门整体支出绩效达到预期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1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资金使用和绩效管理还有待加强。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1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一是加强业务培训，进一步提高工作人员财政资金绩效意识；二是进一步细化项目预算，严格控制各项费用，过紧日子；三是今后对于财政资金项目，加大评价结果应用，真正做到“用钱必问效，无效必问责”。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5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项目负责人：何若菡</w:t>
            </w:r>
          </w:p>
        </w:tc>
        <w:tc>
          <w:tcPr>
            <w:tcW w:w="61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财务负责人：李晓曼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83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5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03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50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9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26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4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1023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51080023T000008949296-年度考核奖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4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60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广元市民政局部门</w:t>
            </w:r>
          </w:p>
        </w:tc>
        <w:tc>
          <w:tcPr>
            <w:tcW w:w="98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31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广元市老年大学（广元市老年活动中心）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18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60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41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8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0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c>
          <w:tcPr>
            <w:tcW w:w="41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1023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推动提高资金使用效力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6.30</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6.30</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6.30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highlight w:val="none"/>
                <w:u w:val="none"/>
              </w:rPr>
            </w:pPr>
            <w:r>
              <w:rPr>
                <w:rFonts w:hint="eastAsia" w:ascii="黑体" w:hAnsi="黑体" w:eastAsia="黑体" w:cs="黑体"/>
                <w:i/>
                <w:iCs/>
                <w:color w:val="000000"/>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6.30</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6.30</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6.30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发放（缴纳）覆盖率</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足额保障率（参保率）</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49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1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我单位主要抓好预算绩效过程管理，建立全过程预算绩效管理链条。预算编制环节绩效目标管理与预算编制同步，绩效目标完整细化量化并集体决策；预算执行环目实施和费用控制良好，预算执行按照进度执行，年终无结余；决算环节开展事后绩效评价，绩效目标无偏离，对内加强绩效管理和挂钩，对外及时公开绩效信息；按照财政部门要求反馈结果应用，积极配合评价工作。节开展绩效监控，对绩效目标实现程度和预算执行进度实行“双监控”，努力发挥项目效益，部门整体支出绩效达到预期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1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资金使用和绩效管理还有待加强。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1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一是加强业务培训，进一步提高工作人员财政资金绩效意识；二是进一步细化项目预算，严格控制各项费用，过紧日子；三是今后对于财政资金项目，加大评价结果应用，真正做到“用钱必问效，无效必问责”。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5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项目负责人：何若菡</w:t>
            </w:r>
          </w:p>
        </w:tc>
        <w:tc>
          <w:tcPr>
            <w:tcW w:w="61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财务负责人：李晓曼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83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5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03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50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9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4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26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highlight w:val="none"/>
                <w:u w:val="none"/>
              </w:rPr>
            </w:pPr>
            <w:r>
              <w:rPr>
                <w:rFonts w:hint="eastAsia" w:ascii="黑体" w:hAnsi="宋体" w:eastAsia="黑体" w:cs="黑体"/>
                <w:b/>
                <w:bCs/>
                <w:i w:val="0"/>
                <w:iCs w:val="0"/>
                <w:color w:val="000000"/>
                <w:kern w:val="0"/>
                <w:sz w:val="30"/>
                <w:szCs w:val="30"/>
                <w:highlight w:val="none"/>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4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项目名称</w:t>
            </w:r>
          </w:p>
        </w:tc>
        <w:tc>
          <w:tcPr>
            <w:tcW w:w="1023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51080024R000010851755-人员其他支出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4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主管部门</w:t>
            </w:r>
          </w:p>
        </w:tc>
        <w:tc>
          <w:tcPr>
            <w:tcW w:w="60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广元市民政局部门</w:t>
            </w:r>
          </w:p>
        </w:tc>
        <w:tc>
          <w:tcPr>
            <w:tcW w:w="98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实施单位 （盖章）</w:t>
            </w:r>
          </w:p>
        </w:tc>
        <w:tc>
          <w:tcPr>
            <w:tcW w:w="31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广元市老年大学（广元市老年活动中心）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项目基本情况</w:t>
            </w:r>
          </w:p>
        </w:tc>
        <w:tc>
          <w:tcPr>
            <w:tcW w:w="18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1.项目年度目标完成情况</w:t>
            </w:r>
          </w:p>
        </w:tc>
        <w:tc>
          <w:tcPr>
            <w:tcW w:w="60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项目年度目标</w:t>
            </w:r>
          </w:p>
        </w:tc>
        <w:tc>
          <w:tcPr>
            <w:tcW w:w="41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8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0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严格执行相关政策，保障工资及时、足额发放或社保及时、足额缴纳，预算编制科学合理，减少结余资金。</w:t>
            </w:r>
          </w:p>
        </w:tc>
        <w:tc>
          <w:tcPr>
            <w:tcW w:w="41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1023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推动提高资金使用效力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预算执行情况（10分）</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年度预算数（万元）</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年初预算</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调整后预算数</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预算执行数</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预算执行率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总额</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6.81</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6.81</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highlight w:val="none"/>
                <w:u w:val="none"/>
              </w:rPr>
            </w:pPr>
            <w:r>
              <w:rPr>
                <w:rFonts w:hint="eastAsia" w:ascii="黑体" w:hAnsi="黑体" w:eastAsia="黑体" w:cs="黑体"/>
                <w:i/>
                <w:iCs/>
                <w:color w:val="000000"/>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其中：财政资金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6.81</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6.81</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财政专户管理资金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单位资金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其他资金</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24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22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绩效指标（90分）</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产出指标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数量指标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发放（缴纳）覆盖率</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60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效益指标</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社会效益指标</w:t>
            </w:r>
          </w:p>
        </w:tc>
        <w:tc>
          <w:tcPr>
            <w:tcW w:w="2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足额保障率（参保率）</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30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49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合计</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100</w:t>
            </w:r>
          </w:p>
        </w:tc>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1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我单位主要抓好预算绩效过程管理，建立全过程预算绩效管理链条。预算编制环节绩效目标管理与预算编制同步，绩效目标完整细化量化并集体决策；预算执行环目实施和费用控制良好，预算执行按照进度执行，年终无结余；决算环节开展事后绩效评价，绩效目标无偏离，对内加强绩效管理和挂钩，对外及时公开绩效信息；按照财政部门要求反馈结果应用，积极配合评价工作。节开展绩效监控，对绩效目标实现程度和预算执行进度实行“双监控”，努力发挥项目效益，部门整体支出绩效达到预期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1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资金使用和绩效管理还有待加强。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1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一是加强业务培训，进一步提高工作人员财政资金绩效意识；二是进一步细化项目预算，严格控制各项费用，过紧日子；三是今后对于财政资金项目，加大评价结果应用，真正做到“用钱必问效，无效必问责”。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5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项目负责人：何若菡</w:t>
            </w:r>
          </w:p>
        </w:tc>
        <w:tc>
          <w:tcPr>
            <w:tcW w:w="61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财务负责人：李晓曼</w:t>
            </w:r>
          </w:p>
        </w:tc>
      </w:tr>
    </w:tbl>
    <w:p>
      <w:pPr>
        <w:numPr>
          <w:ilvl w:val="0"/>
          <w:numId w:val="0"/>
        </w:numPr>
        <w:ind w:leftChars="0"/>
        <w:jc w:val="center"/>
        <w:rPr>
          <w:rFonts w:hint="eastAsia"/>
          <w:highlight w:val="none"/>
        </w:rPr>
      </w:pPr>
    </w:p>
    <w:p>
      <w:pPr>
        <w:pStyle w:val="7"/>
        <w:pageBreakBefore w:val="0"/>
        <w:kinsoku/>
        <w:wordWrap/>
        <w:overflowPunct/>
        <w:topLinePunct w:val="0"/>
        <w:bidi w:val="0"/>
        <w:adjustRightInd w:val="0"/>
        <w:snapToGrid w:val="0"/>
        <w:spacing w:before="0" w:line="560" w:lineRule="exact"/>
        <w:jc w:val="center"/>
        <w:textAlignment w:val="auto"/>
        <w:rPr>
          <w:rFonts w:hint="eastAsia" w:ascii="黑体" w:hAnsi="黑体" w:eastAsia="黑体" w:cs="黑体"/>
          <w:color w:val="auto"/>
          <w:sz w:val="44"/>
          <w:szCs w:val="44"/>
          <w:highlight w:val="none"/>
        </w:rPr>
      </w:pPr>
    </w:p>
    <w:p>
      <w:pPr>
        <w:pStyle w:val="7"/>
        <w:pageBreakBefore w:val="0"/>
        <w:kinsoku/>
        <w:wordWrap/>
        <w:overflowPunct/>
        <w:topLinePunct w:val="0"/>
        <w:bidi w:val="0"/>
        <w:adjustRightInd w:val="0"/>
        <w:snapToGrid w:val="0"/>
        <w:spacing w:before="0" w:line="560" w:lineRule="exact"/>
        <w:jc w:val="center"/>
        <w:textAlignment w:val="auto"/>
        <w:rPr>
          <w:rFonts w:hint="eastAsia" w:ascii="黑体" w:hAnsi="黑体" w:eastAsia="黑体" w:cs="黑体"/>
          <w:color w:val="auto"/>
          <w:sz w:val="44"/>
          <w:szCs w:val="44"/>
          <w:highlight w:val="none"/>
        </w:rPr>
      </w:pPr>
    </w:p>
    <w:p>
      <w:pPr>
        <w:pStyle w:val="7"/>
        <w:pageBreakBefore w:val="0"/>
        <w:kinsoku/>
        <w:wordWrap/>
        <w:overflowPunct/>
        <w:topLinePunct w:val="0"/>
        <w:bidi w:val="0"/>
        <w:adjustRightInd w:val="0"/>
        <w:snapToGrid w:val="0"/>
        <w:spacing w:before="0" w:line="560" w:lineRule="exact"/>
        <w:jc w:val="center"/>
        <w:textAlignment w:val="auto"/>
        <w:rPr>
          <w:rFonts w:hint="eastAsia" w:ascii="黑体" w:hAnsi="黑体" w:eastAsia="黑体" w:cs="黑体"/>
          <w:color w:val="auto"/>
          <w:sz w:val="44"/>
          <w:szCs w:val="44"/>
          <w:highlight w:val="none"/>
        </w:rPr>
      </w:pPr>
    </w:p>
    <w:p>
      <w:pPr>
        <w:pStyle w:val="7"/>
        <w:pageBreakBefore w:val="0"/>
        <w:kinsoku/>
        <w:wordWrap/>
        <w:overflowPunct/>
        <w:topLinePunct w:val="0"/>
        <w:bidi w:val="0"/>
        <w:adjustRightInd w:val="0"/>
        <w:snapToGrid w:val="0"/>
        <w:spacing w:before="0" w:line="560" w:lineRule="exact"/>
        <w:jc w:val="center"/>
        <w:textAlignment w:val="auto"/>
        <w:rPr>
          <w:rFonts w:hint="eastAsia" w:ascii="黑体" w:hAnsi="黑体" w:eastAsia="黑体" w:cs="黑体"/>
          <w:color w:val="auto"/>
          <w:sz w:val="44"/>
          <w:szCs w:val="44"/>
          <w:highlight w:val="none"/>
        </w:rPr>
      </w:pPr>
    </w:p>
    <w:p>
      <w:pPr>
        <w:pStyle w:val="7"/>
        <w:pageBreakBefore w:val="0"/>
        <w:kinsoku/>
        <w:wordWrap/>
        <w:overflowPunct/>
        <w:topLinePunct w:val="0"/>
        <w:bidi w:val="0"/>
        <w:adjustRightInd w:val="0"/>
        <w:snapToGrid w:val="0"/>
        <w:spacing w:before="0" w:line="560" w:lineRule="exact"/>
        <w:jc w:val="center"/>
        <w:textAlignment w:val="auto"/>
        <w:rPr>
          <w:rFonts w:hint="eastAsia" w:ascii="黑体" w:hAnsi="黑体" w:eastAsia="黑体" w:cs="黑体"/>
          <w:color w:val="auto"/>
          <w:sz w:val="44"/>
          <w:szCs w:val="44"/>
          <w:highlight w:val="none"/>
        </w:rPr>
      </w:pPr>
    </w:p>
    <w:p>
      <w:pPr>
        <w:pStyle w:val="7"/>
        <w:pageBreakBefore w:val="0"/>
        <w:kinsoku/>
        <w:wordWrap/>
        <w:overflowPunct/>
        <w:topLinePunct w:val="0"/>
        <w:bidi w:val="0"/>
        <w:adjustRightInd w:val="0"/>
        <w:snapToGrid w:val="0"/>
        <w:spacing w:before="0" w:line="560" w:lineRule="exact"/>
        <w:jc w:val="center"/>
        <w:textAlignment w:val="auto"/>
        <w:rPr>
          <w:rFonts w:hint="eastAsia" w:ascii="黑体" w:hAnsi="黑体" w:eastAsia="黑体" w:cs="黑体"/>
          <w:color w:val="auto"/>
          <w:sz w:val="44"/>
          <w:szCs w:val="44"/>
          <w:highlight w:val="none"/>
        </w:rPr>
      </w:pPr>
    </w:p>
    <w:p>
      <w:pPr>
        <w:rPr>
          <w:rFonts w:hint="eastAsia" w:ascii="黑体" w:hAnsi="黑体" w:eastAsia="黑体" w:cs="黑体"/>
          <w:color w:val="auto"/>
          <w:sz w:val="44"/>
          <w:szCs w:val="44"/>
          <w:highlight w:val="none"/>
        </w:rPr>
      </w:pPr>
    </w:p>
    <w:p>
      <w:pPr>
        <w:pStyle w:val="4"/>
        <w:rPr>
          <w:rFonts w:hint="eastAsia" w:ascii="黑体" w:hAnsi="黑体" w:eastAsia="黑体" w:cs="黑体"/>
          <w:color w:val="auto"/>
          <w:sz w:val="44"/>
          <w:szCs w:val="44"/>
          <w:highlight w:val="none"/>
        </w:rPr>
      </w:pPr>
    </w:p>
    <w:p>
      <w:pPr>
        <w:pStyle w:val="4"/>
        <w:rPr>
          <w:rFonts w:hint="eastAsia" w:ascii="黑体" w:hAnsi="黑体" w:eastAsia="黑体" w:cs="黑体"/>
          <w:color w:val="auto"/>
          <w:sz w:val="44"/>
          <w:szCs w:val="44"/>
          <w:highlight w:val="none"/>
        </w:rPr>
      </w:pPr>
    </w:p>
    <w:p>
      <w:pPr>
        <w:pStyle w:val="4"/>
        <w:rPr>
          <w:rFonts w:hint="eastAsia" w:ascii="黑体" w:hAnsi="黑体" w:eastAsia="黑体" w:cs="黑体"/>
          <w:color w:val="auto"/>
          <w:sz w:val="44"/>
          <w:szCs w:val="44"/>
          <w:highlight w:val="none"/>
        </w:rPr>
      </w:pPr>
    </w:p>
    <w:p>
      <w:pPr>
        <w:pStyle w:val="4"/>
        <w:rPr>
          <w:rFonts w:hint="eastAsia" w:ascii="黑体" w:hAnsi="黑体" w:eastAsia="黑体" w:cs="黑体"/>
          <w:color w:val="auto"/>
          <w:sz w:val="44"/>
          <w:szCs w:val="44"/>
          <w:highlight w:val="none"/>
        </w:rPr>
      </w:pPr>
    </w:p>
    <w:p>
      <w:pPr>
        <w:pStyle w:val="4"/>
        <w:rPr>
          <w:rFonts w:hint="eastAsia" w:ascii="黑体" w:hAnsi="黑体" w:eastAsia="黑体" w:cs="黑体"/>
          <w:color w:val="auto"/>
          <w:sz w:val="44"/>
          <w:szCs w:val="44"/>
          <w:highlight w:val="none"/>
        </w:rPr>
      </w:pPr>
    </w:p>
    <w:p>
      <w:pPr>
        <w:spacing w:line="600" w:lineRule="exact"/>
        <w:jc w:val="center"/>
        <w:outlineLvl w:val="9"/>
        <w:rPr>
          <w:rFonts w:hint="eastAsia" w:ascii="黑体" w:hAnsi="黑体" w:eastAsia="黑体"/>
          <w:color w:val="auto"/>
          <w:sz w:val="44"/>
          <w:szCs w:val="44"/>
          <w:highlight w:val="none"/>
        </w:rPr>
        <w:sectPr>
          <w:pgSz w:w="16838" w:h="11906" w:orient="landscape"/>
          <w:pgMar w:top="1800" w:right="1440" w:bottom="1800" w:left="1440" w:header="851" w:footer="992" w:gutter="0"/>
          <w:cols w:space="425" w:num="1"/>
          <w:docGrid w:type="lines" w:linePitch="312" w:charSpace="0"/>
        </w:sectPr>
      </w:pPr>
    </w:p>
    <w:p>
      <w:pPr>
        <w:spacing w:line="600" w:lineRule="exact"/>
        <w:jc w:val="center"/>
        <w:outlineLvl w:val="0"/>
        <w:rPr>
          <w:rFonts w:hint="eastAsia" w:ascii="仿宋" w:hAnsi="仿宋" w:eastAsia="仿宋"/>
          <w:b w:val="0"/>
          <w:color w:val="auto"/>
          <w:highlight w:val="none"/>
        </w:rPr>
      </w:pPr>
      <w:bookmarkStart w:id="21" w:name="_Toc10833"/>
      <w:r>
        <w:rPr>
          <w:rFonts w:hint="eastAsia" w:ascii="黑体" w:hAnsi="黑体" w:eastAsia="黑体"/>
          <w:color w:val="auto"/>
          <w:sz w:val="44"/>
          <w:szCs w:val="44"/>
          <w:highlight w:val="none"/>
        </w:rPr>
        <w:t>第</w:t>
      </w:r>
      <w:r>
        <w:rPr>
          <w:rStyle w:val="12"/>
          <w:rFonts w:hint="eastAsia" w:ascii="黑体" w:hAnsi="黑体" w:eastAsia="黑体"/>
          <w:b w:val="0"/>
          <w:color w:val="auto"/>
          <w:highlight w:val="none"/>
        </w:rPr>
        <w:t>五部分 附表</w:t>
      </w:r>
      <w:bookmarkEnd w:id="21"/>
    </w:p>
    <w:p>
      <w:pPr>
        <w:pStyle w:val="3"/>
        <w:pageBreakBefore w:val="0"/>
        <w:widowControl w:val="0"/>
        <w:kinsoku/>
        <w:wordWrap/>
        <w:overflowPunct/>
        <w:topLinePunct w:val="0"/>
        <w:autoSpaceDE/>
        <w:autoSpaceDN/>
        <w:bidi w:val="0"/>
        <w:adjustRightInd/>
        <w:snapToGrid/>
        <w:spacing w:line="560" w:lineRule="exact"/>
        <w:textAlignment w:val="auto"/>
        <w:rPr>
          <w:rFonts w:ascii="仿宋" w:hAnsi="仿宋" w:eastAsia="仿宋"/>
          <w:color w:val="auto"/>
          <w:highlight w:val="none"/>
        </w:rPr>
      </w:pPr>
      <w:bookmarkStart w:id="22" w:name="_Toc30248"/>
      <w:r>
        <w:rPr>
          <w:rFonts w:hint="eastAsia" w:ascii="仿宋" w:hAnsi="仿宋" w:eastAsia="仿宋"/>
          <w:b w:val="0"/>
          <w:color w:val="auto"/>
          <w:highlight w:val="none"/>
        </w:rPr>
        <w:t>一、收</w:t>
      </w:r>
      <w:r>
        <w:rPr>
          <w:rStyle w:val="13"/>
          <w:rFonts w:hint="eastAsia" w:ascii="仿宋" w:hAnsi="仿宋" w:eastAsia="仿宋"/>
          <w:b w:val="0"/>
          <w:bCs w:val="0"/>
          <w:color w:val="auto"/>
          <w:highlight w:val="none"/>
        </w:rPr>
        <w:t>入支出决算总表</w:t>
      </w:r>
      <w:bookmarkEnd w:id="22"/>
    </w:p>
    <w:p>
      <w:pPr>
        <w:pStyle w:val="3"/>
        <w:pageBreakBefore w:val="0"/>
        <w:widowControl w:val="0"/>
        <w:kinsoku/>
        <w:wordWrap/>
        <w:overflowPunct/>
        <w:topLinePunct w:val="0"/>
        <w:autoSpaceDE/>
        <w:autoSpaceDN/>
        <w:bidi w:val="0"/>
        <w:adjustRightInd/>
        <w:snapToGrid/>
        <w:spacing w:line="560" w:lineRule="exact"/>
        <w:textAlignment w:val="auto"/>
        <w:rPr>
          <w:rFonts w:ascii="仿宋" w:hAnsi="仿宋" w:eastAsia="仿宋"/>
          <w:color w:val="auto"/>
          <w:highlight w:val="none"/>
        </w:rPr>
      </w:pPr>
      <w:bookmarkStart w:id="23" w:name="_Toc25704"/>
      <w:r>
        <w:rPr>
          <w:rFonts w:hint="eastAsia" w:ascii="仿宋" w:hAnsi="仿宋" w:eastAsia="仿宋"/>
          <w:b w:val="0"/>
          <w:color w:val="auto"/>
          <w:highlight w:val="none"/>
        </w:rPr>
        <w:t>二、收</w:t>
      </w:r>
      <w:r>
        <w:rPr>
          <w:rStyle w:val="13"/>
          <w:rFonts w:hint="eastAsia" w:ascii="仿宋" w:hAnsi="仿宋" w:eastAsia="仿宋"/>
          <w:b w:val="0"/>
          <w:bCs w:val="0"/>
          <w:color w:val="auto"/>
          <w:highlight w:val="none"/>
        </w:rPr>
        <w:t>入决算表</w:t>
      </w:r>
      <w:bookmarkEnd w:id="23"/>
    </w:p>
    <w:p>
      <w:pPr>
        <w:pStyle w:val="3"/>
        <w:pageBreakBefore w:val="0"/>
        <w:widowControl w:val="0"/>
        <w:kinsoku/>
        <w:wordWrap/>
        <w:overflowPunct/>
        <w:topLinePunct w:val="0"/>
        <w:autoSpaceDE/>
        <w:autoSpaceDN/>
        <w:bidi w:val="0"/>
        <w:adjustRightInd/>
        <w:snapToGrid/>
        <w:spacing w:line="560" w:lineRule="exact"/>
        <w:textAlignment w:val="auto"/>
        <w:rPr>
          <w:rFonts w:ascii="仿宋" w:hAnsi="仿宋" w:eastAsia="仿宋"/>
          <w:color w:val="auto"/>
          <w:highlight w:val="none"/>
        </w:rPr>
      </w:pPr>
      <w:bookmarkStart w:id="24" w:name="_Toc12748"/>
      <w:r>
        <w:rPr>
          <w:rStyle w:val="13"/>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13"/>
          <w:rFonts w:hint="eastAsia" w:ascii="仿宋" w:hAnsi="仿宋" w:eastAsia="仿宋"/>
          <w:b w:val="0"/>
          <w:bCs w:val="0"/>
          <w:color w:val="auto"/>
          <w:highlight w:val="none"/>
        </w:rPr>
        <w:t>出决算表</w:t>
      </w:r>
      <w:bookmarkEnd w:id="24"/>
    </w:p>
    <w:p>
      <w:pPr>
        <w:pStyle w:val="3"/>
        <w:pageBreakBefore w:val="0"/>
        <w:widowControl w:val="0"/>
        <w:kinsoku/>
        <w:wordWrap/>
        <w:overflowPunct/>
        <w:topLinePunct w:val="0"/>
        <w:autoSpaceDE/>
        <w:autoSpaceDN/>
        <w:bidi w:val="0"/>
        <w:adjustRightInd/>
        <w:snapToGrid/>
        <w:spacing w:line="560" w:lineRule="exact"/>
        <w:textAlignment w:val="auto"/>
        <w:rPr>
          <w:rFonts w:ascii="仿宋" w:hAnsi="仿宋" w:eastAsia="仿宋"/>
          <w:b w:val="0"/>
          <w:color w:val="auto"/>
          <w:highlight w:val="none"/>
        </w:rPr>
      </w:pPr>
      <w:bookmarkStart w:id="25" w:name="_Toc6378"/>
      <w:r>
        <w:rPr>
          <w:rStyle w:val="13"/>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13"/>
          <w:rFonts w:hint="eastAsia" w:ascii="仿宋" w:hAnsi="仿宋" w:eastAsia="仿宋"/>
          <w:b w:val="0"/>
          <w:bCs w:val="0"/>
          <w:color w:val="auto"/>
          <w:highlight w:val="none"/>
        </w:rPr>
        <w:t>政拨款收入支出决算总表</w:t>
      </w:r>
      <w:bookmarkEnd w:id="25"/>
    </w:p>
    <w:p>
      <w:pPr>
        <w:pStyle w:val="3"/>
        <w:pageBreakBefore w:val="0"/>
        <w:widowControl w:val="0"/>
        <w:kinsoku/>
        <w:wordWrap/>
        <w:overflowPunct/>
        <w:topLinePunct w:val="0"/>
        <w:autoSpaceDE/>
        <w:autoSpaceDN/>
        <w:bidi w:val="0"/>
        <w:adjustRightInd/>
        <w:snapToGrid/>
        <w:spacing w:line="560" w:lineRule="exact"/>
        <w:textAlignment w:val="auto"/>
        <w:rPr>
          <w:rStyle w:val="13"/>
          <w:rFonts w:ascii="仿宋" w:hAnsi="仿宋" w:eastAsia="仿宋"/>
          <w:b w:val="0"/>
          <w:bCs w:val="0"/>
          <w:color w:val="auto"/>
          <w:highlight w:val="none"/>
        </w:rPr>
      </w:pPr>
      <w:bookmarkStart w:id="26" w:name="_Toc28324"/>
      <w:r>
        <w:rPr>
          <w:rStyle w:val="13"/>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13"/>
          <w:rFonts w:hint="eastAsia" w:ascii="仿宋" w:hAnsi="仿宋" w:eastAsia="仿宋"/>
          <w:b w:val="0"/>
          <w:bCs w:val="0"/>
          <w:color w:val="auto"/>
          <w:highlight w:val="none"/>
        </w:rPr>
        <w:t>政拨款支出决算明细表</w:t>
      </w:r>
      <w:bookmarkEnd w:id="26"/>
    </w:p>
    <w:p>
      <w:pPr>
        <w:pStyle w:val="3"/>
        <w:pageBreakBefore w:val="0"/>
        <w:widowControl w:val="0"/>
        <w:kinsoku/>
        <w:wordWrap/>
        <w:overflowPunct/>
        <w:topLinePunct w:val="0"/>
        <w:autoSpaceDE/>
        <w:autoSpaceDN/>
        <w:bidi w:val="0"/>
        <w:adjustRightInd/>
        <w:snapToGrid/>
        <w:spacing w:line="560" w:lineRule="exact"/>
        <w:textAlignment w:val="auto"/>
        <w:rPr>
          <w:rFonts w:ascii="仿宋" w:hAnsi="仿宋" w:eastAsia="仿宋"/>
          <w:color w:val="auto"/>
          <w:highlight w:val="none"/>
        </w:rPr>
      </w:pPr>
      <w:bookmarkStart w:id="27" w:name="_Toc8554"/>
      <w:r>
        <w:rPr>
          <w:rStyle w:val="13"/>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13"/>
          <w:rFonts w:hint="eastAsia" w:ascii="仿宋" w:hAnsi="仿宋" w:eastAsia="仿宋"/>
          <w:b w:val="0"/>
          <w:bCs w:val="0"/>
          <w:color w:val="auto"/>
          <w:highlight w:val="none"/>
        </w:rPr>
        <w:t>般公共预算财政拨款支出决算表</w:t>
      </w:r>
      <w:bookmarkEnd w:id="27"/>
    </w:p>
    <w:p>
      <w:pPr>
        <w:pStyle w:val="3"/>
        <w:pageBreakBefore w:val="0"/>
        <w:widowControl w:val="0"/>
        <w:kinsoku/>
        <w:wordWrap/>
        <w:overflowPunct/>
        <w:topLinePunct w:val="0"/>
        <w:autoSpaceDE/>
        <w:autoSpaceDN/>
        <w:bidi w:val="0"/>
        <w:adjustRightInd/>
        <w:snapToGrid/>
        <w:spacing w:line="560" w:lineRule="exact"/>
        <w:textAlignment w:val="auto"/>
        <w:rPr>
          <w:rFonts w:ascii="仿宋" w:hAnsi="仿宋" w:eastAsia="仿宋"/>
          <w:color w:val="auto"/>
          <w:highlight w:val="none"/>
        </w:rPr>
      </w:pPr>
      <w:bookmarkStart w:id="28" w:name="_Toc11688"/>
      <w:r>
        <w:rPr>
          <w:rStyle w:val="13"/>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13"/>
          <w:rFonts w:hint="eastAsia" w:ascii="仿宋" w:hAnsi="仿宋" w:eastAsia="仿宋"/>
          <w:b w:val="0"/>
          <w:bCs w:val="0"/>
          <w:color w:val="auto"/>
          <w:highlight w:val="none"/>
        </w:rPr>
        <w:t>般公共预算财政拨款支出决算明细表</w:t>
      </w:r>
      <w:bookmarkEnd w:id="28"/>
    </w:p>
    <w:p>
      <w:pPr>
        <w:pStyle w:val="3"/>
        <w:pageBreakBefore w:val="0"/>
        <w:widowControl w:val="0"/>
        <w:kinsoku/>
        <w:wordWrap/>
        <w:overflowPunct/>
        <w:topLinePunct w:val="0"/>
        <w:autoSpaceDE/>
        <w:autoSpaceDN/>
        <w:bidi w:val="0"/>
        <w:adjustRightInd/>
        <w:snapToGrid/>
        <w:spacing w:line="560" w:lineRule="exact"/>
        <w:textAlignment w:val="auto"/>
        <w:rPr>
          <w:rFonts w:ascii="仿宋" w:hAnsi="仿宋" w:eastAsia="仿宋"/>
          <w:color w:val="auto"/>
          <w:highlight w:val="none"/>
        </w:rPr>
      </w:pPr>
      <w:bookmarkStart w:id="29" w:name="_Toc6639"/>
      <w:r>
        <w:rPr>
          <w:rStyle w:val="13"/>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13"/>
          <w:rFonts w:hint="eastAsia" w:ascii="仿宋" w:hAnsi="仿宋" w:eastAsia="仿宋"/>
          <w:b w:val="0"/>
          <w:bCs w:val="0"/>
          <w:color w:val="auto"/>
          <w:highlight w:val="none"/>
        </w:rPr>
        <w:t>般公共预算财政拨款基本支出决算表</w:t>
      </w:r>
      <w:bookmarkEnd w:id="29"/>
    </w:p>
    <w:p>
      <w:pPr>
        <w:pStyle w:val="3"/>
        <w:pageBreakBefore w:val="0"/>
        <w:widowControl w:val="0"/>
        <w:kinsoku/>
        <w:wordWrap/>
        <w:overflowPunct/>
        <w:topLinePunct w:val="0"/>
        <w:autoSpaceDE/>
        <w:autoSpaceDN/>
        <w:bidi w:val="0"/>
        <w:adjustRightInd/>
        <w:snapToGrid/>
        <w:spacing w:line="560" w:lineRule="exact"/>
        <w:textAlignment w:val="auto"/>
        <w:rPr>
          <w:rFonts w:ascii="仿宋" w:hAnsi="仿宋" w:eastAsia="仿宋"/>
          <w:color w:val="auto"/>
          <w:highlight w:val="none"/>
        </w:rPr>
      </w:pPr>
      <w:bookmarkStart w:id="30" w:name="_Toc26119"/>
      <w:r>
        <w:rPr>
          <w:rStyle w:val="13"/>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13"/>
          <w:rFonts w:hint="eastAsia" w:ascii="仿宋" w:hAnsi="仿宋" w:eastAsia="仿宋"/>
          <w:b w:val="0"/>
          <w:bCs w:val="0"/>
          <w:color w:val="auto"/>
          <w:highlight w:val="none"/>
        </w:rPr>
        <w:t>般公共预算财政拨款项目支出决算表</w:t>
      </w:r>
      <w:bookmarkEnd w:id="30"/>
    </w:p>
    <w:p>
      <w:pPr>
        <w:pStyle w:val="3"/>
        <w:pageBreakBefore w:val="0"/>
        <w:widowControl w:val="0"/>
        <w:kinsoku/>
        <w:wordWrap/>
        <w:overflowPunct/>
        <w:topLinePunct w:val="0"/>
        <w:autoSpaceDE/>
        <w:autoSpaceDN/>
        <w:bidi w:val="0"/>
        <w:adjustRightInd/>
        <w:snapToGrid/>
        <w:spacing w:line="560" w:lineRule="exact"/>
        <w:textAlignment w:val="auto"/>
        <w:rPr>
          <w:rFonts w:ascii="仿宋" w:hAnsi="仿宋" w:eastAsia="仿宋"/>
          <w:color w:val="auto"/>
          <w:highlight w:val="none"/>
        </w:rPr>
      </w:pPr>
      <w:bookmarkStart w:id="31" w:name="_Toc17187"/>
      <w:r>
        <w:rPr>
          <w:rStyle w:val="13"/>
          <w:rFonts w:hint="eastAsia" w:ascii="仿宋" w:hAnsi="仿宋" w:eastAsia="仿宋"/>
          <w:b w:val="0"/>
          <w:bCs w:val="0"/>
          <w:color w:val="auto"/>
          <w:highlight w:val="none"/>
        </w:rPr>
        <w:t>十、</w:t>
      </w:r>
      <w:r>
        <w:rPr>
          <w:rFonts w:hint="eastAsia" w:ascii="仿宋" w:hAnsi="仿宋" w:eastAsia="仿宋"/>
          <w:b w:val="0"/>
          <w:color w:val="auto"/>
          <w:highlight w:val="none"/>
        </w:rPr>
        <w:t>政</w:t>
      </w:r>
      <w:r>
        <w:rPr>
          <w:rStyle w:val="13"/>
          <w:rFonts w:hint="eastAsia" w:ascii="仿宋" w:hAnsi="仿宋" w:eastAsia="仿宋"/>
          <w:b w:val="0"/>
          <w:bCs w:val="0"/>
          <w:color w:val="auto"/>
          <w:highlight w:val="none"/>
        </w:rPr>
        <w:t>府性基金预算财政拨款收入支出决算表</w:t>
      </w:r>
      <w:bookmarkEnd w:id="31"/>
    </w:p>
    <w:p>
      <w:pPr>
        <w:pStyle w:val="3"/>
        <w:pageBreakBefore w:val="0"/>
        <w:widowControl w:val="0"/>
        <w:kinsoku/>
        <w:wordWrap/>
        <w:overflowPunct/>
        <w:topLinePunct w:val="0"/>
        <w:autoSpaceDE/>
        <w:autoSpaceDN/>
        <w:bidi w:val="0"/>
        <w:adjustRightInd/>
        <w:snapToGrid/>
        <w:spacing w:line="560" w:lineRule="exact"/>
        <w:textAlignment w:val="auto"/>
        <w:rPr>
          <w:rFonts w:ascii="仿宋" w:hAnsi="仿宋" w:eastAsia="仿宋"/>
          <w:color w:val="auto"/>
          <w:highlight w:val="none"/>
        </w:rPr>
      </w:pPr>
      <w:bookmarkStart w:id="32" w:name="_Toc19224"/>
      <w:r>
        <w:rPr>
          <w:rStyle w:val="13"/>
          <w:rFonts w:hint="eastAsia" w:ascii="仿宋" w:hAnsi="仿宋" w:eastAsia="仿宋"/>
          <w:b w:val="0"/>
          <w:bCs w:val="0"/>
          <w:color w:val="auto"/>
          <w:highlight w:val="none"/>
        </w:rPr>
        <w:t>十一、</w:t>
      </w:r>
      <w:r>
        <w:rPr>
          <w:rFonts w:hint="eastAsia" w:ascii="仿宋" w:hAnsi="仿宋" w:eastAsia="仿宋"/>
          <w:b w:val="0"/>
          <w:color w:val="auto"/>
          <w:highlight w:val="none"/>
        </w:rPr>
        <w:t>国</w:t>
      </w:r>
      <w:r>
        <w:rPr>
          <w:rStyle w:val="13"/>
          <w:rFonts w:hint="eastAsia" w:ascii="仿宋" w:hAnsi="仿宋" w:eastAsia="仿宋"/>
          <w:b w:val="0"/>
          <w:bCs w:val="0"/>
          <w:color w:val="auto"/>
          <w:highlight w:val="none"/>
        </w:rPr>
        <w:t>有资本经营预算</w:t>
      </w:r>
      <w:r>
        <w:rPr>
          <w:rStyle w:val="13"/>
          <w:rFonts w:hint="eastAsia" w:ascii="仿宋" w:hAnsi="仿宋" w:eastAsia="仿宋"/>
          <w:b w:val="0"/>
          <w:bCs w:val="0"/>
          <w:color w:val="auto"/>
          <w:highlight w:val="none"/>
          <w:lang w:eastAsia="zh-CN"/>
        </w:rPr>
        <w:t>财政拨款收入</w:t>
      </w:r>
      <w:r>
        <w:rPr>
          <w:rStyle w:val="13"/>
          <w:rFonts w:hint="eastAsia" w:ascii="仿宋" w:hAnsi="仿宋" w:eastAsia="仿宋"/>
          <w:b w:val="0"/>
          <w:bCs w:val="0"/>
          <w:color w:val="auto"/>
          <w:highlight w:val="none"/>
        </w:rPr>
        <w:t>支出决算表</w:t>
      </w:r>
      <w:bookmarkEnd w:id="32"/>
    </w:p>
    <w:p>
      <w:pPr>
        <w:pStyle w:val="3"/>
        <w:pageBreakBefore w:val="0"/>
        <w:widowControl w:val="0"/>
        <w:kinsoku/>
        <w:wordWrap/>
        <w:overflowPunct/>
        <w:topLinePunct w:val="0"/>
        <w:autoSpaceDE/>
        <w:autoSpaceDN/>
        <w:bidi w:val="0"/>
        <w:adjustRightInd/>
        <w:snapToGrid/>
        <w:spacing w:line="560" w:lineRule="exact"/>
        <w:textAlignment w:val="auto"/>
        <w:rPr>
          <w:rFonts w:ascii="仿宋" w:hAnsi="仿宋" w:eastAsia="仿宋"/>
          <w:color w:val="auto"/>
          <w:highlight w:val="none"/>
        </w:rPr>
      </w:pPr>
      <w:bookmarkStart w:id="33" w:name="_Toc27403"/>
      <w:r>
        <w:rPr>
          <w:rStyle w:val="13"/>
          <w:rFonts w:hint="eastAsia" w:ascii="仿宋" w:hAnsi="仿宋" w:eastAsia="仿宋"/>
          <w:b w:val="0"/>
          <w:bCs w:val="0"/>
          <w:color w:val="auto"/>
          <w:highlight w:val="none"/>
        </w:rPr>
        <w:t>十二、</w:t>
      </w:r>
      <w:r>
        <w:rPr>
          <w:rStyle w:val="13"/>
          <w:rFonts w:hint="eastAsia" w:ascii="仿宋" w:hAnsi="仿宋" w:eastAsia="仿宋"/>
          <w:b w:val="0"/>
          <w:bCs w:val="0"/>
          <w:color w:val="auto"/>
          <w:highlight w:val="none"/>
          <w:lang w:eastAsia="zh-CN"/>
        </w:rPr>
        <w:t>国有资本经营预算财政拨款支出决算表</w:t>
      </w:r>
      <w:bookmarkEnd w:id="33"/>
    </w:p>
    <w:p>
      <w:pPr>
        <w:pStyle w:val="3"/>
        <w:pageBreakBefore w:val="0"/>
        <w:widowControl w:val="0"/>
        <w:kinsoku/>
        <w:wordWrap/>
        <w:overflowPunct/>
        <w:topLinePunct w:val="0"/>
        <w:autoSpaceDE/>
        <w:autoSpaceDN/>
        <w:bidi w:val="0"/>
        <w:adjustRightInd/>
        <w:snapToGrid/>
        <w:spacing w:line="560" w:lineRule="exact"/>
        <w:textAlignment w:val="auto"/>
        <w:rPr>
          <w:rFonts w:hint="eastAsia" w:eastAsia="仿宋"/>
          <w:color w:val="auto"/>
          <w:highlight w:val="none"/>
          <w:lang w:eastAsia="zh-CN"/>
        </w:rPr>
      </w:pPr>
      <w:bookmarkStart w:id="34" w:name="_Toc25258"/>
      <w:r>
        <w:rPr>
          <w:rStyle w:val="13"/>
          <w:rFonts w:hint="eastAsia" w:ascii="仿宋" w:hAnsi="仿宋" w:eastAsia="仿宋"/>
          <w:b w:val="0"/>
          <w:bCs w:val="0"/>
          <w:color w:val="auto"/>
          <w:highlight w:val="none"/>
        </w:rPr>
        <w:t>十三、</w:t>
      </w:r>
      <w:r>
        <w:rPr>
          <w:rStyle w:val="13"/>
          <w:rFonts w:hint="eastAsia" w:ascii="仿宋" w:hAnsi="仿宋" w:eastAsia="仿宋"/>
          <w:b w:val="0"/>
          <w:bCs w:val="0"/>
          <w:color w:val="auto"/>
          <w:highlight w:val="none"/>
          <w:lang w:eastAsia="zh-CN"/>
        </w:rPr>
        <w:t>财政拨款“三公”经费支出决算表</w:t>
      </w:r>
      <w:bookmarkEnd w:id="34"/>
    </w:p>
    <w:p>
      <w:pPr>
        <w:pStyle w:val="4"/>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color w:val="auto"/>
          <w:sz w:val="44"/>
          <w:szCs w:val="44"/>
          <w:highlight w:val="none"/>
        </w:rPr>
      </w:pPr>
    </w:p>
    <w:p>
      <w:pPr>
        <w:pageBreakBefore w:val="0"/>
        <w:widowControl w:val="0"/>
        <w:kinsoku/>
        <w:wordWrap/>
        <w:overflowPunct/>
        <w:topLinePunct w:val="0"/>
        <w:autoSpaceDE/>
        <w:autoSpaceDN/>
        <w:bidi w:val="0"/>
        <w:adjustRightInd/>
        <w:snapToGrid/>
        <w:spacing w:line="560" w:lineRule="exact"/>
        <w:textAlignment w:val="auto"/>
        <w:rPr>
          <w:rFonts w:hint="eastAsia" w:eastAsia="宋体"/>
          <w:highlight w:val="none"/>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
    <w:altName w:val="宋体"/>
    <w:panose1 w:val="02010609060101010101"/>
    <w:charset w:val="86"/>
    <w:family w:val="modern"/>
    <w:pitch w:val="default"/>
    <w:sig w:usb0="00000000" w:usb1="00000000" w:usb2="00000016" w:usb3="00000000" w:csb0="00040001" w:csb1="00000000"/>
  </w:font>
  <w:font w:name="微软雅黑">
    <w:altName w:val="黑体"/>
    <w:panose1 w:val="020B0503020204020204"/>
    <w:charset w:val="86"/>
    <w:family w:val="auto"/>
    <w:pitch w:val="default"/>
    <w:sig w:usb0="00000000" w:usb1="00000000" w:usb2="00000016" w:usb3="00000000" w:csb0="0004001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K8tgzBwCAAApBAAADgAAAAAAAAABACAAAAA1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left</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FsIeAxwCAAArBAAADgAAAAAAAAABACAAAAA1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E0FC08"/>
    <w:multiLevelType w:val="singleLevel"/>
    <w:tmpl w:val="A4E0FC08"/>
    <w:lvl w:ilvl="0" w:tentative="0">
      <w:start w:val="4"/>
      <w:numFmt w:val="chineseCounting"/>
      <w:suff w:val="nothing"/>
      <w:lvlText w:val="%1、"/>
      <w:lvlJc w:val="left"/>
      <w:rPr>
        <w:rFonts w:hint="eastAsia"/>
      </w:rPr>
    </w:lvl>
  </w:abstractNum>
  <w:abstractNum w:abstractNumId="1">
    <w:nsid w:val="2E1EBF60"/>
    <w:multiLevelType w:val="singleLevel"/>
    <w:tmpl w:val="2E1EBF60"/>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44C54E5B"/>
    <w:rsid w:val="04316F76"/>
    <w:rsid w:val="05561E22"/>
    <w:rsid w:val="07E3599F"/>
    <w:rsid w:val="09D27E0F"/>
    <w:rsid w:val="0C1D1F84"/>
    <w:rsid w:val="0D336E17"/>
    <w:rsid w:val="0D48759E"/>
    <w:rsid w:val="0E45515F"/>
    <w:rsid w:val="0F2729AB"/>
    <w:rsid w:val="10A84371"/>
    <w:rsid w:val="10BC7F9A"/>
    <w:rsid w:val="12E74FB1"/>
    <w:rsid w:val="16E67E48"/>
    <w:rsid w:val="184B770B"/>
    <w:rsid w:val="19E716B5"/>
    <w:rsid w:val="1B1B527C"/>
    <w:rsid w:val="1BBC061B"/>
    <w:rsid w:val="1CFD2F9D"/>
    <w:rsid w:val="1DD67347"/>
    <w:rsid w:val="208E288A"/>
    <w:rsid w:val="20DB25F5"/>
    <w:rsid w:val="22756ED2"/>
    <w:rsid w:val="24C9147A"/>
    <w:rsid w:val="26A71992"/>
    <w:rsid w:val="272F2A1D"/>
    <w:rsid w:val="27D626CB"/>
    <w:rsid w:val="2BAE47C8"/>
    <w:rsid w:val="2BC81259"/>
    <w:rsid w:val="331E47FA"/>
    <w:rsid w:val="33667727"/>
    <w:rsid w:val="35C506A4"/>
    <w:rsid w:val="36711F6F"/>
    <w:rsid w:val="37F4686F"/>
    <w:rsid w:val="3A4F678F"/>
    <w:rsid w:val="3A777998"/>
    <w:rsid w:val="3B717104"/>
    <w:rsid w:val="3ECD21F3"/>
    <w:rsid w:val="3FF545DE"/>
    <w:rsid w:val="43615649"/>
    <w:rsid w:val="44C54E5B"/>
    <w:rsid w:val="46DA7D28"/>
    <w:rsid w:val="4B1D4687"/>
    <w:rsid w:val="4BCA10CF"/>
    <w:rsid w:val="4D381304"/>
    <w:rsid w:val="4D46134F"/>
    <w:rsid w:val="4F2C56AB"/>
    <w:rsid w:val="50E92977"/>
    <w:rsid w:val="51226553"/>
    <w:rsid w:val="522921B8"/>
    <w:rsid w:val="531E6426"/>
    <w:rsid w:val="534D64B3"/>
    <w:rsid w:val="555829B5"/>
    <w:rsid w:val="564D49B4"/>
    <w:rsid w:val="569E4D4A"/>
    <w:rsid w:val="58321718"/>
    <w:rsid w:val="596F6522"/>
    <w:rsid w:val="5B0B62AA"/>
    <w:rsid w:val="5C0D1BAE"/>
    <w:rsid w:val="60BC0408"/>
    <w:rsid w:val="637B3BB3"/>
    <w:rsid w:val="638162E7"/>
    <w:rsid w:val="63E31169"/>
    <w:rsid w:val="64FF257A"/>
    <w:rsid w:val="660D4F89"/>
    <w:rsid w:val="66EC3879"/>
    <w:rsid w:val="68914293"/>
    <w:rsid w:val="69431305"/>
    <w:rsid w:val="699B6A4B"/>
    <w:rsid w:val="69BB44C4"/>
    <w:rsid w:val="6AF503DD"/>
    <w:rsid w:val="6B8A420E"/>
    <w:rsid w:val="6E377E41"/>
    <w:rsid w:val="6EEF2DAA"/>
    <w:rsid w:val="6FE10921"/>
    <w:rsid w:val="6FE50A20"/>
    <w:rsid w:val="724B706D"/>
    <w:rsid w:val="73003B44"/>
    <w:rsid w:val="733817AF"/>
    <w:rsid w:val="7662389D"/>
    <w:rsid w:val="79442C5B"/>
    <w:rsid w:val="7B835E63"/>
    <w:rsid w:val="7C217284"/>
    <w:rsid w:val="7D80622C"/>
    <w:rsid w:val="7DB61057"/>
    <w:rsid w:val="7F143ACF"/>
    <w:rsid w:val="DFFB7DAF"/>
    <w:rsid w:val="EDD3730E"/>
    <w:rsid w:val="F9FBD6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1"/>
    <w:basedOn w:val="1"/>
    <w:next w:val="1"/>
    <w:link w:val="12"/>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3"/>
    <w:unhideWhenUsed/>
    <w:qFormat/>
    <w:uiPriority w:val="9"/>
    <w:pPr>
      <w:keepNext/>
      <w:keepLines/>
      <w:spacing w:before="260" w:after="260" w:line="416" w:lineRule="auto"/>
      <w:outlineLvl w:val="1"/>
    </w:pPr>
    <w:rPr>
      <w:rFonts w:ascii="Cambria" w:hAnsi="Cambria" w:eastAsia="宋体" w:cs="Times New Roman"/>
      <w:b/>
      <w:bCs/>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pPr>
      <w:spacing w:before="0" w:after="140" w:line="276"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8">
    <w:name w:val="toc 2"/>
    <w:basedOn w:val="1"/>
    <w:next w:val="1"/>
    <w:unhideWhenUsed/>
    <w:qFormat/>
    <w:uiPriority w:val="39"/>
    <w:pPr>
      <w:tabs>
        <w:tab w:val="right" w:leader="dot" w:pos="8296"/>
      </w:tabs>
      <w:ind w:left="420" w:leftChars="200"/>
    </w:pPr>
  </w:style>
  <w:style w:type="character" w:styleId="11">
    <w:name w:val="Strong"/>
    <w:basedOn w:val="10"/>
    <w:qFormat/>
    <w:uiPriority w:val="99"/>
    <w:rPr>
      <w:b/>
    </w:rPr>
  </w:style>
  <w:style w:type="character" w:customStyle="1" w:styleId="12">
    <w:name w:val="标题 1 Char"/>
    <w:basedOn w:val="10"/>
    <w:link w:val="2"/>
    <w:qFormat/>
    <w:uiPriority w:val="9"/>
    <w:rPr>
      <w:b/>
      <w:bCs/>
      <w:kern w:val="44"/>
      <w:sz w:val="44"/>
      <w:szCs w:val="44"/>
    </w:rPr>
  </w:style>
  <w:style w:type="character" w:customStyle="1" w:styleId="13">
    <w:name w:val="标题 2 Char"/>
    <w:basedOn w:val="10"/>
    <w:link w:val="3"/>
    <w:qFormat/>
    <w:uiPriority w:val="9"/>
    <w:rPr>
      <w:rFonts w:ascii="Cambria" w:hAnsi="Cambria" w:eastAsia="宋体" w:cs="Times New Roman"/>
      <w:b/>
      <w:bCs/>
      <w:sz w:val="32"/>
      <w:szCs w:val="32"/>
    </w:rPr>
  </w:style>
  <w:style w:type="paragraph" w:customStyle="1" w:styleId="14">
    <w:name w:val="Default"/>
    <w:unhideWhenUsed/>
    <w:qFormat/>
    <w:uiPriority w:val="99"/>
    <w:pPr>
      <w:widowControl w:val="0"/>
      <w:autoSpaceDE w:val="0"/>
      <w:autoSpaceDN w:val="0"/>
      <w:adjustRightInd w:val="0"/>
    </w:pPr>
    <w:rPr>
      <w:rFonts w:hint="eastAsia" w:ascii="仿宋" w:hAnsi="Calibri" w:eastAsia="仿宋" w:cs="仿宋"/>
      <w:color w:val="000000"/>
      <w:sz w:val="24"/>
      <w:szCs w:val="24"/>
      <w:lang w:val="en-US" w:eastAsia="zh-CN" w:bidi="ar-SA"/>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2.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3.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4.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5.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6.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2022年（万元）</c:v>
                </c:pt>
              </c:strCache>
            </c:strRef>
          </c:tx>
          <c:spPr>
            <a:gradFill rotWithShape="true">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false"/>
            </a:gradFill>
            <a:ln>
              <a:noFill/>
            </a:ln>
            <a:effectLst>
              <a:outerShdw blurRad="40000" dist="23000" dir="5400000" rotWithShape="0">
                <a:srgbClr val="000000">
                  <a:alpha val="35000"/>
                </a:srgbClr>
              </a:outerShdw>
            </a:effectLst>
          </c:spPr>
          <c:invertIfNegative val="false"/>
          <c:dLbls>
            <c:delete val="true"/>
          </c:dLbls>
          <c:cat>
            <c:strRef>
              <c:f>Sheet1!$A$2:$A$3</c:f>
              <c:strCache>
                <c:ptCount val="2"/>
                <c:pt idx="0">
                  <c:v>2022年</c:v>
                </c:pt>
                <c:pt idx="1">
                  <c:v>2023年</c:v>
                </c:pt>
              </c:strCache>
            </c:strRef>
          </c:cat>
          <c:val>
            <c:numRef>
              <c:f>Sheet1!$B$2:$B$3</c:f>
              <c:numCache>
                <c:formatCode>General</c:formatCode>
                <c:ptCount val="2"/>
                <c:pt idx="0">
                  <c:v>0</c:v>
                </c:pt>
                <c:pt idx="1">
                  <c:v>0</c:v>
                </c:pt>
              </c:numCache>
            </c:numRef>
          </c:val>
        </c:ser>
        <c:ser>
          <c:idx val="1"/>
          <c:order val="1"/>
          <c:tx>
            <c:strRef>
              <c:f>Sheet1!$C$1</c:f>
              <c:strCache>
                <c:ptCount val="1"/>
                <c:pt idx="0">
                  <c:v>2023年（万元）</c:v>
                </c:pt>
              </c:strCache>
            </c:strRef>
          </c:tx>
          <c:spPr>
            <a:solidFill>
              <a:schemeClr val="accent2"/>
            </a:solidFill>
            <a:ln>
              <a:noFill/>
            </a:ln>
            <a:effectLst>
              <a:outerShdw blurRad="40000" dist="23000" dir="5400000" rotWithShape="0">
                <a:srgbClr val="000000">
                  <a:alpha val="35000"/>
                </a:srgbClr>
              </a:outerShdw>
            </a:effectLst>
          </c:spPr>
          <c:invertIfNegative val="false"/>
          <c:dPt>
            <c:idx val="0"/>
            <c:invertIfNegative val="false"/>
            <c:bubble3D val="false"/>
            <c:spPr>
              <a:solidFill>
                <a:schemeClr val="accent1">
                  <a:lumMod val="60000"/>
                  <a:lumOff val="40000"/>
                </a:schemeClr>
              </a:solidFill>
              <a:ln>
                <a:noFill/>
              </a:ln>
              <a:effectLst>
                <a:outerShdw blurRad="40000" dist="23000" dir="5400000" rotWithShape="0">
                  <a:srgbClr val="000000">
                    <a:alpha val="35000"/>
                  </a:srgbClr>
                </a:outerShdw>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2"/>
                    </a:solidFill>
                    <a:latin typeface="+mn-lt"/>
                    <a:ea typeface="+mn-ea"/>
                    <a:cs typeface="+mn-cs"/>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a:solidFill>
                        <a:schemeClr val="tx2">
                          <a:lumMod val="35000"/>
                          <a:lumOff val="65000"/>
                        </a:schemeClr>
                      </a:solidFill>
                    </a:ln>
                    <a:effectLst/>
                  </c:spPr>
                </c15:leaderLines>
              </c:ext>
            </c:extLst>
          </c:dLbls>
          <c:cat>
            <c:strRef>
              <c:f>Sheet1!$A$2:$A$3</c:f>
              <c:strCache>
                <c:ptCount val="2"/>
                <c:pt idx="0">
                  <c:v>2022年</c:v>
                </c:pt>
                <c:pt idx="1">
                  <c:v>2023年</c:v>
                </c:pt>
              </c:strCache>
            </c:strRef>
          </c:cat>
          <c:val>
            <c:numRef>
              <c:f>Sheet1!$C$2:$C$3</c:f>
              <c:numCache>
                <c:formatCode>General</c:formatCode>
                <c:ptCount val="2"/>
                <c:pt idx="0">
                  <c:v>250.73</c:v>
                </c:pt>
                <c:pt idx="1">
                  <c:v>237.84</c:v>
                </c:pt>
              </c:numCache>
            </c:numRef>
          </c:val>
        </c:ser>
        <c:ser>
          <c:idx val="2"/>
          <c:order val="2"/>
          <c:tx>
            <c:strRef>
              <c:f>Sheet1!#REF!</c:f>
              <c:strCache>
                <c:ptCount val="1"/>
                <c:pt idx="0">
                  <c:v/>
                </c:pt>
              </c:strCache>
            </c:strRef>
          </c:tx>
          <c:spPr>
            <a:gradFill rotWithShape="true">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false"/>
            </a:gradFill>
            <a:ln>
              <a:noFill/>
            </a:ln>
            <a:effectLst>
              <a:outerShdw blurRad="40000" dist="23000" dir="5400000" rotWithShape="0">
                <a:srgbClr val="000000">
                  <a:alpha val="35000"/>
                </a:srgbClr>
              </a:outerShdw>
            </a:effectLst>
          </c:spPr>
          <c:invertIfNegative val="false"/>
          <c:dLbls>
            <c:delete val="true"/>
          </c:dLbls>
          <c:cat>
            <c:strRef>
              <c:f>Sheet1!$A$2:$A$3</c:f>
              <c:strCache>
                <c:ptCount val="2"/>
                <c:pt idx="0">
                  <c:v>2022年</c:v>
                </c:pt>
                <c:pt idx="1">
                  <c:v>2023年</c:v>
                </c:pt>
              </c:strCache>
            </c:strRef>
          </c:cat>
          <c:val>
            <c:numRef>
              <c:f>Sheet1!#REF!</c:f>
              <c:numCache>
                <c:formatCode>General</c:formatCode>
                <c:ptCount val="1"/>
                <c:pt idx="0">
                  <c:v>1</c:v>
                </c:pt>
              </c:numCache>
            </c:numRef>
          </c:val>
        </c:ser>
        <c:dLbls>
          <c:showLegendKey val="false"/>
          <c:showVal val="true"/>
          <c:showCatName val="false"/>
          <c:showSerName val="false"/>
          <c:showPercent val="false"/>
          <c:showBubbleSize val="false"/>
        </c:dLbls>
        <c:gapWidth val="100"/>
        <c:overlap val="-24"/>
        <c:axId val="424208556"/>
        <c:axId val="47296063"/>
      </c:barChart>
      <c:catAx>
        <c:axId val="424208556"/>
        <c:scaling>
          <c:orientation val="minMax"/>
        </c:scaling>
        <c:delete val="false"/>
        <c:axPos val="b"/>
        <c:majorTickMark val="none"/>
        <c:minorTickMark val="none"/>
        <c:tickLblPos val="nextTo"/>
        <c:spPr>
          <a:noFill/>
          <a:ln w="9525" cap="flat" cmpd="sng" algn="ctr">
            <a:solidFill>
              <a:schemeClr val="tx2">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2"/>
                </a:solidFill>
                <a:latin typeface="+mn-lt"/>
                <a:ea typeface="+mn-ea"/>
                <a:cs typeface="+mn-cs"/>
              </a:defRPr>
            </a:pPr>
          </a:p>
        </c:txPr>
        <c:crossAx val="47296063"/>
        <c:crosses val="autoZero"/>
        <c:auto val="true"/>
        <c:lblAlgn val="ctr"/>
        <c:lblOffset val="100"/>
        <c:noMultiLvlLbl val="false"/>
      </c:catAx>
      <c:valAx>
        <c:axId val="47296063"/>
        <c:scaling>
          <c:orientation val="minMax"/>
        </c:scaling>
        <c:delete val="false"/>
        <c:axPos val="l"/>
        <c:majorGridlines>
          <c:spPr>
            <a:ln w="9525" cap="flat" cmpd="sng" algn="ctr">
              <a:solidFill>
                <a:schemeClr val="tx2">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2"/>
                </a:solidFill>
                <a:latin typeface="+mn-lt"/>
                <a:ea typeface="+mn-ea"/>
                <a:cs typeface="+mn-cs"/>
              </a:defRPr>
            </a:pPr>
          </a:p>
        </c:txPr>
        <c:crossAx val="424208556"/>
        <c:crosses val="autoZero"/>
        <c:crossBetween val="between"/>
      </c:valAx>
      <c:spPr>
        <a:noFill/>
        <a:ln>
          <a:noFill/>
        </a:ln>
        <a:effectLst/>
      </c:spPr>
    </c:plotArea>
    <c:legend>
      <c:legendPos val="b"/>
      <c:legendEntry>
        <c:idx val="2"/>
        <c:delete val="true"/>
      </c:legendEntry>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2"/>
              </a:solidFill>
              <a:latin typeface="+mn-lt"/>
              <a:ea typeface="+mn-ea"/>
              <a:cs typeface="+mn-cs"/>
            </a:defRPr>
          </a:pPr>
        </a:p>
      </c:txPr>
    </c:legend>
    <c:plotVisOnly val="true"/>
    <c:dispBlanksAs val="gap"/>
    <c:showDLblsOverMax val="false"/>
  </c:chart>
  <c:spPr>
    <a:solidFill>
      <a:schemeClr val="bg1"/>
    </a:solidFill>
    <a:ln w="9525" cap="flat" cmpd="sng" algn="ctr">
      <a:solidFill>
        <a:schemeClr val="tx2">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销售额</c:v>
                </c:pt>
              </c:strCache>
            </c:strRef>
          </c:tx>
          <c:spPr>
            <a:solidFill>
              <a:schemeClr val="accent1">
                <a:lumMod val="60000"/>
                <a:lumOff val="40000"/>
              </a:schemeClr>
            </a:solidFill>
            <a:effectLst/>
          </c:spPr>
          <c:explosion val="0"/>
          <c:dPt>
            <c:idx val="0"/>
            <c:bubble3D val="false"/>
            <c:spPr>
              <a:solidFill>
                <a:schemeClr val="accent1">
                  <a:lumMod val="60000"/>
                  <a:lumOff val="40000"/>
                </a:schemeClr>
              </a:solidFill>
              <a:ln>
                <a:noFill/>
              </a:ln>
              <a:effectLst/>
            </c:spPr>
          </c:dPt>
          <c:dLbls>
            <c:dLbl>
              <c:idx val="0"/>
              <c:layout>
                <c:manualLayout>
                  <c:x val="0.00132023731523792"/>
                  <c:y val="-0.338112566034474"/>
                </c:manualLayout>
              </c:layout>
              <c:tx>
                <c:rich>
                  <a:bodyPr rot="0" spcFirstLastPara="0" vertOverflow="ellipsis" vert="horz" wrap="square" lIns="38100" tIns="19050" rIns="38100" bIns="19050" anchor="ctr" anchorCtr="true"/>
                  <a:lstStyle/>
                  <a:p>
                    <a:pPr defTabSz="914400">
                      <a:defRPr lang="zh-CN" sz="1000" b="1" i="0" u="none" strike="noStrike" kern="1200" baseline="0">
                        <a:solidFill>
                          <a:schemeClr val="tx1"/>
                        </a:solidFill>
                        <a:latin typeface="+mn-lt"/>
                        <a:ea typeface="+mn-ea"/>
                        <a:cs typeface="+mn-cs"/>
                      </a:defRPr>
                    </a:pPr>
                    <a:r>
                      <a:t>237.</a:t>
                    </a:r>
                    <a:r>
                      <a:rPr lang="en-US" altLang="zh-CN"/>
                      <a:t>47</a:t>
                    </a:r>
                    <a:r>
                      <a:t>, </a:t>
                    </a:r>
                    <a:r>
                      <a:rPr lang="en-US" altLang="zh-CN"/>
                      <a:t>100</a:t>
                    </a:r>
                    <a:r>
                      <a:t>%</a:t>
                    </a:r>
                  </a:p>
                </c:rich>
              </c:tx>
              <c:dLblPos val="bestFit"/>
              <c:showLegendKey val="false"/>
              <c:showVal val="true"/>
              <c:showCatName val="false"/>
              <c:showSerName val="false"/>
              <c:showPercent val="true"/>
              <c:showBubbleSize val="false"/>
              <c:extLst>
                <c:ext xmlns:c15="http://schemas.microsoft.com/office/drawing/2012/chart" uri="{CE6537A1-D6FC-4f65-9D91-7224C49458BB}">
                  <c15:layout>
                    <c:manualLayout>
                      <c:w val="0.227459382253169"/>
                      <c:h val="0.305875576036866"/>
                    </c:manualLayout>
                  </c15:layout>
                </c:ext>
              </c:extLst>
            </c:dLbl>
            <c:spPr>
              <a:noFill/>
              <a:ln>
                <a:noFill/>
              </a:ln>
              <a:effectLst/>
            </c:spPr>
            <c:txPr>
              <a:bodyPr rot="0" spcFirstLastPara="0" vertOverflow="ellipsis" vert="horz" wrap="square" lIns="38100" tIns="19050" rIns="38100" bIns="19050" anchor="ctr" anchorCtr="true"/>
              <a:lstStyle/>
              <a:p>
                <a:pPr>
                  <a:defRPr lang="zh-CN" sz="1000" b="1" i="0" u="none" strike="noStrike" kern="1200" baseline="0">
                    <a:solidFill>
                      <a:schemeClr val="tx1"/>
                    </a:solidFill>
                    <a:latin typeface="+mn-lt"/>
                    <a:ea typeface="+mn-ea"/>
                    <a:cs typeface="+mn-cs"/>
                  </a:defRPr>
                </a:pPr>
              </a:p>
            </c:txPr>
            <c:dLblPos val="ctr"/>
            <c:showLegendKey val="false"/>
            <c:showVal val="tru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a:solidFill>
                        <a:schemeClr val="dk1">
                          <a:lumMod val="50000"/>
                          <a:lumOff val="50000"/>
                        </a:schemeClr>
                      </a:solidFill>
                    </a:ln>
                    <a:effectLst/>
                  </c:spPr>
                </c15:leaderLines>
              </c:ext>
            </c:extLst>
          </c:dLbls>
          <c:cat>
            <c:strRef>
              <c:f>Sheet1!$A$2</c:f>
              <c:strCache>
                <c:ptCount val="1"/>
                <c:pt idx="0">
                  <c:v>一般公共预算财政拨款收入（万元）</c:v>
                </c:pt>
              </c:strCache>
            </c:strRef>
          </c:cat>
          <c:val>
            <c:numRef>
              <c:f>Sheet1!$B$2</c:f>
              <c:numCache>
                <c:formatCode>General</c:formatCode>
                <c:ptCount val="1"/>
                <c:pt idx="0">
                  <c:v>237.47</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r"/>
      <c:layout/>
      <c:overlay val="false"/>
      <c:spPr>
        <a:solidFill>
          <a:schemeClr val="lt1">
            <a:lumMod val="95000"/>
            <a:alpha val="0"/>
          </a:schemeClr>
        </a:solidFill>
        <a:ln>
          <a:noFill/>
        </a:ln>
        <a:effectLst/>
      </c:spPr>
      <c:txPr>
        <a:bodyPr rot="0" spcFirstLastPara="0" vertOverflow="ellipsis" vert="horz" wrap="square" anchor="ctr" anchorCtr="true"/>
        <a:lstStyle/>
        <a:p>
          <a:pPr>
            <a:defRPr lang="zh-CN" sz="900" b="0" i="0" u="none" strike="noStrike" kern="1200" baseline="0">
              <a:solidFill>
                <a:schemeClr val="dk1">
                  <a:lumMod val="75000"/>
                  <a:lumOff val="25000"/>
                </a:schemeClr>
              </a:solidFill>
              <a:latin typeface="+mn-lt"/>
              <a:ea typeface="+mn-ea"/>
              <a:cs typeface="+mn-cs"/>
            </a:defRPr>
          </a:pPr>
        </a:p>
      </c:txPr>
    </c:legend>
    <c:plotVisOnly val="true"/>
    <c:dispBlanksAs val="gap"/>
    <c:showDLblsOverMax val="false"/>
  </c:chart>
  <c:spPr>
    <a:noFill/>
    <a:ln w="9525" cap="flat" cmpd="sng" algn="ctr">
      <a:solidFill>
        <a:schemeClr val="tx1"/>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支出决算结构图</c:v>
                </c:pt>
              </c:strCache>
            </c:strRef>
          </c:tx>
          <c:spPr/>
          <c:explosion val="0"/>
          <c:dPt>
            <c:idx val="0"/>
            <c:bubble3D val="false"/>
            <c:spPr>
              <a:solidFill>
                <a:schemeClr val="accent1">
                  <a:lumMod val="60000"/>
                  <a:lumOff val="40000"/>
                </a:schemeClr>
              </a:solidFill>
              <a:ln>
                <a:noFill/>
              </a:ln>
              <a:effectLst>
                <a:outerShdw blurRad="254000" sx="102000" sy="102000" algn="ctr" rotWithShape="0">
                  <a:prstClr val="black">
                    <a:alpha val="20000"/>
                  </a:prstClr>
                </a:outerShdw>
              </a:effectLst>
            </c:spPr>
          </c:dPt>
          <c:dPt>
            <c:idx val="1"/>
            <c:bubble3D val="false"/>
            <c:spPr>
              <a:solidFill>
                <a:schemeClr val="accent2"/>
              </a:solidFill>
              <a:ln>
                <a:noFill/>
              </a:ln>
              <a:effectLst>
                <a:outerShdw blurRad="254000" sx="102000" sy="102000" algn="ctr" rotWithShape="0">
                  <a:prstClr val="black">
                    <a:alpha val="20000"/>
                  </a:prstClr>
                </a:outerShdw>
              </a:effectLst>
            </c:spPr>
          </c:dPt>
          <c:dLbls>
            <c:dLbl>
              <c:idx val="1"/>
              <c:layout>
                <c:manualLayout>
                  <c:x val="0.0736422529588416"/>
                  <c:y val="0.169357092190891"/>
                </c:manualLayout>
              </c:layout>
              <c:dLblPos val="bestFit"/>
              <c:showLegendKey val="false"/>
              <c:showVal val="true"/>
              <c:showCatName val="false"/>
              <c:showSerName val="false"/>
              <c:showPercent val="tru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1" i="0" u="none" strike="noStrike" kern="1200" baseline="0">
                    <a:solidFill>
                      <a:schemeClr val="tx1"/>
                    </a:solidFill>
                    <a:latin typeface="+mn-lt"/>
                    <a:ea typeface="+mn-ea"/>
                    <a:cs typeface="+mn-cs"/>
                  </a:defRPr>
                </a:pPr>
              </a:p>
            </c:txPr>
            <c:dLblPos val="ctr"/>
            <c:showLegendKey val="false"/>
            <c:showVal val="tru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a:solidFill>
                        <a:schemeClr val="dk1">
                          <a:lumMod val="50000"/>
                          <a:lumOff val="50000"/>
                        </a:schemeClr>
                      </a:solidFill>
                    </a:ln>
                    <a:effectLst/>
                  </c:spPr>
                </c15:leaderLines>
              </c:ext>
            </c:extLst>
          </c:dLbls>
          <c:cat>
            <c:strRef>
              <c:f>Sheet1!$A$2:$A$3</c:f>
              <c:strCache>
                <c:ptCount val="2"/>
                <c:pt idx="0">
                  <c:v>基本支出（万元）</c:v>
                </c:pt>
                <c:pt idx="1">
                  <c:v>项目支出（万元）</c:v>
                </c:pt>
              </c:strCache>
            </c:strRef>
          </c:cat>
          <c:val>
            <c:numRef>
              <c:f>Sheet1!$B$2:$B$3</c:f>
              <c:numCache>
                <c:formatCode>General</c:formatCode>
                <c:ptCount val="2"/>
                <c:pt idx="0">
                  <c:v>172.25</c:v>
                </c:pt>
                <c:pt idx="1">
                  <c:v>65.59</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r"/>
      <c:layout/>
      <c:overlay val="false"/>
      <c:spPr>
        <a:solidFill>
          <a:schemeClr val="lt1">
            <a:lumMod val="95000"/>
            <a:alpha val="39000"/>
          </a:schemeClr>
        </a:solidFill>
        <a:ln>
          <a:noFill/>
        </a:ln>
        <a:effectLst/>
      </c:spPr>
      <c:txPr>
        <a:bodyPr rot="0" spcFirstLastPara="0" vertOverflow="ellipsis" vert="horz" wrap="square" anchor="ctr" anchorCtr="true"/>
        <a:lstStyle/>
        <a:p>
          <a:pPr>
            <a:defRPr lang="zh-CN" sz="900" b="0" i="0" u="none" strike="noStrike" kern="1200" baseline="0">
              <a:solidFill>
                <a:schemeClr val="dk1">
                  <a:lumMod val="75000"/>
                  <a:lumOff val="25000"/>
                </a:schemeClr>
              </a:solidFill>
              <a:latin typeface="+mn-lt"/>
              <a:ea typeface="+mn-ea"/>
              <a:cs typeface="+mn-cs"/>
            </a:defRPr>
          </a:pPr>
        </a:p>
      </c:txPr>
    </c:legend>
    <c:plotVisOnly val="true"/>
    <c:dispBlanksAs val="gap"/>
    <c:showDLblsOverMax val="false"/>
  </c:chart>
  <c:spPr>
    <a:noFill/>
    <a:ln w="9525" cap="flat" cmpd="sng" algn="ctr">
      <a:solidFill>
        <a:schemeClr val="tx1"/>
      </a:solidFill>
      <a:prstDash val="solid"/>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2022年（万元）</c:v>
                </c:pt>
              </c:strCache>
            </c:strRef>
          </c:tx>
          <c:spPr>
            <a:gradFill rotWithShape="true">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false"/>
            </a:gradFill>
            <a:ln>
              <a:noFill/>
            </a:ln>
            <a:effectLst>
              <a:outerShdw blurRad="40000" dist="23000" dir="5400000" rotWithShape="0">
                <a:srgbClr val="000000">
                  <a:alpha val="35000"/>
                </a:srgbClr>
              </a:outerShdw>
            </a:effectLst>
          </c:spPr>
          <c:invertIfNegative val="false"/>
          <c:dLbls>
            <c:delete val="true"/>
          </c:dLbls>
          <c:cat>
            <c:strRef>
              <c:f>Sheet1!$A$2:$A$3</c:f>
              <c:strCache>
                <c:ptCount val="2"/>
                <c:pt idx="0">
                  <c:v>2022年</c:v>
                </c:pt>
                <c:pt idx="1">
                  <c:v>2023年</c:v>
                </c:pt>
              </c:strCache>
            </c:strRef>
          </c:cat>
          <c:val>
            <c:numRef>
              <c:f>Sheet1!$B$2:$B$3</c:f>
              <c:numCache>
                <c:formatCode>General</c:formatCode>
                <c:ptCount val="2"/>
                <c:pt idx="0">
                  <c:v>0</c:v>
                </c:pt>
                <c:pt idx="1">
                  <c:v>0</c:v>
                </c:pt>
              </c:numCache>
            </c:numRef>
          </c:val>
        </c:ser>
        <c:ser>
          <c:idx val="1"/>
          <c:order val="1"/>
          <c:tx>
            <c:strRef>
              <c:f>Sheet1!$C$1</c:f>
              <c:strCache>
                <c:ptCount val="1"/>
                <c:pt idx="0">
                  <c:v>2023年（万元）</c:v>
                </c:pt>
              </c:strCache>
            </c:strRef>
          </c:tx>
          <c:spPr>
            <a:solidFill>
              <a:schemeClr val="accent2"/>
            </a:solidFill>
            <a:ln>
              <a:noFill/>
            </a:ln>
            <a:effectLst>
              <a:outerShdw blurRad="40000" dist="23000" dir="5400000" rotWithShape="0">
                <a:srgbClr val="000000">
                  <a:alpha val="35000"/>
                </a:srgbClr>
              </a:outerShdw>
            </a:effectLst>
          </c:spPr>
          <c:invertIfNegative val="false"/>
          <c:dPt>
            <c:idx val="0"/>
            <c:invertIfNegative val="false"/>
            <c:bubble3D val="false"/>
            <c:spPr>
              <a:solidFill>
                <a:schemeClr val="accent1">
                  <a:lumMod val="60000"/>
                  <a:lumOff val="40000"/>
                </a:schemeClr>
              </a:solidFill>
              <a:ln>
                <a:noFill/>
              </a:ln>
              <a:effectLst>
                <a:outerShdw blurRad="40000" dist="23000" dir="5400000" rotWithShape="0">
                  <a:srgbClr val="000000">
                    <a:alpha val="35000"/>
                  </a:srgbClr>
                </a:outerShdw>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2"/>
                    </a:solidFill>
                    <a:latin typeface="+mn-lt"/>
                    <a:ea typeface="+mn-ea"/>
                    <a:cs typeface="+mn-cs"/>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a:solidFill>
                        <a:schemeClr val="tx2">
                          <a:lumMod val="35000"/>
                          <a:lumOff val="65000"/>
                        </a:schemeClr>
                      </a:solidFill>
                    </a:ln>
                    <a:effectLst/>
                  </c:spPr>
                </c15:leaderLines>
              </c:ext>
            </c:extLst>
          </c:dLbls>
          <c:cat>
            <c:strRef>
              <c:f>Sheet1!$A$2:$A$3</c:f>
              <c:strCache>
                <c:ptCount val="2"/>
                <c:pt idx="0">
                  <c:v>2022年</c:v>
                </c:pt>
                <c:pt idx="1">
                  <c:v>2023年</c:v>
                </c:pt>
              </c:strCache>
            </c:strRef>
          </c:cat>
          <c:val>
            <c:numRef>
              <c:f>Sheet1!$C$2:$C$3</c:f>
              <c:numCache>
                <c:formatCode>General</c:formatCode>
                <c:ptCount val="2"/>
                <c:pt idx="0">
                  <c:v>237.98</c:v>
                </c:pt>
                <c:pt idx="1">
                  <c:v>237.84</c:v>
                </c:pt>
              </c:numCache>
            </c:numRef>
          </c:val>
        </c:ser>
        <c:ser>
          <c:idx val="2"/>
          <c:order val="2"/>
          <c:tx>
            <c:strRef>
              <c:f>Sheet1!#REF!</c:f>
              <c:strCache>
                <c:ptCount val="1"/>
                <c:pt idx="0">
                  <c:v/>
                </c:pt>
              </c:strCache>
            </c:strRef>
          </c:tx>
          <c:spPr>
            <a:gradFill rotWithShape="true">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false"/>
            </a:gradFill>
            <a:ln>
              <a:noFill/>
            </a:ln>
            <a:effectLst>
              <a:outerShdw blurRad="40000" dist="23000" dir="5400000" rotWithShape="0">
                <a:srgbClr val="000000">
                  <a:alpha val="35000"/>
                </a:srgbClr>
              </a:outerShdw>
            </a:effectLst>
          </c:spPr>
          <c:invertIfNegative val="false"/>
          <c:dLbls>
            <c:delete val="true"/>
          </c:dLbls>
          <c:cat>
            <c:strRef>
              <c:f>Sheet1!$A$2:$A$3</c:f>
              <c:strCache>
                <c:ptCount val="2"/>
                <c:pt idx="0">
                  <c:v>2022年</c:v>
                </c:pt>
                <c:pt idx="1">
                  <c:v>2023年</c:v>
                </c:pt>
              </c:strCache>
            </c:strRef>
          </c:cat>
          <c:val>
            <c:numRef>
              <c:f>Sheet1!#REF!</c:f>
              <c:numCache>
                <c:formatCode>General</c:formatCode>
                <c:ptCount val="1"/>
                <c:pt idx="0">
                  <c:v>1</c:v>
                </c:pt>
              </c:numCache>
            </c:numRef>
          </c:val>
        </c:ser>
        <c:dLbls>
          <c:showLegendKey val="false"/>
          <c:showVal val="true"/>
          <c:showCatName val="false"/>
          <c:showSerName val="false"/>
          <c:showPercent val="false"/>
          <c:showBubbleSize val="false"/>
        </c:dLbls>
        <c:gapWidth val="100"/>
        <c:overlap val="-24"/>
        <c:axId val="424208556"/>
        <c:axId val="47296063"/>
      </c:barChart>
      <c:catAx>
        <c:axId val="424208556"/>
        <c:scaling>
          <c:orientation val="minMax"/>
        </c:scaling>
        <c:delete val="false"/>
        <c:axPos val="b"/>
        <c:majorTickMark val="none"/>
        <c:minorTickMark val="none"/>
        <c:tickLblPos val="nextTo"/>
        <c:spPr>
          <a:noFill/>
          <a:ln w="9525" cap="flat" cmpd="sng" algn="ctr">
            <a:solidFill>
              <a:schemeClr val="tx2">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2"/>
                </a:solidFill>
                <a:latin typeface="+mn-lt"/>
                <a:ea typeface="+mn-ea"/>
                <a:cs typeface="+mn-cs"/>
              </a:defRPr>
            </a:pPr>
          </a:p>
        </c:txPr>
        <c:crossAx val="47296063"/>
        <c:crosses val="autoZero"/>
        <c:auto val="true"/>
        <c:lblAlgn val="ctr"/>
        <c:lblOffset val="100"/>
        <c:noMultiLvlLbl val="false"/>
      </c:catAx>
      <c:valAx>
        <c:axId val="47296063"/>
        <c:scaling>
          <c:orientation val="minMax"/>
        </c:scaling>
        <c:delete val="false"/>
        <c:axPos val="l"/>
        <c:majorGridlines>
          <c:spPr>
            <a:ln w="9525" cap="flat" cmpd="sng" algn="ctr">
              <a:solidFill>
                <a:schemeClr val="tx2">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2"/>
                </a:solidFill>
                <a:latin typeface="+mn-lt"/>
                <a:ea typeface="+mn-ea"/>
                <a:cs typeface="+mn-cs"/>
              </a:defRPr>
            </a:pPr>
          </a:p>
        </c:txPr>
        <c:crossAx val="424208556"/>
        <c:crosses val="autoZero"/>
        <c:crossBetween val="between"/>
      </c:valAx>
      <c:spPr>
        <a:noFill/>
        <a:ln>
          <a:noFill/>
        </a:ln>
        <a:effectLst/>
      </c:spPr>
    </c:plotArea>
    <c:legend>
      <c:legendPos val="b"/>
      <c:legendEntry>
        <c:idx val="2"/>
        <c:delete val="true"/>
      </c:legendEntry>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2"/>
              </a:solidFill>
              <a:latin typeface="+mn-lt"/>
              <a:ea typeface="+mn-ea"/>
              <a:cs typeface="+mn-cs"/>
            </a:defRPr>
          </a:pPr>
        </a:p>
      </c:txPr>
    </c:legend>
    <c:plotVisOnly val="true"/>
    <c:dispBlanksAs val="gap"/>
    <c:showDLblsOverMax val="false"/>
  </c:chart>
  <c:spPr>
    <a:solidFill>
      <a:schemeClr val="bg1"/>
    </a:solidFill>
    <a:ln w="9525" cap="flat" cmpd="sng" algn="ctr">
      <a:solidFill>
        <a:schemeClr val="tx2">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2022年（万元）</c:v>
                </c:pt>
              </c:strCache>
            </c:strRef>
          </c:tx>
          <c:spPr>
            <a:gradFill rotWithShape="true">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false"/>
            </a:gradFill>
            <a:ln>
              <a:noFill/>
            </a:ln>
            <a:effectLst>
              <a:outerShdw blurRad="40000" dist="23000" dir="5400000" rotWithShape="0">
                <a:srgbClr val="000000">
                  <a:alpha val="35000"/>
                </a:srgbClr>
              </a:outerShdw>
            </a:effectLst>
          </c:spPr>
          <c:invertIfNegative val="false"/>
          <c:dLbls>
            <c:delete val="true"/>
          </c:dLbls>
          <c:cat>
            <c:strRef>
              <c:f>Sheet1!$A$2:$A$3</c:f>
              <c:strCache>
                <c:ptCount val="2"/>
                <c:pt idx="0">
                  <c:v>2022年</c:v>
                </c:pt>
                <c:pt idx="1">
                  <c:v>2023年</c:v>
                </c:pt>
              </c:strCache>
            </c:strRef>
          </c:cat>
          <c:val>
            <c:numRef>
              <c:f>Sheet1!$B$2:$B$3</c:f>
              <c:numCache>
                <c:formatCode>General</c:formatCode>
                <c:ptCount val="2"/>
                <c:pt idx="0">
                  <c:v>0</c:v>
                </c:pt>
                <c:pt idx="1">
                  <c:v>0</c:v>
                </c:pt>
              </c:numCache>
            </c:numRef>
          </c:val>
        </c:ser>
        <c:ser>
          <c:idx val="1"/>
          <c:order val="1"/>
          <c:tx>
            <c:strRef>
              <c:f>Sheet1!$C$1</c:f>
              <c:strCache>
                <c:ptCount val="1"/>
                <c:pt idx="0">
                  <c:v>2023年（万元）</c:v>
                </c:pt>
              </c:strCache>
            </c:strRef>
          </c:tx>
          <c:spPr>
            <a:solidFill>
              <a:schemeClr val="accent2"/>
            </a:solidFill>
            <a:ln>
              <a:noFill/>
            </a:ln>
            <a:effectLst>
              <a:outerShdw blurRad="40000" dist="23000" dir="5400000" rotWithShape="0">
                <a:srgbClr val="000000">
                  <a:alpha val="35000"/>
                </a:srgbClr>
              </a:outerShdw>
            </a:effectLst>
          </c:spPr>
          <c:invertIfNegative val="false"/>
          <c:dPt>
            <c:idx val="0"/>
            <c:invertIfNegative val="false"/>
            <c:bubble3D val="false"/>
            <c:spPr>
              <a:solidFill>
                <a:schemeClr val="accent1">
                  <a:lumMod val="60000"/>
                  <a:lumOff val="40000"/>
                </a:schemeClr>
              </a:solidFill>
              <a:ln>
                <a:noFill/>
              </a:ln>
              <a:effectLst>
                <a:outerShdw blurRad="40000" dist="23000" dir="5400000" rotWithShape="0">
                  <a:srgbClr val="000000">
                    <a:alpha val="35000"/>
                  </a:srgbClr>
                </a:outerShdw>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2"/>
                    </a:solidFill>
                    <a:latin typeface="+mn-lt"/>
                    <a:ea typeface="+mn-ea"/>
                    <a:cs typeface="+mn-cs"/>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a:solidFill>
                        <a:schemeClr val="tx2">
                          <a:lumMod val="35000"/>
                          <a:lumOff val="65000"/>
                        </a:schemeClr>
                      </a:solidFill>
                    </a:ln>
                    <a:effectLst/>
                  </c:spPr>
                </c15:leaderLines>
              </c:ext>
            </c:extLst>
          </c:dLbls>
          <c:cat>
            <c:strRef>
              <c:f>Sheet1!$A$2:$A$3</c:f>
              <c:strCache>
                <c:ptCount val="2"/>
                <c:pt idx="0">
                  <c:v>2022年</c:v>
                </c:pt>
                <c:pt idx="1">
                  <c:v>2023年</c:v>
                </c:pt>
              </c:strCache>
            </c:strRef>
          </c:cat>
          <c:val>
            <c:numRef>
              <c:f>Sheet1!$C$2:$C$3</c:f>
              <c:numCache>
                <c:formatCode>General</c:formatCode>
                <c:ptCount val="2"/>
                <c:pt idx="0">
                  <c:v>217.98</c:v>
                </c:pt>
                <c:pt idx="1">
                  <c:v>237.84</c:v>
                </c:pt>
              </c:numCache>
            </c:numRef>
          </c:val>
        </c:ser>
        <c:ser>
          <c:idx val="2"/>
          <c:order val="2"/>
          <c:tx>
            <c:strRef>
              <c:f>Sheet1!#REF!</c:f>
              <c:strCache>
                <c:ptCount val="1"/>
                <c:pt idx="0">
                  <c:v/>
                </c:pt>
              </c:strCache>
            </c:strRef>
          </c:tx>
          <c:spPr>
            <a:gradFill rotWithShape="true">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false"/>
            </a:gradFill>
            <a:ln>
              <a:noFill/>
            </a:ln>
            <a:effectLst>
              <a:outerShdw blurRad="40000" dist="23000" dir="5400000" rotWithShape="0">
                <a:srgbClr val="000000">
                  <a:alpha val="35000"/>
                </a:srgbClr>
              </a:outerShdw>
            </a:effectLst>
          </c:spPr>
          <c:invertIfNegative val="false"/>
          <c:dLbls>
            <c:delete val="true"/>
          </c:dLbls>
          <c:cat>
            <c:strRef>
              <c:f>Sheet1!$A$2:$A$3</c:f>
              <c:strCache>
                <c:ptCount val="2"/>
                <c:pt idx="0">
                  <c:v>2022年</c:v>
                </c:pt>
                <c:pt idx="1">
                  <c:v>2023年</c:v>
                </c:pt>
              </c:strCache>
            </c:strRef>
          </c:cat>
          <c:val>
            <c:numRef>
              <c:f>Sheet1!#REF!</c:f>
              <c:numCache>
                <c:formatCode>General</c:formatCode>
                <c:ptCount val="1"/>
                <c:pt idx="0">
                  <c:v>1</c:v>
                </c:pt>
              </c:numCache>
            </c:numRef>
          </c:val>
        </c:ser>
        <c:dLbls>
          <c:showLegendKey val="false"/>
          <c:showVal val="true"/>
          <c:showCatName val="false"/>
          <c:showSerName val="false"/>
          <c:showPercent val="false"/>
          <c:showBubbleSize val="false"/>
        </c:dLbls>
        <c:gapWidth val="100"/>
        <c:overlap val="-24"/>
        <c:axId val="424208556"/>
        <c:axId val="47296063"/>
      </c:barChart>
      <c:catAx>
        <c:axId val="424208556"/>
        <c:scaling>
          <c:orientation val="minMax"/>
        </c:scaling>
        <c:delete val="false"/>
        <c:axPos val="b"/>
        <c:majorTickMark val="none"/>
        <c:minorTickMark val="none"/>
        <c:tickLblPos val="nextTo"/>
        <c:spPr>
          <a:noFill/>
          <a:ln w="9525" cap="flat" cmpd="sng" algn="ctr">
            <a:solidFill>
              <a:schemeClr val="tx2">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2"/>
                </a:solidFill>
                <a:latin typeface="+mn-lt"/>
                <a:ea typeface="+mn-ea"/>
                <a:cs typeface="+mn-cs"/>
              </a:defRPr>
            </a:pPr>
          </a:p>
        </c:txPr>
        <c:crossAx val="47296063"/>
        <c:crosses val="autoZero"/>
        <c:auto val="true"/>
        <c:lblAlgn val="ctr"/>
        <c:lblOffset val="100"/>
        <c:noMultiLvlLbl val="false"/>
      </c:catAx>
      <c:valAx>
        <c:axId val="47296063"/>
        <c:scaling>
          <c:orientation val="minMax"/>
        </c:scaling>
        <c:delete val="false"/>
        <c:axPos val="l"/>
        <c:majorGridlines>
          <c:spPr>
            <a:ln w="9525" cap="flat" cmpd="sng" algn="ctr">
              <a:solidFill>
                <a:schemeClr val="tx2">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2"/>
                </a:solidFill>
                <a:latin typeface="+mn-lt"/>
                <a:ea typeface="+mn-ea"/>
                <a:cs typeface="+mn-cs"/>
              </a:defRPr>
            </a:pPr>
          </a:p>
        </c:txPr>
        <c:crossAx val="424208556"/>
        <c:crosses val="autoZero"/>
        <c:crossBetween val="between"/>
      </c:valAx>
      <c:spPr>
        <a:noFill/>
        <a:ln>
          <a:noFill/>
        </a:ln>
        <a:effectLst/>
      </c:spPr>
    </c:plotArea>
    <c:legend>
      <c:legendPos val="b"/>
      <c:legendEntry>
        <c:idx val="2"/>
        <c:delete val="true"/>
      </c:legendEntry>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2"/>
              </a:solidFill>
              <a:latin typeface="+mn-lt"/>
              <a:ea typeface="+mn-ea"/>
              <a:cs typeface="+mn-cs"/>
            </a:defRPr>
          </a:pPr>
        </a:p>
      </c:txPr>
    </c:legend>
    <c:plotVisOnly val="true"/>
    <c:dispBlanksAs val="gap"/>
    <c:showDLblsOverMax val="false"/>
  </c:chart>
  <c:spPr>
    <a:solidFill>
      <a:schemeClr val="bg1"/>
    </a:solidFill>
    <a:ln w="9525" cap="flat" cmpd="sng" algn="ctr">
      <a:solidFill>
        <a:schemeClr val="tx2">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一般公共预算财政拨款支出决算结构</c:v>
                </c:pt>
              </c:strCache>
            </c:strRef>
          </c:tx>
          <c:spPr/>
          <c:explosion val="0"/>
          <c:dPt>
            <c:idx val="0"/>
            <c:bubble3D val="false"/>
            <c:spPr>
              <a:solidFill>
                <a:schemeClr val="accent1">
                  <a:lumMod val="60000"/>
                  <a:lumOff val="40000"/>
                </a:schemeClr>
              </a:solidFill>
              <a:ln>
                <a:noFill/>
              </a:ln>
              <a:effectLst>
                <a:outerShdw blurRad="254000" sx="102000" sy="102000" algn="ctr" rotWithShape="0">
                  <a:prstClr val="black">
                    <a:alpha val="20000"/>
                  </a:prstClr>
                </a:outerShdw>
              </a:effectLst>
            </c:spPr>
          </c:dPt>
          <c:dPt>
            <c:idx val="1"/>
            <c:bubble3D val="false"/>
            <c:spPr>
              <a:solidFill>
                <a:schemeClr val="accent2"/>
              </a:solidFill>
              <a:ln>
                <a:noFill/>
              </a:ln>
              <a:effectLst>
                <a:outerShdw blurRad="254000" sx="102000" sy="102000" algn="ctr" rotWithShape="0">
                  <a:prstClr val="black">
                    <a:alpha val="20000"/>
                  </a:prstClr>
                </a:outerShdw>
              </a:effectLst>
            </c:spPr>
          </c:dPt>
          <c:dPt>
            <c:idx val="2"/>
            <c:bubble3D val="false"/>
            <c:spPr>
              <a:solidFill>
                <a:schemeClr val="accent3"/>
              </a:solidFill>
              <a:ln>
                <a:noFill/>
              </a:ln>
              <a:effectLst>
                <a:outerShdw blurRad="254000" sx="102000" sy="102000" algn="ctr" rotWithShape="0">
                  <a:prstClr val="black">
                    <a:alpha val="20000"/>
                  </a:prstClr>
                </a:outerShdw>
              </a:effectLst>
            </c:spPr>
          </c:dPt>
          <c:dLbls>
            <c:dLbl>
              <c:idx val="0"/>
              <c:layout>
                <c:manualLayout>
                  <c:x val="-0.0787468947249558"/>
                  <c:y val="-0.255770429889497"/>
                </c:manualLayout>
              </c:layout>
              <c:tx>
                <c:rich>
                  <a:bodyPr rot="0" spcFirstLastPara="0" vertOverflow="ellipsis" vert="horz" wrap="square" lIns="38100" tIns="19050" rIns="38100" bIns="19050" anchor="ctr" anchorCtr="true"/>
                  <a:lstStyle/>
                  <a:p>
                    <a:pPr defTabSz="914400">
                      <a:defRPr lang="zh-CN" sz="1000" b="1" i="0" u="none" strike="noStrike" kern="1200" baseline="0">
                        <a:solidFill>
                          <a:schemeClr val="tx1"/>
                        </a:solidFill>
                        <a:latin typeface="+mn-lt"/>
                        <a:ea typeface="+mn-ea"/>
                        <a:cs typeface="+mn-cs"/>
                      </a:defRPr>
                    </a:pPr>
                    <a:r>
                      <a:rPr lang="en-US" altLang="zh-CN"/>
                      <a:t>221.76</a:t>
                    </a:r>
                    <a:r>
                      <a:t>, 9</a:t>
                    </a:r>
                    <a:r>
                      <a:rPr lang="en-US" altLang="zh-CN"/>
                      <a:t>3.23</a:t>
                    </a:r>
                    <a:r>
                      <a:t>%</a:t>
                    </a:r>
                  </a:p>
                </c:rich>
              </c:tx>
              <c:dLblPos val="bestFit"/>
              <c:showLegendKey val="false"/>
              <c:showVal val="true"/>
              <c:showCatName val="false"/>
              <c:showSerName val="false"/>
              <c:showPercent val="true"/>
              <c:showBubbleSize val="false"/>
              <c:extLst>
                <c:ext xmlns:c15="http://schemas.microsoft.com/office/drawing/2012/chart" uri="{CE6537A1-D6FC-4f65-9D91-7224C49458BB}">
                  <c15:layout>
                    <c:manualLayout>
                      <c:w val="0.193077803203661"/>
                      <c:h val="0.148373983739837"/>
                    </c:manualLayout>
                  </c15:layout>
                </c:ext>
              </c:extLst>
            </c:dLbl>
            <c:dLbl>
              <c:idx val="1"/>
              <c:layout>
                <c:manualLayout>
                  <c:x val="-0.0857118613146741"/>
                  <c:y val="0.00450304874135772"/>
                </c:manualLayout>
              </c:layout>
              <c:tx>
                <c:rich>
                  <a:bodyPr rot="0" spcFirstLastPara="0" vertOverflow="ellipsis" vert="horz" wrap="square" lIns="38100" tIns="19050" rIns="38100" bIns="19050" anchor="ctr" anchorCtr="true"/>
                  <a:lstStyle/>
                  <a:p>
                    <a:pPr defTabSz="914400">
                      <a:defRPr lang="zh-CN" sz="1000" b="1" i="0" u="none" strike="noStrike" kern="1200" baseline="0">
                        <a:solidFill>
                          <a:schemeClr val="tx1"/>
                        </a:solidFill>
                        <a:latin typeface="+mn-lt"/>
                        <a:ea typeface="+mn-ea"/>
                        <a:cs typeface="+mn-cs"/>
                      </a:defRPr>
                    </a:pPr>
                    <a:r>
                      <a:rPr lang="en-US" altLang="zh-CN"/>
                      <a:t>5.37</a:t>
                    </a:r>
                    <a:r>
                      <a:t>, </a:t>
                    </a:r>
                    <a:r>
                      <a:rPr lang="en-US" altLang="zh-CN"/>
                      <a:t>2.26</a:t>
                    </a:r>
                    <a:r>
                      <a:t>%</a:t>
                    </a:r>
                  </a:p>
                </c:rich>
              </c:tx>
              <c:dLblPos val="bestFit"/>
              <c:showLegendKey val="false"/>
              <c:showVal val="true"/>
              <c:showCatName val="false"/>
              <c:showSerName val="false"/>
              <c:showPercent val="true"/>
              <c:showBubbleSize val="false"/>
              <c:extLst>
                <c:ext xmlns:c15="http://schemas.microsoft.com/office/drawing/2012/chart" uri="{CE6537A1-D6FC-4f65-9D91-7224C49458BB}">
                  <c15:layout>
                    <c:manualLayout>
                      <c:w val="0.175629290617849"/>
                      <c:h val="0.163978494623656"/>
                    </c:manualLayout>
                  </c15:layout>
                </c:ext>
              </c:extLst>
            </c:dLbl>
            <c:dLbl>
              <c:idx val="2"/>
              <c:layout>
                <c:manualLayout>
                  <c:x val="0.169464284845356"/>
                  <c:y val="0.0153259799392258"/>
                </c:manualLayout>
              </c:layout>
              <c:tx>
                <c:rich>
                  <a:bodyPr rot="0" spcFirstLastPara="0" vertOverflow="ellipsis" vert="horz" wrap="square" lIns="38100" tIns="19050" rIns="38100" bIns="19050" anchor="ctr" anchorCtr="true"/>
                  <a:lstStyle/>
                  <a:p>
                    <a:pPr defTabSz="914400">
                      <a:defRPr lang="zh-CN" sz="1000" b="1" i="0" u="none" strike="noStrike" kern="1200" baseline="0">
                        <a:solidFill>
                          <a:schemeClr val="tx1"/>
                        </a:solidFill>
                        <a:latin typeface="+mn-lt"/>
                        <a:ea typeface="+mn-ea"/>
                        <a:cs typeface="+mn-cs"/>
                      </a:defRPr>
                    </a:pPr>
                    <a:r>
                      <a:rPr lang="en-US" altLang="zh-CN"/>
                      <a:t>10.72</a:t>
                    </a:r>
                    <a:r>
                      <a:t>, </a:t>
                    </a:r>
                    <a:r>
                      <a:rPr lang="en-US" altLang="zh-CN"/>
                      <a:t>4.51</a:t>
                    </a:r>
                    <a:r>
                      <a:t>%</a:t>
                    </a:r>
                  </a:p>
                </c:rich>
              </c:tx>
              <c:dLblPos val="bestFit"/>
              <c:showLegendKey val="false"/>
              <c:showVal val="true"/>
              <c:showCatName val="false"/>
              <c:showSerName val="false"/>
              <c:showPercent val="true"/>
              <c:showBubbleSize val="false"/>
              <c:extLst>
                <c:ext xmlns:c15="http://schemas.microsoft.com/office/drawing/2012/chart" uri="{CE6537A1-D6FC-4f65-9D91-7224C49458BB}">
                  <c15:layout>
                    <c:manualLayout>
                      <c:w val="0.230692219679634"/>
                      <c:h val="0.0931899641577061"/>
                    </c:manualLayout>
                  </c15:layout>
                </c:ext>
              </c:extLst>
            </c:dLbl>
            <c:spPr>
              <a:noFill/>
              <a:ln>
                <a:noFill/>
              </a:ln>
              <a:effectLst/>
            </c:spPr>
            <c:txPr>
              <a:bodyPr rot="0" spcFirstLastPara="0" vertOverflow="ellipsis" vert="horz" wrap="square" lIns="38100" tIns="19050" rIns="38100" bIns="19050" anchor="ctr" anchorCtr="true"/>
              <a:lstStyle/>
              <a:p>
                <a:pPr>
                  <a:defRPr lang="zh-CN" sz="1000" b="1" i="0" u="none" strike="noStrike" kern="1200" baseline="0">
                    <a:solidFill>
                      <a:schemeClr val="tx1"/>
                    </a:solidFill>
                    <a:latin typeface="+mn-lt"/>
                    <a:ea typeface="+mn-ea"/>
                    <a:cs typeface="+mn-cs"/>
                  </a:defRPr>
                </a:pPr>
              </a:p>
            </c:txPr>
            <c:dLblPos val="ctr"/>
            <c:showLegendKey val="false"/>
            <c:showVal val="tru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a:solidFill>
                        <a:schemeClr val="dk1">
                          <a:lumMod val="50000"/>
                          <a:lumOff val="50000"/>
                        </a:schemeClr>
                      </a:solidFill>
                    </a:ln>
                    <a:effectLst/>
                  </c:spPr>
                </c15:leaderLines>
              </c:ext>
            </c:extLst>
          </c:dLbls>
          <c:cat>
            <c:strRef>
              <c:f>Sheet1!$A$2:$A$4</c:f>
              <c:strCache>
                <c:ptCount val="3"/>
                <c:pt idx="0">
                  <c:v>社会保障就业支出（万元）</c:v>
                </c:pt>
                <c:pt idx="1">
                  <c:v>卫生健康支出（万元）</c:v>
                </c:pt>
                <c:pt idx="2">
                  <c:v>住房保障支出（万元）</c:v>
                </c:pt>
              </c:strCache>
            </c:strRef>
          </c:cat>
          <c:val>
            <c:numRef>
              <c:f>Sheet1!$B$2:$B$4</c:f>
              <c:numCache>
                <c:formatCode>General</c:formatCode>
                <c:ptCount val="3"/>
                <c:pt idx="0">
                  <c:v>221.76</c:v>
                </c:pt>
                <c:pt idx="1">
                  <c:v>5.37</c:v>
                </c:pt>
                <c:pt idx="2">
                  <c:v>10.72</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r"/>
      <c:layout>
        <c:manualLayout>
          <c:xMode val="edge"/>
          <c:yMode val="edge"/>
          <c:x val="0.650600686498856"/>
          <c:y val="0.426821983273596"/>
          <c:w val="0.332236842105263"/>
          <c:h val="0.263739545997611"/>
        </c:manualLayout>
      </c:layout>
      <c:overlay val="false"/>
      <c:spPr>
        <a:solidFill>
          <a:schemeClr val="lt1">
            <a:lumMod val="95000"/>
            <a:alpha val="0"/>
          </a:schemeClr>
        </a:solidFill>
        <a:ln>
          <a:noFill/>
        </a:ln>
        <a:effectLst/>
      </c:spPr>
      <c:txPr>
        <a:bodyPr rot="0" spcFirstLastPara="0" vertOverflow="ellipsis" vert="horz" wrap="square" anchor="ctr" anchorCtr="true"/>
        <a:lstStyle/>
        <a:p>
          <a:pPr>
            <a:defRPr lang="zh-CN" sz="900" b="0" i="0" u="none" strike="noStrike" kern="1200" baseline="0">
              <a:solidFill>
                <a:schemeClr val="dk1">
                  <a:lumMod val="75000"/>
                  <a:lumOff val="25000"/>
                </a:schemeClr>
              </a:solidFill>
              <a:latin typeface="+mn-lt"/>
              <a:ea typeface="+mn-ea"/>
              <a:cs typeface="+mn-cs"/>
            </a:defRPr>
          </a:pPr>
        </a:p>
      </c:txPr>
    </c:legend>
    <c:plotVisOnly val="true"/>
    <c:dispBlanksAs val="gap"/>
    <c:showDLblsOverMax val="false"/>
  </c:chart>
  <c:spPr>
    <a:noFill/>
    <a:ln w="9525" cap="flat" cmpd="sng" algn="ctr">
      <a:solidFill>
        <a:schemeClr val="tx1"/>
      </a:solidFill>
      <a:prstDash val="solid"/>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一般公共预算财政拨款支出决算结构</c:v>
                </c:pt>
              </c:strCache>
            </c:strRef>
          </c:tx>
          <c:spPr/>
          <c:explosion val="0"/>
          <c:dPt>
            <c:idx val="0"/>
            <c:bubble3D val="false"/>
            <c:spPr>
              <a:solidFill>
                <a:schemeClr val="accent1">
                  <a:lumMod val="60000"/>
                  <a:lumOff val="40000"/>
                </a:schemeClr>
              </a:solidFill>
              <a:ln>
                <a:noFill/>
              </a:ln>
              <a:effectLst>
                <a:outerShdw blurRad="254000" sx="102000" sy="102000" algn="ctr" rotWithShape="0">
                  <a:prstClr val="black">
                    <a:alpha val="20000"/>
                  </a:prstClr>
                </a:outerShdw>
              </a:effectLst>
            </c:spPr>
          </c:dPt>
          <c:dLbls>
            <c:dLbl>
              <c:idx val="0"/>
              <c:layout>
                <c:manualLayout>
                  <c:x val="0.0104979565336254"/>
                  <c:y val="-0.298453356718765"/>
                </c:manualLayout>
              </c:layout>
              <c:tx>
                <c:rich>
                  <a:bodyPr rot="0" spcFirstLastPara="0" vertOverflow="ellipsis" vert="horz" wrap="square" lIns="38100" tIns="19050" rIns="38100" bIns="19050" anchor="ctr" anchorCtr="true"/>
                  <a:lstStyle/>
                  <a:p>
                    <a:pPr defTabSz="914400">
                      <a:defRPr lang="zh-CN" sz="1200" b="1" i="0" u="none" strike="noStrike" kern="1200" baseline="0">
                        <a:solidFill>
                          <a:schemeClr val="tx1"/>
                        </a:solidFill>
                        <a:latin typeface="+mn-lt"/>
                        <a:ea typeface="+mn-ea"/>
                        <a:cs typeface="+mn-cs"/>
                      </a:defRPr>
                    </a:pPr>
                    <a:r>
                      <a:rPr lang="en-US" altLang="zh-CN" sz="1200"/>
                      <a:t>0.15</a:t>
                    </a:r>
                    <a:r>
                      <a:rPr sz="1200"/>
                      <a:t>, </a:t>
                    </a:r>
                    <a:r>
                      <a:rPr lang="en-US" altLang="zh-CN" sz="1200"/>
                      <a:t>100</a:t>
                    </a:r>
                    <a:r>
                      <a:rPr sz="1200"/>
                      <a:t>%</a:t>
                    </a:r>
                    <a:endParaRPr sz="1200"/>
                  </a:p>
                </c:rich>
              </c:tx>
              <c:numFmt formatCode="General" sourceLinked="true"/>
              <c:spPr>
                <a:noFill/>
                <a:ln>
                  <a:noFill/>
                </a:ln>
                <a:effectLst>
                  <a:outerShdw blurRad="50800" dist="50800" dir="5400000" sx="12000" sy="12000" algn="ctr" rotWithShape="0">
                    <a:srgbClr val="000000">
                      <a:alpha val="43000"/>
                    </a:srgbClr>
                  </a:outerShdw>
                </a:effectLst>
              </c:spPr>
              <c:txPr>
                <a:bodyPr rot="0" spcFirstLastPara="0" vertOverflow="ellipsis" vert="horz" wrap="square" lIns="38100" tIns="19050" rIns="38100" bIns="19050" anchor="ctr" anchorCtr="true"/>
                <a:lstStyle/>
                <a:p>
                  <a:pPr>
                    <a:defRPr lang="zh-CN" sz="1200" b="1" i="0" u="none" strike="noStrike" kern="1200" baseline="0">
                      <a:solidFill>
                        <a:schemeClr val="tx1"/>
                      </a:solidFill>
                      <a:latin typeface="+mn-lt"/>
                      <a:ea typeface="+mn-ea"/>
                      <a:cs typeface="+mn-cs"/>
                    </a:defRPr>
                  </a:pPr>
                </a:p>
              </c:txPr>
              <c:dLblPos val="bestFit"/>
              <c:showLegendKey val="false"/>
              <c:showVal val="true"/>
              <c:showCatName val="false"/>
              <c:showSerName val="false"/>
              <c:showPercent val="true"/>
              <c:showBubbleSize val="false"/>
              <c:extLst>
                <c:ext xmlns:c15="http://schemas.microsoft.com/office/drawing/2012/chart" uri="{CE6537A1-D6FC-4f65-9D91-7224C49458BB}">
                  <c15:layout>
                    <c:manualLayout>
                      <c:w val="0.368135011441648"/>
                      <c:h val="0.416666666666667"/>
                    </c:manualLayout>
                  </c15:layout>
                </c:ext>
              </c:extLst>
            </c:dLbl>
            <c:spPr>
              <a:noFill/>
              <a:ln>
                <a:noFill/>
              </a:ln>
              <a:effectLst/>
            </c:spPr>
            <c:txPr>
              <a:bodyPr rot="0" spcFirstLastPara="0" vertOverflow="ellipsis" vert="horz" wrap="square" lIns="38100" tIns="19050" rIns="38100" bIns="19050" anchor="ctr" anchorCtr="true"/>
              <a:lstStyle/>
              <a:p>
                <a:pPr>
                  <a:defRPr lang="zh-CN" sz="1200" b="1" i="0" u="none" strike="noStrike" kern="1200" baseline="0">
                    <a:solidFill>
                      <a:schemeClr val="tx1"/>
                    </a:solidFill>
                    <a:latin typeface="+mn-lt"/>
                    <a:ea typeface="+mn-ea"/>
                    <a:cs typeface="+mn-cs"/>
                  </a:defRPr>
                </a:pPr>
              </a:p>
            </c:txPr>
            <c:dLblPos val="ctr"/>
            <c:showLegendKey val="false"/>
            <c:showVal val="tru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a:solidFill>
                        <a:schemeClr val="dk1">
                          <a:lumMod val="50000"/>
                          <a:lumOff val="50000"/>
                        </a:schemeClr>
                      </a:solidFill>
                    </a:ln>
                    <a:effectLst/>
                  </c:spPr>
                </c15:leaderLines>
              </c:ext>
            </c:extLst>
          </c:dLbls>
          <c:cat>
            <c:strRef>
              <c:f>Sheet1!$A$2</c:f>
              <c:strCache>
                <c:ptCount val="1"/>
                <c:pt idx="0">
                  <c:v>公务接待费（万元）</c:v>
                </c:pt>
              </c:strCache>
            </c:strRef>
          </c:cat>
          <c:val>
            <c:numRef>
              <c:f>Sheet1!$B$2</c:f>
              <c:numCache>
                <c:formatCode>General</c:formatCode>
                <c:ptCount val="1"/>
                <c:pt idx="0">
                  <c:v>0.15</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r"/>
      <c:layout>
        <c:manualLayout>
          <c:xMode val="edge"/>
          <c:yMode val="edge"/>
          <c:x val="0.650600686498856"/>
          <c:y val="0.426821983273596"/>
          <c:w val="0.332236842105263"/>
          <c:h val="0.263739545997611"/>
        </c:manualLayout>
      </c:layout>
      <c:overlay val="false"/>
      <c:spPr>
        <a:solidFill>
          <a:schemeClr val="lt1">
            <a:lumMod val="95000"/>
            <a:alpha val="0"/>
          </a:schemeClr>
        </a:solidFill>
        <a:ln>
          <a:noFill/>
        </a:ln>
        <a:effectLst/>
      </c:spPr>
      <c:txPr>
        <a:bodyPr rot="0" spcFirstLastPara="0" vertOverflow="ellipsis" vert="horz" wrap="square" anchor="ctr" anchorCtr="true"/>
        <a:lstStyle/>
        <a:p>
          <a:pPr>
            <a:defRPr lang="zh-CN" sz="900" b="0" i="0" u="none" strike="noStrike" kern="1200" baseline="0">
              <a:solidFill>
                <a:schemeClr val="dk1">
                  <a:lumMod val="75000"/>
                  <a:lumOff val="25000"/>
                </a:schemeClr>
              </a:solidFill>
              <a:latin typeface="+mn-lt"/>
              <a:ea typeface="+mn-ea"/>
              <a:cs typeface="+mn-cs"/>
            </a:defRPr>
          </a:pPr>
        </a:p>
      </c:txPr>
    </c:legend>
    <c:plotVisOnly val="true"/>
    <c:dispBlanksAs val="gap"/>
    <c:showDLblsOverMax val="false"/>
  </c:chart>
  <c:spPr>
    <a:noFill/>
    <a:ln w="9525" cap="flat" cmpd="sng" algn="ctr">
      <a:solidFill>
        <a:schemeClr val="tx1"/>
      </a:solidFill>
      <a:prstDash val="solid"/>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true">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true">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false"/>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false"/>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3.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4.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5.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true">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true">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false"/>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false"/>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true">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true">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false"/>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false"/>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true">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true">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false"/>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false"/>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17080</Words>
  <Characters>18923</Characters>
  <Lines>0</Lines>
  <Paragraphs>0</Paragraphs>
  <TotalTime>41</TotalTime>
  <ScaleCrop>false</ScaleCrop>
  <LinksUpToDate>false</LinksUpToDate>
  <CharactersWithSpaces>19037</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2024-09-24T09:45:00Z</dcterms:created>
  <dc:creator>菡</dc:creator>
  <cp:lastModifiedBy> </cp:lastModifiedBy>
  <dcterms:modified xsi:type="dcterms:W3CDTF">2024-10-14T08:50:25Z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33441DE18617463F83EC04BF21BB152D_11</vt:lpwstr>
  </property>
</Properties>
</file>