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r>
        <w:rPr>
          <w:rFonts w:hint="eastAsia" w:ascii="方正小标宋简体" w:hAnsi="宋体" w:eastAsia="方正小标宋简体"/>
          <w:sz w:val="44"/>
          <w:szCs w:val="44"/>
        </w:rPr>
        <w:t>2023年度广元市产品质量监督检验所</w:t>
      </w:r>
    </w:p>
    <w:p>
      <w:pPr>
        <w:pStyle w:val="2"/>
        <w:jc w:val="center"/>
        <w:rPr>
          <w:rFonts w:ascii="方正小标宋简体" w:hAnsi="宋体" w:eastAsia="方正小标宋简体"/>
          <w:sz w:val="44"/>
          <w:szCs w:val="44"/>
        </w:rPr>
      </w:pPr>
      <w:r>
        <w:rPr>
          <w:rFonts w:hint="eastAsia" w:ascii="方正小标宋简体" w:hAnsi="宋体" w:eastAsia="方正小标宋简体"/>
          <w:sz w:val="44"/>
          <w:szCs w:val="44"/>
        </w:rPr>
        <w:t>单位决算</w:t>
      </w:r>
    </w:p>
    <w:p>
      <w:pPr>
        <w:widowControl/>
        <w:jc w:val="center"/>
        <w:rPr>
          <w:rFonts w:ascii="黑体" w:hAnsi="黑体" w:eastAsia="黑体"/>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3"/>
      </w:pPr>
      <w:r>
        <w:rPr>
          <w:rFonts w:hint="eastAsia"/>
        </w:rPr>
        <w:t>公开时间：2024年10月1</w:t>
      </w:r>
      <w:r>
        <w:rPr>
          <w:rFonts w:hint="eastAsia"/>
          <w:lang w:val="en-US" w:eastAsia="zh-CN"/>
        </w:rPr>
        <w:t>4</w:t>
      </w:r>
      <w:r>
        <w:rPr>
          <w:rFonts w:hint="eastAsia"/>
        </w:rPr>
        <w:t>日</w:t>
      </w:r>
    </w:p>
    <w:sdt>
      <w:sdtPr>
        <w:rPr>
          <w:lang w:val="zh-CN"/>
        </w:rPr>
        <w:id w:val="11178071"/>
        <w:docPartObj>
          <w:docPartGallery w:val="Table of Contents"/>
          <w:docPartUnique/>
        </w:docPartObj>
      </w:sdtPr>
      <w:sdtEndPr>
        <w:rPr>
          <w:lang w:val="en-US"/>
        </w:rPr>
      </w:sdtEndPr>
      <w:sdtContent>
        <w:p/>
        <w:p>
          <w:pPr>
            <w:pStyle w:val="13"/>
            <w:rPr>
              <w:rFonts w:ascii="黑体" w:hAnsi="黑体" w:eastAsia="黑体" w:cstheme="minorBidi"/>
              <w:b/>
              <w:sz w:val="21"/>
              <w:szCs w:val="21"/>
            </w:rPr>
          </w:pPr>
          <w:r>
            <w:fldChar w:fldCharType="begin"/>
          </w:r>
          <w:r>
            <w:instrText xml:space="preserve"> TOC \o "1-3" \h \z \u </w:instrText>
          </w:r>
          <w:r>
            <w:fldChar w:fldCharType="separate"/>
          </w:r>
          <w:r>
            <w:fldChar w:fldCharType="begin"/>
          </w:r>
          <w:r>
            <w:instrText xml:space="preserve"> HYPERLINK \l "_Toc177552599" </w:instrText>
          </w:r>
          <w:r>
            <w:fldChar w:fldCharType="separate"/>
          </w:r>
          <w:r>
            <w:rPr>
              <w:rStyle w:val="20"/>
              <w:rFonts w:hint="eastAsia" w:ascii="黑体" w:hAnsi="黑体" w:eastAsia="黑体"/>
              <w:b/>
              <w:sz w:val="21"/>
              <w:szCs w:val="21"/>
            </w:rPr>
            <w:t>第一部分单位概况</w:t>
          </w:r>
          <w:r>
            <w:rPr>
              <w:rFonts w:ascii="黑体" w:hAnsi="黑体" w:eastAsia="黑体"/>
              <w:b/>
              <w:sz w:val="21"/>
              <w:szCs w:val="21"/>
            </w:rPr>
            <w:tab/>
          </w:r>
          <w:r>
            <w:rPr>
              <w:rFonts w:ascii="黑体" w:hAnsi="黑体" w:eastAsia="黑体"/>
              <w:b/>
              <w:sz w:val="21"/>
              <w:szCs w:val="21"/>
            </w:rPr>
            <w:fldChar w:fldCharType="begin"/>
          </w:r>
          <w:r>
            <w:rPr>
              <w:rFonts w:ascii="黑体" w:hAnsi="黑体" w:eastAsia="黑体"/>
              <w:b/>
              <w:sz w:val="21"/>
              <w:szCs w:val="21"/>
            </w:rPr>
            <w:instrText xml:space="preserve"> PAGEREF _Toc177552599 \h </w:instrText>
          </w:r>
          <w:r>
            <w:rPr>
              <w:rFonts w:ascii="黑体" w:hAnsi="黑体" w:eastAsia="黑体"/>
              <w:b/>
              <w:sz w:val="21"/>
              <w:szCs w:val="21"/>
            </w:rPr>
            <w:fldChar w:fldCharType="separate"/>
          </w:r>
          <w:r>
            <w:rPr>
              <w:rFonts w:ascii="黑体" w:hAnsi="黑体" w:eastAsia="黑体"/>
              <w:b/>
              <w:sz w:val="21"/>
              <w:szCs w:val="21"/>
            </w:rPr>
            <w:t>1</w:t>
          </w:r>
          <w:r>
            <w:rPr>
              <w:rFonts w:ascii="黑体" w:hAnsi="黑体" w:eastAsia="黑体"/>
              <w:b/>
              <w:sz w:val="21"/>
              <w:szCs w:val="21"/>
            </w:rPr>
            <w:fldChar w:fldCharType="end"/>
          </w:r>
          <w:r>
            <w:rPr>
              <w:rFonts w:ascii="黑体" w:hAnsi="黑体" w:eastAsia="黑体"/>
              <w:b/>
              <w:sz w:val="21"/>
              <w:szCs w:val="21"/>
            </w:rPr>
            <w:fldChar w:fldCharType="end"/>
          </w:r>
        </w:p>
        <w:p>
          <w:pPr>
            <w:pStyle w:val="16"/>
            <w:rPr>
              <w:rFonts w:ascii="黑体" w:hAnsi="黑体" w:eastAsia="黑体" w:cstheme="minorBidi"/>
              <w:szCs w:val="22"/>
            </w:rPr>
          </w:pPr>
          <w:r>
            <w:fldChar w:fldCharType="begin"/>
          </w:r>
          <w:r>
            <w:instrText xml:space="preserve"> HYPERLINK \l "_Toc177552600" </w:instrText>
          </w:r>
          <w:r>
            <w:fldChar w:fldCharType="separate"/>
          </w:r>
          <w:r>
            <w:rPr>
              <w:rStyle w:val="20"/>
              <w:rFonts w:hint="eastAsia" w:ascii="黑体" w:hAnsi="黑体" w:eastAsia="黑体"/>
            </w:rPr>
            <w:t>一、 主要职责</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_Toc177552600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"_Toc177552601" </w:instrText>
          </w:r>
          <w:r>
            <w:fldChar w:fldCharType="separate"/>
          </w:r>
          <w:r>
            <w:rPr>
              <w:rStyle w:val="20"/>
              <w:rFonts w:hint="eastAsia" w:ascii="黑体" w:hAnsi="黑体" w:eastAsia="黑体"/>
            </w:rPr>
            <w:t>二、 机构设置</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_Toc177552601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13"/>
            <w:rPr>
              <w:rStyle w:val="20"/>
              <w:rFonts w:ascii="黑体" w:hAnsi="黑体" w:eastAsia="黑体"/>
              <w:b/>
              <w:szCs w:val="21"/>
            </w:rPr>
          </w:pPr>
          <w:r>
            <w:fldChar w:fldCharType="begin"/>
          </w:r>
          <w:r>
            <w:instrText xml:space="preserve"> HYPERLINK \l "_Toc177552602" </w:instrText>
          </w:r>
          <w:r>
            <w:fldChar w:fldCharType="separate"/>
          </w:r>
          <w:r>
            <w:rPr>
              <w:rStyle w:val="20"/>
              <w:rFonts w:hint="eastAsia" w:ascii="黑体" w:hAnsi="黑体" w:eastAsia="黑体"/>
              <w:b/>
              <w:sz w:val="21"/>
              <w:szCs w:val="21"/>
            </w:rPr>
            <w:t>第二部分</w:t>
          </w:r>
          <w:r>
            <w:rPr>
              <w:rStyle w:val="20"/>
              <w:rFonts w:ascii="黑体" w:hAnsi="黑体" w:eastAsia="黑体"/>
              <w:b/>
              <w:sz w:val="21"/>
              <w:szCs w:val="21"/>
            </w:rPr>
            <w:t xml:space="preserve"> 2023</w:t>
          </w:r>
          <w:r>
            <w:rPr>
              <w:rStyle w:val="20"/>
              <w:rFonts w:hint="eastAsia" w:ascii="黑体" w:hAnsi="黑体" w:eastAsia="黑体"/>
              <w:b/>
              <w:sz w:val="21"/>
              <w:szCs w:val="21"/>
            </w:rPr>
            <w:t>年度单位决算情况说明</w:t>
          </w:r>
          <w:r>
            <w:rPr>
              <w:rStyle w:val="20"/>
              <w:rFonts w:ascii="黑体" w:hAnsi="黑体" w:eastAsia="黑体"/>
              <w:b/>
              <w:sz w:val="21"/>
              <w:szCs w:val="21"/>
            </w:rPr>
            <w:tab/>
          </w:r>
          <w:r>
            <w:rPr>
              <w:rStyle w:val="20"/>
              <w:rFonts w:ascii="黑体" w:hAnsi="黑体" w:eastAsia="黑体"/>
              <w:b/>
              <w:sz w:val="21"/>
              <w:szCs w:val="21"/>
            </w:rPr>
            <w:fldChar w:fldCharType="begin"/>
          </w:r>
          <w:r>
            <w:rPr>
              <w:rStyle w:val="20"/>
              <w:rFonts w:ascii="黑体" w:hAnsi="黑体" w:eastAsia="黑体"/>
              <w:b/>
              <w:sz w:val="21"/>
              <w:szCs w:val="21"/>
            </w:rPr>
            <w:instrText xml:space="preserve"> PAGEREF _Toc177552602 \h </w:instrText>
          </w:r>
          <w:r>
            <w:rPr>
              <w:rStyle w:val="20"/>
              <w:rFonts w:ascii="黑体" w:hAnsi="黑体" w:eastAsia="黑体"/>
              <w:b/>
              <w:sz w:val="21"/>
              <w:szCs w:val="21"/>
            </w:rPr>
            <w:fldChar w:fldCharType="separate"/>
          </w:r>
          <w:r>
            <w:rPr>
              <w:rStyle w:val="20"/>
              <w:rFonts w:ascii="黑体" w:hAnsi="黑体" w:eastAsia="黑体"/>
              <w:b/>
              <w:sz w:val="21"/>
              <w:szCs w:val="21"/>
            </w:rPr>
            <w:t>2</w:t>
          </w:r>
          <w:r>
            <w:rPr>
              <w:rStyle w:val="20"/>
              <w:rFonts w:ascii="黑体" w:hAnsi="黑体" w:eastAsia="黑体"/>
              <w:b/>
              <w:sz w:val="21"/>
              <w:szCs w:val="21"/>
            </w:rPr>
            <w:fldChar w:fldCharType="end"/>
          </w:r>
          <w:r>
            <w:rPr>
              <w:rStyle w:val="20"/>
              <w:rFonts w:ascii="黑体" w:hAnsi="黑体" w:eastAsia="黑体"/>
              <w:b/>
              <w:sz w:val="21"/>
              <w:szCs w:val="21"/>
            </w:rPr>
            <w:fldChar w:fldCharType="end"/>
          </w:r>
        </w:p>
        <w:p>
          <w:pPr>
            <w:pStyle w:val="16"/>
            <w:rPr>
              <w:rFonts w:asciiTheme="minorHAnsi" w:hAnsiTheme="minorHAnsi" w:eastAsiaTheme="minorEastAsia" w:cstheme="minorBidi"/>
              <w:szCs w:val="22"/>
            </w:rPr>
          </w:pPr>
          <w:r>
            <w:fldChar w:fldCharType="begin"/>
          </w:r>
          <w:r>
            <w:instrText xml:space="preserve"> HYPERLINK \l "_Toc177552603" </w:instrText>
          </w:r>
          <w:r>
            <w:fldChar w:fldCharType="separate"/>
          </w:r>
          <w:r>
            <w:rPr>
              <w:rStyle w:val="20"/>
              <w:rFonts w:hint="eastAsia" w:ascii="黑体" w:hAnsi="黑体" w:eastAsia="黑体"/>
            </w:rPr>
            <w:t>一、收</w:t>
          </w:r>
          <w:r>
            <w:rPr>
              <w:rStyle w:val="20"/>
              <w:rFonts w:hint="eastAsia" w:ascii="黑体" w:hAnsi="黑体" w:eastAsia="黑体"/>
              <w:bCs/>
            </w:rPr>
            <w:t>入支出决算总体情况说明</w:t>
          </w:r>
          <w:r>
            <w:tab/>
          </w:r>
          <w:r>
            <w:fldChar w:fldCharType="begin"/>
          </w:r>
          <w:r>
            <w:instrText xml:space="preserve"> PAGEREF _Toc177552603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"_Toc177552604" </w:instrText>
          </w:r>
          <w:r>
            <w:fldChar w:fldCharType="separate"/>
          </w:r>
          <w:r>
            <w:rPr>
              <w:rStyle w:val="20"/>
              <w:rFonts w:hint="eastAsia" w:ascii="黑体" w:hAnsi="黑体" w:eastAsia="黑体"/>
            </w:rPr>
            <w:t>二、收</w:t>
          </w:r>
          <w:r>
            <w:rPr>
              <w:rStyle w:val="20"/>
              <w:rFonts w:hint="eastAsia" w:ascii="黑体" w:hAnsi="黑体" w:eastAsia="黑体"/>
              <w:bCs/>
            </w:rPr>
            <w:t>入决算情况说明</w:t>
          </w:r>
          <w:r>
            <w:tab/>
          </w:r>
          <w:r>
            <w:fldChar w:fldCharType="begin"/>
          </w:r>
          <w:r>
            <w:instrText xml:space="preserve"> PAGEREF _Toc177552604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"_Toc177552606" </w:instrText>
          </w:r>
          <w:r>
            <w:fldChar w:fldCharType="separate"/>
          </w:r>
          <w:r>
            <w:rPr>
              <w:rStyle w:val="20"/>
              <w:rFonts w:hint="eastAsia" w:ascii="黑体" w:hAnsi="黑体" w:eastAsia="黑体"/>
            </w:rPr>
            <w:t>三、支</w:t>
          </w:r>
          <w:r>
            <w:rPr>
              <w:rStyle w:val="20"/>
              <w:rFonts w:hint="eastAsia" w:ascii="黑体" w:hAnsi="黑体" w:eastAsia="黑体"/>
              <w:bCs/>
            </w:rPr>
            <w:t>出决算情况说明</w:t>
          </w:r>
          <w:r>
            <w:tab/>
          </w:r>
          <w:r>
            <w:fldChar w:fldCharType="begin"/>
          </w:r>
          <w:r>
            <w:instrText xml:space="preserve"> PAGEREF _Toc177552606 \h </w:instrText>
          </w:r>
          <w:r>
            <w:fldChar w:fldCharType="separate"/>
          </w:r>
          <w:r>
            <w:t>3</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"_Toc177552608" </w:instrText>
          </w:r>
          <w:r>
            <w:fldChar w:fldCharType="separate"/>
          </w:r>
          <w:r>
            <w:rPr>
              <w:rStyle w:val="20"/>
              <w:rFonts w:hint="eastAsia" w:ascii="黑体" w:hAnsi="黑体" w:eastAsia="黑体"/>
            </w:rPr>
            <w:t>四、财</w:t>
          </w:r>
          <w:r>
            <w:rPr>
              <w:rStyle w:val="20"/>
              <w:rFonts w:hint="eastAsia" w:ascii="黑体" w:hAnsi="黑体" w:eastAsia="黑体"/>
              <w:bCs/>
            </w:rPr>
            <w:t>政拨款收入支出决算总体情况说明</w:t>
          </w:r>
          <w:r>
            <w:tab/>
          </w:r>
          <w:r>
            <w:fldChar w:fldCharType="begin"/>
          </w:r>
          <w:r>
            <w:instrText xml:space="preserve"> PAGEREF _Toc177552608 \h </w:instrText>
          </w:r>
          <w:r>
            <w:fldChar w:fldCharType="separate"/>
          </w:r>
          <w:r>
            <w:t>3</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"_Toc177552609" </w:instrText>
          </w:r>
          <w:r>
            <w:fldChar w:fldCharType="separate"/>
          </w:r>
          <w:r>
            <w:rPr>
              <w:rStyle w:val="20"/>
              <w:rFonts w:hint="eastAsia" w:ascii="黑体" w:hAnsi="黑体" w:eastAsia="黑体"/>
            </w:rPr>
            <w:t>五、</w:t>
          </w:r>
          <w:r>
            <w:rPr>
              <w:rStyle w:val="20"/>
              <w:rFonts w:hint="eastAsia" w:ascii="黑体" w:hAnsi="黑体" w:eastAsia="黑体"/>
              <w:b/>
            </w:rPr>
            <w:t>一</w:t>
          </w:r>
          <w:r>
            <w:rPr>
              <w:rStyle w:val="20"/>
              <w:rFonts w:hint="eastAsia" w:ascii="黑体" w:hAnsi="黑体" w:eastAsia="黑体"/>
              <w:bCs/>
            </w:rPr>
            <w:t>般公共预算财政拨款支出决算情况说明</w:t>
          </w:r>
          <w:r>
            <w:tab/>
          </w:r>
          <w:r>
            <w:fldChar w:fldCharType="begin"/>
          </w:r>
          <w:r>
            <w:instrText xml:space="preserve"> PAGEREF _Toc177552609 \h </w:instrText>
          </w:r>
          <w:r>
            <w:fldChar w:fldCharType="separate"/>
          </w:r>
          <w:r>
            <w:t>4</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"_Toc177552614" </w:instrText>
          </w:r>
          <w:r>
            <w:fldChar w:fldCharType="separate"/>
          </w:r>
          <w:r>
            <w:rPr>
              <w:rStyle w:val="20"/>
              <w:rFonts w:hint="eastAsia" w:ascii="黑体" w:eastAsia="黑体"/>
            </w:rPr>
            <w:t>六</w:t>
          </w:r>
          <w:r>
            <w:rPr>
              <w:rStyle w:val="20"/>
              <w:rFonts w:hint="eastAsia" w:ascii="黑体" w:eastAsia="黑体"/>
              <w:b/>
            </w:rPr>
            <w:t>、</w:t>
          </w:r>
          <w:r>
            <w:rPr>
              <w:rStyle w:val="20"/>
              <w:rFonts w:hint="eastAsia" w:ascii="黑体" w:hAnsi="黑体" w:eastAsia="黑体"/>
              <w:b/>
            </w:rPr>
            <w:t>一</w:t>
          </w:r>
          <w:r>
            <w:rPr>
              <w:rStyle w:val="20"/>
              <w:rFonts w:hint="eastAsia" w:ascii="黑体" w:hAnsi="黑体" w:eastAsia="黑体"/>
              <w:bCs/>
            </w:rPr>
            <w:t>般公共预算财政拨款基本支出决算情况说明</w:t>
          </w:r>
          <w:r>
            <w:tab/>
          </w:r>
          <w:r>
            <w:fldChar w:fldCharType="begin"/>
          </w:r>
          <w:r>
            <w:instrText xml:space="preserve"> PAGEREF _Toc177552614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"_Toc177552615" </w:instrText>
          </w:r>
          <w:r>
            <w:fldChar w:fldCharType="separate"/>
          </w:r>
          <w:r>
            <w:rPr>
              <w:rStyle w:val="20"/>
              <w:rFonts w:hint="eastAsia" w:ascii="黑体" w:eastAsia="黑体"/>
            </w:rPr>
            <w:t>七、</w:t>
          </w:r>
          <w:r>
            <w:rPr>
              <w:rStyle w:val="20"/>
              <w:rFonts w:hint="eastAsia" w:ascii="黑体" w:hAnsi="黑体" w:eastAsia="黑体"/>
              <w:bCs/>
            </w:rPr>
            <w:t>财政拨款</w:t>
          </w:r>
          <w:r>
            <w:rPr>
              <w:rStyle w:val="20"/>
              <w:rFonts w:ascii="黑体" w:hAnsi="黑体" w:eastAsia="黑体"/>
              <w:b/>
              <w:bCs/>
            </w:rPr>
            <w:t>“</w:t>
          </w:r>
          <w:r>
            <w:rPr>
              <w:rStyle w:val="20"/>
              <w:rFonts w:hint="eastAsia" w:ascii="黑体" w:hAnsi="黑体" w:eastAsia="黑体"/>
              <w:bCs/>
            </w:rPr>
            <w:t>三公”经费支出决算情况说明</w:t>
          </w:r>
          <w:r>
            <w:tab/>
          </w:r>
          <w:r>
            <w:fldChar w:fldCharType="begin"/>
          </w:r>
          <w:r>
            <w:instrText xml:space="preserve"> PAGEREF _Toc177552615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"_Toc177552618" </w:instrText>
          </w:r>
          <w:r>
            <w:fldChar w:fldCharType="separate"/>
          </w:r>
          <w:r>
            <w:rPr>
              <w:rStyle w:val="20"/>
              <w:rFonts w:hint="eastAsia" w:ascii="黑体" w:eastAsia="黑体"/>
            </w:rPr>
            <w:t>八、</w:t>
          </w:r>
          <w:r>
            <w:rPr>
              <w:rStyle w:val="20"/>
              <w:rFonts w:hint="eastAsia" w:ascii="黑体" w:hAnsi="黑体" w:eastAsia="黑体"/>
              <w:bCs/>
            </w:rPr>
            <w:t>政府性基金预算支出决算情况说明</w:t>
          </w:r>
          <w:r>
            <w:tab/>
          </w:r>
          <w:r>
            <w:fldChar w:fldCharType="begin"/>
          </w:r>
          <w:r>
            <w:instrText xml:space="preserve"> PAGEREF _Toc177552618 \h </w:instrText>
          </w:r>
          <w:r>
            <w:fldChar w:fldCharType="separate"/>
          </w:r>
          <w:r>
            <w:t>9</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"_Toc177552619" </w:instrText>
          </w:r>
          <w:r>
            <w:fldChar w:fldCharType="separate"/>
          </w:r>
          <w:r>
            <w:rPr>
              <w:rStyle w:val="20"/>
              <w:rFonts w:hint="eastAsia" w:ascii="黑体" w:hAnsi="黑体" w:eastAsia="黑体"/>
              <w:bCs/>
            </w:rPr>
            <w:t>九、国有资本经营预算支出决算情况说明</w:t>
          </w:r>
          <w:r>
            <w:tab/>
          </w:r>
          <w:r>
            <w:fldChar w:fldCharType="begin"/>
          </w:r>
          <w:r>
            <w:instrText xml:space="preserve"> PAGEREF _Toc177552619 \h </w:instrText>
          </w:r>
          <w:r>
            <w:fldChar w:fldCharType="separate"/>
          </w:r>
          <w:r>
            <w:t>9</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"_Toc177552620" </w:instrText>
          </w:r>
          <w:r>
            <w:fldChar w:fldCharType="separate"/>
          </w:r>
          <w:r>
            <w:rPr>
              <w:rStyle w:val="20"/>
              <w:rFonts w:hint="eastAsia" w:ascii="黑体" w:hAnsi="黑体" w:eastAsia="黑体"/>
              <w:bCs/>
            </w:rPr>
            <w:t>十、其他重要事项的情况说明</w:t>
          </w:r>
          <w:r>
            <w:tab/>
          </w:r>
          <w:r>
            <w:fldChar w:fldCharType="begin"/>
          </w:r>
          <w:r>
            <w:instrText xml:space="preserve"> PAGEREF _Toc177552620 \h </w:instrText>
          </w:r>
          <w:r>
            <w:fldChar w:fldCharType="separate"/>
          </w:r>
          <w:r>
            <w:t>9</w:t>
          </w:r>
          <w:r>
            <w:fldChar w:fldCharType="end"/>
          </w:r>
          <w:r>
            <w:fldChar w:fldCharType="end"/>
          </w:r>
        </w:p>
        <w:p>
          <w:pPr>
            <w:pStyle w:val="13"/>
            <w:rPr>
              <w:rStyle w:val="20"/>
              <w:rFonts w:ascii="黑体" w:hAnsi="黑体" w:eastAsia="黑体"/>
              <w:b/>
              <w:szCs w:val="21"/>
            </w:rPr>
          </w:pPr>
          <w:r>
            <w:fldChar w:fldCharType="begin"/>
          </w:r>
          <w:r>
            <w:instrText xml:space="preserve"> HYPERLINK \l "_Toc177552625" </w:instrText>
          </w:r>
          <w:r>
            <w:fldChar w:fldCharType="separate"/>
          </w:r>
          <w:r>
            <w:rPr>
              <w:rStyle w:val="20"/>
              <w:rFonts w:hint="eastAsia" w:ascii="黑体" w:hAnsi="黑体" w:eastAsia="黑体"/>
              <w:b/>
              <w:sz w:val="21"/>
              <w:szCs w:val="21"/>
            </w:rPr>
            <w:t>第三部分 名词解释</w:t>
          </w:r>
          <w:r>
            <w:rPr>
              <w:rStyle w:val="20"/>
              <w:rFonts w:ascii="黑体" w:hAnsi="黑体" w:eastAsia="黑体"/>
              <w:b/>
              <w:sz w:val="21"/>
              <w:szCs w:val="21"/>
            </w:rPr>
            <w:tab/>
          </w:r>
          <w:r>
            <w:rPr>
              <w:rStyle w:val="20"/>
              <w:rFonts w:ascii="黑体" w:hAnsi="黑体" w:eastAsia="黑体"/>
              <w:b/>
              <w:sz w:val="21"/>
              <w:szCs w:val="21"/>
            </w:rPr>
            <w:fldChar w:fldCharType="begin"/>
          </w:r>
          <w:r>
            <w:rPr>
              <w:rStyle w:val="20"/>
              <w:rFonts w:ascii="黑体" w:hAnsi="黑体" w:eastAsia="黑体"/>
              <w:b/>
              <w:sz w:val="21"/>
              <w:szCs w:val="21"/>
            </w:rPr>
            <w:instrText xml:space="preserve"> PAGEREF _Toc177552625 \h </w:instrText>
          </w:r>
          <w:r>
            <w:rPr>
              <w:rStyle w:val="20"/>
              <w:rFonts w:ascii="黑体" w:hAnsi="黑体" w:eastAsia="黑体"/>
              <w:b/>
              <w:sz w:val="21"/>
              <w:szCs w:val="21"/>
            </w:rPr>
            <w:fldChar w:fldCharType="separate"/>
          </w:r>
          <w:r>
            <w:rPr>
              <w:rStyle w:val="20"/>
              <w:rFonts w:ascii="黑体" w:hAnsi="黑体" w:eastAsia="黑体"/>
              <w:b/>
              <w:sz w:val="21"/>
              <w:szCs w:val="21"/>
            </w:rPr>
            <w:t>11</w:t>
          </w:r>
          <w:r>
            <w:rPr>
              <w:rStyle w:val="20"/>
              <w:rFonts w:ascii="黑体" w:hAnsi="黑体" w:eastAsia="黑体"/>
              <w:b/>
              <w:sz w:val="21"/>
              <w:szCs w:val="21"/>
            </w:rPr>
            <w:fldChar w:fldCharType="end"/>
          </w:r>
          <w:r>
            <w:rPr>
              <w:rStyle w:val="20"/>
              <w:rFonts w:ascii="黑体" w:hAnsi="黑体" w:eastAsia="黑体"/>
              <w:b/>
              <w:sz w:val="21"/>
              <w:szCs w:val="21"/>
            </w:rPr>
            <w:fldChar w:fldCharType="end"/>
          </w:r>
        </w:p>
        <w:p>
          <w:pPr>
            <w:pStyle w:val="13"/>
            <w:rPr>
              <w:rStyle w:val="20"/>
              <w:rFonts w:ascii="黑体" w:hAnsi="黑体" w:eastAsia="黑体"/>
              <w:b/>
              <w:szCs w:val="21"/>
            </w:rPr>
          </w:pPr>
          <w:r>
            <w:fldChar w:fldCharType="begin"/>
          </w:r>
          <w:r>
            <w:instrText xml:space="preserve"> HYPERLINK \l "_Toc177552626" </w:instrText>
          </w:r>
          <w:r>
            <w:fldChar w:fldCharType="separate"/>
          </w:r>
          <w:r>
            <w:rPr>
              <w:rStyle w:val="20"/>
              <w:rFonts w:hint="eastAsia" w:ascii="黑体" w:hAnsi="黑体" w:eastAsia="黑体"/>
              <w:b/>
              <w:sz w:val="21"/>
              <w:szCs w:val="21"/>
            </w:rPr>
            <w:t>第四部分附件</w:t>
          </w:r>
          <w:r>
            <w:rPr>
              <w:rStyle w:val="20"/>
              <w:rFonts w:ascii="黑体" w:hAnsi="黑体" w:eastAsia="黑体"/>
              <w:b/>
              <w:sz w:val="21"/>
              <w:szCs w:val="21"/>
            </w:rPr>
            <w:tab/>
          </w:r>
          <w:r>
            <w:rPr>
              <w:rStyle w:val="20"/>
              <w:rFonts w:ascii="黑体" w:hAnsi="黑体" w:eastAsia="黑体"/>
              <w:b/>
              <w:sz w:val="21"/>
              <w:szCs w:val="21"/>
            </w:rPr>
            <w:fldChar w:fldCharType="begin"/>
          </w:r>
          <w:r>
            <w:rPr>
              <w:rStyle w:val="20"/>
              <w:rFonts w:ascii="黑体" w:hAnsi="黑体" w:eastAsia="黑体"/>
              <w:b/>
              <w:sz w:val="21"/>
              <w:szCs w:val="21"/>
            </w:rPr>
            <w:instrText xml:space="preserve"> PAGEREF _Toc177552626 \h </w:instrText>
          </w:r>
          <w:r>
            <w:rPr>
              <w:rStyle w:val="20"/>
              <w:rFonts w:ascii="黑体" w:hAnsi="黑体" w:eastAsia="黑体"/>
              <w:b/>
              <w:sz w:val="21"/>
              <w:szCs w:val="21"/>
            </w:rPr>
            <w:fldChar w:fldCharType="separate"/>
          </w:r>
          <w:r>
            <w:rPr>
              <w:rStyle w:val="20"/>
              <w:rFonts w:ascii="黑体" w:hAnsi="黑体" w:eastAsia="黑体"/>
              <w:b/>
              <w:sz w:val="21"/>
              <w:szCs w:val="21"/>
            </w:rPr>
            <w:t>13</w:t>
          </w:r>
          <w:r>
            <w:rPr>
              <w:rStyle w:val="20"/>
              <w:rFonts w:ascii="黑体" w:hAnsi="黑体" w:eastAsia="黑体"/>
              <w:b/>
              <w:sz w:val="21"/>
              <w:szCs w:val="21"/>
            </w:rPr>
            <w:fldChar w:fldCharType="end"/>
          </w:r>
          <w:r>
            <w:rPr>
              <w:rStyle w:val="20"/>
              <w:rFonts w:ascii="黑体" w:hAnsi="黑体" w:eastAsia="黑体"/>
              <w:b/>
              <w:sz w:val="21"/>
              <w:szCs w:val="21"/>
            </w:rPr>
            <w:fldChar w:fldCharType="end"/>
          </w:r>
        </w:p>
        <w:p>
          <w:pPr>
            <w:pStyle w:val="13"/>
            <w:rPr>
              <w:rStyle w:val="20"/>
              <w:rFonts w:ascii="黑体" w:hAnsi="黑体" w:eastAsia="黑体"/>
              <w:b/>
              <w:szCs w:val="21"/>
            </w:rPr>
          </w:pPr>
          <w:r>
            <w:fldChar w:fldCharType="begin"/>
          </w:r>
          <w:r>
            <w:instrText xml:space="preserve"> HYPERLINK \l "_Toc177552628" </w:instrText>
          </w:r>
          <w:r>
            <w:fldChar w:fldCharType="separate"/>
          </w:r>
          <w:r>
            <w:rPr>
              <w:rStyle w:val="20"/>
              <w:rFonts w:hint="eastAsia" w:ascii="黑体" w:hAnsi="黑体" w:eastAsia="黑体"/>
              <w:b/>
              <w:sz w:val="21"/>
              <w:szCs w:val="21"/>
            </w:rPr>
            <w:t>第五部分附表</w:t>
          </w:r>
          <w:r>
            <w:rPr>
              <w:rStyle w:val="20"/>
              <w:rFonts w:ascii="黑体" w:hAnsi="黑体" w:eastAsia="黑体"/>
              <w:b/>
              <w:sz w:val="21"/>
              <w:szCs w:val="21"/>
            </w:rPr>
            <w:tab/>
          </w:r>
          <w:r>
            <w:rPr>
              <w:rStyle w:val="20"/>
              <w:rFonts w:ascii="黑体" w:hAnsi="黑体" w:eastAsia="黑体"/>
              <w:b/>
              <w:sz w:val="21"/>
              <w:szCs w:val="21"/>
            </w:rPr>
            <w:fldChar w:fldCharType="begin"/>
          </w:r>
          <w:r>
            <w:rPr>
              <w:rStyle w:val="20"/>
              <w:rFonts w:ascii="黑体" w:hAnsi="黑体" w:eastAsia="黑体"/>
              <w:b/>
              <w:sz w:val="21"/>
              <w:szCs w:val="21"/>
            </w:rPr>
            <w:instrText xml:space="preserve"> PAGEREF _Toc177552628 \h </w:instrText>
          </w:r>
          <w:r>
            <w:rPr>
              <w:rStyle w:val="20"/>
              <w:rFonts w:ascii="黑体" w:hAnsi="黑体" w:eastAsia="黑体"/>
              <w:b/>
              <w:sz w:val="21"/>
              <w:szCs w:val="21"/>
            </w:rPr>
            <w:fldChar w:fldCharType="separate"/>
          </w:r>
          <w:r>
            <w:rPr>
              <w:rStyle w:val="20"/>
              <w:rFonts w:ascii="黑体" w:hAnsi="黑体" w:eastAsia="黑体"/>
              <w:b/>
              <w:sz w:val="21"/>
              <w:szCs w:val="21"/>
            </w:rPr>
            <w:t>38</w:t>
          </w:r>
          <w:r>
            <w:rPr>
              <w:rStyle w:val="20"/>
              <w:rFonts w:ascii="黑体" w:hAnsi="黑体" w:eastAsia="黑体"/>
              <w:b/>
              <w:sz w:val="21"/>
              <w:szCs w:val="21"/>
            </w:rPr>
            <w:fldChar w:fldCharType="end"/>
          </w:r>
          <w:r>
            <w:rPr>
              <w:rStyle w:val="20"/>
              <w:rFonts w:ascii="黑体" w:hAnsi="黑体" w:eastAsia="黑体"/>
              <w:b/>
              <w:sz w:val="21"/>
              <w:szCs w:val="21"/>
            </w:rPr>
            <w:fldChar w:fldCharType="end"/>
          </w:r>
        </w:p>
        <w:p>
          <w:pPr>
            <w:pStyle w:val="16"/>
            <w:rPr>
              <w:rFonts w:ascii="黑体" w:hAnsi="黑体" w:eastAsia="黑体" w:cstheme="minorBidi"/>
              <w:szCs w:val="22"/>
            </w:rPr>
          </w:pPr>
          <w:r>
            <w:fldChar w:fldCharType="begin"/>
          </w:r>
          <w:r>
            <w:instrText xml:space="preserve"> HYPERLINK \l "_Toc177552629" </w:instrText>
          </w:r>
          <w:r>
            <w:fldChar w:fldCharType="separate"/>
          </w:r>
          <w:r>
            <w:rPr>
              <w:rStyle w:val="20"/>
              <w:rFonts w:hint="eastAsia" w:ascii="黑体" w:hAnsi="黑体" w:eastAsia="黑体"/>
            </w:rPr>
            <w:t>一、收入支出决算总表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_Toc177552629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"_Toc177552630" </w:instrText>
          </w:r>
          <w:r>
            <w:fldChar w:fldCharType="separate"/>
          </w:r>
          <w:r>
            <w:rPr>
              <w:rStyle w:val="20"/>
              <w:rFonts w:hint="eastAsia" w:ascii="黑体" w:hAnsi="黑体" w:eastAsia="黑体"/>
            </w:rPr>
            <w:t>二、收入决算表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_Toc177552630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"_Toc177552631" </w:instrText>
          </w:r>
          <w:r>
            <w:fldChar w:fldCharType="separate"/>
          </w:r>
          <w:r>
            <w:rPr>
              <w:rStyle w:val="20"/>
              <w:rFonts w:hint="eastAsia" w:ascii="黑体" w:hAnsi="黑体" w:eastAsia="黑体"/>
            </w:rPr>
            <w:t>三、支出决算表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_Toc177552631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"_Toc177552632" </w:instrText>
          </w:r>
          <w:r>
            <w:fldChar w:fldCharType="separate"/>
          </w:r>
          <w:r>
            <w:rPr>
              <w:rStyle w:val="20"/>
              <w:rFonts w:hint="eastAsia" w:ascii="黑体" w:hAnsi="黑体" w:eastAsia="黑体"/>
            </w:rPr>
            <w:t>四、财政拨款收入支出决算总表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_Toc177552632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"_Toc177552633" </w:instrText>
          </w:r>
          <w:r>
            <w:fldChar w:fldCharType="separate"/>
          </w:r>
          <w:r>
            <w:rPr>
              <w:rStyle w:val="20"/>
              <w:rFonts w:hint="eastAsia" w:ascii="黑体" w:hAnsi="黑体" w:eastAsia="黑体"/>
            </w:rPr>
            <w:t>五、财政拨款支出决算明细表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_Toc177552633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"_Toc177552634" </w:instrText>
          </w:r>
          <w:r>
            <w:fldChar w:fldCharType="separate"/>
          </w:r>
          <w:r>
            <w:rPr>
              <w:rStyle w:val="20"/>
              <w:rFonts w:hint="eastAsia" w:ascii="黑体" w:hAnsi="黑体" w:eastAsia="黑体"/>
            </w:rPr>
            <w:t>六、一般公共预算财政拨款支出决算表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_Toc177552634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"_Toc177552635" </w:instrText>
          </w:r>
          <w:r>
            <w:fldChar w:fldCharType="separate"/>
          </w:r>
          <w:r>
            <w:rPr>
              <w:rStyle w:val="20"/>
              <w:rFonts w:hint="eastAsia" w:ascii="黑体" w:hAnsi="黑体" w:eastAsia="黑体"/>
            </w:rPr>
            <w:t>七、一般公共预算财政拨款支出决算明细表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_Toc177552635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"_Toc177552636" </w:instrText>
          </w:r>
          <w:r>
            <w:fldChar w:fldCharType="separate"/>
          </w:r>
          <w:r>
            <w:rPr>
              <w:rStyle w:val="20"/>
              <w:rFonts w:hint="eastAsia" w:ascii="黑体" w:hAnsi="黑体" w:eastAsia="黑体"/>
            </w:rPr>
            <w:t>八、一般公共预算财政拨款基本支出决算表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_Toc177552636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"_Toc177552637" </w:instrText>
          </w:r>
          <w:r>
            <w:fldChar w:fldCharType="separate"/>
          </w:r>
          <w:r>
            <w:rPr>
              <w:rStyle w:val="20"/>
              <w:rFonts w:hint="eastAsia" w:ascii="黑体" w:hAnsi="黑体" w:eastAsia="黑体"/>
            </w:rPr>
            <w:t>九、一般公共预算财政拨款项目支出决算表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_Toc177552637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"_Toc177552638" </w:instrText>
          </w:r>
          <w:r>
            <w:fldChar w:fldCharType="separate"/>
          </w:r>
          <w:r>
            <w:rPr>
              <w:rStyle w:val="20"/>
              <w:rFonts w:hint="eastAsia" w:ascii="黑体" w:hAnsi="黑体" w:eastAsia="黑体"/>
            </w:rPr>
            <w:t>十、政府性基金预算财政拨款收入支出决算表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_Toc177552638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"_Toc177552639" </w:instrText>
          </w:r>
          <w:r>
            <w:fldChar w:fldCharType="separate"/>
          </w:r>
          <w:r>
            <w:rPr>
              <w:rStyle w:val="20"/>
              <w:rFonts w:hint="eastAsia" w:ascii="黑体" w:hAnsi="黑体" w:eastAsia="黑体"/>
            </w:rPr>
            <w:t>十一、国有资本经营预算财政拨款收入支出决算表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_Toc177552639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"_Toc177552640" </w:instrText>
          </w:r>
          <w:r>
            <w:fldChar w:fldCharType="separate"/>
          </w:r>
          <w:r>
            <w:rPr>
              <w:rStyle w:val="20"/>
              <w:rFonts w:hint="eastAsia" w:ascii="黑体" w:hAnsi="黑体" w:eastAsia="黑体"/>
            </w:rPr>
            <w:t>十二、国有资本经营预算财政拨款支出决算表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_Toc177552640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"_Toc177552641" </w:instrText>
          </w:r>
          <w:r>
            <w:fldChar w:fldCharType="separate"/>
          </w:r>
          <w:r>
            <w:rPr>
              <w:rStyle w:val="20"/>
              <w:rFonts w:hint="eastAsia" w:ascii="黑体" w:hAnsi="黑体" w:eastAsia="黑体"/>
            </w:rPr>
            <w:t>十三、财政拨款“三公”经费支出决算表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_Toc177552641 \h </w:instrText>
          </w:r>
          <w:r>
            <w:rPr>
              <w:rFonts w:ascii="黑体" w:hAnsi="黑体" w:eastAsia="黑体"/>
            </w:rPr>
            <w:fldChar w:fldCharType="separate"/>
          </w:r>
          <w:r>
            <w:rPr>
              <w:rFonts w:ascii="黑体" w:hAnsi="黑体" w:eastAsia="黑体"/>
            </w:rPr>
            <w:t>38</w:t>
          </w:r>
          <w:r>
            <w:rPr>
              <w:rFonts w:ascii="黑体" w:hAnsi="黑体" w:eastAsia="黑体"/>
            </w:rPr>
            <w:fldChar w:fldCharType="end"/>
          </w:r>
          <w:r>
            <w:rPr>
              <w:rFonts w:ascii="黑体" w:hAnsi="黑体" w:eastAsia="黑体"/>
            </w:rPr>
            <w:fldChar w:fldCharType="end"/>
          </w:r>
        </w:p>
        <w:p>
          <w:r>
            <w:fldChar w:fldCharType="end"/>
          </w:r>
        </w:p>
      </w:sdtContent>
    </w:sdt>
    <w:p>
      <w:pPr>
        <w:widowControl/>
        <w:spacing w:line="440" w:lineRule="exact"/>
        <w:jc w:val="left"/>
        <w:rPr>
          <w:rFonts w:ascii="仿宋" w:hAnsi="仿宋" w:eastAsia="仿宋"/>
          <w:b/>
          <w:sz w:val="24"/>
        </w:rPr>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pPr>
      <w:r>
        <w:rPr>
          <w:rFonts w:ascii="仿宋" w:hAnsi="仿宋" w:eastAsia="仿宋"/>
          <w:b/>
          <w:sz w:val="24"/>
        </w:rPr>
        <w:br w:type="page"/>
      </w:r>
    </w:p>
    <w:p>
      <w:pPr>
        <w:pStyle w:val="3"/>
        <w:jc w:val="center"/>
        <w:rPr>
          <w:rStyle w:val="21"/>
          <w:rFonts w:ascii="黑体" w:hAnsi="黑体" w:eastAsia="黑体"/>
          <w:b w:val="0"/>
          <w:bCs w:val="0"/>
        </w:rPr>
      </w:pPr>
      <w:bookmarkStart w:id="0" w:name="_Toc177552599"/>
      <w:r>
        <w:rPr>
          <w:rFonts w:hint="eastAsia" w:ascii="黑体" w:hAnsi="黑体" w:eastAsia="黑体"/>
          <w:b w:val="0"/>
        </w:rPr>
        <w:t>第一部分 单位</w:t>
      </w:r>
      <w:r>
        <w:rPr>
          <w:rStyle w:val="21"/>
          <w:rFonts w:hint="eastAsia" w:ascii="黑体" w:hAnsi="黑体" w:eastAsia="黑体"/>
          <w:b w:val="0"/>
          <w:bCs w:val="0"/>
        </w:rPr>
        <w:t>概况</w:t>
      </w:r>
      <w:bookmarkEnd w:id="0"/>
    </w:p>
    <w:p>
      <w:pPr>
        <w:widowControl/>
        <w:jc w:val="left"/>
        <w:rPr>
          <w:rFonts w:ascii="黑体" w:eastAsia="黑体"/>
          <w:sz w:val="32"/>
          <w:szCs w:val="32"/>
        </w:rPr>
      </w:pPr>
    </w:p>
    <w:p>
      <w:pPr>
        <w:pStyle w:val="4"/>
        <w:numPr>
          <w:ilvl w:val="0"/>
          <w:numId w:val="1"/>
        </w:numPr>
        <w:rPr>
          <w:rStyle w:val="22"/>
          <w:rFonts w:ascii="黑体" w:hAnsi="黑体" w:eastAsia="黑体"/>
          <w:b w:val="0"/>
          <w:bCs w:val="0"/>
          <w:color w:val="000000" w:themeColor="text1"/>
        </w:rPr>
      </w:pPr>
      <w:bookmarkStart w:id="1" w:name="_Toc177552600"/>
      <w:r>
        <w:rPr>
          <w:rStyle w:val="22"/>
          <w:rFonts w:hint="eastAsia" w:ascii="黑体" w:hAnsi="黑体" w:eastAsia="黑体"/>
          <w:b w:val="0"/>
          <w:bCs w:val="0"/>
          <w:color w:val="000000" w:themeColor="text1"/>
        </w:rPr>
        <w:t>主要职责</w:t>
      </w:r>
      <w:bookmarkEnd w:id="1"/>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负责全市范围内有关产（商）品质量的监督检验、委托检验、质量仲裁检验工作；承担上级下达的各项监督检查、专项检查和定期监督检验工作；承接各类委托检验；依法受理各种仲裁检验；指导帮助企业建立完善质量检验管理体系。</w:t>
      </w:r>
    </w:p>
    <w:p/>
    <w:p>
      <w:pPr>
        <w:pStyle w:val="4"/>
        <w:numPr>
          <w:ilvl w:val="0"/>
          <w:numId w:val="1"/>
        </w:numPr>
        <w:rPr>
          <w:rFonts w:ascii="黑体" w:hAnsi="黑体" w:eastAsia="黑体"/>
          <w:b w:val="0"/>
          <w:color w:val="000000" w:themeColor="text1"/>
        </w:rPr>
      </w:pPr>
      <w:bookmarkStart w:id="2" w:name="_Toc177552601"/>
      <w:r>
        <w:rPr>
          <w:rFonts w:hint="eastAsia" w:ascii="黑体" w:hAnsi="黑体" w:eastAsia="黑体"/>
          <w:b w:val="0"/>
          <w:color w:val="000000" w:themeColor="text1"/>
        </w:rPr>
        <w:t>机构设置</w:t>
      </w:r>
      <w:bookmarkEnd w:id="2"/>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我单位为广元市市场监督管理局下属二级预算单位，本单位</w:t>
      </w:r>
      <w:r>
        <w:rPr>
          <w:rFonts w:hint="eastAsia" w:ascii="仿宋_GB2312" w:hAnsi="仿宋_GB2312" w:eastAsia="仿宋_GB2312" w:cs="仿宋_GB2312"/>
          <w:color w:val="000000" w:themeColor="text1"/>
          <w:sz w:val="32"/>
          <w:szCs w:val="32"/>
          <w:lang w:eastAsia="zh-CN"/>
        </w:rPr>
        <w:t>无</w:t>
      </w:r>
      <w:r>
        <w:rPr>
          <w:rFonts w:hint="eastAsia" w:ascii="仿宋_GB2312" w:hAnsi="仿宋_GB2312" w:eastAsia="仿宋_GB2312" w:cs="仿宋_GB2312"/>
          <w:color w:val="000000" w:themeColor="text1"/>
          <w:sz w:val="32"/>
          <w:szCs w:val="32"/>
        </w:rPr>
        <w:t>下属机构，设有内设机构6个。</w:t>
      </w:r>
    </w:p>
    <w:p/>
    <w:p>
      <w:pPr>
        <w:widowControl/>
        <w:suppressAutoHyphens w:val="0"/>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1"/>
          <w:rFonts w:ascii="黑体" w:hAnsi="黑体" w:eastAsia="黑体"/>
          <w:b w:val="0"/>
          <w:bCs w:val="0"/>
        </w:rPr>
      </w:pPr>
      <w:bookmarkStart w:id="3" w:name="_Toc177552602"/>
      <w:r>
        <w:rPr>
          <w:rFonts w:hint="eastAsia" w:ascii="黑体" w:hAnsi="黑体" w:eastAsia="黑体"/>
          <w:b w:val="0"/>
        </w:rPr>
        <w:t>第二部分 2023年度</w:t>
      </w:r>
      <w:r>
        <w:rPr>
          <w:rStyle w:val="21"/>
          <w:rFonts w:hint="eastAsia" w:ascii="黑体" w:hAnsi="黑体" w:eastAsia="黑体"/>
          <w:b w:val="0"/>
          <w:bCs w:val="0"/>
        </w:rPr>
        <w:t>单位决算情况说明</w:t>
      </w:r>
      <w:bookmarkEnd w:id="3"/>
    </w:p>
    <w:p/>
    <w:p>
      <w:pPr>
        <w:pStyle w:val="27"/>
        <w:spacing w:line="600" w:lineRule="exact"/>
        <w:ind w:left="640" w:firstLine="0" w:firstLineChars="0"/>
        <w:outlineLvl w:val="1"/>
        <w:rPr>
          <w:rStyle w:val="22"/>
          <w:rFonts w:ascii="黑体" w:hAnsi="黑体" w:eastAsia="黑体"/>
          <w:b w:val="0"/>
        </w:rPr>
      </w:pPr>
      <w:bookmarkStart w:id="4" w:name="_Toc177552603"/>
      <w:r>
        <w:rPr>
          <w:rFonts w:hint="eastAsia" w:ascii="黑体" w:hAnsi="黑体" w:eastAsia="黑体"/>
          <w:sz w:val="32"/>
          <w:szCs w:val="32"/>
        </w:rPr>
        <w:t>一、收</w:t>
      </w:r>
      <w:r>
        <w:rPr>
          <w:rStyle w:val="22"/>
          <w:rFonts w:hint="eastAsia" w:ascii="黑体" w:hAnsi="黑体" w:eastAsia="黑体"/>
          <w:b w:val="0"/>
        </w:rPr>
        <w:t>入支出决算总体情况说明</w:t>
      </w:r>
      <w:bookmarkEnd w:id="4"/>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2023年度收、支总计均为748.78万元。与2022年度相比，收、支总计各增加14.81万元，增长2.02%。主要变动原因是人员经费增加。</w:t>
      </w:r>
    </w:p>
    <w:p>
      <w:pPr>
        <w:pStyle w:val="2"/>
        <w:jc w:val="center"/>
        <w:rPr>
          <w:rFonts w:ascii="仿宋_GB2312" w:hAnsi="仿宋_GB2312" w:eastAsia="仿宋_GB2312" w:cs="仿宋_GB2312"/>
          <w:sz w:val="32"/>
          <w:szCs w:val="32"/>
        </w:rPr>
      </w:pPr>
      <w:r>
        <w:drawing>
          <wp:inline distT="0" distB="0" distL="0" distR="0">
            <wp:extent cx="4110990" cy="2433955"/>
            <wp:effectExtent l="19050" t="0" r="3810" b="0"/>
            <wp:docPr id="3"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true" noChangeArrowheads="true"/>
                    </pic:cNvPicPr>
                  </pic:nvPicPr>
                  <pic:blipFill>
                    <a:blip r:embed="rId6"/>
                    <a:srcRect/>
                    <a:stretch>
                      <a:fillRect/>
                    </a:stretch>
                  </pic:blipFill>
                  <pic:spPr>
                    <a:xfrm>
                      <a:off x="0" y="0"/>
                      <a:ext cx="4115722" cy="2436933"/>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（图1：收、支决算总计变动情况图）（柱状图）</w:t>
      </w:r>
    </w:p>
    <w:p>
      <w:pPr>
        <w:spacing w:line="600" w:lineRule="exact"/>
        <w:ind w:firstLine="640" w:firstLineChars="200"/>
        <w:jc w:val="left"/>
        <w:rPr>
          <w:rFonts w:ascii="仿宋_GB2312" w:hAnsi="仿宋_GB2312" w:eastAsia="仿宋_GB2312" w:cs="仿宋_GB2312"/>
          <w:sz w:val="32"/>
          <w:szCs w:val="32"/>
        </w:rPr>
      </w:pPr>
    </w:p>
    <w:p>
      <w:pPr>
        <w:pStyle w:val="27"/>
        <w:spacing w:line="600" w:lineRule="exact"/>
        <w:ind w:left="640" w:firstLine="0" w:firstLineChars="0"/>
        <w:outlineLvl w:val="1"/>
        <w:rPr>
          <w:rStyle w:val="22"/>
          <w:rFonts w:ascii="黑体" w:hAnsi="黑体" w:eastAsia="黑体"/>
          <w:b w:val="0"/>
        </w:rPr>
      </w:pPr>
      <w:bookmarkStart w:id="5" w:name="_Toc177552604"/>
      <w:r>
        <w:rPr>
          <w:rFonts w:hint="eastAsia" w:ascii="黑体" w:hAnsi="黑体" w:eastAsia="黑体"/>
          <w:sz w:val="32"/>
          <w:szCs w:val="32"/>
        </w:rPr>
        <w:t>二、收</w:t>
      </w:r>
      <w:r>
        <w:rPr>
          <w:rStyle w:val="22"/>
          <w:rFonts w:hint="eastAsia" w:ascii="黑体" w:hAnsi="黑体" w:eastAsia="黑体"/>
          <w:b w:val="0"/>
        </w:rPr>
        <w:t>入决算情况说明</w:t>
      </w:r>
      <w:bookmarkEnd w:id="5"/>
    </w:p>
    <w:p>
      <w:pPr>
        <w:spacing w:line="600" w:lineRule="exact"/>
        <w:ind w:firstLine="640" w:firstLineChars="200"/>
        <w:outlineLvl w:val="1"/>
        <w:rPr>
          <w:rFonts w:ascii="仿宋_GB2312" w:hAnsi="仿宋_GB2312" w:eastAsia="仿宋_GB2312" w:cs="仿宋_GB2312"/>
          <w:sz w:val="32"/>
          <w:szCs w:val="32"/>
        </w:rPr>
      </w:pPr>
      <w:bookmarkStart w:id="6" w:name="_Toc177552444"/>
      <w:bookmarkStart w:id="7" w:name="_Toc177552605"/>
      <w:r>
        <w:rPr>
          <w:rFonts w:hint="eastAsia" w:ascii="仿宋_GB2312" w:hAnsi="仿宋_GB2312" w:eastAsia="仿宋_GB2312" w:cs="仿宋_GB2312"/>
          <w:sz w:val="32"/>
          <w:szCs w:val="32"/>
        </w:rPr>
        <w:t>2023年度本年收入合计748.78万元，其中：一般公共预算财政拨款收入681.42万元，占91%；其他收入67.36万元，占9%。</w:t>
      </w:r>
      <w:bookmarkEnd w:id="6"/>
      <w:bookmarkEnd w:id="7"/>
    </w:p>
    <w:p>
      <w:pPr>
        <w:spacing w:line="600" w:lineRule="exact"/>
        <w:ind w:firstLine="642" w:firstLineChars="200"/>
        <w:outlineLvl w:val="1"/>
        <w:rPr>
          <w:rFonts w:ascii="仿宋" w:hAnsi="仿宋" w:eastAsia="仿宋"/>
          <w:b/>
          <w:sz w:val="32"/>
          <w:szCs w:val="32"/>
        </w:rPr>
      </w:pPr>
    </w:p>
    <w:p>
      <w:pPr>
        <w:pStyle w:val="2"/>
        <w:jc w:val="center"/>
        <w:rPr>
          <w:rFonts w:ascii="仿宋_GB2312" w:hAnsi="仿宋_GB2312" w:eastAsia="仿宋_GB2312" w:cs="仿宋_GB2312"/>
          <w:sz w:val="32"/>
          <w:szCs w:val="32"/>
        </w:rPr>
      </w:pPr>
      <w:r>
        <w:drawing>
          <wp:inline distT="0" distB="0" distL="0" distR="0">
            <wp:extent cx="4221480" cy="2541905"/>
            <wp:effectExtent l="19050" t="0" r="7620" b="0"/>
            <wp:docPr id="6"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true" noChangeArrowheads="true"/>
                    </pic:cNvPicPr>
                  </pic:nvPicPr>
                  <pic:blipFill>
                    <a:blip r:embed="rId7"/>
                    <a:srcRect/>
                    <a:stretch>
                      <a:fillRect/>
                    </a:stretch>
                  </pic:blipFill>
                  <pic:spPr>
                    <a:xfrm>
                      <a:off x="0" y="0"/>
                      <a:ext cx="4225884" cy="2544637"/>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（图2：收入决算结构图）（饼状图）</w:t>
      </w:r>
    </w:p>
    <w:p>
      <w:pPr>
        <w:spacing w:line="600" w:lineRule="exact"/>
        <w:ind w:firstLine="640" w:firstLineChars="200"/>
        <w:rPr>
          <w:rFonts w:ascii="仿宋_GB2312" w:eastAsia="仿宋_GB2312"/>
          <w:sz w:val="32"/>
          <w:szCs w:val="32"/>
        </w:rPr>
      </w:pPr>
    </w:p>
    <w:p>
      <w:pPr>
        <w:pStyle w:val="27"/>
        <w:spacing w:line="600" w:lineRule="exact"/>
        <w:ind w:left="640" w:firstLine="0" w:firstLineChars="0"/>
        <w:outlineLvl w:val="1"/>
        <w:rPr>
          <w:rStyle w:val="22"/>
          <w:rFonts w:ascii="黑体" w:hAnsi="黑体" w:eastAsia="黑体"/>
          <w:b w:val="0"/>
        </w:rPr>
      </w:pPr>
      <w:bookmarkStart w:id="8" w:name="_Toc177552606"/>
      <w:r>
        <w:rPr>
          <w:rFonts w:hint="eastAsia" w:ascii="黑体" w:hAnsi="黑体" w:eastAsia="黑体"/>
          <w:sz w:val="32"/>
          <w:szCs w:val="32"/>
        </w:rPr>
        <w:t>三、支</w:t>
      </w:r>
      <w:r>
        <w:rPr>
          <w:rStyle w:val="22"/>
          <w:rFonts w:hint="eastAsia" w:ascii="黑体" w:hAnsi="黑体" w:eastAsia="黑体"/>
          <w:b w:val="0"/>
        </w:rPr>
        <w:t>出决算情况说明</w:t>
      </w:r>
      <w:bookmarkEnd w:id="8"/>
    </w:p>
    <w:p>
      <w:pPr>
        <w:spacing w:line="600" w:lineRule="exact"/>
        <w:ind w:firstLine="640" w:firstLineChars="200"/>
        <w:outlineLvl w:val="1"/>
        <w:rPr>
          <w:rFonts w:ascii="仿宋" w:hAnsi="仿宋" w:eastAsia="仿宋"/>
          <w:sz w:val="32"/>
          <w:szCs w:val="32"/>
        </w:rPr>
      </w:pPr>
      <w:bookmarkStart w:id="9" w:name="_Toc177552446"/>
      <w:bookmarkStart w:id="10" w:name="_Toc177552607"/>
      <w:r>
        <w:rPr>
          <w:rFonts w:hint="eastAsia" w:ascii="仿宋" w:hAnsi="仿宋" w:eastAsia="仿宋"/>
          <w:sz w:val="32"/>
          <w:szCs w:val="32"/>
        </w:rPr>
        <w:t>2023年度本年支出合计748.72万元，其中：基本支出526.22万元，占70.28</w:t>
      </w:r>
      <w:r>
        <w:rPr>
          <w:rFonts w:ascii="仿宋" w:hAnsi="仿宋" w:eastAsia="仿宋"/>
          <w:sz w:val="32"/>
          <w:szCs w:val="32"/>
        </w:rPr>
        <w:t>%</w:t>
      </w:r>
      <w:r>
        <w:rPr>
          <w:rFonts w:hint="eastAsia" w:ascii="仿宋" w:hAnsi="仿宋" w:eastAsia="仿宋"/>
          <w:sz w:val="32"/>
          <w:szCs w:val="32"/>
        </w:rPr>
        <w:t>；项目支出222.50万元，占29.72</w:t>
      </w:r>
      <w:r>
        <w:rPr>
          <w:rFonts w:ascii="仿宋" w:hAnsi="仿宋" w:eastAsia="仿宋"/>
          <w:sz w:val="32"/>
          <w:szCs w:val="32"/>
        </w:rPr>
        <w:t>%</w:t>
      </w:r>
      <w:r>
        <w:rPr>
          <w:rFonts w:hint="eastAsia" w:ascii="仿宋" w:hAnsi="仿宋" w:eastAsia="仿宋"/>
          <w:sz w:val="32"/>
          <w:szCs w:val="32"/>
        </w:rPr>
        <w:t>。</w:t>
      </w:r>
      <w:bookmarkEnd w:id="9"/>
      <w:bookmarkEnd w:id="10"/>
    </w:p>
    <w:p>
      <w:pPr>
        <w:pStyle w:val="2"/>
        <w:jc w:val="center"/>
        <w:rPr>
          <w:rFonts w:ascii="仿宋_GB2312" w:hAnsi="仿宋_GB2312" w:eastAsia="仿宋_GB2312" w:cs="仿宋_GB2312"/>
          <w:sz w:val="32"/>
          <w:szCs w:val="32"/>
        </w:rPr>
      </w:pPr>
      <w:r>
        <w:drawing>
          <wp:inline distT="0" distB="0" distL="0" distR="0">
            <wp:extent cx="4095750" cy="2463800"/>
            <wp:effectExtent l="19050" t="0" r="0" b="0"/>
            <wp:docPr id="10"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true" noChangeArrowheads="true"/>
                    </pic:cNvPicPr>
                  </pic:nvPicPr>
                  <pic:blipFill>
                    <a:blip r:embed="rId8"/>
                    <a:srcRect/>
                    <a:stretch>
                      <a:fillRect/>
                    </a:stretch>
                  </pic:blipFill>
                  <pic:spPr>
                    <a:xfrm>
                      <a:off x="0" y="0"/>
                      <a:ext cx="4100464" cy="2466858"/>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2"/>
          <w:rFonts w:ascii="黑体" w:hAnsi="黑体" w:eastAsia="黑体"/>
          <w:b w:val="0"/>
        </w:rPr>
      </w:pPr>
      <w:bookmarkStart w:id="11" w:name="_Toc177552608"/>
      <w:r>
        <w:rPr>
          <w:rFonts w:hint="eastAsia" w:ascii="黑体" w:hAnsi="黑体" w:eastAsia="黑体"/>
          <w:sz w:val="32"/>
          <w:szCs w:val="32"/>
        </w:rPr>
        <w:t>四、财</w:t>
      </w:r>
      <w:r>
        <w:rPr>
          <w:rStyle w:val="22"/>
          <w:rFonts w:hint="eastAsia" w:ascii="黑体" w:hAnsi="黑体" w:eastAsia="黑体"/>
          <w:b w:val="0"/>
        </w:rPr>
        <w:t>政拨款收入支出决算总体情况说明</w:t>
      </w:r>
      <w:bookmarkEnd w:id="11"/>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2023年度财政拨款收、支总计均为681.42万元。与2022年度相比，财政拨款收、支总计各增加6.58万元，增长0.98%。主要变动原因是人员经费增加。</w:t>
      </w:r>
    </w:p>
    <w:p>
      <w:pPr>
        <w:pStyle w:val="2"/>
        <w:jc w:val="center"/>
        <w:rPr>
          <w:rFonts w:ascii="仿宋_GB2312" w:hAnsi="仿宋_GB2312" w:eastAsia="仿宋_GB2312" w:cs="仿宋_GB2312"/>
          <w:sz w:val="32"/>
          <w:szCs w:val="32"/>
        </w:rPr>
      </w:pPr>
      <w:r>
        <w:drawing>
          <wp:inline distT="0" distB="0" distL="0" distR="0">
            <wp:extent cx="3981450" cy="2580005"/>
            <wp:effectExtent l="19050" t="0" r="0" b="0"/>
            <wp:docPr id="13"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true" noChangeArrowheads="true"/>
                    </pic:cNvPicPr>
                  </pic:nvPicPr>
                  <pic:blipFill>
                    <a:blip r:embed="rId9"/>
                    <a:srcRect/>
                    <a:stretch>
                      <a:fillRect/>
                    </a:stretch>
                  </pic:blipFill>
                  <pic:spPr>
                    <a:xfrm>
                      <a:off x="0" y="0"/>
                      <a:ext cx="3985703" cy="2583071"/>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（图4：财政拨款收、支决算总计变动情况）（柱状图）</w:t>
      </w:r>
    </w:p>
    <w:p>
      <w:pPr>
        <w:spacing w:line="600" w:lineRule="exact"/>
        <w:ind w:firstLine="640"/>
        <w:rPr>
          <w:rFonts w:ascii="仿宋_GB2312" w:hAnsi="仿宋_GB2312" w:eastAsia="仿宋_GB2312" w:cs="仿宋_GB2312"/>
          <w:b/>
          <w:sz w:val="32"/>
          <w:szCs w:val="32"/>
        </w:rPr>
      </w:pPr>
    </w:p>
    <w:p>
      <w:pPr>
        <w:spacing w:line="600" w:lineRule="exact"/>
        <w:ind w:firstLine="640" w:firstLineChars="200"/>
        <w:outlineLvl w:val="1"/>
        <w:rPr>
          <w:rStyle w:val="22"/>
          <w:rFonts w:ascii="黑体" w:hAnsi="黑体" w:eastAsia="黑体"/>
          <w:b w:val="0"/>
        </w:rPr>
      </w:pPr>
      <w:bookmarkStart w:id="12" w:name="_Toc177552609"/>
      <w:r>
        <w:rPr>
          <w:rFonts w:hint="eastAsia" w:ascii="黑体" w:hAnsi="黑体" w:eastAsia="黑体"/>
          <w:sz w:val="32"/>
          <w:szCs w:val="32"/>
        </w:rPr>
        <w:t>五、</w:t>
      </w:r>
      <w:r>
        <w:rPr>
          <w:rFonts w:hint="eastAsia" w:ascii="黑体" w:hAnsi="黑体" w:eastAsia="黑体"/>
          <w:b/>
          <w:sz w:val="32"/>
          <w:szCs w:val="32"/>
        </w:rPr>
        <w:t>一</w:t>
      </w:r>
      <w:r>
        <w:rPr>
          <w:rStyle w:val="22"/>
          <w:rFonts w:hint="eastAsia" w:ascii="黑体" w:hAnsi="黑体" w:eastAsia="黑体"/>
          <w:b w:val="0"/>
        </w:rPr>
        <w:t>般公共预算财政拨款支出决算情况说明</w:t>
      </w:r>
      <w:bookmarkEnd w:id="12"/>
    </w:p>
    <w:p>
      <w:pPr>
        <w:spacing w:line="600" w:lineRule="exact"/>
        <w:ind w:firstLine="642" w:firstLineChars="200"/>
        <w:outlineLvl w:val="2"/>
        <w:rPr>
          <w:rFonts w:ascii="仿宋_GB2312" w:hAnsi="仿宋_GB2312" w:eastAsia="仿宋_GB2312" w:cs="仿宋_GB2312"/>
          <w:b/>
          <w:sz w:val="32"/>
          <w:szCs w:val="32"/>
        </w:rPr>
      </w:pPr>
      <w:bookmarkStart w:id="13" w:name="_Toc177552610"/>
      <w:r>
        <w:rPr>
          <w:rFonts w:hint="eastAsia" w:ascii="仿宋_GB2312" w:hAnsi="仿宋_GB2312" w:eastAsia="仿宋_GB2312" w:cs="仿宋_GB2312"/>
          <w:b/>
          <w:sz w:val="32"/>
          <w:szCs w:val="32"/>
        </w:rPr>
        <w:t>（一）一般公共预算财政拨款支出决算总体情况</w:t>
      </w:r>
      <w:bookmarkEnd w:id="13"/>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2023年度一般公共预算财政拨款支出681.36万元，占本年支出合计的91.00%。与2022年度相比，一般公共预算财政拨款支出增加6.52万元，增长0.97%。主要变动原因是人员经费增加。</w:t>
      </w:r>
    </w:p>
    <w:p>
      <w:pPr>
        <w:pStyle w:val="2"/>
        <w:jc w:val="center"/>
        <w:rPr>
          <w:rFonts w:ascii="仿宋_GB2312" w:hAnsi="仿宋_GB2312" w:eastAsia="仿宋_GB2312" w:cs="仿宋_GB2312"/>
          <w:sz w:val="32"/>
          <w:szCs w:val="32"/>
        </w:rPr>
      </w:pPr>
      <w:r>
        <w:drawing>
          <wp:inline distT="0" distB="0" distL="0" distR="0">
            <wp:extent cx="3996690" cy="2602230"/>
            <wp:effectExtent l="19050" t="0" r="3810" b="0"/>
            <wp:docPr id="17"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true" noChangeArrowheads="true"/>
                    </pic:cNvPicPr>
                  </pic:nvPicPr>
                  <pic:blipFill>
                    <a:blip r:embed="rId10"/>
                    <a:srcRect/>
                    <a:stretch>
                      <a:fillRect/>
                    </a:stretch>
                  </pic:blipFill>
                  <pic:spPr>
                    <a:xfrm>
                      <a:off x="0" y="0"/>
                      <a:ext cx="4004395" cy="2607625"/>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（图5：一般公共预算财政拨款支出决算变动情况）（柱状图）</w:t>
      </w:r>
    </w:p>
    <w:p>
      <w:pPr>
        <w:spacing w:line="600" w:lineRule="exact"/>
        <w:ind w:firstLine="640" w:firstLineChars="200"/>
        <w:rPr>
          <w:rFonts w:ascii="仿宋_GB2312" w:hAnsi="仿宋_GB2312" w:eastAsia="仿宋_GB2312" w:cs="仿宋_GB2312"/>
          <w:sz w:val="32"/>
          <w:szCs w:val="32"/>
        </w:rPr>
      </w:pPr>
    </w:p>
    <w:p>
      <w:pPr>
        <w:spacing w:line="600" w:lineRule="exact"/>
        <w:ind w:firstLine="642" w:firstLineChars="200"/>
        <w:outlineLvl w:val="2"/>
        <w:rPr>
          <w:rFonts w:ascii="仿宋_GB2312" w:hAnsi="仿宋_GB2312" w:eastAsia="仿宋_GB2312" w:cs="仿宋_GB2312"/>
          <w:b/>
          <w:sz w:val="32"/>
          <w:szCs w:val="32"/>
        </w:rPr>
      </w:pPr>
      <w:bookmarkStart w:id="14" w:name="_Toc177552611"/>
      <w:r>
        <w:rPr>
          <w:rFonts w:hint="eastAsia" w:ascii="仿宋_GB2312" w:hAnsi="仿宋_GB2312" w:eastAsia="仿宋_GB2312" w:cs="仿宋_GB2312"/>
          <w:b/>
          <w:sz w:val="32"/>
          <w:szCs w:val="32"/>
        </w:rPr>
        <w:t>（二）一般公共预算财政拨款支出决算结构情况</w:t>
      </w:r>
      <w:bookmarkEnd w:id="14"/>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sz w:val="32"/>
          <w:szCs w:val="32"/>
        </w:rPr>
        <w:t>2023年度一般公共预算财政拨款支出681.36万元，主要用于以下方面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一般公共服务支出559.07万元，占82.05</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；社会保障和就业支出69.41万元，占10.19</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；卫生健康支出18.95万元，占2.78</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；住房保障支出33.94万元，占4.98</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w:t>
      </w:r>
    </w:p>
    <w:p>
      <w:pPr>
        <w:pStyle w:val="2"/>
        <w:jc w:val="center"/>
        <w:rPr>
          <w:rFonts w:ascii="仿宋_GB2312" w:hAnsi="仿宋_GB2312" w:eastAsia="仿宋_GB2312" w:cs="仿宋_GB2312"/>
          <w:sz w:val="32"/>
          <w:szCs w:val="32"/>
        </w:rPr>
      </w:pPr>
      <w:r>
        <w:drawing>
          <wp:inline distT="0" distB="0" distL="0" distR="0">
            <wp:extent cx="3981450" cy="2400300"/>
            <wp:effectExtent l="19050" t="0" r="0" b="0"/>
            <wp:docPr id="19"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true" noChangeArrowheads="true"/>
                    </pic:cNvPicPr>
                  </pic:nvPicPr>
                  <pic:blipFill>
                    <a:blip r:embed="rId11"/>
                    <a:srcRect/>
                    <a:stretch>
                      <a:fillRect/>
                    </a:stretch>
                  </pic:blipFill>
                  <pic:spPr>
                    <a:xfrm>
                      <a:off x="0" y="0"/>
                      <a:ext cx="3989859" cy="2405837"/>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（图6：一般公共预算财政拨款支出决算结构）（饼状图）</w:t>
      </w:r>
    </w:p>
    <w:p>
      <w:pPr>
        <w:spacing w:line="600" w:lineRule="exact"/>
        <w:ind w:firstLine="640" w:firstLineChars="200"/>
        <w:rPr>
          <w:rFonts w:ascii="仿宋" w:hAnsi="仿宋" w:eastAsia="仿宋"/>
          <w:sz w:val="32"/>
          <w:szCs w:val="32"/>
        </w:rPr>
      </w:pPr>
    </w:p>
    <w:p>
      <w:pPr>
        <w:spacing w:line="600" w:lineRule="exact"/>
        <w:ind w:firstLine="642" w:firstLineChars="200"/>
        <w:outlineLvl w:val="2"/>
        <w:rPr>
          <w:rFonts w:ascii="仿宋_GB2312" w:hAnsi="仿宋_GB2312" w:eastAsia="仿宋_GB2312" w:cs="仿宋_GB2312"/>
          <w:b/>
          <w:sz w:val="32"/>
          <w:szCs w:val="32"/>
        </w:rPr>
      </w:pPr>
      <w:bookmarkStart w:id="15" w:name="_Toc177552612"/>
      <w:r>
        <w:rPr>
          <w:rFonts w:hint="eastAsia" w:ascii="仿宋_GB2312" w:hAnsi="仿宋_GB2312" w:eastAsia="仿宋_GB2312" w:cs="仿宋_GB2312"/>
          <w:b/>
          <w:sz w:val="32"/>
          <w:szCs w:val="32"/>
        </w:rPr>
        <w:t>（三）一般公共预算财政拨款支出决算具体情况</w:t>
      </w:r>
      <w:bookmarkEnd w:id="15"/>
    </w:p>
    <w:p>
      <w:pPr>
        <w:spacing w:line="600" w:lineRule="exact"/>
        <w:ind w:firstLine="642" w:firstLineChars="200"/>
        <w:outlineLvl w:val="2"/>
        <w:rPr>
          <w:rFonts w:ascii="仿宋_GB2312" w:hAnsi="仿宋_GB2312" w:eastAsia="仿宋_GB2312" w:cs="仿宋_GB2312"/>
          <w:sz w:val="32"/>
          <w:szCs w:val="32"/>
        </w:rPr>
      </w:pPr>
      <w:bookmarkStart w:id="16" w:name="_Toc177552613"/>
      <w:bookmarkStart w:id="17" w:name="_Toc177552452"/>
      <w:r>
        <w:rPr>
          <w:rFonts w:hint="eastAsia" w:ascii="仿宋_GB2312" w:hAnsi="仿宋_GB2312" w:eastAsia="仿宋_GB2312" w:cs="仿宋_GB2312"/>
          <w:b/>
          <w:sz w:val="32"/>
          <w:szCs w:val="32"/>
        </w:rPr>
        <w:t>2023年度一般公共预算支出决算数为681.36万元</w:t>
      </w:r>
      <w:r>
        <w:rPr>
          <w:rFonts w:hint="eastAsia" w:ascii="仿宋_GB2312" w:hAnsi="仿宋_GB2312" w:eastAsia="仿宋_GB2312" w:cs="仿宋_GB2312"/>
          <w:sz w:val="32"/>
          <w:szCs w:val="32"/>
        </w:rPr>
        <w:t>，</w:t>
      </w:r>
      <w:r>
        <w:rPr>
          <w:rStyle w:val="19"/>
          <w:rFonts w:hint="eastAsia" w:ascii="仿宋_GB2312" w:hAnsi="仿宋_GB2312" w:eastAsia="仿宋_GB2312" w:cs="仿宋_GB2312"/>
          <w:bCs/>
          <w:sz w:val="32"/>
          <w:szCs w:val="32"/>
        </w:rPr>
        <w:t>完成预算</w:t>
      </w:r>
      <w:r>
        <w:rPr>
          <w:rStyle w:val="19"/>
          <w:rFonts w:hint="eastAsia" w:ascii="仿宋_GB2312" w:hAnsi="仿宋_GB2312" w:eastAsia="仿宋_GB2312" w:cs="仿宋_GB2312"/>
          <w:bCs/>
          <w:sz w:val="32"/>
          <w:szCs w:val="32"/>
          <w:lang w:val="en-US" w:eastAsia="zh-CN"/>
        </w:rPr>
        <w:t>99.99</w:t>
      </w:r>
      <w:r>
        <w:rPr>
          <w:rStyle w:val="19"/>
          <w:rFonts w:hint="eastAsia" w:ascii="仿宋_GB2312" w:hAnsi="仿宋_GB2312" w:eastAsia="仿宋_GB2312" w:cs="仿宋_GB2312"/>
          <w:bCs/>
          <w:sz w:val="32"/>
          <w:szCs w:val="32"/>
        </w:rPr>
        <w:t>%。其中：</w:t>
      </w:r>
      <w:bookmarkEnd w:id="16"/>
      <w:bookmarkEnd w:id="17"/>
    </w:p>
    <w:p>
      <w:pPr>
        <w:spacing w:line="560" w:lineRule="exact"/>
        <w:ind w:firstLine="640" w:firstLineChars="200"/>
        <w:rPr>
          <w:rFonts w:ascii="仿宋" w:hAnsi="仿宋" w:eastAsia="仿宋"/>
          <w:sz w:val="32"/>
          <w:szCs w:val="32"/>
        </w:rPr>
      </w:pPr>
      <w:r>
        <w:rPr>
          <w:rFonts w:hint="eastAsia" w:ascii="仿宋" w:hAnsi="仿宋" w:eastAsia="仿宋"/>
          <w:sz w:val="32"/>
          <w:szCs w:val="32"/>
        </w:rPr>
        <w:t>1.一般公共服务（类）市场监督管理事务（款）质量安全监管（项）：支出决算为123万元，完成预算的100%。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2.一般公共服务（类）市场监督管理事务（款）事业运行（项）：支出决算为336.57万元，完成预算的</w:t>
      </w:r>
      <w:r>
        <w:rPr>
          <w:rFonts w:hint="eastAsia" w:ascii="仿宋" w:hAnsi="仿宋" w:eastAsia="仿宋"/>
          <w:sz w:val="32"/>
          <w:szCs w:val="32"/>
          <w:lang w:val="en-US" w:eastAsia="zh-CN"/>
        </w:rPr>
        <w:t>99.99</w:t>
      </w:r>
      <w:r>
        <w:rPr>
          <w:rFonts w:hint="eastAsia" w:ascii="仿宋" w:hAnsi="仿宋" w:eastAsia="仿宋"/>
          <w:sz w:val="32"/>
          <w:szCs w:val="32"/>
        </w:rPr>
        <w:t>%</w:t>
      </w:r>
      <w:r>
        <w:rPr>
          <w:rFonts w:hint="eastAsia" w:ascii="仿宋" w:hAnsi="仿宋" w:eastAsia="仿宋"/>
          <w:sz w:val="32"/>
          <w:szCs w:val="32"/>
          <w:lang w:eastAsia="zh-CN"/>
        </w:rPr>
        <w:t>，基本与预算持平</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3.一般公共服务（类）市场监督管理事务（款）其他市场监督管理事务（项）：支出决算为99.5万元，完成预算的100%。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4.社会保障和就业支出（类）行政事业单位养老支出（款</w:t>
      </w:r>
      <w:r>
        <w:rPr>
          <w:rFonts w:ascii="仿宋" w:hAnsi="仿宋" w:eastAsia="仿宋"/>
          <w:sz w:val="32"/>
          <w:szCs w:val="32"/>
        </w:rPr>
        <w:t>）</w:t>
      </w:r>
      <w:r>
        <w:rPr>
          <w:rFonts w:hint="eastAsia" w:ascii="仿宋" w:hAnsi="仿宋" w:eastAsia="仿宋"/>
          <w:sz w:val="32"/>
          <w:szCs w:val="32"/>
        </w:rPr>
        <w:t>机关事业单位基本养老保险缴费（项）：支出决算为46.17万元，完成预算100%。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5.社会保障和就业支出（类）行政事业单位养老支出（款）机关事业单位职业年金缴费支出（项）：支出决算为23.23万元，完成预算100%。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6.卫生健康支出（类）行政事业单位医疗（款）事业单位医疗（项）：支出决算为18.95万元，完成预算100%。</w:t>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7.住房保障支出（类）住房改革支出（款）住房公积金（项）：支出决算为33.94万元，完成预算100%。</w:t>
      </w:r>
    </w:p>
    <w:p>
      <w:pPr>
        <w:tabs>
          <w:tab w:val="right" w:pos="8306"/>
        </w:tabs>
        <w:spacing w:line="600" w:lineRule="exact"/>
        <w:ind w:firstLine="640"/>
        <w:outlineLvl w:val="1"/>
        <w:rPr>
          <w:rStyle w:val="22"/>
        </w:rPr>
      </w:pPr>
      <w:bookmarkStart w:id="18" w:name="_Toc1775526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2"/>
          <w:rFonts w:hint="eastAsia" w:ascii="黑体" w:hAnsi="黑体" w:eastAsia="黑体"/>
          <w:b w:val="0"/>
        </w:rPr>
        <w:t>般公共预算财政拨款基本支出决算情况说明</w:t>
      </w:r>
      <w:bookmarkEnd w:id="18"/>
      <w:r>
        <w:rPr>
          <w:rStyle w:val="22"/>
          <w:rFonts w:ascii="黑体" w:hAnsi="黑体" w:eastAsia="黑体"/>
          <w:b w:val="0"/>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2023年度一般公共预算财政拨款基本支出458.86万元，其中：</w:t>
      </w:r>
    </w:p>
    <w:p>
      <w:pPr>
        <w:ind w:firstLine="640" w:firstLineChars="200"/>
        <w:rPr>
          <w:rFonts w:ascii="仿宋" w:hAnsi="仿宋" w:eastAsia="仿宋"/>
          <w:sz w:val="32"/>
          <w:szCs w:val="32"/>
        </w:rPr>
      </w:pPr>
      <w:r>
        <w:rPr>
          <w:rFonts w:hint="eastAsia" w:ascii="仿宋" w:hAnsi="仿宋" w:eastAsia="仿宋"/>
          <w:sz w:val="32"/>
          <w:szCs w:val="32"/>
        </w:rPr>
        <w:t>人员经费426.31万元，主要包括：基本工资、津贴补贴、奖金、绩效工资、机关事业单位基本养老保险缴费、职业年金缴费、职工基本医疗保险缴费、其他社会保障缴费、住房公积金、生活补助、其他对个人和家庭的补助。</w:t>
      </w:r>
    </w:p>
    <w:p>
      <w:pPr>
        <w:spacing w:line="600" w:lineRule="exact"/>
        <w:ind w:firstLine="645"/>
        <w:rPr>
          <w:rFonts w:ascii="仿宋" w:hAnsi="仿宋" w:eastAsia="仿宋"/>
          <w:b/>
          <w:sz w:val="32"/>
          <w:szCs w:val="32"/>
        </w:rPr>
      </w:pPr>
      <w:r>
        <w:rPr>
          <w:rFonts w:hint="eastAsia" w:ascii="仿宋" w:hAnsi="仿宋" w:eastAsia="仿宋"/>
          <w:sz w:val="32"/>
          <w:szCs w:val="32"/>
        </w:rPr>
        <w:t>公用经费32.55万元，主要包括：办公费、印刷费、咨询费</w:t>
      </w:r>
      <w:r>
        <w:rPr>
          <w:rFonts w:hint="eastAsia" w:ascii="仿宋" w:hAnsi="仿宋" w:eastAsia="仿宋"/>
          <w:sz w:val="32"/>
          <w:szCs w:val="32"/>
          <w:lang w:eastAsia="zh-CN"/>
        </w:rPr>
        <w:t>、</w:t>
      </w:r>
      <w:r>
        <w:rPr>
          <w:rFonts w:hint="eastAsia" w:ascii="仿宋" w:hAnsi="仿宋" w:eastAsia="仿宋"/>
          <w:sz w:val="32"/>
          <w:szCs w:val="32"/>
        </w:rPr>
        <w:t>水费、邮电费、物业管理费、差旅费、维修（护）费、培训费、公务接待费、委托业务费、工会经费、福利费、公务用车运行维护费、其他交通费用、其他商品和服务支出。</w:t>
      </w:r>
    </w:p>
    <w:p>
      <w:pPr>
        <w:spacing w:line="600" w:lineRule="exact"/>
        <w:ind w:firstLine="640"/>
        <w:outlineLvl w:val="1"/>
        <w:rPr>
          <w:rStyle w:val="22"/>
          <w:rFonts w:ascii="黑体" w:hAnsi="黑体" w:eastAsia="黑体"/>
          <w:b w:val="0"/>
        </w:rPr>
      </w:pPr>
      <w:bookmarkStart w:id="19" w:name="_Toc177552615"/>
      <w:r>
        <w:rPr>
          <w:rFonts w:hint="eastAsia" w:ascii="黑体" w:eastAsia="黑体"/>
          <w:sz w:val="32"/>
          <w:szCs w:val="32"/>
        </w:rPr>
        <w:t>七、</w:t>
      </w:r>
      <w:r>
        <w:rPr>
          <w:rStyle w:val="22"/>
          <w:rFonts w:hint="eastAsia" w:ascii="黑体" w:hAnsi="黑体" w:eastAsia="黑体"/>
          <w:b w:val="0"/>
        </w:rPr>
        <w:t>财政拨款</w:t>
      </w:r>
      <w:r>
        <w:rPr>
          <w:rStyle w:val="22"/>
          <w:rFonts w:hint="eastAsia" w:ascii="黑体" w:hAnsi="黑体" w:eastAsia="黑体"/>
        </w:rPr>
        <w:t>“</w:t>
      </w:r>
      <w:r>
        <w:rPr>
          <w:rStyle w:val="22"/>
          <w:rFonts w:hint="eastAsia" w:ascii="黑体" w:hAnsi="黑体" w:eastAsia="黑体"/>
          <w:b w:val="0"/>
        </w:rPr>
        <w:t>三公”经费支出决算情况说明</w:t>
      </w:r>
      <w:bookmarkEnd w:id="19"/>
    </w:p>
    <w:p>
      <w:pPr>
        <w:spacing w:line="600" w:lineRule="exact"/>
        <w:ind w:firstLine="640"/>
        <w:outlineLvl w:val="2"/>
        <w:rPr>
          <w:rFonts w:ascii="仿宋_GB2312" w:hAnsi="仿宋_GB2312" w:eastAsia="仿宋_GB2312" w:cs="仿宋_GB2312"/>
          <w:b/>
          <w:sz w:val="32"/>
          <w:szCs w:val="32"/>
        </w:rPr>
      </w:pPr>
      <w:bookmarkStart w:id="20" w:name="_Toc177552616"/>
      <w:r>
        <w:rPr>
          <w:rFonts w:hint="eastAsia" w:ascii="仿宋_GB2312" w:hAnsi="仿宋_GB2312" w:eastAsia="仿宋_GB2312" w:cs="仿宋_GB2312"/>
          <w:b/>
          <w:sz w:val="32"/>
          <w:szCs w:val="32"/>
        </w:rPr>
        <w:t>（一）“三公”经费财政拨款支出决算总体情况说明</w:t>
      </w:r>
      <w:bookmarkEnd w:id="20"/>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2023年度“三公”经费财政拨款支出决算为6.25万元，完成预算100%，较上年度增加0.52万元，增长9.08%。决算数与预算数持平</w:t>
      </w:r>
      <w:r>
        <w:rPr>
          <w:rFonts w:hint="eastAsia" w:ascii="仿宋_GB2312" w:hAnsi="仿宋_GB2312" w:eastAsia="仿宋_GB2312" w:cs="仿宋_GB2312"/>
          <w:sz w:val="32"/>
          <w:szCs w:val="32"/>
          <w:lang w:eastAsia="zh-CN"/>
        </w:rPr>
        <w:t>。</w:t>
      </w:r>
    </w:p>
    <w:p>
      <w:pPr>
        <w:spacing w:line="600" w:lineRule="exact"/>
        <w:ind w:firstLine="640"/>
        <w:outlineLvl w:val="2"/>
        <w:rPr>
          <w:rFonts w:ascii="仿宋_GB2312" w:hAnsi="仿宋_GB2312" w:eastAsia="仿宋_GB2312" w:cs="仿宋_GB2312"/>
          <w:b/>
          <w:sz w:val="32"/>
          <w:szCs w:val="32"/>
        </w:rPr>
      </w:pPr>
      <w:bookmarkStart w:id="21" w:name="_Toc177552617"/>
      <w:r>
        <w:rPr>
          <w:rFonts w:hint="eastAsia" w:ascii="仿宋_GB2312" w:hAnsi="仿宋_GB2312" w:eastAsia="仿宋_GB2312" w:cs="仿宋_GB2312"/>
          <w:b/>
          <w:sz w:val="32"/>
          <w:szCs w:val="32"/>
        </w:rPr>
        <w:t>（二）“三公”经费财政拨款支出决算具体情况说明</w:t>
      </w:r>
      <w:bookmarkEnd w:id="21"/>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2023年度“三公”经费财政拨款支出决算中，公务用车购置及运行维护费支出决算5.37万元，占85.92%；公务接待费支出决算0.88万元，占14.08%。具体情况如下：</w:t>
      </w:r>
    </w:p>
    <w:p>
      <w:pPr>
        <w:pStyle w:val="2"/>
        <w:jc w:val="center"/>
        <w:rPr>
          <w:rFonts w:ascii="仿宋_GB2312" w:hAnsi="仿宋_GB2312" w:eastAsia="仿宋_GB2312" w:cs="仿宋_GB2312"/>
          <w:sz w:val="32"/>
          <w:szCs w:val="32"/>
        </w:rPr>
      </w:pPr>
      <w:r>
        <w:drawing>
          <wp:inline distT="0" distB="0" distL="0" distR="0">
            <wp:extent cx="4279900" cy="2761615"/>
            <wp:effectExtent l="19050" t="0" r="6350" b="0"/>
            <wp:docPr id="21"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true" noChangeArrowheads="true"/>
                    </pic:cNvPicPr>
                  </pic:nvPicPr>
                  <pic:blipFill>
                    <a:blip r:embed="rId12"/>
                    <a:srcRect/>
                    <a:stretch>
                      <a:fillRect/>
                    </a:stretch>
                  </pic:blipFill>
                  <pic:spPr>
                    <a:xfrm>
                      <a:off x="0" y="0"/>
                      <a:ext cx="4279900" cy="2761615"/>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（图7：“三公”经费财政拨款支出结构）（饼状图）</w:t>
      </w:r>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b/>
          <w:sz w:val="32"/>
          <w:szCs w:val="32"/>
        </w:rPr>
        <w:t>1.因公出国（境）经费支出0万元，年初未安排预算。</w:t>
      </w:r>
      <w:r>
        <w:rPr>
          <w:rFonts w:hint="eastAsia" w:ascii="仿宋_GB2312" w:hAnsi="仿宋_GB2312" w:eastAsia="仿宋_GB2312" w:cs="仿宋_GB2312"/>
          <w:sz w:val="32"/>
          <w:szCs w:val="32"/>
        </w:rPr>
        <w:t>因公出国（境）支出决算较2022年无变化。</w:t>
      </w:r>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5.37万元</w:t>
      </w:r>
      <w:r>
        <w:rPr>
          <w:rFonts w:hint="eastAsia" w:ascii="仿宋_GB2312" w:hAnsi="仿宋_GB2312" w:eastAsia="仿宋_GB2312" w:cs="仿宋_GB2312"/>
          <w:sz w:val="32"/>
          <w:szCs w:val="32"/>
          <w:lang w:eastAsia="zh-CN"/>
        </w:rPr>
        <w:t>，</w:t>
      </w:r>
      <w:r>
        <w:rPr>
          <w:rStyle w:val="19"/>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sz w:val="32"/>
          <w:szCs w:val="32"/>
        </w:rPr>
        <w:t>公务用车购置及运行维护费支出决算比2022年度增加0.52万元，增长10.72%。主要原因是抽检任务增加。</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，未购置公务用车。</w:t>
      </w:r>
      <w:r>
        <w:rPr>
          <w:rFonts w:hint="eastAsia" w:ascii="仿宋_GB2312" w:hAnsi="仿宋_GB2312" w:eastAsia="仿宋_GB2312" w:cs="仿宋_GB2312"/>
          <w:sz w:val="32"/>
          <w:szCs w:val="32"/>
        </w:rPr>
        <w:t>截至2023年12月31日，</w:t>
      </w:r>
      <w:r>
        <w:rPr>
          <w:rFonts w:hint="eastAsia" w:ascii="仿宋_GB2312" w:eastAsia="仿宋_GB2312"/>
          <w:bCs/>
          <w:sz w:val="32"/>
          <w:szCs w:val="32"/>
        </w:rPr>
        <w:t>广元市产品质量监督检验所共有车辆1辆。</w:t>
      </w:r>
      <w:r>
        <w:rPr>
          <w:rFonts w:ascii="仿宋_GB2312" w:eastAsia="仿宋_GB2312"/>
          <w:bCs/>
          <w:sz w:val="32"/>
          <w:szCs w:val="32"/>
        </w:rPr>
        <w:t xml:space="preserve">其中，轿车 </w:t>
      </w:r>
      <w:r>
        <w:rPr>
          <w:rFonts w:hint="eastAsia" w:ascii="仿宋_GB2312" w:eastAsia="仿宋_GB2312"/>
          <w:bCs/>
          <w:sz w:val="32"/>
          <w:szCs w:val="32"/>
        </w:rPr>
        <w:t>1</w:t>
      </w:r>
      <w:r>
        <w:rPr>
          <w:rFonts w:ascii="仿宋_GB2312" w:eastAsia="仿宋_GB2312"/>
          <w:bCs/>
          <w:sz w:val="32"/>
          <w:szCs w:val="32"/>
        </w:rPr>
        <w:t>辆。</w:t>
      </w:r>
    </w:p>
    <w:p>
      <w:pPr>
        <w:spacing w:line="600" w:lineRule="exact"/>
        <w:ind w:firstLine="640"/>
        <w:rPr>
          <w:rFonts w:ascii="仿宋_GB2312" w:hAnsi="仿宋_GB2312" w:eastAsia="仿宋_GB2312" w:cs="仿宋_GB2312"/>
          <w:color w:val="0070C0"/>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5.37万元。</w:t>
      </w:r>
      <w:r>
        <w:rPr>
          <w:rFonts w:hint="eastAsia" w:ascii="仿宋_GB2312" w:eastAsia="仿宋_GB2312"/>
          <w:sz w:val="32"/>
          <w:szCs w:val="32"/>
        </w:rPr>
        <w:t>主要用于</w:t>
      </w:r>
      <w:r>
        <w:rPr>
          <w:rFonts w:hint="eastAsia" w:ascii="仿宋" w:hAnsi="仿宋" w:eastAsia="仿宋"/>
          <w:sz w:val="32"/>
          <w:szCs w:val="32"/>
        </w:rPr>
        <w:t>抽检及业务工作所需的公务用车燃料费、维修费、过路过桥费、保险费等支出。</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sz w:val="32"/>
          <w:szCs w:val="32"/>
        </w:rPr>
        <w:t>0.88万元，</w:t>
      </w:r>
      <w:r>
        <w:rPr>
          <w:rStyle w:val="19"/>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sz w:val="32"/>
          <w:szCs w:val="32"/>
        </w:rPr>
        <w:t>公务接待费支出决算与2022年度持平。其中：</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0.88万元，</w:t>
      </w:r>
      <w:r>
        <w:rPr>
          <w:rFonts w:hint="eastAsia" w:ascii="仿宋_GB2312" w:hAnsi="仿宋_GB2312" w:eastAsia="仿宋_GB2312" w:cs="仿宋_GB2312"/>
          <w:sz w:val="32"/>
          <w:szCs w:val="32"/>
          <w:lang w:eastAsia="zh-CN"/>
        </w:rPr>
        <w:t>主要用于</w:t>
      </w:r>
      <w:r>
        <w:rPr>
          <w:rFonts w:hint="eastAsia" w:ascii="仿宋" w:hAnsi="仿宋" w:eastAsia="仿宋"/>
          <w:sz w:val="32"/>
          <w:szCs w:val="32"/>
        </w:rPr>
        <w:t>开展业务活动和技术交流等开支的用餐费。国内公务接待14批次，84人次（不包括陪同人员），共计支出0.88万元，具体内容包括：其他地市级部门工作联系0.56万元，县局（检验机构）业务联系0.32万元。</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w:t>
      </w:r>
    </w:p>
    <w:p>
      <w:pPr>
        <w:spacing w:line="600" w:lineRule="exact"/>
        <w:ind w:firstLine="640"/>
        <w:outlineLvl w:val="1"/>
        <w:rPr>
          <w:rFonts w:ascii="黑体" w:eastAsia="黑体"/>
          <w:sz w:val="32"/>
          <w:szCs w:val="32"/>
        </w:rPr>
      </w:pPr>
    </w:p>
    <w:p>
      <w:pPr>
        <w:spacing w:line="600" w:lineRule="exact"/>
        <w:ind w:firstLine="640"/>
        <w:outlineLvl w:val="1"/>
        <w:rPr>
          <w:rStyle w:val="22"/>
          <w:rFonts w:ascii="黑体" w:hAnsi="黑体" w:eastAsia="黑体"/>
        </w:rPr>
      </w:pPr>
      <w:bookmarkStart w:id="22" w:name="_Toc177552618"/>
      <w:r>
        <w:rPr>
          <w:rFonts w:hint="eastAsia" w:ascii="黑体" w:eastAsia="黑体"/>
          <w:sz w:val="32"/>
          <w:szCs w:val="32"/>
        </w:rPr>
        <w:t>八、</w:t>
      </w:r>
      <w:r>
        <w:rPr>
          <w:rStyle w:val="22"/>
          <w:rFonts w:hint="eastAsia" w:ascii="黑体" w:hAnsi="黑体" w:eastAsia="黑体"/>
          <w:b w:val="0"/>
        </w:rPr>
        <w:t>政府性基金预算支出决算情况说明</w:t>
      </w:r>
      <w:bookmarkEnd w:id="22"/>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pPr>
        <w:spacing w:line="600" w:lineRule="exact"/>
        <w:ind w:firstLine="640"/>
        <w:rPr>
          <w:rFonts w:ascii="仿宋_GB2312" w:eastAsia="仿宋_GB2312"/>
          <w:sz w:val="32"/>
          <w:szCs w:val="32"/>
        </w:rPr>
      </w:pPr>
    </w:p>
    <w:p>
      <w:pPr>
        <w:spacing w:line="600" w:lineRule="exact"/>
        <w:ind w:firstLine="640" w:firstLineChars="200"/>
        <w:outlineLvl w:val="1"/>
        <w:rPr>
          <w:rStyle w:val="22"/>
          <w:rFonts w:ascii="黑体" w:hAnsi="黑体" w:eastAsia="黑体"/>
          <w:b w:val="0"/>
        </w:rPr>
      </w:pPr>
      <w:bookmarkStart w:id="23" w:name="_Toc177552619"/>
      <w:r>
        <w:rPr>
          <w:rStyle w:val="22"/>
          <w:rFonts w:hint="eastAsia" w:ascii="黑体" w:hAnsi="黑体" w:eastAsia="黑体"/>
          <w:b w:val="0"/>
        </w:rPr>
        <w:t>九、国有资本经营预算支出决算情况说明</w:t>
      </w:r>
      <w:bookmarkEnd w:id="23"/>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pPr>
        <w:spacing w:line="580" w:lineRule="exact"/>
        <w:ind w:firstLine="880" w:firstLineChars="200"/>
        <w:jc w:val="center"/>
        <w:rPr>
          <w:rFonts w:ascii="方正小标宋简体" w:hAnsi="方正小标宋简体" w:eastAsia="方正小标宋简体" w:cs="方正小标宋简体"/>
          <w:sz w:val="44"/>
          <w:szCs w:val="44"/>
        </w:rPr>
      </w:pPr>
    </w:p>
    <w:p>
      <w:pPr>
        <w:spacing w:line="600" w:lineRule="exact"/>
        <w:ind w:firstLine="640" w:firstLineChars="200"/>
        <w:outlineLvl w:val="1"/>
        <w:rPr>
          <w:rStyle w:val="22"/>
          <w:rFonts w:ascii="黑体" w:hAnsi="黑体" w:eastAsia="黑体"/>
          <w:b w:val="0"/>
        </w:rPr>
      </w:pPr>
      <w:bookmarkStart w:id="24" w:name="_Toc177552620"/>
      <w:r>
        <w:rPr>
          <w:rStyle w:val="22"/>
          <w:rFonts w:hint="eastAsia" w:ascii="黑体" w:hAnsi="黑体" w:eastAsia="黑体"/>
          <w:b w:val="0"/>
        </w:rPr>
        <w:t>十、其他重要事项的情况说明</w:t>
      </w:r>
      <w:bookmarkEnd w:id="24"/>
    </w:p>
    <w:p>
      <w:pPr>
        <w:spacing w:line="600" w:lineRule="exact"/>
        <w:ind w:firstLine="642" w:firstLineChars="200"/>
        <w:outlineLvl w:val="2"/>
        <w:rPr>
          <w:rFonts w:ascii="仿宋" w:hAnsi="仿宋" w:eastAsia="仿宋"/>
          <w:sz w:val="32"/>
          <w:szCs w:val="32"/>
        </w:rPr>
      </w:pPr>
      <w:bookmarkStart w:id="25" w:name="_Toc177552621"/>
      <w:r>
        <w:rPr>
          <w:rFonts w:hint="eastAsia" w:ascii="仿宋" w:hAnsi="仿宋" w:eastAsia="仿宋"/>
          <w:b/>
          <w:sz w:val="32"/>
          <w:szCs w:val="32"/>
        </w:rPr>
        <w:t>（一）机关运行经费支出情况</w:t>
      </w:r>
      <w:bookmarkEnd w:id="25"/>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2023年未发生机关运行经费支出，与2022年决算数持平。</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26" w:name="_Toc177552622"/>
      <w:r>
        <w:rPr>
          <w:rFonts w:hint="eastAsia" w:ascii="仿宋" w:hAnsi="仿宋" w:eastAsia="仿宋"/>
          <w:b/>
          <w:sz w:val="32"/>
          <w:szCs w:val="32"/>
        </w:rPr>
        <w:t>（二）政府采购支出情况</w:t>
      </w:r>
      <w:bookmarkEnd w:id="2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hint="eastAsia" w:ascii="仿宋" w:hAnsi="仿宋" w:eastAsia="仿宋"/>
          <w:sz w:val="32"/>
          <w:szCs w:val="32"/>
        </w:rPr>
        <w:t>广元市产品质量监督检验所政府采购支出总额</w:t>
      </w:r>
      <w:r>
        <w:rPr>
          <w:rFonts w:hint="eastAsia" w:ascii="仿宋_GB2312" w:eastAsia="仿宋_GB2312"/>
          <w:sz w:val="32"/>
          <w:szCs w:val="32"/>
        </w:rPr>
        <w:t>0</w:t>
      </w:r>
      <w:r>
        <w:rPr>
          <w:rFonts w:hint="eastAsia" w:ascii="仿宋" w:hAnsi="仿宋" w:eastAsia="仿宋"/>
          <w:sz w:val="32"/>
          <w:szCs w:val="32"/>
        </w:rPr>
        <w:t>万元</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27" w:name="_Toc177552623"/>
      <w:r>
        <w:rPr>
          <w:rFonts w:hint="eastAsia" w:ascii="仿宋" w:hAnsi="仿宋" w:eastAsia="仿宋"/>
          <w:b/>
          <w:sz w:val="32"/>
          <w:szCs w:val="32"/>
        </w:rPr>
        <w:t>（三）国有资产占有使用情况</w:t>
      </w:r>
      <w:bookmarkEnd w:id="27"/>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hAnsi="仿宋_GB2312" w:eastAsia="仿宋_GB2312" w:cs="仿宋_GB2312"/>
          <w:color w:val="000000" w:themeColor="text1"/>
          <w:kern w:val="0"/>
          <w:sz w:val="32"/>
          <w:szCs w:val="32"/>
        </w:rPr>
        <w:t>广元市产品</w:t>
      </w:r>
      <w:r>
        <w:rPr>
          <w:rFonts w:hint="eastAsia" w:ascii="仿宋_GB2312" w:hAnsi="仿宋_GB2312" w:eastAsia="仿宋_GB2312" w:cs="仿宋_GB2312"/>
          <w:kern w:val="0"/>
          <w:sz w:val="32"/>
          <w:szCs w:val="32"/>
        </w:rPr>
        <w:t>质量监督检验所共有车辆1辆，其中：其他用车1辆，其他用车主要用于省市各级抽检及业务工作。单价</w:t>
      </w:r>
      <w:r>
        <w:rPr>
          <w:rFonts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万元以上专用设备0（台、套）。</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28" w:name="_Toc177552624"/>
      <w:r>
        <w:rPr>
          <w:rFonts w:hint="eastAsia" w:ascii="仿宋" w:hAnsi="仿宋" w:eastAsia="仿宋"/>
          <w:b/>
          <w:sz w:val="32"/>
          <w:szCs w:val="32"/>
        </w:rPr>
        <w:t>（四）预算绩效管理情况</w:t>
      </w:r>
      <w:bookmarkEnd w:id="28"/>
    </w:p>
    <w:p>
      <w:pPr>
        <w:pStyle w:val="2"/>
        <w:spacing w:before="93"/>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根据预算绩效管理要求，本单位在2023年度预算编制阶段，组织对“产品质量监督抽查经费”“ 质检运行经费”“ 设备购置经费”“市场监管专项资金”项目等14个项目开展了预算事前绩效评估，对14个项目编制了绩效目标，预算执行过程中，选取14个项目开展绩效监控，组织对14个项目开展绩效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2"/>
        </w:numPr>
        <w:suppressAutoHyphens w:val="0"/>
        <w:spacing w:line="600" w:lineRule="exact"/>
        <w:ind w:firstLine="660" w:firstLineChars="150"/>
        <w:jc w:val="center"/>
        <w:outlineLvl w:val="0"/>
        <w:rPr>
          <w:rStyle w:val="21"/>
          <w:rFonts w:ascii="黑体" w:hAnsi="黑体" w:eastAsia="黑体"/>
          <w:b w:val="0"/>
        </w:rPr>
      </w:pPr>
      <w:bookmarkStart w:id="29" w:name="_Toc18331"/>
      <w:bookmarkStart w:id="30" w:name="_Toc177552625"/>
      <w:bookmarkStart w:id="31" w:name="_Toc15396613"/>
      <w:bookmarkStart w:id="32" w:name="_Toc15377225"/>
      <w:r>
        <w:rPr>
          <w:rFonts w:hint="eastAsia" w:ascii="黑体" w:hAnsi="黑体" w:eastAsia="黑体"/>
          <w:sz w:val="44"/>
          <w:szCs w:val="44"/>
        </w:rPr>
        <w:t>名</w:t>
      </w:r>
      <w:r>
        <w:rPr>
          <w:rStyle w:val="21"/>
          <w:rFonts w:hint="eastAsia" w:ascii="黑体" w:hAnsi="黑体" w:eastAsia="黑体"/>
          <w:b w:val="0"/>
        </w:rPr>
        <w:t>词解释</w:t>
      </w:r>
      <w:bookmarkEnd w:id="29"/>
      <w:bookmarkEnd w:id="30"/>
      <w:bookmarkEnd w:id="31"/>
      <w:bookmarkEnd w:id="32"/>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财政拨款收入：指单位从同级财政部门取得的财政预算资金。</w:t>
      </w:r>
    </w:p>
    <w:p>
      <w:pPr>
        <w:numPr>
          <w:ilvl w:val="0"/>
          <w:numId w:val="3"/>
        </w:numPr>
        <w:suppressAutoHyphens w:val="0"/>
        <w:spacing w:line="560" w:lineRule="exact"/>
      </w:pPr>
      <w:r>
        <w:rPr>
          <w:rFonts w:hint="eastAsia" w:ascii="仿宋" w:hAnsi="仿宋" w:eastAsia="仿宋"/>
          <w:sz w:val="32"/>
          <w:szCs w:val="32"/>
        </w:rPr>
        <w:t>其他收入：指单位取得的除上述收入以外的各项收入。主要是非本级财政拨款及利息收入等。</w:t>
      </w:r>
    </w:p>
    <w:p>
      <w:pPr>
        <w:numPr>
          <w:ilvl w:val="0"/>
          <w:numId w:val="3"/>
        </w:numPr>
        <w:suppressAutoHyphens w:val="0"/>
        <w:spacing w:line="560" w:lineRule="exact"/>
      </w:pPr>
      <w:r>
        <w:rPr>
          <w:rFonts w:hint="eastAsia" w:ascii="仿宋" w:hAnsi="仿宋" w:eastAsia="仿宋" w:cs="Times New Roman"/>
          <w:sz w:val="32"/>
          <w:szCs w:val="32"/>
        </w:rPr>
        <w:t>年末结转和结余：指单位按有关规定结转到下年或以后年度继续使用的资金。</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一般公共服务支出（类）市场监督管理事务（款）质量安全监管（项）：指反映产品质量安全监管、特种设备安全监管等质量监管专项工作的支出。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一般公共服务支出（类）市场监督管理事务（款）事业运行（项）：指反映事业单位的基本支出。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一般公共服务支出（类）市场监督管理事务（款）其他市场监督管理事务（项）：指反映其他市场监督管理事务方面的支出。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社会保障和就业（类）行政事业单位养老支出（款）机关事业单位基本养老保险缴费支出（项）：指用于机关事业单位实施养老保险制度由单位缴纳的基本养老保险费支出。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社会保障和就业（类）行政事业单位养老支出（款）机关事业单位职业年金缴费支出（项）：指用于机关事业单位实施养老保险制度由单位缴纳的职业年金缴费支出。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卫生健康支出（类）行政事业单位医疗（款）事业单位医疗（项）：指用于事业单位基本医疗保险缴费。</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住房保障支出（类）住房改革支出（款）住房公积金（项）：指用于行政事业单位按人力资源和社会保障部、财政部规定的基本工资和津贴补贴以及规定比例为职工缴纳的住房公积金。</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基本支出：指为保障机构正常运转、完成日常工作任务而发生的人员支出和公用支出。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项目支出：指在基本支出之外为完成特定行政任务和事业发展目标所发生的支出。</w:t>
      </w:r>
    </w:p>
    <w:p>
      <w:pPr>
        <w:numPr>
          <w:ilvl w:val="0"/>
          <w:numId w:val="3"/>
        </w:numPr>
        <w:suppressAutoHyphens w:val="0"/>
        <w:spacing w:line="600" w:lineRule="exact"/>
        <w:rPr>
          <w:rFonts w:ascii="仿宋" w:hAnsi="仿宋" w:eastAsia="仿宋"/>
          <w:b/>
          <w:sz w:val="32"/>
          <w:szCs w:val="32"/>
        </w:rPr>
      </w:pPr>
      <w:r>
        <w:rPr>
          <w:rFonts w:hint="eastAsia" w:ascii="仿宋" w:hAnsi="仿宋" w:eastAsia="仿宋"/>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Fonts w:ascii="黑体" w:hAnsi="黑体" w:eastAsia="黑体"/>
          <w:sz w:val="44"/>
          <w:szCs w:val="44"/>
        </w:rPr>
      </w:pPr>
      <w:bookmarkStart w:id="33" w:name="_Toc21988"/>
      <w:bookmarkStart w:id="34" w:name="_Toc15396614"/>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sectPr>
          <w:pgSz w:w="11906" w:h="16838"/>
          <w:pgMar w:top="1440" w:right="1800" w:bottom="1440" w:left="1800" w:header="851" w:footer="992" w:gutter="0"/>
          <w:pgNumType w:start="1"/>
          <w:cols w:space="425" w:num="1"/>
          <w:titlePg/>
          <w:docGrid w:type="lines" w:linePitch="312" w:charSpace="0"/>
        </w:sectPr>
      </w:pPr>
    </w:p>
    <w:p>
      <w:pPr>
        <w:spacing w:line="600" w:lineRule="exact"/>
        <w:jc w:val="center"/>
        <w:outlineLvl w:val="0"/>
        <w:rPr>
          <w:rStyle w:val="21"/>
          <w:rFonts w:ascii="黑体" w:hAnsi="黑体" w:eastAsia="黑体"/>
          <w:b w:val="0"/>
        </w:rPr>
      </w:pPr>
      <w:bookmarkStart w:id="35" w:name="_Toc177552626"/>
      <w:r>
        <w:rPr>
          <w:rFonts w:hint="eastAsia" w:ascii="黑体" w:hAnsi="黑体" w:eastAsia="黑体"/>
          <w:sz w:val="44"/>
          <w:szCs w:val="44"/>
        </w:rPr>
        <w:t>第</w:t>
      </w:r>
      <w:r>
        <w:rPr>
          <w:rStyle w:val="21"/>
          <w:rFonts w:hint="eastAsia" w:ascii="黑体" w:hAnsi="黑体" w:eastAsia="黑体"/>
          <w:b w:val="0"/>
        </w:rPr>
        <w:t>四部分 附件</w:t>
      </w:r>
      <w:bookmarkEnd w:id="33"/>
      <w:bookmarkEnd w:id="34"/>
      <w:bookmarkEnd w:id="35"/>
    </w:p>
    <w:p>
      <w:pPr>
        <w:spacing w:line="600" w:lineRule="exact"/>
        <w:jc w:val="center"/>
        <w:outlineLvl w:val="0"/>
        <w:rPr>
          <w:rFonts w:ascii="黑体" w:hAnsi="黑体" w:eastAsia="黑体"/>
          <w:color w:val="FF0000"/>
          <w:sz w:val="44"/>
          <w:szCs w:val="44"/>
        </w:rPr>
      </w:pPr>
      <w:bookmarkStart w:id="36" w:name="_Toc177552627"/>
      <w:r>
        <w:rPr>
          <w:rFonts w:hint="eastAsia" w:hAnsi="Times New Roman"/>
          <w:sz w:val="32"/>
          <w:szCs w:val="32"/>
        </w:rPr>
        <w:t>部门预算项目支出绩效自评表（202</w:t>
      </w:r>
      <w:r>
        <w:rPr>
          <w:rFonts w:hint="eastAsia"/>
          <w:sz w:val="32"/>
          <w:szCs w:val="32"/>
        </w:rPr>
        <w:t>3</w:t>
      </w:r>
      <w:r>
        <w:rPr>
          <w:rFonts w:hint="eastAsia" w:hAnsi="Times New Roman"/>
          <w:sz w:val="32"/>
          <w:szCs w:val="32"/>
        </w:rPr>
        <w:t>年度）</w:t>
      </w:r>
      <w:bookmarkEnd w:id="36"/>
    </w:p>
    <w:tbl>
      <w:tblPr>
        <w:tblStyle w:val="17"/>
        <w:tblW w:w="12780" w:type="dxa"/>
        <w:tblInd w:w="96" w:type="dxa"/>
        <w:tblLayout w:type="autofit"/>
        <w:tblCellMar>
          <w:top w:w="0" w:type="dxa"/>
          <w:left w:w="108" w:type="dxa"/>
          <w:bottom w:w="0" w:type="dxa"/>
          <w:right w:w="108" w:type="dxa"/>
        </w:tblCellMar>
      </w:tblPr>
      <w:tblGrid>
        <w:gridCol w:w="619"/>
        <w:gridCol w:w="1819"/>
        <w:gridCol w:w="1586"/>
        <w:gridCol w:w="2018"/>
        <w:gridCol w:w="459"/>
        <w:gridCol w:w="1504"/>
        <w:gridCol w:w="459"/>
        <w:gridCol w:w="978"/>
        <w:gridCol w:w="486"/>
        <w:gridCol w:w="576"/>
        <w:gridCol w:w="2276"/>
      </w:tblGrid>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bookmarkStart w:id="51" w:name="_GoBack"/>
            <w:bookmarkEnd w:id="51"/>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188.66</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188.66</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184.66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97.88%</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9.79</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188.66</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188.66</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184.66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97.88%</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99.8</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自评总分99.8分。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7.56</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7.56</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7.56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7.56</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7.56</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7.56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51080021T000000050604-质检运行经费</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接受各类委托检验和技术服务500批次，保障日常检验工作正常开展，保障聘用人员基本工资福利、支部党建、食堂运行、物业管理等日常工作正常开展。</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2023年接受委托检验和技术服务1310批次，保障了日常检验工作正常开展和质检大楼公共区域安保、维护、保洁等工作。</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xml:space="preserve"> 广元市质检所是广元市市场监督管理局直属事业单位，主要承担省市监督抽查、风险监测工作，承接委托检验、技术服务工作，为核定收支定额补助事业单位。目前，财政保障了在编人员基本费用，聘用的专业技术人员基本保障，企业的委托检验、技术服务，脱贫攻坚等基本靠经验性收入补充，为保证各项工作正常开展，所必要的运行经费。</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66.00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66.00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66.00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66.00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66.00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66.00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保障聘用人员工作福利</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接受委托检验和技术服务</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委托检验完成率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为地方企业减免检测检测费用，促进地方经济发展</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为第三方提供有效的检验检测和技术</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加强能力建设，有效服务广元经济社会发展</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每次委托检验成本费用</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97</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xml:space="preserve">  保障了日常检验工作的正常开展和聘用人员的福利待遇，确保了干部职工稳定，进一步提升检验检测服务能力，为社会提供了科学公正的第三方检验平台，有效提升产品质量水平，帮助企业解决技术难题，助力企业复工复产，促进产业持续健康发展。</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预算执行过程中存在任务完成时间滞后等问题，</w:t>
            </w:r>
            <w:r>
              <w:rPr>
                <w:rFonts w:hint="eastAsia" w:ascii="微软雅黑" w:hAnsi="微软雅黑" w:eastAsia="微软雅黑" w:cs="宋体"/>
                <w:i/>
                <w:iCs/>
                <w:color w:val="000000"/>
                <w:kern w:val="0"/>
                <w:sz w:val="16"/>
                <w:szCs w:val="16"/>
                <w:lang w:eastAsia="zh-CN"/>
              </w:rPr>
              <w:t>主要原因是</w:t>
            </w:r>
            <w:r>
              <w:rPr>
                <w:rFonts w:hint="eastAsia" w:ascii="微软雅黑" w:hAnsi="微软雅黑" w:eastAsia="微软雅黑" w:cs="宋体"/>
                <w:i/>
                <w:iCs/>
                <w:color w:val="000000"/>
                <w:kern w:val="0"/>
                <w:sz w:val="16"/>
                <w:szCs w:val="16"/>
              </w:rPr>
              <w:t>质检运行经费拨付是根据完成预算收入进度拨付。</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随着产品质量检验工作力度的不断加大，专业技术能力要求更高，因此建议增加质监运行经费项目资金，促进质检事业发展。</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51080021T000000050935-产品质量监督抽查经费</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完成全市重点工业等产品质量监督抽查100批次。</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2023年完成工业生产资料、农业生产资料、日用消费品等产品质量监督抽查350批次，维护全市产品质量安全。</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为确保我市产品质量，每年政府质量主管部门--市场监管部门均要组织对广元辖区产品质量实施监督抽查，实施单位为质检部门。通过抽查，为政府宏观质量管理提供有效数据，为质量监管部门提供准确质量信息，为质量安全监管提供安全保障，为广元造产品提供技术支撑，全面提升广元造产品质量竞争力和市场占有率。</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完成市级监督抽查产品</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委托检验完成率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增强检验检测能力、维护市场秩序，保障人民群众安全</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准确为政府质量监管部门提供质量检验信息和数据</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保障全市产品质量安全，有效服务广元经济社会发展</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每批次抽检成本</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2023年我所严格按照预算执行，完满完成预算目标任务，通过本年度的产品质量监督抽查，有效的提升了市场主体的质量意识，有效预防区域性产品质量问题的发生。</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随着社会经济的快速发展，产品数量猛增，新兴产品更替较快，对全市产品质量监管任务进一步加大，由于项目资金有限，抽查经费不能满足监管需求</w:t>
            </w:r>
            <w:r>
              <w:rPr>
                <w:rFonts w:hint="eastAsia" w:ascii="微软雅黑" w:hAnsi="微软雅黑" w:eastAsia="微软雅黑" w:cs="宋体"/>
                <w:i/>
                <w:iCs/>
                <w:color w:val="000000"/>
                <w:kern w:val="0"/>
                <w:sz w:val="16"/>
                <w:szCs w:val="16"/>
                <w:lang w:eastAsia="zh-CN"/>
              </w:rPr>
              <w:t>，</w:t>
            </w:r>
            <w:r>
              <w:rPr>
                <w:rFonts w:hint="eastAsia" w:ascii="微软雅黑" w:hAnsi="微软雅黑" w:eastAsia="微软雅黑" w:cs="宋体"/>
                <w:i/>
                <w:iCs/>
                <w:color w:val="000000"/>
                <w:kern w:val="0"/>
                <w:sz w:val="16"/>
                <w:szCs w:val="16"/>
              </w:rPr>
              <w:t>同时，鉴于我所专业技术人才缺乏，不能满足日益增长的产品质量监督抽查需要。</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加大对项目的支持指导力度，提升新形势下检验检测工作能力与水平，扩大服务范围，进一步提升检验检测能力，加大对项目机构能力提升的财政保障，不断提升检验检测能力。</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51080021T000000051204-设备购置经费</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完成产品检验检测急需设备采购工作，提升质检能力建设，保证质检工作正常开展。</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 xml:space="preserve">  2023年完成2台专业检验检测设备采购工作，提升检验检测能力，保障了质检工作正常开展。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提升质检能力建设，提升服务质量和服务水平，满足监督抽查工作需要，保证质检工作正常开展。</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98.60%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9.86</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98.60%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完成产品检验检测急需设备采购</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设备验收合格率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增加检验检测范围，促进地方经济发展</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为第三方提供有效的检验检测和技术</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增加微生物、纸巾纸检验检测能力，有效服务广元经济社会发展</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设备采购费用</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97.9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2023年圆满完成2台专业检验检测设备采购工作，严格按照预算编制执行，提升质检能力建设，提升服务质量和服务水平，满足监督抽查工作需要，保证质检工作正常开展，。</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2023年我所按时按质编报部门预算，年度预算执行基本收支平衡，财务管理规范，但预算编制的合理性有待提高。</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细化预算编制工作，严格按照预算编制的相关制度和要求做好预算的编制，结合我所实际情况，增加能力建设预算，提升我所检验检测能力。</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9.83</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9.83</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9.83</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9.83</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9.83</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9.83</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194.41</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194.41</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187.17</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96.28%</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194.41</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194.41</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187.17</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96.28%</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51080022T000004928095-乡村振兴工作经费</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完成帮扶工作任务，保障驻村工作队工作正常开展</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安排2名工作人员驻村帮扶，继续巩固脱贫成果，严禁已脱贫人员返贫，</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按照市市场监管局和市直机关工委安排，由主要领导分管，保障脱贫攻坚工作顺利开展。</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帮扶安排驻村户数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447</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户</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447</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驻村工作队每月驻村时间</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天</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帮扶工作队员人数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全面完成2023年帮扶工作任务</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村集体经济收入增加率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全村返贫率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乡村振兴帮扶驻村人员经费</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3.64</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99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按照全市乡村振兴工作要求，高质量完成帮扶工作任务，实现乡村振兴有效衔接，人均收入实现逐年增加致富，有效防止返贫发生。</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帮扶工作人员交通费未保障，职工出行困难</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建议增加驻村干部职工交通费</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36.00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17.34</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17.34</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17.34</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17.34</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16.80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16.36</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16.36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16.80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16.36</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16.36</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51080023T000009156111-2023年市场监管专项资金</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完成省级监督抽查及风险监测400批次，提升全省产品质量水平。</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完成省级产品质量监督抽检406批次，完成率达到100%，切实保障产品质量安全。</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根据省局工作部署，组织开展重点工业产品质量省级监督抽查，本年度工业产品省级监督抽查工作由所长负总责，分管副所长具体负责，进一步分解任务，细化指标，责任落实到人。根据产品质量省级监督抽查实施方案和产品质量省级监督抽查实施细则，按照我所《质量手册》和《程序文件》组织实施，抽检过程施行抽检分离制度。由食品化工检验中心、轻工检验中心、建材检验中心具体完成，抽查结果直接反馈四川省市场监督管理局质量监督处。</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1.预算执行率=预算执行数/调整后预算数，预算执行率未达到90%的需说明原因（100字以内）</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2.年中发生预算调整的（追加或调减）</w:t>
            </w:r>
            <w:r>
              <w:rPr>
                <w:rFonts w:hint="eastAsia" w:ascii="Courier New" w:hAnsi="Courier New" w:cs="宋体"/>
                <w:i/>
                <w:iCs/>
                <w:color w:val="000000"/>
                <w:kern w:val="0"/>
                <w:sz w:val="18"/>
                <w:szCs w:val="18"/>
                <w:lang w:eastAsia="zh-CN"/>
              </w:rPr>
              <w:t>，</w:t>
            </w:r>
            <w:r>
              <w:rPr>
                <w:rFonts w:ascii="Courier New" w:hAnsi="Courier New" w:cs="宋体"/>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完成省级监督抽查及风险监测</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完成抽检率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任务完成时间</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企业质量主体意识明显提升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提升全市质量水平</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省级监督抽查成本</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通过本年度的省级监督抽查，加强产品质量安全监督管理，有效预防区域性产品质量问题的发生，促进了我省经济繁荣与健康发展。</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目前，各地级市州都有自己的报告系统，但大多数是垂管时期建立，现远远不能满足监督抽查需求，同时由于各地市州财政紧张不能升级现有报告系统，错误时常发生。</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加大对项目的支持指导力度，加强业务培训，提升新形势下检验检测工作能力与水平，扩大服务范围，进一步提升检验检测能力。加大对项目机构能力提升的财政保障，不断提升检验检测能力。</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项目负责人：王禹陈</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81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504"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59"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978"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76"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trHeight w:val="903" w:hRule="atLeast"/>
        </w:trPr>
        <w:tc>
          <w:tcPr>
            <w:tcW w:w="127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51080024T000010968879-广元市产品质量监督检验所实验室信息管理系统国产化改造项目</w:t>
            </w:r>
          </w:p>
        </w:tc>
      </w:tr>
      <w:tr>
        <w:tblPrEx>
          <w:tblCellMar>
            <w:top w:w="0" w:type="dxa"/>
            <w:left w:w="108" w:type="dxa"/>
            <w:bottom w:w="0" w:type="dxa"/>
            <w:right w:w="108" w:type="dxa"/>
          </w:tblCellMar>
        </w:tblPrEx>
        <w:trPr>
          <w:trHeight w:val="513" w:hRule="atLeast"/>
        </w:trPr>
        <w:tc>
          <w:tcPr>
            <w:tcW w:w="2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78" w:type="dxa"/>
            <w:tcBorders>
              <w:top w:val="nil"/>
              <w:left w:val="nil"/>
              <w:bottom w:val="nil"/>
              <w:right w:val="nil"/>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实施单位 （盖章）</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宋体"/>
                <w:color w:val="000000"/>
                <w:kern w:val="0"/>
                <w:sz w:val="18"/>
                <w:szCs w:val="18"/>
              </w:rPr>
            </w:pPr>
            <w:r>
              <w:rPr>
                <w:rFonts w:ascii="Courier New" w:hAnsi="Courier New" w:cs="宋体"/>
                <w:color w:val="000000"/>
                <w:kern w:val="0"/>
                <w:sz w:val="18"/>
                <w:szCs w:val="18"/>
              </w:rPr>
              <w:t>年度目标完成情况</w:t>
            </w:r>
          </w:p>
        </w:tc>
      </w:tr>
      <w:tr>
        <w:tblPrEx>
          <w:tblCellMar>
            <w:top w:w="0" w:type="dxa"/>
            <w:left w:w="108" w:type="dxa"/>
            <w:bottom w:w="0" w:type="dxa"/>
            <w:right w:w="108" w:type="dxa"/>
          </w:tblCellMar>
        </w:tblPrEx>
        <w:trPr>
          <w:trHeight w:val="90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26"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xml:space="preserve">在2024年12月之前，完成实验室信息管理系统国产化改造，系统验收合格率100%，系统满足实验室数据处理需求，实现智能化管理，确保数据安全且适配国产化系统。 </w:t>
            </w:r>
          </w:p>
        </w:tc>
        <w:tc>
          <w:tcPr>
            <w:tcW w:w="4316"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此项目为财政2023年12月下达资金，2024年实施。</w:t>
            </w:r>
          </w:p>
        </w:tc>
      </w:tr>
      <w:tr>
        <w:tblPrEx>
          <w:tblCellMar>
            <w:top w:w="0" w:type="dxa"/>
            <w:left w:w="108" w:type="dxa"/>
            <w:bottom w:w="0" w:type="dxa"/>
            <w:right w:w="108" w:type="dxa"/>
          </w:tblCellMar>
        </w:tblPrEx>
        <w:trPr>
          <w:trHeight w:val="69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342"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此项目为财政2023年12月下达资金，2024年实施。</w:t>
            </w:r>
          </w:p>
        </w:tc>
      </w:tr>
      <w:tr>
        <w:tblPrEx>
          <w:tblCellMar>
            <w:top w:w="0" w:type="dxa"/>
            <w:left w:w="108" w:type="dxa"/>
            <w:bottom w:w="0" w:type="dxa"/>
            <w:right w:w="108" w:type="dxa"/>
          </w:tblCellMar>
        </w:tblPrEx>
        <w:trPr>
          <w:trHeight w:val="360"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i/>
                <w:iCs/>
                <w:color w:val="000000"/>
                <w:kern w:val="0"/>
                <w:sz w:val="18"/>
                <w:szCs w:val="18"/>
              </w:rPr>
            </w:pPr>
            <w:r>
              <w:rPr>
                <w:rFonts w:ascii="Courier New" w:hAnsi="Courier New" w:cs="宋体"/>
                <w:i/>
                <w:iCs/>
                <w:color w:val="000000"/>
                <w:kern w:val="0"/>
                <w:sz w:val="18"/>
                <w:szCs w:val="18"/>
              </w:rPr>
              <w:t>此项目为财政2023年12月下达资金，2024年实施。</w:t>
            </w:r>
          </w:p>
        </w:tc>
      </w:tr>
      <w:tr>
        <w:tblPrEx>
          <w:tblCellMar>
            <w:top w:w="0" w:type="dxa"/>
            <w:left w:w="108" w:type="dxa"/>
            <w:bottom w:w="0" w:type="dxa"/>
            <w:right w:w="108" w:type="dxa"/>
          </w:tblCellMar>
        </w:tblPrEx>
        <w:trPr>
          <w:trHeight w:val="39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08"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60"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22"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宋体"/>
                <w:i/>
                <w:iCs/>
                <w:color w:val="000000"/>
                <w:kern w:val="0"/>
                <w:sz w:val="18"/>
                <w:szCs w:val="18"/>
              </w:rPr>
            </w:pPr>
          </w:p>
        </w:tc>
      </w:tr>
      <w:tr>
        <w:tblPrEx>
          <w:tblCellMar>
            <w:top w:w="0" w:type="dxa"/>
            <w:left w:w="108" w:type="dxa"/>
            <w:bottom w:w="0" w:type="dxa"/>
            <w:right w:w="108" w:type="dxa"/>
          </w:tblCellMar>
        </w:tblPrEx>
        <w:trPr>
          <w:trHeight w:val="453" w:hRule="atLeast"/>
        </w:trPr>
        <w:tc>
          <w:tcPr>
            <w:tcW w:w="6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2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完成实验室信息管理系统国产化改造</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此项目为财政2023年12月下达资金，2024年实施。</w:t>
            </w: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实验室信息管理系统国产化改造合格率</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提升检验检测效率，降低检验检测时间和成本</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准确为政府质量监管部门提供质量检验信息和数据</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135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保障实验室信息管理系统适配国产化系统，满足实验室数据处理需求，实现智能化管理，确保数据安全，产品质量安全，有效提升实验室管理水平</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3"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客户使用满意度</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9" w:hRule="atLeast"/>
        </w:trPr>
        <w:tc>
          <w:tcPr>
            <w:tcW w:w="619"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1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5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1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系统国产化改造费用</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04"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59"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78"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5" w:hRule="atLeast"/>
        </w:trPr>
        <w:tc>
          <w:tcPr>
            <w:tcW w:w="944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2276"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0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此项目为财政2023年12月下达资金，2024年实施。</w:t>
            </w:r>
          </w:p>
        </w:tc>
      </w:tr>
      <w:tr>
        <w:tblPrEx>
          <w:tblCellMar>
            <w:top w:w="0" w:type="dxa"/>
            <w:left w:w="108" w:type="dxa"/>
            <w:bottom w:w="0" w:type="dxa"/>
            <w:right w:w="108" w:type="dxa"/>
          </w:tblCellMar>
        </w:tblPrEx>
        <w:trPr>
          <w:trHeight w:val="57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19"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161"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项目负责人：朱睆</w:t>
            </w:r>
          </w:p>
        </w:tc>
        <w:tc>
          <w:tcPr>
            <w:tcW w:w="6279"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宋体"/>
                <w:color w:val="000000"/>
                <w:kern w:val="0"/>
                <w:sz w:val="18"/>
                <w:szCs w:val="18"/>
              </w:rPr>
            </w:pPr>
            <w:r>
              <w:rPr>
                <w:rFonts w:ascii="Courier New" w:hAnsi="Courier New" w:cs="宋体"/>
                <w:color w:val="000000"/>
                <w:kern w:val="0"/>
                <w:sz w:val="18"/>
                <w:szCs w:val="18"/>
              </w:rPr>
              <w:t>财务负责人：赵诗</w:t>
            </w:r>
          </w:p>
        </w:tc>
      </w:tr>
    </w:tbl>
    <w:p>
      <w:pPr>
        <w:pStyle w:val="8"/>
        <w:spacing w:line="560" w:lineRule="exact"/>
        <w:ind w:leftChars="0" w:firstLine="640"/>
        <w:rPr>
          <w:rFonts w:eastAsia="仿宋_GB2312" w:cs="仿宋"/>
          <w:sz w:val="32"/>
          <w:lang w:val="zh-CN"/>
        </w:rPr>
      </w:pPr>
    </w:p>
    <w:p>
      <w:pPr>
        <w:pStyle w:val="2"/>
        <w:rPr>
          <w:rFonts w:ascii="仿宋_GB2312" w:eastAsia="仿宋_GB2312" w:cs="仿宋"/>
          <w:kern w:val="0"/>
          <w:sz w:val="32"/>
          <w:szCs w:val="32"/>
        </w:rPr>
      </w:pPr>
    </w:p>
    <w:p>
      <w:pPr>
        <w:widowControl/>
        <w:suppressAutoHyphens w:val="0"/>
        <w:jc w:val="left"/>
        <w:sectPr>
          <w:pgSz w:w="16838" w:h="11906" w:orient="landscape"/>
          <w:pgMar w:top="1800" w:right="1440" w:bottom="1800" w:left="1440" w:header="720" w:footer="720" w:gutter="0"/>
          <w:cols w:space="720" w:num="1"/>
          <w:docGrid w:type="lines" w:linePitch="312" w:charSpace="0"/>
        </w:sectPr>
      </w:pPr>
    </w:p>
    <w:p>
      <w:pPr>
        <w:spacing w:line="600" w:lineRule="exact"/>
        <w:jc w:val="center"/>
        <w:outlineLvl w:val="0"/>
        <w:rPr>
          <w:rFonts w:ascii="仿宋" w:hAnsi="仿宋" w:eastAsia="仿宋"/>
        </w:rPr>
      </w:pPr>
      <w:bookmarkStart w:id="37" w:name="_Toc177552628"/>
      <w:r>
        <w:rPr>
          <w:rFonts w:hint="eastAsia" w:ascii="黑体" w:hAnsi="黑体" w:eastAsia="黑体"/>
          <w:sz w:val="44"/>
          <w:szCs w:val="44"/>
        </w:rPr>
        <w:t>第</w:t>
      </w:r>
      <w:r>
        <w:rPr>
          <w:rStyle w:val="21"/>
          <w:rFonts w:hint="eastAsia" w:ascii="黑体" w:hAnsi="黑体" w:eastAsia="黑体"/>
          <w:b w:val="0"/>
        </w:rPr>
        <w:t>五部分 附表</w:t>
      </w:r>
      <w:bookmarkEnd w:id="37"/>
    </w:p>
    <w:p>
      <w:pPr>
        <w:pStyle w:val="4"/>
        <w:rPr>
          <w:rFonts w:ascii="仿宋" w:hAnsi="仿宋" w:eastAsia="仿宋"/>
        </w:rPr>
      </w:pPr>
      <w:bookmarkStart w:id="38" w:name="_Toc177552629"/>
      <w:r>
        <w:rPr>
          <w:rFonts w:hint="eastAsia" w:ascii="仿宋" w:hAnsi="仿宋" w:eastAsia="仿宋"/>
          <w:b w:val="0"/>
        </w:rPr>
        <w:t>一、收</w:t>
      </w:r>
      <w:r>
        <w:rPr>
          <w:rStyle w:val="22"/>
          <w:rFonts w:hint="eastAsia" w:ascii="仿宋" w:hAnsi="仿宋" w:eastAsia="仿宋"/>
          <w:b w:val="0"/>
          <w:bCs w:val="0"/>
        </w:rPr>
        <w:t>入支出决算总表</w:t>
      </w:r>
      <w:bookmarkEnd w:id="38"/>
    </w:p>
    <w:p>
      <w:pPr>
        <w:pStyle w:val="4"/>
        <w:rPr>
          <w:rFonts w:ascii="仿宋" w:hAnsi="仿宋" w:eastAsia="仿宋"/>
        </w:rPr>
      </w:pPr>
      <w:bookmarkStart w:id="39" w:name="_Toc177552630"/>
      <w:r>
        <w:rPr>
          <w:rFonts w:hint="eastAsia" w:ascii="仿宋" w:hAnsi="仿宋" w:eastAsia="仿宋"/>
          <w:b w:val="0"/>
        </w:rPr>
        <w:t>二、收</w:t>
      </w:r>
      <w:r>
        <w:rPr>
          <w:rStyle w:val="22"/>
          <w:rFonts w:hint="eastAsia" w:ascii="仿宋" w:hAnsi="仿宋" w:eastAsia="仿宋"/>
          <w:b w:val="0"/>
          <w:bCs w:val="0"/>
        </w:rPr>
        <w:t>入决算表</w:t>
      </w:r>
      <w:bookmarkEnd w:id="39"/>
    </w:p>
    <w:p>
      <w:pPr>
        <w:pStyle w:val="4"/>
        <w:rPr>
          <w:rFonts w:ascii="仿宋" w:hAnsi="仿宋" w:eastAsia="仿宋"/>
        </w:rPr>
      </w:pPr>
      <w:bookmarkStart w:id="40" w:name="_Toc177552631"/>
      <w:r>
        <w:rPr>
          <w:rStyle w:val="22"/>
          <w:rFonts w:hint="eastAsia" w:ascii="仿宋" w:hAnsi="仿宋" w:eastAsia="仿宋"/>
          <w:b w:val="0"/>
          <w:bCs w:val="0"/>
        </w:rPr>
        <w:t>三、</w:t>
      </w:r>
      <w:r>
        <w:rPr>
          <w:rFonts w:hint="eastAsia" w:ascii="仿宋" w:hAnsi="仿宋" w:eastAsia="仿宋"/>
          <w:b w:val="0"/>
        </w:rPr>
        <w:t>支</w:t>
      </w:r>
      <w:r>
        <w:rPr>
          <w:rStyle w:val="22"/>
          <w:rFonts w:hint="eastAsia" w:ascii="仿宋" w:hAnsi="仿宋" w:eastAsia="仿宋"/>
          <w:b w:val="0"/>
          <w:bCs w:val="0"/>
        </w:rPr>
        <w:t>出决算表</w:t>
      </w:r>
      <w:bookmarkEnd w:id="40"/>
    </w:p>
    <w:p>
      <w:pPr>
        <w:pStyle w:val="4"/>
        <w:rPr>
          <w:rFonts w:ascii="仿宋" w:hAnsi="仿宋" w:eastAsia="仿宋"/>
          <w:b w:val="0"/>
        </w:rPr>
      </w:pPr>
      <w:bookmarkStart w:id="41" w:name="_Toc177552632"/>
      <w:r>
        <w:rPr>
          <w:rStyle w:val="22"/>
          <w:rFonts w:hint="eastAsia" w:ascii="仿宋" w:hAnsi="仿宋" w:eastAsia="仿宋"/>
          <w:b w:val="0"/>
          <w:bCs w:val="0"/>
        </w:rPr>
        <w:t>四、</w:t>
      </w:r>
      <w:r>
        <w:rPr>
          <w:rFonts w:hint="eastAsia" w:ascii="仿宋" w:hAnsi="仿宋" w:eastAsia="仿宋"/>
          <w:b w:val="0"/>
        </w:rPr>
        <w:t>财</w:t>
      </w:r>
      <w:r>
        <w:rPr>
          <w:rStyle w:val="22"/>
          <w:rFonts w:hint="eastAsia" w:ascii="仿宋" w:hAnsi="仿宋" w:eastAsia="仿宋"/>
          <w:b w:val="0"/>
          <w:bCs w:val="0"/>
        </w:rPr>
        <w:t>政拨款收入支出决算总表</w:t>
      </w:r>
      <w:bookmarkEnd w:id="41"/>
    </w:p>
    <w:p>
      <w:pPr>
        <w:pStyle w:val="4"/>
        <w:rPr>
          <w:rStyle w:val="22"/>
          <w:rFonts w:ascii="仿宋" w:hAnsi="仿宋" w:eastAsia="仿宋"/>
          <w:b w:val="0"/>
          <w:bCs w:val="0"/>
        </w:rPr>
      </w:pPr>
      <w:bookmarkStart w:id="42" w:name="_Toc177552633"/>
      <w:r>
        <w:rPr>
          <w:rStyle w:val="22"/>
          <w:rFonts w:hint="eastAsia" w:ascii="仿宋" w:hAnsi="仿宋" w:eastAsia="仿宋"/>
          <w:b w:val="0"/>
          <w:bCs w:val="0"/>
        </w:rPr>
        <w:t>五、</w:t>
      </w:r>
      <w:r>
        <w:rPr>
          <w:rFonts w:hint="eastAsia" w:ascii="仿宋" w:hAnsi="仿宋" w:eastAsia="仿宋"/>
          <w:b w:val="0"/>
        </w:rPr>
        <w:t>财</w:t>
      </w:r>
      <w:r>
        <w:rPr>
          <w:rStyle w:val="22"/>
          <w:rFonts w:hint="eastAsia" w:ascii="仿宋" w:hAnsi="仿宋" w:eastAsia="仿宋"/>
          <w:b w:val="0"/>
          <w:bCs w:val="0"/>
        </w:rPr>
        <w:t>政拨款支出决算明细表</w:t>
      </w:r>
      <w:bookmarkEnd w:id="42"/>
    </w:p>
    <w:p>
      <w:pPr>
        <w:pStyle w:val="4"/>
        <w:rPr>
          <w:rFonts w:ascii="仿宋" w:hAnsi="仿宋" w:eastAsia="仿宋"/>
        </w:rPr>
      </w:pPr>
      <w:bookmarkStart w:id="43" w:name="_Toc177552634"/>
      <w:r>
        <w:rPr>
          <w:rStyle w:val="22"/>
          <w:rFonts w:hint="eastAsia" w:ascii="仿宋" w:hAnsi="仿宋" w:eastAsia="仿宋"/>
          <w:b w:val="0"/>
          <w:bCs w:val="0"/>
        </w:rPr>
        <w:t>六、</w:t>
      </w:r>
      <w:r>
        <w:rPr>
          <w:rFonts w:hint="eastAsia" w:ascii="仿宋" w:hAnsi="仿宋" w:eastAsia="仿宋"/>
          <w:b w:val="0"/>
        </w:rPr>
        <w:t>一</w:t>
      </w:r>
      <w:r>
        <w:rPr>
          <w:rStyle w:val="22"/>
          <w:rFonts w:hint="eastAsia" w:ascii="仿宋" w:hAnsi="仿宋" w:eastAsia="仿宋"/>
          <w:b w:val="0"/>
          <w:bCs w:val="0"/>
        </w:rPr>
        <w:t>般公共预算财政拨款支出决算表</w:t>
      </w:r>
      <w:bookmarkEnd w:id="43"/>
    </w:p>
    <w:p>
      <w:pPr>
        <w:pStyle w:val="4"/>
        <w:rPr>
          <w:rFonts w:ascii="仿宋" w:hAnsi="仿宋" w:eastAsia="仿宋"/>
        </w:rPr>
      </w:pPr>
      <w:bookmarkStart w:id="44" w:name="_Toc177552635"/>
      <w:r>
        <w:rPr>
          <w:rStyle w:val="22"/>
          <w:rFonts w:hint="eastAsia" w:ascii="仿宋" w:hAnsi="仿宋" w:eastAsia="仿宋"/>
          <w:b w:val="0"/>
          <w:bCs w:val="0"/>
        </w:rPr>
        <w:t>七、</w:t>
      </w:r>
      <w:r>
        <w:rPr>
          <w:rFonts w:hint="eastAsia" w:ascii="仿宋" w:hAnsi="仿宋" w:eastAsia="仿宋"/>
          <w:b w:val="0"/>
        </w:rPr>
        <w:t>一</w:t>
      </w:r>
      <w:r>
        <w:rPr>
          <w:rStyle w:val="22"/>
          <w:rFonts w:hint="eastAsia" w:ascii="仿宋" w:hAnsi="仿宋" w:eastAsia="仿宋"/>
          <w:b w:val="0"/>
          <w:bCs w:val="0"/>
        </w:rPr>
        <w:t>般公共预算财政拨款支出决算明细表</w:t>
      </w:r>
      <w:bookmarkEnd w:id="44"/>
    </w:p>
    <w:p>
      <w:pPr>
        <w:pStyle w:val="4"/>
        <w:rPr>
          <w:rFonts w:ascii="仿宋" w:hAnsi="仿宋" w:eastAsia="仿宋"/>
        </w:rPr>
      </w:pPr>
      <w:bookmarkStart w:id="45" w:name="_Toc177552636"/>
      <w:r>
        <w:rPr>
          <w:rStyle w:val="22"/>
          <w:rFonts w:hint="eastAsia" w:ascii="仿宋" w:hAnsi="仿宋" w:eastAsia="仿宋"/>
          <w:b w:val="0"/>
          <w:bCs w:val="0"/>
        </w:rPr>
        <w:t>八、</w:t>
      </w:r>
      <w:r>
        <w:rPr>
          <w:rFonts w:hint="eastAsia" w:ascii="仿宋" w:hAnsi="仿宋" w:eastAsia="仿宋"/>
          <w:b w:val="0"/>
        </w:rPr>
        <w:t>一</w:t>
      </w:r>
      <w:r>
        <w:rPr>
          <w:rStyle w:val="22"/>
          <w:rFonts w:hint="eastAsia" w:ascii="仿宋" w:hAnsi="仿宋" w:eastAsia="仿宋"/>
          <w:b w:val="0"/>
          <w:bCs w:val="0"/>
        </w:rPr>
        <w:t>般公共预算财政拨款基本支出决算表</w:t>
      </w:r>
      <w:bookmarkEnd w:id="45"/>
    </w:p>
    <w:p>
      <w:pPr>
        <w:pStyle w:val="4"/>
        <w:rPr>
          <w:rFonts w:ascii="仿宋" w:hAnsi="仿宋" w:eastAsia="仿宋"/>
        </w:rPr>
      </w:pPr>
      <w:bookmarkStart w:id="46" w:name="_Toc177552637"/>
      <w:r>
        <w:rPr>
          <w:rStyle w:val="22"/>
          <w:rFonts w:hint="eastAsia" w:ascii="仿宋" w:hAnsi="仿宋" w:eastAsia="仿宋"/>
          <w:b w:val="0"/>
          <w:bCs w:val="0"/>
        </w:rPr>
        <w:t>九、</w:t>
      </w:r>
      <w:r>
        <w:rPr>
          <w:rFonts w:hint="eastAsia" w:ascii="仿宋" w:hAnsi="仿宋" w:eastAsia="仿宋"/>
          <w:b w:val="0"/>
        </w:rPr>
        <w:t>一</w:t>
      </w:r>
      <w:r>
        <w:rPr>
          <w:rStyle w:val="22"/>
          <w:rFonts w:hint="eastAsia" w:ascii="仿宋" w:hAnsi="仿宋" w:eastAsia="仿宋"/>
          <w:b w:val="0"/>
          <w:bCs w:val="0"/>
        </w:rPr>
        <w:t>般公共预算财政拨款项目支出决算表</w:t>
      </w:r>
      <w:bookmarkEnd w:id="46"/>
    </w:p>
    <w:p>
      <w:pPr>
        <w:pStyle w:val="4"/>
        <w:rPr>
          <w:rFonts w:ascii="仿宋" w:hAnsi="仿宋" w:eastAsia="仿宋"/>
        </w:rPr>
      </w:pPr>
      <w:bookmarkStart w:id="47" w:name="_Toc177552638"/>
      <w:r>
        <w:rPr>
          <w:rStyle w:val="22"/>
          <w:rFonts w:hint="eastAsia" w:ascii="仿宋" w:hAnsi="仿宋" w:eastAsia="仿宋"/>
          <w:b w:val="0"/>
          <w:bCs w:val="0"/>
        </w:rPr>
        <w:t>十、</w:t>
      </w:r>
      <w:r>
        <w:rPr>
          <w:rFonts w:hint="eastAsia" w:ascii="仿宋" w:hAnsi="仿宋" w:eastAsia="仿宋"/>
          <w:b w:val="0"/>
        </w:rPr>
        <w:t>政</w:t>
      </w:r>
      <w:r>
        <w:rPr>
          <w:rStyle w:val="22"/>
          <w:rFonts w:hint="eastAsia" w:ascii="仿宋" w:hAnsi="仿宋" w:eastAsia="仿宋"/>
          <w:b w:val="0"/>
          <w:bCs w:val="0"/>
        </w:rPr>
        <w:t>府性基金预算财政拨款收入支出决算表</w:t>
      </w:r>
      <w:bookmarkEnd w:id="47"/>
    </w:p>
    <w:p>
      <w:pPr>
        <w:pStyle w:val="4"/>
        <w:rPr>
          <w:rFonts w:ascii="仿宋" w:hAnsi="仿宋" w:eastAsia="仿宋"/>
        </w:rPr>
      </w:pPr>
      <w:bookmarkStart w:id="48" w:name="_Toc177552639"/>
      <w:r>
        <w:rPr>
          <w:rStyle w:val="22"/>
          <w:rFonts w:hint="eastAsia" w:ascii="仿宋" w:hAnsi="仿宋" w:eastAsia="仿宋"/>
          <w:b w:val="0"/>
          <w:bCs w:val="0"/>
        </w:rPr>
        <w:t>十一、</w:t>
      </w:r>
      <w:r>
        <w:rPr>
          <w:rFonts w:hint="eastAsia" w:ascii="仿宋" w:hAnsi="仿宋" w:eastAsia="仿宋"/>
          <w:b w:val="0"/>
        </w:rPr>
        <w:t>国</w:t>
      </w:r>
      <w:r>
        <w:rPr>
          <w:rStyle w:val="22"/>
          <w:rFonts w:hint="eastAsia" w:ascii="仿宋" w:hAnsi="仿宋" w:eastAsia="仿宋"/>
          <w:b w:val="0"/>
          <w:bCs w:val="0"/>
        </w:rPr>
        <w:t>有资本经营预算财政拨款收入支出决算表</w:t>
      </w:r>
      <w:bookmarkEnd w:id="48"/>
    </w:p>
    <w:p>
      <w:pPr>
        <w:pStyle w:val="4"/>
        <w:rPr>
          <w:rFonts w:ascii="仿宋" w:hAnsi="仿宋" w:eastAsia="仿宋"/>
        </w:rPr>
      </w:pPr>
      <w:bookmarkStart w:id="49" w:name="_Toc177552640"/>
      <w:r>
        <w:rPr>
          <w:rStyle w:val="22"/>
          <w:rFonts w:hint="eastAsia" w:ascii="仿宋" w:hAnsi="仿宋" w:eastAsia="仿宋"/>
          <w:b w:val="0"/>
          <w:bCs w:val="0"/>
        </w:rPr>
        <w:t>十二、国有资本经营预算财政拨款支出决算表</w:t>
      </w:r>
      <w:bookmarkEnd w:id="49"/>
    </w:p>
    <w:p>
      <w:pPr>
        <w:pStyle w:val="4"/>
        <w:rPr>
          <w:rFonts w:eastAsia="仿宋"/>
        </w:rPr>
      </w:pPr>
      <w:bookmarkStart w:id="50" w:name="_Toc177552641"/>
      <w:r>
        <w:rPr>
          <w:rStyle w:val="22"/>
          <w:rFonts w:hint="eastAsia" w:ascii="仿宋" w:hAnsi="仿宋" w:eastAsia="仿宋"/>
          <w:b w:val="0"/>
          <w:bCs w:val="0"/>
        </w:rPr>
        <w:t>十三、财政拨款“三公”经费支出决算表</w:t>
      </w:r>
      <w:bookmarkEnd w:id="50"/>
    </w:p>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iberation Sans">
    <w:altName w:val="华文中宋"/>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8103"/>
      <w:docPartObj>
        <w:docPartGallery w:val="autotext"/>
      </w:docPartObj>
    </w:sdtPr>
    <w:sdtContent>
      <w:p>
        <w:pPr>
          <w:pStyle w:val="11"/>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3818A09A"/>
    <w:multiLevelType w:val="singleLevel"/>
    <w:tmpl w:val="3818A09A"/>
    <w:lvl w:ilvl="0" w:tentative="0">
      <w:start w:val="1"/>
      <w:numFmt w:val="chineseCounting"/>
      <w:suff w:val="nothing"/>
      <w:lvlText w:val="%1、"/>
      <w:lvlJc w:val="left"/>
      <w:rPr>
        <w:rFonts w:hint="eastAsia"/>
      </w:rPr>
    </w:lvl>
  </w:abstractNum>
  <w:abstractNum w:abstractNumId="2">
    <w:nsid w:val="7B49F5ED"/>
    <w:multiLevelType w:val="singleLevel"/>
    <w:tmpl w:val="7B49F5ED"/>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0"/>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D5F15"/>
    <w:rsid w:val="00007416"/>
    <w:rsid w:val="00056027"/>
    <w:rsid w:val="00062EC3"/>
    <w:rsid w:val="000D0218"/>
    <w:rsid w:val="001057A6"/>
    <w:rsid w:val="00110D47"/>
    <w:rsid w:val="00187C41"/>
    <w:rsid w:val="0019264B"/>
    <w:rsid w:val="001D2684"/>
    <w:rsid w:val="001D2A67"/>
    <w:rsid w:val="001D4E53"/>
    <w:rsid w:val="00215738"/>
    <w:rsid w:val="002646D5"/>
    <w:rsid w:val="002807FE"/>
    <w:rsid w:val="002D72B7"/>
    <w:rsid w:val="0030569A"/>
    <w:rsid w:val="003515A2"/>
    <w:rsid w:val="003701E4"/>
    <w:rsid w:val="00387625"/>
    <w:rsid w:val="003938FD"/>
    <w:rsid w:val="003C4A7F"/>
    <w:rsid w:val="003F077E"/>
    <w:rsid w:val="003F174E"/>
    <w:rsid w:val="003F2773"/>
    <w:rsid w:val="003F38F8"/>
    <w:rsid w:val="00451016"/>
    <w:rsid w:val="0045320E"/>
    <w:rsid w:val="004727B3"/>
    <w:rsid w:val="00496021"/>
    <w:rsid w:val="004A5B9E"/>
    <w:rsid w:val="004F1D19"/>
    <w:rsid w:val="00552354"/>
    <w:rsid w:val="00554E5B"/>
    <w:rsid w:val="005710DA"/>
    <w:rsid w:val="005A1116"/>
    <w:rsid w:val="005A423E"/>
    <w:rsid w:val="005A7B22"/>
    <w:rsid w:val="005B055A"/>
    <w:rsid w:val="005D0ECE"/>
    <w:rsid w:val="005D5F15"/>
    <w:rsid w:val="00602769"/>
    <w:rsid w:val="006160D6"/>
    <w:rsid w:val="00651485"/>
    <w:rsid w:val="00655F1B"/>
    <w:rsid w:val="0066278E"/>
    <w:rsid w:val="00696E86"/>
    <w:rsid w:val="006B47D2"/>
    <w:rsid w:val="007C48EE"/>
    <w:rsid w:val="008856E3"/>
    <w:rsid w:val="00893AF4"/>
    <w:rsid w:val="00893C6A"/>
    <w:rsid w:val="008A4AB3"/>
    <w:rsid w:val="0094506A"/>
    <w:rsid w:val="00962392"/>
    <w:rsid w:val="0099044D"/>
    <w:rsid w:val="009D355A"/>
    <w:rsid w:val="009E45FB"/>
    <w:rsid w:val="00A4151D"/>
    <w:rsid w:val="00AD2BC7"/>
    <w:rsid w:val="00B378EF"/>
    <w:rsid w:val="00B86B6C"/>
    <w:rsid w:val="00B911F2"/>
    <w:rsid w:val="00BA10A0"/>
    <w:rsid w:val="00C064CC"/>
    <w:rsid w:val="00C440AA"/>
    <w:rsid w:val="00C52639"/>
    <w:rsid w:val="00C64DE7"/>
    <w:rsid w:val="00C807C5"/>
    <w:rsid w:val="00CB4EE9"/>
    <w:rsid w:val="00CC11BE"/>
    <w:rsid w:val="00CE732D"/>
    <w:rsid w:val="00CF1064"/>
    <w:rsid w:val="00CF7531"/>
    <w:rsid w:val="00D4005A"/>
    <w:rsid w:val="00D44C7F"/>
    <w:rsid w:val="00D55BBE"/>
    <w:rsid w:val="00DE08CF"/>
    <w:rsid w:val="00DF3052"/>
    <w:rsid w:val="00E03C43"/>
    <w:rsid w:val="00E37293"/>
    <w:rsid w:val="00E92D81"/>
    <w:rsid w:val="00EB0E7E"/>
    <w:rsid w:val="00ED37F8"/>
    <w:rsid w:val="00F52D77"/>
    <w:rsid w:val="00F574F2"/>
    <w:rsid w:val="00F71E91"/>
    <w:rsid w:val="00F76A70"/>
    <w:rsid w:val="00F95E3F"/>
    <w:rsid w:val="07D360D6"/>
    <w:rsid w:val="27F59F5C"/>
    <w:rsid w:val="373F1D59"/>
    <w:rsid w:val="3DDFD299"/>
    <w:rsid w:val="3F7D9A4A"/>
    <w:rsid w:val="6FF76E73"/>
    <w:rsid w:val="72F90CB6"/>
    <w:rsid w:val="79B6A395"/>
    <w:rsid w:val="7BFFE41D"/>
    <w:rsid w:val="7CB17E02"/>
    <w:rsid w:val="7EB37C5E"/>
    <w:rsid w:val="B5B9744D"/>
    <w:rsid w:val="CBFE919C"/>
    <w:rsid w:val="DE6DA011"/>
    <w:rsid w:val="EDDBD81C"/>
    <w:rsid w:val="EFFD707F"/>
    <w:rsid w:val="F375EAB6"/>
    <w:rsid w:val="F6FF4A73"/>
    <w:rsid w:val="FF5FD7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99"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qFormat/>
    <w:uiPriority w:val="9"/>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qFormat/>
    <w:uiPriority w:val="99"/>
    <w:pPr>
      <w:spacing w:after="140" w:line="276" w:lineRule="auto"/>
    </w:pPr>
  </w:style>
  <w:style w:type="paragraph" w:styleId="5">
    <w:name w:val="caption"/>
    <w:basedOn w:val="1"/>
    <w:next w:val="1"/>
    <w:qFormat/>
    <w:uiPriority w:val="0"/>
    <w:pPr>
      <w:suppressLineNumbers/>
      <w:spacing w:before="120" w:after="120"/>
    </w:pPr>
    <w:rPr>
      <w:i/>
      <w:iCs/>
      <w:sz w:val="24"/>
    </w:rPr>
  </w:style>
  <w:style w:type="paragraph" w:styleId="6">
    <w:name w:val="index 6"/>
    <w:basedOn w:val="1"/>
    <w:next w:val="1"/>
    <w:qFormat/>
    <w:uiPriority w:val="0"/>
    <w:pPr>
      <w:ind w:left="2100"/>
      <w:jc w:val="center"/>
    </w:pPr>
  </w:style>
  <w:style w:type="paragraph" w:styleId="7">
    <w:name w:val="Body Text Indent"/>
    <w:basedOn w:val="1"/>
    <w:next w:val="8"/>
    <w:qFormat/>
    <w:uiPriority w:val="0"/>
    <w:pPr>
      <w:spacing w:after="120"/>
      <w:ind w:left="200" w:leftChars="200"/>
    </w:pPr>
    <w:rPr>
      <w:rFonts w:ascii="仿宋_GB2312"/>
      <w:szCs w:val="32"/>
    </w:rPr>
  </w:style>
  <w:style w:type="paragraph" w:styleId="8">
    <w:name w:val="Body Text First Indent 2"/>
    <w:basedOn w:val="7"/>
    <w:next w:val="6"/>
    <w:unhideWhenUsed/>
    <w:qFormat/>
    <w:uiPriority w:val="99"/>
    <w:pPr>
      <w:ind w:firstLine="420" w:firstLineChars="200"/>
    </w:pPr>
  </w:style>
  <w:style w:type="paragraph" w:styleId="9">
    <w:name w:val="toc 3"/>
    <w:basedOn w:val="1"/>
    <w:next w:val="1"/>
    <w:qFormat/>
    <w:uiPriority w:val="39"/>
    <w:pPr>
      <w:ind w:left="840" w:leftChars="400"/>
    </w:pPr>
  </w:style>
  <w:style w:type="paragraph" w:styleId="10">
    <w:name w:val="Balloon Text"/>
    <w:basedOn w:val="1"/>
    <w:link w:val="31"/>
    <w:qFormat/>
    <w:uiPriority w:val="0"/>
    <w:rPr>
      <w:sz w:val="18"/>
      <w:szCs w:val="18"/>
    </w:rPr>
  </w:style>
  <w:style w:type="paragraph" w:styleId="11">
    <w:name w:val="footer"/>
    <w:basedOn w:val="1"/>
    <w:link w:val="30"/>
    <w:qFormat/>
    <w:uiPriority w:val="99"/>
    <w:pPr>
      <w:tabs>
        <w:tab w:val="center" w:pos="4153"/>
        <w:tab w:val="right" w:pos="8306"/>
      </w:tabs>
      <w:snapToGrid w:val="0"/>
      <w:jc w:val="left"/>
    </w:pPr>
    <w:rPr>
      <w:sz w:val="18"/>
      <w:szCs w:val="18"/>
    </w:rPr>
  </w:style>
  <w:style w:type="paragraph" w:styleId="12">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List"/>
    <w:basedOn w:val="2"/>
    <w:qFormat/>
    <w:uiPriority w:val="0"/>
  </w:style>
  <w:style w:type="paragraph" w:styleId="15">
    <w:name w:val="footnote text"/>
    <w:basedOn w:val="1"/>
    <w:next w:val="8"/>
    <w:semiHidden/>
    <w:qFormat/>
    <w:uiPriority w:val="0"/>
    <w:pPr>
      <w:snapToGrid w:val="0"/>
      <w:jc w:val="left"/>
    </w:pPr>
    <w:rPr>
      <w:sz w:val="18"/>
      <w:szCs w:val="18"/>
    </w:r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rPr>
  </w:style>
  <w:style w:type="character" w:customStyle="1" w:styleId="21">
    <w:name w:val="标题 1 Char"/>
    <w:basedOn w:val="18"/>
    <w:link w:val="3"/>
    <w:qFormat/>
    <w:uiPriority w:val="9"/>
    <w:rPr>
      <w:b/>
      <w:bCs/>
      <w:kern w:val="44"/>
      <w:sz w:val="44"/>
      <w:szCs w:val="44"/>
    </w:rPr>
  </w:style>
  <w:style w:type="character" w:customStyle="1" w:styleId="22">
    <w:name w:val="标题 2 Char"/>
    <w:basedOn w:val="18"/>
    <w:link w:val="4"/>
    <w:qFormat/>
    <w:uiPriority w:val="9"/>
    <w:rPr>
      <w:rFonts w:ascii="Cambria" w:hAnsi="Cambria" w:eastAsia="宋体" w:cs="Times New Roman"/>
      <w:b/>
      <w:bCs/>
      <w:sz w:val="32"/>
      <w:szCs w:val="32"/>
    </w:rPr>
  </w:style>
  <w:style w:type="character" w:customStyle="1" w:styleId="23">
    <w:name w:val="正文文本 Char"/>
    <w:basedOn w:val="18"/>
    <w:link w:val="2"/>
    <w:qFormat/>
    <w:uiPriority w:val="99"/>
    <w:rPr>
      <w:rFonts w:ascii="Calibri" w:hAnsi="Calibri"/>
      <w:kern w:val="2"/>
      <w:sz w:val="21"/>
      <w:szCs w:val="24"/>
    </w:rPr>
  </w:style>
  <w:style w:type="character" w:customStyle="1" w:styleId="24">
    <w:name w:val="默认段落字体1"/>
    <w:qFormat/>
    <w:uiPriority w:val="0"/>
  </w:style>
  <w:style w:type="paragraph" w:customStyle="1" w:styleId="25">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26">
    <w:name w:val="Index"/>
    <w:basedOn w:val="1"/>
    <w:qFormat/>
    <w:uiPriority w:val="0"/>
    <w:pPr>
      <w:suppressLineNumbers/>
    </w:pPr>
  </w:style>
  <w:style w:type="paragraph" w:styleId="27">
    <w:name w:val="List Paragraph"/>
    <w:basedOn w:val="1"/>
    <w:qFormat/>
    <w:uiPriority w:val="34"/>
    <w:pPr>
      <w:ind w:firstLine="420" w:firstLineChars="200"/>
    </w:p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9">
    <w:name w:val="页眉 Char"/>
    <w:basedOn w:val="18"/>
    <w:link w:val="12"/>
    <w:qFormat/>
    <w:uiPriority w:val="0"/>
    <w:rPr>
      <w:rFonts w:ascii="Calibri" w:hAnsi="Calibri"/>
      <w:kern w:val="2"/>
      <w:sz w:val="18"/>
      <w:szCs w:val="18"/>
    </w:rPr>
  </w:style>
  <w:style w:type="character" w:customStyle="1" w:styleId="30">
    <w:name w:val="页脚 Char"/>
    <w:basedOn w:val="18"/>
    <w:link w:val="11"/>
    <w:qFormat/>
    <w:uiPriority w:val="99"/>
    <w:rPr>
      <w:rFonts w:ascii="Calibri" w:hAnsi="Calibri"/>
      <w:kern w:val="2"/>
      <w:sz w:val="18"/>
      <w:szCs w:val="18"/>
    </w:rPr>
  </w:style>
  <w:style w:type="character" w:customStyle="1" w:styleId="31">
    <w:name w:val="批注框文本 Char"/>
    <w:basedOn w:val="18"/>
    <w:link w:val="10"/>
    <w:qFormat/>
    <w:uiPriority w:val="0"/>
    <w:rPr>
      <w:rFonts w:ascii="Calibri" w:hAnsi="Calibri"/>
      <w:kern w:val="2"/>
      <w:sz w:val="18"/>
      <w:szCs w:val="18"/>
    </w:rPr>
  </w:style>
  <w:style w:type="paragraph" w:customStyle="1" w:styleId="32">
    <w:name w:val="TOC 标题1"/>
    <w:basedOn w:val="3"/>
    <w:next w:val="1"/>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13878</Words>
  <Characters>16017</Characters>
  <Lines>148</Lines>
  <Paragraphs>41</Paragraphs>
  <TotalTime>10</TotalTime>
  <ScaleCrop>false</ScaleCrop>
  <LinksUpToDate>false</LinksUpToDate>
  <CharactersWithSpaces>16287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2024-09-18T17:26:00Z</dcterms:created>
  <dc:creator>user</dc:creator>
  <cp:lastModifiedBy> </cp:lastModifiedBy>
  <dcterms:modified xsi:type="dcterms:W3CDTF">2024-10-12T20:31:51Z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F8942EA683FF47F7BC7E53325986DDFC_12</vt:lpwstr>
  </property>
</Properties>
</file>