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CC80B">
      <w:pPr>
        <w:spacing w:line="600" w:lineRule="exact"/>
        <w:jc w:val="left"/>
        <w:outlineLvl w:val="9"/>
        <w:rPr>
          <w:rFonts w:ascii="方正小标宋简体" w:hAnsi="宋体" w:eastAsia="方正小标宋简体"/>
          <w:szCs w:val="21"/>
        </w:rPr>
      </w:pPr>
      <w:bookmarkStart w:id="0" w:name="_Toc15306267"/>
    </w:p>
    <w:p w14:paraId="47ACADD2">
      <w:pPr>
        <w:pStyle w:val="2"/>
        <w:spacing w:before="93"/>
      </w:pPr>
    </w:p>
    <w:p w14:paraId="7547BAEA">
      <w:pPr>
        <w:spacing w:line="600" w:lineRule="exact"/>
        <w:jc w:val="center"/>
        <w:outlineLvl w:val="9"/>
        <w:rPr>
          <w:rFonts w:ascii="方正小标宋简体" w:hAnsi="宋体" w:eastAsia="方正小标宋简体"/>
          <w:sz w:val="72"/>
          <w:szCs w:val="72"/>
        </w:rPr>
      </w:pPr>
    </w:p>
    <w:p w14:paraId="16E98F53">
      <w:pPr>
        <w:spacing w:line="600" w:lineRule="exact"/>
        <w:jc w:val="center"/>
        <w:outlineLvl w:val="9"/>
        <w:rPr>
          <w:rFonts w:ascii="方正小标宋简体" w:hAnsi="宋体" w:eastAsia="方正小标宋简体"/>
          <w:sz w:val="72"/>
          <w:szCs w:val="72"/>
        </w:rPr>
      </w:pPr>
    </w:p>
    <w:p w14:paraId="12B34660">
      <w:pPr>
        <w:adjustRightInd w:val="0"/>
        <w:snapToGrid w:val="0"/>
        <w:spacing w:line="360" w:lineRule="auto"/>
        <w:jc w:val="center"/>
        <w:outlineLvl w:val="0"/>
        <w:rPr>
          <w:rFonts w:hint="eastAsia" w:ascii="黑体" w:hAnsi="黑体" w:eastAsia="黑体" w:cs="黑体"/>
          <w:sz w:val="72"/>
          <w:szCs w:val="72"/>
        </w:rPr>
      </w:pPr>
      <w:bookmarkStart w:id="1" w:name="_Toc15377193"/>
      <w:bookmarkStart w:id="2" w:name="_Toc23126"/>
      <w:bookmarkStart w:id="3" w:name="_Toc15396475"/>
      <w:bookmarkStart w:id="4" w:name="_Toc26510"/>
      <w:bookmarkStart w:id="5" w:name="_Toc15378441"/>
      <w:bookmarkStart w:id="6" w:name="_Toc15396597"/>
      <w:bookmarkStart w:id="7" w:name="_Toc15377425"/>
      <w:r>
        <w:rPr>
          <w:rFonts w:hint="eastAsia" w:ascii="黑体" w:hAnsi="黑体" w:eastAsia="黑体" w:cs="黑体"/>
          <w:sz w:val="72"/>
          <w:szCs w:val="72"/>
        </w:rPr>
        <w:t>2023年度</w:t>
      </w:r>
      <w:bookmarkEnd w:id="1"/>
      <w:bookmarkEnd w:id="2"/>
      <w:bookmarkEnd w:id="3"/>
      <w:bookmarkEnd w:id="4"/>
      <w:bookmarkEnd w:id="5"/>
      <w:bookmarkEnd w:id="6"/>
      <w:bookmarkEnd w:id="7"/>
    </w:p>
    <w:bookmarkEnd w:id="0"/>
    <w:p w14:paraId="267556D7">
      <w:pPr>
        <w:adjustRightInd w:val="0"/>
        <w:snapToGrid w:val="0"/>
        <w:spacing w:line="360" w:lineRule="auto"/>
        <w:jc w:val="center"/>
        <w:outlineLvl w:val="0"/>
        <w:rPr>
          <w:rFonts w:hint="eastAsia" w:ascii="黑体" w:hAnsi="黑体" w:eastAsia="黑体" w:cs="黑体"/>
          <w:sz w:val="72"/>
          <w:szCs w:val="72"/>
        </w:rPr>
      </w:pPr>
      <w:bookmarkStart w:id="8" w:name="_Toc9615"/>
      <w:bookmarkStart w:id="9" w:name="_Toc26262"/>
      <w:bookmarkStart w:id="10" w:name="_Toc15377426"/>
      <w:bookmarkStart w:id="11" w:name="_Toc15396476"/>
      <w:bookmarkStart w:id="12" w:name="_Toc15378442"/>
      <w:bookmarkStart w:id="13" w:name="_Toc15396598"/>
      <w:bookmarkStart w:id="14" w:name="_Toc15306268"/>
      <w:bookmarkStart w:id="15" w:name="_Toc15377194"/>
      <w:r>
        <w:rPr>
          <w:rFonts w:hint="eastAsia" w:ascii="黑体" w:hAnsi="黑体" w:eastAsia="黑体" w:cs="黑体"/>
          <w:sz w:val="72"/>
          <w:szCs w:val="72"/>
        </w:rPr>
        <w:t>广元市教师发展中心</w:t>
      </w:r>
      <w:bookmarkEnd w:id="8"/>
      <w:bookmarkEnd w:id="9"/>
    </w:p>
    <w:p w14:paraId="4123E294">
      <w:pPr>
        <w:adjustRightInd w:val="0"/>
        <w:snapToGrid w:val="0"/>
        <w:spacing w:line="360" w:lineRule="auto"/>
        <w:jc w:val="center"/>
        <w:outlineLvl w:val="0"/>
        <w:rPr>
          <w:rFonts w:hint="eastAsia" w:ascii="黑体" w:hAnsi="黑体" w:eastAsia="黑体" w:cs="黑体"/>
          <w:sz w:val="72"/>
          <w:szCs w:val="72"/>
          <w:lang w:val="en-US" w:eastAsia="zh-CN"/>
        </w:rPr>
      </w:pPr>
      <w:bookmarkStart w:id="16" w:name="_Toc9589"/>
      <w:bookmarkStart w:id="17" w:name="_Toc5863"/>
      <w:r>
        <w:rPr>
          <w:rFonts w:hint="eastAsia" w:ascii="黑体" w:hAnsi="黑体" w:eastAsia="黑体" w:cs="黑体"/>
          <w:sz w:val="72"/>
          <w:szCs w:val="72"/>
        </w:rPr>
        <w:t>单位决算</w:t>
      </w:r>
      <w:bookmarkEnd w:id="10"/>
      <w:bookmarkEnd w:id="11"/>
      <w:bookmarkEnd w:id="12"/>
      <w:bookmarkEnd w:id="13"/>
      <w:bookmarkEnd w:id="14"/>
      <w:bookmarkEnd w:id="15"/>
      <w:bookmarkEnd w:id="16"/>
      <w:bookmarkEnd w:id="17"/>
    </w:p>
    <w:p w14:paraId="432432BE">
      <w:pPr>
        <w:pStyle w:val="3"/>
        <w:jc w:val="center"/>
        <w:outlineLvl w:val="9"/>
        <w:rPr>
          <w:rFonts w:hint="eastAsia" w:ascii="黑体" w:hAnsi="黑体" w:eastAsia="黑体" w:cs="黑体"/>
          <w:color w:val="auto"/>
          <w:sz w:val="28"/>
          <w:szCs w:val="28"/>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bookmarkStart w:id="18" w:name="_Toc15396599"/>
      <w:bookmarkStart w:id="19" w:name="_Toc15377196"/>
    </w:p>
    <w:sdt>
      <w:sdtPr>
        <w:rPr>
          <w:rFonts w:hint="eastAsia" w:ascii="黑体" w:hAnsi="黑体" w:eastAsia="黑体" w:cs="黑体"/>
          <w:kern w:val="2"/>
          <w:sz w:val="48"/>
          <w:szCs w:val="48"/>
          <w:lang w:val="en-US" w:eastAsia="zh-CN" w:bidi="ar-SA"/>
        </w:rPr>
        <w:id w:val="147479483"/>
        <w15:color w:val="DBDBDB"/>
        <w:docPartObj>
          <w:docPartGallery w:val="Table of Contents"/>
          <w:docPartUnique/>
        </w:docPartObj>
      </w:sdtPr>
      <w:sdtEndPr>
        <w:rPr>
          <w:rFonts w:hint="eastAsia" w:ascii="仿宋" w:hAnsi="仿宋" w:eastAsia="仿宋" w:cs="仿宋"/>
          <w:b/>
          <w:bCs/>
          <w:color w:val="auto"/>
          <w:kern w:val="44"/>
          <w:sz w:val="44"/>
          <w:szCs w:val="28"/>
          <w:highlight w:val="none"/>
          <w:lang w:val="en-US" w:eastAsia="zh-CN" w:bidi="ar-SA"/>
        </w:rPr>
      </w:sdtEndPr>
      <w:sdtContent>
        <w:p w14:paraId="0336F92C">
          <w:pPr>
            <w:spacing w:before="0" w:beforeLines="0" w:after="0" w:afterLines="0" w:line="240" w:lineRule="auto"/>
            <w:ind w:left="0" w:leftChars="0" w:right="0" w:rightChars="0" w:firstLine="0" w:firstLineChars="0"/>
            <w:jc w:val="center"/>
            <w:rPr>
              <w:rFonts w:hint="eastAsia" w:ascii="黑体" w:hAnsi="黑体" w:eastAsia="黑体" w:cs="黑体"/>
              <w:sz w:val="48"/>
              <w:szCs w:val="48"/>
            </w:rPr>
          </w:pPr>
          <w:bookmarkStart w:id="20" w:name="_Toc6920"/>
          <w:bookmarkStart w:id="139" w:name="_GoBack"/>
          <w:bookmarkEnd w:id="139"/>
          <w:r>
            <w:rPr>
              <w:rFonts w:hint="eastAsia" w:ascii="黑体" w:hAnsi="黑体" w:eastAsia="黑体" w:cs="黑体"/>
              <w:sz w:val="48"/>
              <w:szCs w:val="48"/>
            </w:rPr>
            <w:t>目录</w:t>
          </w:r>
        </w:p>
        <w:p w14:paraId="1E2E5914">
          <w:pPr>
            <w:pStyle w:val="2"/>
            <w:jc w:val="center"/>
            <w:rPr>
              <w:rFonts w:hint="eastAsia"/>
            </w:rPr>
          </w:pPr>
          <w:r>
            <w:rPr>
              <w:rFonts w:hint="eastAsia" w:ascii="仿宋" w:hAnsi="仿宋" w:eastAsia="仿宋" w:cs="仿宋"/>
              <w:color w:val="auto"/>
              <w:sz w:val="28"/>
              <w:szCs w:val="28"/>
              <w:highlight w:val="none"/>
            </w:rPr>
            <w:t>公开时间：20</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10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 xml:space="preserve"> 14</w:t>
          </w:r>
          <w:r>
            <w:rPr>
              <w:rFonts w:hint="eastAsia" w:ascii="仿宋" w:hAnsi="仿宋" w:eastAsia="仿宋" w:cs="仿宋"/>
              <w:color w:val="auto"/>
              <w:sz w:val="28"/>
              <w:szCs w:val="28"/>
              <w:highlight w:val="none"/>
            </w:rPr>
            <w:t>日</w:t>
          </w:r>
        </w:p>
        <w:p w14:paraId="2BC3DDB0">
          <w:pPr>
            <w:pStyle w:val="33"/>
            <w:tabs>
              <w:tab w:val="right" w:leader="dot" w:pos="8306"/>
            </w:tabs>
            <w:rPr>
              <w:b/>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TOC \o "1-2" \h \u </w:instrText>
          </w:r>
          <w:r>
            <w:rPr>
              <w:rFonts w:hint="eastAsia" w:ascii="仿宋" w:hAnsi="仿宋" w:eastAsia="仿宋" w:cs="仿宋"/>
              <w:color w:val="auto"/>
              <w:sz w:val="28"/>
              <w:szCs w:val="28"/>
              <w:highlight w:val="none"/>
            </w:rPr>
            <w:fldChar w:fldCharType="separate"/>
          </w:r>
        </w:p>
        <w:p w14:paraId="1DE4A68F">
          <w:pPr>
            <w:pStyle w:val="33"/>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_Toc5989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第一部分 单位</w:t>
          </w:r>
          <w:r>
            <w:rPr>
              <w:rFonts w:hint="eastAsia" w:ascii="楷体" w:hAnsi="楷体" w:eastAsia="楷体" w:cs="楷体"/>
              <w:b/>
              <w:bCs w:val="0"/>
              <w:sz w:val="21"/>
              <w:szCs w:val="21"/>
            </w:rPr>
            <w:t>概况</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_Toc5989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14:paraId="572935B8">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_Toc20123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一、主要职责</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_Toc20123 \h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482E1CAF">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_Toc30683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二、机构设置</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_Toc30683 \h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4A88AB8">
          <w:pPr>
            <w:pStyle w:val="33"/>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_Toc23832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第二部分 2023年度</w:t>
          </w:r>
          <w:r>
            <w:rPr>
              <w:rFonts w:hint="eastAsia" w:ascii="楷体" w:hAnsi="楷体" w:eastAsia="楷体" w:cs="楷体"/>
              <w:b/>
              <w:bCs/>
              <w:sz w:val="21"/>
              <w:szCs w:val="21"/>
            </w:rPr>
            <w:t>单位决算情况说明</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_Toc23832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2</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14:paraId="3D64C265">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_Toc27646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一、收入支出决算总体情况说明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_Toc27646 \h </w:instrText>
          </w:r>
          <w:r>
            <w:rPr>
              <w:rFonts w:hint="eastAsia" w:ascii="楷体" w:hAnsi="楷体" w:eastAsia="楷体" w:cs="楷体"/>
              <w:sz w:val="21"/>
              <w:szCs w:val="21"/>
            </w:rPr>
            <w:fldChar w:fldCharType="separate"/>
          </w:r>
          <w:r>
            <w:rPr>
              <w:rFonts w:hint="eastAsia" w:ascii="楷体" w:hAnsi="楷体" w:eastAsia="楷体" w:cs="楷体"/>
              <w:sz w:val="21"/>
              <w:szCs w:val="21"/>
            </w:rPr>
            <w:t>2</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170EA43D">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_Toc30844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二、收入决算情况说明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_Toc30844 \h </w:instrText>
          </w:r>
          <w:r>
            <w:rPr>
              <w:rFonts w:hint="eastAsia" w:ascii="楷体" w:hAnsi="楷体" w:eastAsia="楷体" w:cs="楷体"/>
              <w:sz w:val="21"/>
              <w:szCs w:val="21"/>
            </w:rPr>
            <w:fldChar w:fldCharType="separate"/>
          </w:r>
          <w:r>
            <w:rPr>
              <w:rFonts w:hint="eastAsia" w:ascii="楷体" w:hAnsi="楷体" w:eastAsia="楷体" w:cs="楷体"/>
              <w:sz w:val="21"/>
              <w:szCs w:val="21"/>
            </w:rPr>
            <w:t>2</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73C63449">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_Toc29653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三、支出决算情况说明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_Toc29653 \h </w:instrText>
          </w:r>
          <w:r>
            <w:rPr>
              <w:rFonts w:hint="eastAsia" w:ascii="楷体" w:hAnsi="楷体" w:eastAsia="楷体" w:cs="楷体"/>
              <w:sz w:val="21"/>
              <w:szCs w:val="21"/>
            </w:rPr>
            <w:fldChar w:fldCharType="separate"/>
          </w:r>
          <w:r>
            <w:rPr>
              <w:rFonts w:hint="eastAsia" w:ascii="楷体" w:hAnsi="楷体" w:eastAsia="楷体" w:cs="楷体"/>
              <w:sz w:val="21"/>
              <w:szCs w:val="21"/>
            </w:rPr>
            <w:t>3</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0B22095">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_Toc16346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四、财政拨款收入支出决算总体情况说明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_Toc16346 \h </w:instrText>
          </w:r>
          <w:r>
            <w:rPr>
              <w:rFonts w:hint="eastAsia" w:ascii="楷体" w:hAnsi="楷体" w:eastAsia="楷体" w:cs="楷体"/>
              <w:sz w:val="21"/>
              <w:szCs w:val="21"/>
            </w:rPr>
            <w:fldChar w:fldCharType="separate"/>
          </w:r>
          <w:r>
            <w:rPr>
              <w:rFonts w:hint="eastAsia" w:ascii="楷体" w:hAnsi="楷体" w:eastAsia="楷体" w:cs="楷体"/>
              <w:sz w:val="21"/>
              <w:szCs w:val="21"/>
            </w:rPr>
            <w:t>4</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FC1654D">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_Toc18765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五、一般公共预算财政拨款支出决算情况说明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_Toc18765 \h </w:instrText>
          </w:r>
          <w:r>
            <w:rPr>
              <w:rFonts w:hint="eastAsia" w:ascii="楷体" w:hAnsi="楷体" w:eastAsia="楷体" w:cs="楷体"/>
              <w:sz w:val="21"/>
              <w:szCs w:val="21"/>
            </w:rPr>
            <w:fldChar w:fldCharType="separate"/>
          </w:r>
          <w:r>
            <w:rPr>
              <w:rFonts w:hint="eastAsia" w:ascii="楷体" w:hAnsi="楷体" w:eastAsia="楷体" w:cs="楷体"/>
              <w:sz w:val="21"/>
              <w:szCs w:val="21"/>
            </w:rPr>
            <w:t>4</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E39EEDA">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_Toc12206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六、一般公共预算财政拨款基本支出决算情况说明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_Toc12206 \h </w:instrText>
          </w:r>
          <w:r>
            <w:rPr>
              <w:rFonts w:hint="eastAsia" w:ascii="楷体" w:hAnsi="楷体" w:eastAsia="楷体" w:cs="楷体"/>
              <w:sz w:val="21"/>
              <w:szCs w:val="21"/>
            </w:rPr>
            <w:fldChar w:fldCharType="separate"/>
          </w:r>
          <w:r>
            <w:rPr>
              <w:rFonts w:hint="eastAsia" w:ascii="楷体" w:hAnsi="楷体" w:eastAsia="楷体" w:cs="楷体"/>
              <w:sz w:val="21"/>
              <w:szCs w:val="21"/>
            </w:rPr>
            <w:t>7</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12A06F59">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_Toc16915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七、财政拨款“三公”经费支出决算情况说明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_Toc16915 \h </w:instrText>
          </w:r>
          <w:r>
            <w:rPr>
              <w:rFonts w:hint="eastAsia" w:ascii="楷体" w:hAnsi="楷体" w:eastAsia="楷体" w:cs="楷体"/>
              <w:sz w:val="21"/>
              <w:szCs w:val="21"/>
            </w:rPr>
            <w:fldChar w:fldCharType="separate"/>
          </w:r>
          <w:r>
            <w:rPr>
              <w:rFonts w:hint="eastAsia" w:ascii="楷体" w:hAnsi="楷体" w:eastAsia="楷体" w:cs="楷体"/>
              <w:sz w:val="21"/>
              <w:szCs w:val="21"/>
            </w:rPr>
            <w:t>7</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64D11701">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_Toc4410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八、政府性基金预算支出决算情况说明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_Toc4410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6B30BDFC">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_Toc19445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九、国有资本经营预算支出决算情况说明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_Toc19445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1543710E">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_Toc12705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十、其他重要事项的情况说明</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_Toc12705 \h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6A3A2F16">
          <w:pPr>
            <w:pStyle w:val="33"/>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_Toc21429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第三部分 名词解释</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_Toc21429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10</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14:paraId="37F19989">
          <w:pPr>
            <w:pStyle w:val="33"/>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_Toc30243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第四部分 附件</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_Toc30243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12</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14:paraId="2A1C2ECF">
          <w:pPr>
            <w:pStyle w:val="33"/>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b/>
              <w:sz w:val="21"/>
              <w:szCs w:val="21"/>
            </w:rPr>
          </w:pPr>
          <w:r>
            <w:rPr>
              <w:rFonts w:hint="eastAsia" w:ascii="楷体" w:hAnsi="楷体" w:eastAsia="楷体" w:cs="楷体"/>
              <w:b/>
              <w:color w:val="auto"/>
              <w:sz w:val="21"/>
              <w:szCs w:val="21"/>
              <w:highlight w:val="none"/>
            </w:rPr>
            <w:fldChar w:fldCharType="begin"/>
          </w:r>
          <w:r>
            <w:rPr>
              <w:rFonts w:hint="eastAsia" w:ascii="楷体" w:hAnsi="楷体" w:eastAsia="楷体" w:cs="楷体"/>
              <w:b/>
              <w:sz w:val="21"/>
              <w:szCs w:val="21"/>
              <w:highlight w:val="none"/>
            </w:rPr>
            <w:instrText xml:space="preserve"> HYPERLINK \l _Toc12046 </w:instrText>
          </w:r>
          <w:r>
            <w:rPr>
              <w:rFonts w:hint="eastAsia" w:ascii="楷体" w:hAnsi="楷体" w:eastAsia="楷体" w:cs="楷体"/>
              <w:b/>
              <w:sz w:val="21"/>
              <w:szCs w:val="21"/>
              <w:highlight w:val="none"/>
            </w:rPr>
            <w:fldChar w:fldCharType="separate"/>
          </w:r>
          <w:r>
            <w:rPr>
              <w:rFonts w:hint="eastAsia" w:ascii="楷体" w:hAnsi="楷体" w:eastAsia="楷体" w:cs="楷体"/>
              <w:b/>
              <w:sz w:val="21"/>
              <w:szCs w:val="21"/>
            </w:rPr>
            <w:t>第五部分 附表</w:t>
          </w:r>
          <w:r>
            <w:rPr>
              <w:rFonts w:hint="eastAsia" w:ascii="楷体" w:hAnsi="楷体" w:eastAsia="楷体" w:cs="楷体"/>
              <w:b/>
              <w:sz w:val="21"/>
              <w:szCs w:val="21"/>
            </w:rPr>
            <w:tab/>
          </w:r>
          <w:r>
            <w:rPr>
              <w:rFonts w:hint="eastAsia" w:ascii="楷体" w:hAnsi="楷体" w:eastAsia="楷体" w:cs="楷体"/>
              <w:b/>
              <w:sz w:val="21"/>
              <w:szCs w:val="21"/>
            </w:rPr>
            <w:fldChar w:fldCharType="begin"/>
          </w:r>
          <w:r>
            <w:rPr>
              <w:rFonts w:hint="eastAsia" w:ascii="楷体" w:hAnsi="楷体" w:eastAsia="楷体" w:cs="楷体"/>
              <w:b/>
              <w:sz w:val="21"/>
              <w:szCs w:val="21"/>
            </w:rPr>
            <w:instrText xml:space="preserve"> PAGEREF _Toc12046 \h </w:instrText>
          </w:r>
          <w:r>
            <w:rPr>
              <w:rFonts w:hint="eastAsia" w:ascii="楷体" w:hAnsi="楷体" w:eastAsia="楷体" w:cs="楷体"/>
              <w:b/>
              <w:sz w:val="21"/>
              <w:szCs w:val="21"/>
            </w:rPr>
            <w:fldChar w:fldCharType="separate"/>
          </w:r>
          <w:r>
            <w:rPr>
              <w:rFonts w:hint="eastAsia" w:ascii="楷体" w:hAnsi="楷体" w:eastAsia="楷体" w:cs="楷体"/>
              <w:b/>
              <w:sz w:val="21"/>
              <w:szCs w:val="21"/>
            </w:rPr>
            <w:t>25</w:t>
          </w:r>
          <w:r>
            <w:rPr>
              <w:rFonts w:hint="eastAsia" w:ascii="楷体" w:hAnsi="楷体" w:eastAsia="楷体" w:cs="楷体"/>
              <w:b/>
              <w:sz w:val="21"/>
              <w:szCs w:val="21"/>
            </w:rPr>
            <w:fldChar w:fldCharType="end"/>
          </w:r>
          <w:r>
            <w:rPr>
              <w:rFonts w:hint="eastAsia" w:ascii="楷体" w:hAnsi="楷体" w:eastAsia="楷体" w:cs="楷体"/>
              <w:b/>
              <w:color w:val="auto"/>
              <w:sz w:val="21"/>
              <w:szCs w:val="21"/>
              <w:highlight w:val="none"/>
            </w:rPr>
            <w:fldChar w:fldCharType="end"/>
          </w:r>
        </w:p>
        <w:p w14:paraId="35DDC421">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_Toc13594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一、收</w:t>
          </w:r>
          <w:r>
            <w:rPr>
              <w:rFonts w:hint="eastAsia" w:ascii="楷体" w:hAnsi="楷体" w:eastAsia="楷体" w:cs="楷体"/>
              <w:bCs w:val="0"/>
              <w:sz w:val="21"/>
              <w:szCs w:val="21"/>
            </w:rPr>
            <w:t>入支出决算总表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_Toc13594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05A668C1">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_Toc7225 </w:instrText>
          </w:r>
          <w:r>
            <w:rPr>
              <w:rFonts w:hint="eastAsia" w:ascii="楷体" w:hAnsi="楷体" w:eastAsia="楷体" w:cs="楷体"/>
              <w:sz w:val="21"/>
              <w:szCs w:val="21"/>
              <w:highlight w:val="none"/>
            </w:rPr>
            <w:fldChar w:fldCharType="separate"/>
          </w:r>
          <w:r>
            <w:rPr>
              <w:rFonts w:hint="eastAsia" w:ascii="楷体" w:hAnsi="楷体" w:eastAsia="楷体" w:cs="楷体"/>
              <w:sz w:val="21"/>
              <w:szCs w:val="21"/>
            </w:rPr>
            <w:t>二、收</w:t>
          </w:r>
          <w:r>
            <w:rPr>
              <w:rFonts w:hint="eastAsia" w:ascii="楷体" w:hAnsi="楷体" w:eastAsia="楷体" w:cs="楷体"/>
              <w:bCs w:val="0"/>
              <w:sz w:val="21"/>
              <w:szCs w:val="21"/>
            </w:rPr>
            <w:t>入决算表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_Toc7225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7025CD8C">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_Toc6150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三、</w:t>
          </w:r>
          <w:r>
            <w:rPr>
              <w:rFonts w:hint="eastAsia" w:ascii="楷体" w:hAnsi="楷体" w:eastAsia="楷体" w:cs="楷体"/>
              <w:sz w:val="21"/>
              <w:szCs w:val="21"/>
            </w:rPr>
            <w:t>支</w:t>
          </w:r>
          <w:r>
            <w:rPr>
              <w:rFonts w:hint="eastAsia" w:ascii="楷体" w:hAnsi="楷体" w:eastAsia="楷体" w:cs="楷体"/>
              <w:bCs w:val="0"/>
              <w:sz w:val="21"/>
              <w:szCs w:val="21"/>
            </w:rPr>
            <w:t>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_Toc6150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7CFF929">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_Toc31315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四、</w:t>
          </w:r>
          <w:r>
            <w:rPr>
              <w:rFonts w:hint="eastAsia" w:ascii="楷体" w:hAnsi="楷体" w:eastAsia="楷体" w:cs="楷体"/>
              <w:sz w:val="21"/>
              <w:szCs w:val="21"/>
            </w:rPr>
            <w:t>财</w:t>
          </w:r>
          <w:r>
            <w:rPr>
              <w:rFonts w:hint="eastAsia" w:ascii="楷体" w:hAnsi="楷体" w:eastAsia="楷体" w:cs="楷体"/>
              <w:bCs w:val="0"/>
              <w:sz w:val="21"/>
              <w:szCs w:val="21"/>
            </w:rPr>
            <w:t>政拨款收入支出决算总表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_Toc31315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31457A94">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_Toc22202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五、</w:t>
          </w:r>
          <w:r>
            <w:rPr>
              <w:rFonts w:hint="eastAsia" w:ascii="楷体" w:hAnsi="楷体" w:eastAsia="楷体" w:cs="楷体"/>
              <w:sz w:val="21"/>
              <w:szCs w:val="21"/>
            </w:rPr>
            <w:t>财</w:t>
          </w:r>
          <w:r>
            <w:rPr>
              <w:rFonts w:hint="eastAsia" w:ascii="楷体" w:hAnsi="楷体" w:eastAsia="楷体" w:cs="楷体"/>
              <w:bCs w:val="0"/>
              <w:sz w:val="21"/>
              <w:szCs w:val="21"/>
            </w:rPr>
            <w:t>政拨款支出决算明细表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_Toc22202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633D0F3F">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_Toc27215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六、</w:t>
          </w:r>
          <w:r>
            <w:rPr>
              <w:rFonts w:hint="eastAsia" w:ascii="楷体" w:hAnsi="楷体" w:eastAsia="楷体" w:cs="楷体"/>
              <w:sz w:val="21"/>
              <w:szCs w:val="21"/>
            </w:rPr>
            <w:t>一</w:t>
          </w:r>
          <w:r>
            <w:rPr>
              <w:rFonts w:hint="eastAsia" w:ascii="楷体" w:hAnsi="楷体" w:eastAsia="楷体" w:cs="楷体"/>
              <w:bCs w:val="0"/>
              <w:sz w:val="21"/>
              <w:szCs w:val="21"/>
            </w:rPr>
            <w:t>般公共预算财政拨款支出决算表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_Toc27215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42FFC883">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_Toc23845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七、</w:t>
          </w:r>
          <w:r>
            <w:rPr>
              <w:rFonts w:hint="eastAsia" w:ascii="楷体" w:hAnsi="楷体" w:eastAsia="楷体" w:cs="楷体"/>
              <w:sz w:val="21"/>
              <w:szCs w:val="21"/>
            </w:rPr>
            <w:t>一</w:t>
          </w:r>
          <w:r>
            <w:rPr>
              <w:rFonts w:hint="eastAsia" w:ascii="楷体" w:hAnsi="楷体" w:eastAsia="楷体" w:cs="楷体"/>
              <w:bCs w:val="0"/>
              <w:sz w:val="21"/>
              <w:szCs w:val="21"/>
            </w:rPr>
            <w:t>般公共预算财政拨款支出决算明细表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_Toc23845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2409D0EA">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_Toc17431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八、</w:t>
          </w:r>
          <w:r>
            <w:rPr>
              <w:rFonts w:hint="eastAsia" w:ascii="楷体" w:hAnsi="楷体" w:eastAsia="楷体" w:cs="楷体"/>
              <w:sz w:val="21"/>
              <w:szCs w:val="21"/>
            </w:rPr>
            <w:t>一</w:t>
          </w:r>
          <w:r>
            <w:rPr>
              <w:rFonts w:hint="eastAsia" w:ascii="楷体" w:hAnsi="楷体" w:eastAsia="楷体" w:cs="楷体"/>
              <w:bCs w:val="0"/>
              <w:sz w:val="21"/>
              <w:szCs w:val="21"/>
            </w:rPr>
            <w:t>般公共预算财政拨款基本支出决算表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_Toc17431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396D7636">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_Toc14423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九、</w:t>
          </w:r>
          <w:r>
            <w:rPr>
              <w:rFonts w:hint="eastAsia" w:ascii="楷体" w:hAnsi="楷体" w:eastAsia="楷体" w:cs="楷体"/>
              <w:sz w:val="21"/>
              <w:szCs w:val="21"/>
            </w:rPr>
            <w:t>一</w:t>
          </w:r>
          <w:r>
            <w:rPr>
              <w:rFonts w:hint="eastAsia" w:ascii="楷体" w:hAnsi="楷体" w:eastAsia="楷体" w:cs="楷体"/>
              <w:bCs w:val="0"/>
              <w:sz w:val="21"/>
              <w:szCs w:val="21"/>
            </w:rPr>
            <w:t>般公共预算财政拨款项目支出决算表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_Toc14423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547488D2">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_Toc27138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十、</w:t>
          </w:r>
          <w:r>
            <w:rPr>
              <w:rFonts w:hint="eastAsia" w:ascii="楷体" w:hAnsi="楷体" w:eastAsia="楷体" w:cs="楷体"/>
              <w:sz w:val="21"/>
              <w:szCs w:val="21"/>
            </w:rPr>
            <w:t>政</w:t>
          </w:r>
          <w:r>
            <w:rPr>
              <w:rFonts w:hint="eastAsia" w:ascii="楷体" w:hAnsi="楷体" w:eastAsia="楷体" w:cs="楷体"/>
              <w:bCs w:val="0"/>
              <w:sz w:val="21"/>
              <w:szCs w:val="21"/>
            </w:rPr>
            <w:t>府性基金预算财政拨款收入支出决算表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_Toc27138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08010080">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_Toc19629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十一、</w:t>
          </w:r>
          <w:r>
            <w:rPr>
              <w:rFonts w:hint="eastAsia" w:ascii="楷体" w:hAnsi="楷体" w:eastAsia="楷体" w:cs="楷体"/>
              <w:sz w:val="21"/>
              <w:szCs w:val="21"/>
            </w:rPr>
            <w:t>国</w:t>
          </w:r>
          <w:r>
            <w:rPr>
              <w:rFonts w:hint="eastAsia" w:ascii="楷体" w:hAnsi="楷体" w:eastAsia="楷体" w:cs="楷体"/>
              <w:bCs w:val="0"/>
              <w:sz w:val="21"/>
              <w:szCs w:val="21"/>
            </w:rPr>
            <w:t>有资本经营预算财政拨款收入支出决算表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_Toc19629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34AB2AB9">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rPr>
              <w:rFonts w:hint="eastAsia" w:ascii="楷体" w:hAnsi="楷体" w:eastAsia="楷体" w:cs="楷体"/>
              <w:sz w:val="21"/>
              <w:szCs w:val="21"/>
            </w:rPr>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_Toc5336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十二、国有资本经营预算财政拨款支出决算表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_Toc5336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43BCC3D4">
          <w:pPr>
            <w:pStyle w:val="34"/>
            <w:keepNext w:val="0"/>
            <w:keepLines w:val="0"/>
            <w:pageBreakBefore w:val="0"/>
            <w:widowControl/>
            <w:tabs>
              <w:tab w:val="right" w:leader="dot" w:pos="8306"/>
            </w:tabs>
            <w:kinsoku/>
            <w:wordWrap/>
            <w:overflowPunct/>
            <w:topLinePunct w:val="0"/>
            <w:autoSpaceDE/>
            <w:autoSpaceDN/>
            <w:bidi w:val="0"/>
            <w:adjustRightInd/>
            <w:snapToGrid/>
            <w:spacing w:line="340" w:lineRule="exact"/>
            <w:textAlignment w:val="auto"/>
          </w:pPr>
          <w:r>
            <w:rPr>
              <w:rFonts w:hint="eastAsia" w:ascii="楷体" w:hAnsi="楷体" w:eastAsia="楷体" w:cs="楷体"/>
              <w:color w:val="auto"/>
              <w:sz w:val="21"/>
              <w:szCs w:val="21"/>
              <w:highlight w:val="none"/>
            </w:rPr>
            <w:fldChar w:fldCharType="begin"/>
          </w:r>
          <w:r>
            <w:rPr>
              <w:rFonts w:hint="eastAsia" w:ascii="楷体" w:hAnsi="楷体" w:eastAsia="楷体" w:cs="楷体"/>
              <w:sz w:val="21"/>
              <w:szCs w:val="21"/>
              <w:highlight w:val="none"/>
            </w:rPr>
            <w:instrText xml:space="preserve"> HYPERLINK \l _Toc9796 </w:instrText>
          </w:r>
          <w:r>
            <w:rPr>
              <w:rFonts w:hint="eastAsia" w:ascii="楷体" w:hAnsi="楷体" w:eastAsia="楷体" w:cs="楷体"/>
              <w:sz w:val="21"/>
              <w:szCs w:val="21"/>
              <w:highlight w:val="none"/>
            </w:rPr>
            <w:fldChar w:fldCharType="separate"/>
          </w:r>
          <w:r>
            <w:rPr>
              <w:rFonts w:hint="eastAsia" w:ascii="楷体" w:hAnsi="楷体" w:eastAsia="楷体" w:cs="楷体"/>
              <w:bCs w:val="0"/>
              <w:sz w:val="21"/>
              <w:szCs w:val="21"/>
            </w:rPr>
            <w:t>十三、财政拨款“三公”经费支出决算表</w:t>
          </w:r>
          <w:r>
            <w:rPr>
              <w:rFonts w:hint="eastAsia" w:ascii="楷体" w:hAnsi="楷体" w:eastAsia="楷体" w:cs="楷体"/>
              <w:sz w:val="21"/>
              <w:szCs w:val="21"/>
            </w:rPr>
            <w:tab/>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PAGEREF _Toc9796 \h </w:instrText>
          </w:r>
          <w:r>
            <w:rPr>
              <w:rFonts w:hint="eastAsia" w:ascii="楷体" w:hAnsi="楷体" w:eastAsia="楷体" w:cs="楷体"/>
              <w:sz w:val="21"/>
              <w:szCs w:val="21"/>
            </w:rPr>
            <w:fldChar w:fldCharType="separate"/>
          </w:r>
          <w:r>
            <w:rPr>
              <w:rFonts w:hint="eastAsia" w:ascii="楷体" w:hAnsi="楷体" w:eastAsia="楷体" w:cs="楷体"/>
              <w:sz w:val="21"/>
              <w:szCs w:val="21"/>
            </w:rPr>
            <w:t>25</w:t>
          </w:r>
          <w:r>
            <w:rPr>
              <w:rFonts w:hint="eastAsia" w:ascii="楷体" w:hAnsi="楷体" w:eastAsia="楷体" w:cs="楷体"/>
              <w:sz w:val="21"/>
              <w:szCs w:val="21"/>
            </w:rPr>
            <w:fldChar w:fldCharType="end"/>
          </w:r>
          <w:r>
            <w:rPr>
              <w:rFonts w:hint="eastAsia" w:ascii="楷体" w:hAnsi="楷体" w:eastAsia="楷体" w:cs="楷体"/>
              <w:color w:val="auto"/>
              <w:sz w:val="21"/>
              <w:szCs w:val="21"/>
              <w:highlight w:val="none"/>
            </w:rPr>
            <w:fldChar w:fldCharType="end"/>
          </w:r>
        </w:p>
        <w:p w14:paraId="6AB6B40D">
          <w:pPr>
            <w:pStyle w:val="3"/>
            <w:jc w:val="both"/>
            <w:outlineLvl w:val="9"/>
            <w:rPr>
              <w:rFonts w:hint="eastAsia" w:ascii="仿宋" w:hAnsi="仿宋" w:eastAsia="仿宋" w:cs="仿宋"/>
              <w:color w:val="auto"/>
              <w:sz w:val="28"/>
              <w:szCs w:val="28"/>
              <w:highlight w:val="none"/>
            </w:rPr>
          </w:pPr>
          <w:r>
            <w:rPr>
              <w:rFonts w:hint="eastAsia" w:ascii="仿宋" w:hAnsi="仿宋" w:eastAsia="仿宋" w:cs="仿宋"/>
              <w:b/>
              <w:color w:val="auto"/>
              <w:szCs w:val="28"/>
              <w:highlight w:val="none"/>
            </w:rPr>
            <w:fldChar w:fldCharType="end"/>
          </w:r>
        </w:p>
      </w:sdtContent>
    </w:sdt>
    <w:p w14:paraId="29C33715">
      <w:pPr>
        <w:pStyle w:val="3"/>
        <w:jc w:val="center"/>
        <w:outlineLvl w:val="9"/>
        <w:rPr>
          <w:rFonts w:hint="eastAsia" w:ascii="仿宋" w:hAnsi="仿宋" w:eastAsia="仿宋" w:cs="仿宋"/>
          <w:color w:val="auto"/>
          <w:sz w:val="28"/>
          <w:szCs w:val="28"/>
          <w:highlight w:val="none"/>
        </w:rPr>
      </w:pPr>
    </w:p>
    <w:p w14:paraId="322BDBF9">
      <w:pPr>
        <w:pStyle w:val="3"/>
        <w:jc w:val="center"/>
        <w:outlineLvl w:val="9"/>
        <w:rPr>
          <w:rFonts w:hint="eastAsia" w:ascii="黑体" w:hAnsi="黑体" w:eastAsia="黑体"/>
          <w:b w:val="0"/>
        </w:rPr>
        <w:sectPr>
          <w:footerReference r:id="rId5" w:type="first"/>
          <w:footerReference r:id="rId4" w:type="default"/>
          <w:pgSz w:w="11906" w:h="16838"/>
          <w:pgMar w:top="1440" w:right="1800" w:bottom="1440" w:left="1800" w:header="851" w:footer="992" w:gutter="0"/>
          <w:pgNumType w:fmt="decimal" w:start="1"/>
          <w:cols w:space="425" w:num="1"/>
          <w:docGrid w:type="lines" w:linePitch="312" w:charSpace="0"/>
        </w:sectPr>
      </w:pPr>
    </w:p>
    <w:p w14:paraId="6223CAB3">
      <w:pPr>
        <w:pStyle w:val="3"/>
        <w:jc w:val="center"/>
        <w:rPr>
          <w:rFonts w:ascii="黑体" w:eastAsia="黑体"/>
          <w:sz w:val="32"/>
          <w:szCs w:val="32"/>
        </w:rPr>
      </w:pPr>
      <w:bookmarkStart w:id="21" w:name="_Toc5989"/>
      <w:r>
        <w:rPr>
          <w:rFonts w:hint="eastAsia" w:ascii="黑体" w:hAnsi="黑体" w:eastAsia="黑体"/>
          <w:b w:val="0"/>
        </w:rPr>
        <w:t>第一部分 单位</w:t>
      </w:r>
      <w:r>
        <w:rPr>
          <w:rStyle w:val="18"/>
          <w:rFonts w:hint="eastAsia" w:ascii="黑体" w:hAnsi="黑体" w:eastAsia="黑体"/>
          <w:b w:val="0"/>
          <w:bCs w:val="0"/>
        </w:rPr>
        <w:t>概况</w:t>
      </w:r>
      <w:bookmarkEnd w:id="18"/>
      <w:bookmarkEnd w:id="19"/>
      <w:bookmarkEnd w:id="20"/>
      <w:bookmarkEnd w:id="21"/>
    </w:p>
    <w:p w14:paraId="5ACBF8B3">
      <w:pPr>
        <w:pStyle w:val="4"/>
        <w:numPr>
          <w:ilvl w:val="0"/>
          <w:numId w:val="1"/>
        </w:numPr>
        <w:rPr>
          <w:rStyle w:val="19"/>
          <w:rFonts w:ascii="黑体" w:hAnsi="黑体" w:eastAsia="黑体"/>
          <w:b w:val="0"/>
          <w:bCs w:val="0"/>
        </w:rPr>
      </w:pPr>
      <w:bookmarkStart w:id="22" w:name="_Toc20123"/>
      <w:bookmarkStart w:id="23" w:name="_Toc21148"/>
      <w:bookmarkStart w:id="24" w:name="_Toc15377197"/>
      <w:bookmarkStart w:id="25" w:name="_Toc15396600"/>
      <w:r>
        <w:rPr>
          <w:rStyle w:val="19"/>
          <w:rFonts w:hint="eastAsia" w:ascii="黑体" w:hAnsi="黑体" w:eastAsia="黑体"/>
          <w:b w:val="0"/>
          <w:bCs w:val="0"/>
        </w:rPr>
        <w:t>主要职责</w:t>
      </w:r>
      <w:bookmarkEnd w:id="22"/>
      <w:bookmarkEnd w:id="23"/>
    </w:p>
    <w:p w14:paraId="67FC8DB4">
      <w:pPr>
        <w:widowControl/>
        <w:ind w:firstLine="640" w:firstLineChars="200"/>
        <w:jc w:val="left"/>
      </w:pPr>
      <w:r>
        <w:rPr>
          <w:rFonts w:hint="eastAsia" w:ascii="仿宋" w:hAnsi="仿宋" w:eastAsia="仿宋" w:cs="Times New Roman"/>
          <w:color w:val="auto"/>
          <w:sz w:val="32"/>
          <w:szCs w:val="32"/>
          <w:highlight w:val="none"/>
          <w:lang w:val="en-US" w:eastAsia="zh-CN"/>
        </w:rPr>
        <w:t>广元市教师发展中心承担全市教师队伍教育发展培训计划制定及市级培训项目的组织实施； 负责全市教师（校长）队伍继续教育、市级及以上名师（名校长）服务工作；协助争取国家、省级教师培训项目及组织实施；搭建市级教师专业发展平台和载体，开展县区级教师发展机构及学校校本培训相关指导，承担教师教育的课题研究工作，协助开展名师（名校长）先进教育教学经验和优秀教育教学成果推广工作。</w:t>
      </w:r>
    </w:p>
    <w:p w14:paraId="33127780">
      <w:pPr>
        <w:pStyle w:val="4"/>
        <w:rPr>
          <w:rFonts w:hint="eastAsia" w:ascii="黑体" w:hAnsi="黑体" w:eastAsia="黑体"/>
          <w:b w:val="0"/>
        </w:rPr>
      </w:pPr>
      <w:bookmarkStart w:id="26" w:name="_Toc30683"/>
      <w:bookmarkStart w:id="27" w:name="_Toc15018"/>
      <w:r>
        <w:rPr>
          <w:rFonts w:hint="eastAsia" w:ascii="黑体" w:hAnsi="黑体" w:eastAsia="黑体"/>
          <w:b w:val="0"/>
        </w:rPr>
        <w:t>二、机构设置</w:t>
      </w:r>
      <w:bookmarkEnd w:id="24"/>
      <w:bookmarkEnd w:id="25"/>
      <w:bookmarkEnd w:id="26"/>
      <w:bookmarkEnd w:id="27"/>
    </w:p>
    <w:p w14:paraId="0C23795F">
      <w:pPr>
        <w:pStyle w:val="4"/>
        <w:ind w:firstLine="640" w:firstLineChars="200"/>
        <w:rPr>
          <w:rFonts w:ascii="仿宋" w:hAnsi="仿宋" w:eastAsia="仿宋"/>
          <w:kern w:val="0"/>
          <w:sz w:val="32"/>
          <w:szCs w:val="32"/>
        </w:rPr>
      </w:pPr>
      <w:bookmarkStart w:id="28" w:name="_Toc1550"/>
      <w:bookmarkStart w:id="29" w:name="_Toc28069"/>
      <w:r>
        <w:rPr>
          <w:rFonts w:hint="eastAsia" w:ascii="仿宋" w:hAnsi="仿宋" w:eastAsia="仿宋" w:cs="Times New Roman"/>
          <w:b w:val="0"/>
          <w:bCs w:val="0"/>
          <w:color w:val="auto"/>
          <w:kern w:val="2"/>
          <w:sz w:val="32"/>
          <w:szCs w:val="32"/>
          <w:highlight w:val="none"/>
          <w:lang w:val="en-US" w:eastAsia="zh-CN" w:bidi="ar-SA"/>
        </w:rPr>
        <w:t>广元市教师发展中心属于广元市教育局下属的二级预算单位，下设独立编制机构0个，其中行政机关0个，参照公务员法管理的事业机构0个，其他事业机构0个。</w:t>
      </w:r>
      <w:r>
        <w:rPr>
          <w:rFonts w:ascii="仿宋" w:hAnsi="仿宋" w:eastAsia="仿宋"/>
          <w:sz w:val="32"/>
          <w:szCs w:val="32"/>
        </w:rPr>
        <w:br w:type="page"/>
      </w:r>
      <w:bookmarkEnd w:id="28"/>
      <w:bookmarkEnd w:id="29"/>
    </w:p>
    <w:p w14:paraId="51CE3731">
      <w:pPr>
        <w:pStyle w:val="3"/>
        <w:ind w:right="440"/>
        <w:jc w:val="center"/>
        <w:rPr>
          <w:rStyle w:val="18"/>
          <w:rFonts w:ascii="黑体" w:hAnsi="黑体" w:eastAsia="黑体"/>
          <w:b w:val="0"/>
          <w:bCs/>
        </w:rPr>
      </w:pPr>
      <w:bookmarkStart w:id="30" w:name="_Toc18791"/>
      <w:bookmarkStart w:id="31" w:name="_Toc23832"/>
      <w:bookmarkStart w:id="32" w:name="_Toc15396602"/>
      <w:bookmarkStart w:id="33" w:name="_Toc15377204"/>
      <w:r>
        <w:rPr>
          <w:rFonts w:hint="eastAsia" w:ascii="黑体" w:hAnsi="黑体" w:eastAsia="黑体"/>
          <w:b w:val="0"/>
        </w:rPr>
        <w:t>第二部分 2023年度</w:t>
      </w:r>
      <w:r>
        <w:rPr>
          <w:rStyle w:val="18"/>
          <w:rFonts w:hint="eastAsia" w:ascii="黑体" w:hAnsi="黑体" w:eastAsia="黑体"/>
          <w:b w:val="0"/>
          <w:bCs/>
        </w:rPr>
        <w:t>单位决算情况说明</w:t>
      </w:r>
      <w:bookmarkEnd w:id="30"/>
      <w:bookmarkEnd w:id="31"/>
      <w:bookmarkEnd w:id="32"/>
      <w:bookmarkEnd w:id="33"/>
    </w:p>
    <w:p w14:paraId="52A6554B"/>
    <w:p w14:paraId="185B4B6C">
      <w:pPr>
        <w:pStyle w:val="29"/>
        <w:numPr>
          <w:ilvl w:val="0"/>
          <w:numId w:val="2"/>
        </w:numPr>
        <w:spacing w:line="600" w:lineRule="exact"/>
        <w:ind w:firstLineChars="0"/>
        <w:outlineLvl w:val="1"/>
        <w:rPr>
          <w:rStyle w:val="19"/>
          <w:rFonts w:ascii="黑体" w:hAnsi="黑体" w:eastAsia="黑体"/>
          <w:b w:val="0"/>
        </w:rPr>
      </w:pPr>
      <w:bookmarkStart w:id="34" w:name="_Toc15933"/>
      <w:bookmarkStart w:id="35" w:name="_Toc15377205"/>
      <w:bookmarkStart w:id="36" w:name="_Toc27646"/>
      <w:bookmarkStart w:id="37" w:name="_Toc15396603"/>
      <w:r>
        <w:rPr>
          <w:rFonts w:hint="eastAsia" w:ascii="黑体" w:hAnsi="黑体" w:eastAsia="黑体"/>
          <w:sz w:val="32"/>
          <w:szCs w:val="32"/>
        </w:rPr>
        <w:t>收</w:t>
      </w:r>
      <w:r>
        <w:rPr>
          <w:rStyle w:val="19"/>
          <w:rFonts w:hint="eastAsia" w:ascii="黑体" w:hAnsi="黑体" w:eastAsia="黑体"/>
          <w:b w:val="0"/>
        </w:rPr>
        <w:t>入支出决算总体情况说明</w:t>
      </w:r>
      <w:bookmarkEnd w:id="34"/>
      <w:bookmarkEnd w:id="35"/>
      <w:bookmarkEnd w:id="36"/>
      <w:bookmarkEnd w:id="37"/>
    </w:p>
    <w:p w14:paraId="02ACB6A3">
      <w:pPr>
        <w:spacing w:line="600" w:lineRule="exact"/>
        <w:ind w:firstLine="640" w:firstLineChars="200"/>
        <w:rPr>
          <w:rFonts w:hint="eastAsia"/>
          <w:sz w:val="32"/>
          <w:szCs w:val="32"/>
        </w:rPr>
      </w:pPr>
      <w:r>
        <w:rPr>
          <w:rFonts w:hint="eastAsia" w:ascii="仿宋" w:hAnsi="仿宋" w:eastAsia="仿宋"/>
          <w:sz w:val="32"/>
          <w:szCs w:val="32"/>
        </w:rPr>
        <w:t>2023年度收、支总计均为</w:t>
      </w:r>
      <w:r>
        <w:rPr>
          <w:rFonts w:hint="eastAsia" w:ascii="仿宋" w:hAnsi="仿宋" w:eastAsia="仿宋"/>
          <w:b w:val="0"/>
          <w:bCs/>
          <w:sz w:val="32"/>
          <w:szCs w:val="32"/>
        </w:rPr>
        <w:t>260.75</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24.69</w:t>
      </w:r>
      <w:r>
        <w:rPr>
          <w:rFonts w:hint="eastAsia" w:ascii="仿宋" w:hAnsi="仿宋" w:eastAsia="仿宋"/>
          <w:sz w:val="32"/>
          <w:szCs w:val="32"/>
        </w:rPr>
        <w:t>万元，增长</w:t>
      </w:r>
      <w:r>
        <w:rPr>
          <w:rFonts w:hint="eastAsia" w:ascii="仿宋" w:hAnsi="仿宋" w:eastAsia="仿宋"/>
          <w:sz w:val="32"/>
          <w:szCs w:val="32"/>
          <w:lang w:val="en-US" w:eastAsia="zh-CN"/>
        </w:rPr>
        <w:t>10.46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培训项目经费增加</w:t>
      </w:r>
      <w:r>
        <w:rPr>
          <w:rFonts w:hint="eastAsia" w:ascii="仿宋" w:hAnsi="仿宋" w:eastAsia="仿宋"/>
          <w:sz w:val="32"/>
          <w:szCs w:val="32"/>
        </w:rPr>
        <w:t>。</w:t>
      </w:r>
    </w:p>
    <w:p w14:paraId="4304BD5E">
      <w:pPr>
        <w:pStyle w:val="2"/>
        <w:jc w:val="center"/>
      </w:pPr>
      <w:r>
        <w:drawing>
          <wp:inline distT="0" distB="0" distL="114300" distR="114300">
            <wp:extent cx="4400550" cy="2276475"/>
            <wp:effectExtent l="4445" t="4445" r="14605" b="508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3AC30A9">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28CB6849">
      <w:pPr>
        <w:spacing w:line="600" w:lineRule="exact"/>
        <w:ind w:firstLine="640" w:firstLineChars="200"/>
        <w:jc w:val="left"/>
        <w:rPr>
          <w:rFonts w:ascii="仿宋_GB2312" w:eastAsia="仿宋_GB2312"/>
          <w:sz w:val="32"/>
          <w:szCs w:val="32"/>
        </w:rPr>
      </w:pPr>
    </w:p>
    <w:p w14:paraId="04B028DC">
      <w:pPr>
        <w:pStyle w:val="29"/>
        <w:numPr>
          <w:ilvl w:val="0"/>
          <w:numId w:val="2"/>
        </w:numPr>
        <w:spacing w:line="600" w:lineRule="exact"/>
        <w:ind w:firstLineChars="0"/>
        <w:outlineLvl w:val="1"/>
        <w:rPr>
          <w:rStyle w:val="19"/>
          <w:rFonts w:ascii="黑体" w:hAnsi="黑体" w:eastAsia="黑体"/>
          <w:b w:val="0"/>
        </w:rPr>
      </w:pPr>
      <w:bookmarkStart w:id="38" w:name="_Toc30844"/>
      <w:bookmarkStart w:id="39" w:name="_Toc15396604"/>
      <w:bookmarkStart w:id="40" w:name="_Toc21706"/>
      <w:bookmarkStart w:id="41" w:name="_Toc15377206"/>
      <w:r>
        <w:rPr>
          <w:rFonts w:hint="eastAsia" w:ascii="黑体" w:hAnsi="黑体" w:eastAsia="黑体"/>
          <w:sz w:val="32"/>
          <w:szCs w:val="32"/>
        </w:rPr>
        <w:t>收</w:t>
      </w:r>
      <w:r>
        <w:rPr>
          <w:rStyle w:val="19"/>
          <w:rFonts w:hint="eastAsia" w:ascii="黑体" w:hAnsi="黑体" w:eastAsia="黑体"/>
          <w:b w:val="0"/>
        </w:rPr>
        <w:t>入决算情况说明</w:t>
      </w:r>
      <w:bookmarkEnd w:id="38"/>
      <w:bookmarkEnd w:id="39"/>
      <w:bookmarkEnd w:id="40"/>
      <w:bookmarkEnd w:id="41"/>
    </w:p>
    <w:p w14:paraId="2A139EA4">
      <w:pPr>
        <w:spacing w:line="600" w:lineRule="exact"/>
        <w:ind w:firstLine="640" w:firstLineChars="200"/>
        <w:outlineLvl w:val="1"/>
        <w:rPr>
          <w:rFonts w:hint="eastAsia" w:eastAsia="仿宋"/>
          <w:b w:val="0"/>
          <w:bCs w:val="0"/>
          <w:sz w:val="32"/>
          <w:szCs w:val="32"/>
          <w:lang w:eastAsia="zh-CN"/>
        </w:rPr>
      </w:pPr>
      <w:bookmarkStart w:id="42" w:name="_Toc29855"/>
      <w:bookmarkStart w:id="43" w:name="_Toc23784"/>
      <w:r>
        <w:rPr>
          <w:rFonts w:hint="eastAsia" w:ascii="仿宋" w:hAnsi="仿宋" w:eastAsia="仿宋"/>
          <w:b w:val="0"/>
          <w:bCs w:val="0"/>
          <w:sz w:val="32"/>
          <w:szCs w:val="32"/>
        </w:rPr>
        <w:t>2023年度本年收入合计</w:t>
      </w:r>
      <w:r>
        <w:rPr>
          <w:rFonts w:ascii="仿宋" w:hAnsi="仿宋" w:eastAsia="仿宋"/>
          <w:b w:val="0"/>
          <w:bCs w:val="0"/>
          <w:sz w:val="32"/>
          <w:szCs w:val="32"/>
        </w:rPr>
        <w:t>260.75</w:t>
      </w:r>
      <w:r>
        <w:rPr>
          <w:rFonts w:hint="eastAsia" w:ascii="仿宋" w:hAnsi="仿宋" w:eastAsia="仿宋"/>
          <w:b w:val="0"/>
          <w:bCs w:val="0"/>
          <w:sz w:val="32"/>
          <w:szCs w:val="32"/>
        </w:rPr>
        <w:t>万元，其中：一般公共预算财政拨款收入</w:t>
      </w:r>
      <w:r>
        <w:rPr>
          <w:rFonts w:ascii="仿宋" w:hAnsi="仿宋" w:eastAsia="仿宋"/>
          <w:b w:val="0"/>
          <w:bCs w:val="0"/>
          <w:sz w:val="32"/>
          <w:szCs w:val="32"/>
        </w:rPr>
        <w:t>260.75</w:t>
      </w:r>
      <w:r>
        <w:rPr>
          <w:rFonts w:hint="eastAsia" w:ascii="仿宋" w:hAnsi="仿宋" w:eastAsia="仿宋"/>
          <w:b w:val="0"/>
          <w:bCs w:val="0"/>
          <w:sz w:val="32"/>
          <w:szCs w:val="32"/>
        </w:rPr>
        <w:t>万元，占</w:t>
      </w:r>
      <w:r>
        <w:rPr>
          <w:rFonts w:ascii="仿宋" w:hAnsi="仿宋" w:eastAsia="仿宋"/>
          <w:b w:val="0"/>
          <w:bCs w:val="0"/>
          <w:sz w:val="32"/>
          <w:szCs w:val="32"/>
        </w:rPr>
        <w:t>100%</w:t>
      </w:r>
      <w:r>
        <w:rPr>
          <w:rFonts w:hint="eastAsia" w:ascii="仿宋" w:hAnsi="仿宋" w:eastAsia="仿宋"/>
          <w:b w:val="0"/>
          <w:bCs w:val="0"/>
          <w:sz w:val="32"/>
          <w:szCs w:val="32"/>
          <w:lang w:eastAsia="zh-CN"/>
        </w:rPr>
        <w:t>。</w:t>
      </w:r>
      <w:bookmarkEnd w:id="42"/>
      <w:bookmarkEnd w:id="43"/>
    </w:p>
    <w:p w14:paraId="16398851">
      <w:pPr>
        <w:pStyle w:val="2"/>
        <w:jc w:val="center"/>
        <w:rPr>
          <w:rFonts w:ascii="仿宋" w:hAnsi="仿宋" w:eastAsia="仿宋"/>
          <w:sz w:val="32"/>
          <w:szCs w:val="32"/>
        </w:rPr>
      </w:pPr>
      <w:r>
        <w:drawing>
          <wp:inline distT="0" distB="0" distL="114300" distR="114300">
            <wp:extent cx="4572000" cy="2743200"/>
            <wp:effectExtent l="4445" t="4445" r="1460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0931F2">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（图2：收入决算结构图）（饼状图）</w:t>
      </w:r>
    </w:p>
    <w:p w14:paraId="6366AAD1">
      <w:pPr>
        <w:spacing w:line="600" w:lineRule="exact"/>
        <w:ind w:firstLine="640" w:firstLineChars="200"/>
        <w:rPr>
          <w:rFonts w:ascii="仿宋_GB2312" w:eastAsia="仿宋_GB2312"/>
          <w:sz w:val="32"/>
          <w:szCs w:val="32"/>
        </w:rPr>
      </w:pPr>
    </w:p>
    <w:p w14:paraId="6774907B">
      <w:pPr>
        <w:pStyle w:val="29"/>
        <w:numPr>
          <w:ilvl w:val="0"/>
          <w:numId w:val="2"/>
        </w:numPr>
        <w:spacing w:line="600" w:lineRule="exact"/>
        <w:ind w:firstLineChars="0"/>
        <w:outlineLvl w:val="1"/>
        <w:rPr>
          <w:rStyle w:val="19"/>
          <w:rFonts w:ascii="黑体" w:hAnsi="黑体" w:eastAsia="黑体"/>
          <w:b w:val="0"/>
        </w:rPr>
      </w:pPr>
      <w:bookmarkStart w:id="44" w:name="_Toc15377207"/>
      <w:bookmarkStart w:id="45" w:name="_Toc15396605"/>
      <w:bookmarkStart w:id="46" w:name="_Toc29653"/>
      <w:bookmarkStart w:id="47" w:name="_Toc8299"/>
      <w:r>
        <w:rPr>
          <w:rFonts w:hint="eastAsia" w:ascii="黑体" w:hAnsi="黑体" w:eastAsia="黑体"/>
          <w:sz w:val="32"/>
          <w:szCs w:val="32"/>
        </w:rPr>
        <w:t>支</w:t>
      </w:r>
      <w:r>
        <w:rPr>
          <w:rStyle w:val="19"/>
          <w:rFonts w:hint="eastAsia" w:ascii="黑体" w:hAnsi="黑体" w:eastAsia="黑体"/>
          <w:b w:val="0"/>
        </w:rPr>
        <w:t>出决算情况说明</w:t>
      </w:r>
      <w:bookmarkEnd w:id="44"/>
      <w:bookmarkEnd w:id="45"/>
      <w:bookmarkEnd w:id="46"/>
      <w:bookmarkEnd w:id="47"/>
    </w:p>
    <w:p w14:paraId="0DEB11E9">
      <w:pPr>
        <w:spacing w:line="600" w:lineRule="exact"/>
        <w:ind w:firstLine="640" w:firstLineChars="200"/>
        <w:outlineLvl w:val="1"/>
        <w:rPr>
          <w:rFonts w:hint="eastAsia" w:ascii="仿宋" w:hAnsi="仿宋" w:eastAsia="仿宋"/>
          <w:sz w:val="32"/>
          <w:szCs w:val="32"/>
          <w:lang w:eastAsia="zh-CN"/>
        </w:rPr>
      </w:pPr>
      <w:bookmarkStart w:id="48" w:name="_Toc21000"/>
      <w:bookmarkStart w:id="49" w:name="_Toc17593"/>
      <w:r>
        <w:rPr>
          <w:rFonts w:hint="eastAsia" w:ascii="仿宋" w:hAnsi="仿宋" w:eastAsia="仿宋"/>
          <w:b w:val="0"/>
          <w:bCs w:val="0"/>
          <w:sz w:val="32"/>
          <w:szCs w:val="32"/>
        </w:rPr>
        <w:t>2023年度本年支出合计</w:t>
      </w:r>
      <w:r>
        <w:rPr>
          <w:rFonts w:ascii="仿宋" w:hAnsi="仿宋" w:eastAsia="仿宋"/>
          <w:b w:val="0"/>
          <w:bCs w:val="0"/>
          <w:sz w:val="32"/>
          <w:szCs w:val="32"/>
        </w:rPr>
        <w:t>260.75</w:t>
      </w:r>
      <w:r>
        <w:rPr>
          <w:rFonts w:hint="eastAsia" w:ascii="仿宋" w:hAnsi="仿宋" w:eastAsia="仿宋"/>
          <w:b w:val="0"/>
          <w:bCs w:val="0"/>
          <w:sz w:val="32"/>
          <w:szCs w:val="32"/>
        </w:rPr>
        <w:t>万元，其中：基本支出</w:t>
      </w:r>
      <w:r>
        <w:rPr>
          <w:rFonts w:ascii="仿宋" w:hAnsi="仿宋" w:eastAsia="仿宋"/>
          <w:b w:val="0"/>
          <w:bCs w:val="0"/>
          <w:sz w:val="32"/>
          <w:szCs w:val="32"/>
        </w:rPr>
        <w:t>162.44</w:t>
      </w:r>
      <w:r>
        <w:rPr>
          <w:rFonts w:hint="eastAsia" w:ascii="仿宋" w:hAnsi="仿宋" w:eastAsia="仿宋"/>
          <w:b w:val="0"/>
          <w:bCs w:val="0"/>
          <w:sz w:val="32"/>
          <w:szCs w:val="32"/>
        </w:rPr>
        <w:t>万元，占</w:t>
      </w:r>
      <w:r>
        <w:rPr>
          <w:rFonts w:ascii="仿宋" w:hAnsi="仿宋" w:eastAsia="仿宋"/>
          <w:b w:val="0"/>
          <w:bCs w:val="0"/>
          <w:sz w:val="32"/>
          <w:szCs w:val="32"/>
        </w:rPr>
        <w:t>62.29%</w:t>
      </w:r>
      <w:r>
        <w:rPr>
          <w:rFonts w:hint="eastAsia" w:ascii="仿宋" w:hAnsi="仿宋" w:eastAsia="仿宋"/>
          <w:b w:val="0"/>
          <w:bCs w:val="0"/>
          <w:sz w:val="32"/>
          <w:szCs w:val="32"/>
        </w:rPr>
        <w:t>；项目支出</w:t>
      </w:r>
      <w:r>
        <w:rPr>
          <w:rFonts w:ascii="仿宋" w:hAnsi="仿宋" w:eastAsia="仿宋"/>
          <w:b w:val="0"/>
          <w:bCs w:val="0"/>
          <w:sz w:val="32"/>
          <w:szCs w:val="32"/>
        </w:rPr>
        <w:t>98.31</w:t>
      </w:r>
      <w:r>
        <w:rPr>
          <w:rFonts w:hint="eastAsia" w:ascii="仿宋" w:hAnsi="仿宋" w:eastAsia="仿宋"/>
          <w:b w:val="0"/>
          <w:bCs w:val="0"/>
          <w:sz w:val="32"/>
          <w:szCs w:val="32"/>
        </w:rPr>
        <w:t>万元，占</w:t>
      </w:r>
      <w:r>
        <w:rPr>
          <w:rFonts w:ascii="仿宋" w:hAnsi="仿宋" w:eastAsia="仿宋"/>
          <w:b w:val="0"/>
          <w:bCs w:val="0"/>
          <w:sz w:val="32"/>
          <w:szCs w:val="32"/>
        </w:rPr>
        <w:t>37.7%</w:t>
      </w:r>
      <w:r>
        <w:rPr>
          <w:rFonts w:hint="eastAsia" w:ascii="仿宋" w:hAnsi="仿宋" w:eastAsia="仿宋"/>
          <w:b w:val="0"/>
          <w:bCs w:val="0"/>
          <w:sz w:val="32"/>
          <w:szCs w:val="32"/>
          <w:lang w:eastAsia="zh-CN"/>
        </w:rPr>
        <w:t>。</w:t>
      </w:r>
      <w:bookmarkEnd w:id="48"/>
      <w:bookmarkEnd w:id="49"/>
    </w:p>
    <w:p w14:paraId="439AF0FA">
      <w:pPr>
        <w:spacing w:line="600" w:lineRule="exact"/>
        <w:ind w:firstLine="420" w:firstLineChars="200"/>
      </w:pPr>
    </w:p>
    <w:p w14:paraId="009F8D32">
      <w:pPr>
        <w:pStyle w:val="2"/>
        <w:jc w:val="center"/>
        <w:rPr>
          <w:rFonts w:hint="eastAsia"/>
        </w:rPr>
      </w:pPr>
      <w:r>
        <w:drawing>
          <wp:inline distT="0" distB="0" distL="114300" distR="114300">
            <wp:extent cx="4572000" cy="2743200"/>
            <wp:effectExtent l="4445" t="4445" r="1460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1C4462">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（图3：支出决算结构图）（饼状图）</w:t>
      </w:r>
    </w:p>
    <w:p w14:paraId="7D7FF8D8">
      <w:pPr>
        <w:spacing w:line="600" w:lineRule="exact"/>
        <w:ind w:firstLine="640" w:firstLineChars="200"/>
        <w:rPr>
          <w:rFonts w:ascii="仿宋_GB2312" w:eastAsia="仿宋_GB2312"/>
          <w:sz w:val="32"/>
          <w:szCs w:val="32"/>
        </w:rPr>
      </w:pPr>
    </w:p>
    <w:p w14:paraId="73A84E61">
      <w:pPr>
        <w:spacing w:line="600" w:lineRule="exact"/>
        <w:ind w:firstLine="640" w:firstLineChars="200"/>
        <w:outlineLvl w:val="1"/>
        <w:rPr>
          <w:rStyle w:val="19"/>
          <w:rFonts w:ascii="黑体" w:hAnsi="黑体" w:eastAsia="黑体"/>
          <w:b w:val="0"/>
        </w:rPr>
      </w:pPr>
      <w:bookmarkStart w:id="50" w:name="_Toc17405"/>
      <w:bookmarkStart w:id="51" w:name="_Toc15396606"/>
      <w:bookmarkStart w:id="52" w:name="_Toc16346"/>
      <w:bookmarkStart w:id="53" w:name="_Toc15377208"/>
      <w:r>
        <w:rPr>
          <w:rFonts w:hint="eastAsia" w:ascii="黑体" w:hAnsi="黑体" w:eastAsia="黑体"/>
          <w:sz w:val="32"/>
          <w:szCs w:val="32"/>
        </w:rPr>
        <w:t>四、财</w:t>
      </w:r>
      <w:r>
        <w:rPr>
          <w:rStyle w:val="19"/>
          <w:rFonts w:hint="eastAsia" w:ascii="黑体" w:hAnsi="黑体" w:eastAsia="黑体"/>
          <w:b w:val="0"/>
        </w:rPr>
        <w:t>政拨款收入支出决算总体情况说明</w:t>
      </w:r>
      <w:bookmarkEnd w:id="50"/>
      <w:bookmarkEnd w:id="51"/>
      <w:bookmarkEnd w:id="52"/>
      <w:bookmarkEnd w:id="53"/>
    </w:p>
    <w:p w14:paraId="3F8CBF0E">
      <w:pPr>
        <w:spacing w:line="600" w:lineRule="exact"/>
        <w:ind w:firstLine="640"/>
        <w:rPr>
          <w:rFonts w:hint="eastAsia" w:ascii="仿宋" w:hAnsi="仿宋" w:eastAsia="仿宋"/>
          <w:b w:val="0"/>
          <w:bCs w:val="0"/>
          <w:sz w:val="32"/>
          <w:szCs w:val="32"/>
          <w:lang w:val="en-US" w:eastAsia="zh-CN"/>
        </w:rPr>
      </w:pPr>
      <w:r>
        <w:rPr>
          <w:rFonts w:hint="eastAsia" w:ascii="仿宋" w:hAnsi="仿宋" w:eastAsia="仿宋"/>
          <w:b w:val="0"/>
          <w:bCs w:val="0"/>
          <w:sz w:val="32"/>
          <w:szCs w:val="32"/>
        </w:rPr>
        <w:t>2023年度财政拨款收、支总计均为</w:t>
      </w:r>
      <w:r>
        <w:rPr>
          <w:rFonts w:ascii="仿宋" w:hAnsi="仿宋" w:eastAsia="仿宋"/>
          <w:b w:val="0"/>
          <w:bCs w:val="0"/>
          <w:sz w:val="32"/>
          <w:szCs w:val="32"/>
        </w:rPr>
        <w:t>260.75</w:t>
      </w:r>
      <w:r>
        <w:rPr>
          <w:rFonts w:hint="eastAsia" w:ascii="仿宋" w:hAnsi="仿宋" w:eastAsia="仿宋"/>
          <w:b w:val="0"/>
          <w:bCs w:val="0"/>
          <w:sz w:val="32"/>
          <w:szCs w:val="32"/>
        </w:rPr>
        <w:t>万元。与2022年度相比，财政拨款收、支总计各增加</w:t>
      </w:r>
      <w:r>
        <w:rPr>
          <w:rFonts w:hint="eastAsia" w:ascii="仿宋" w:hAnsi="仿宋" w:eastAsia="仿宋"/>
          <w:b w:val="0"/>
          <w:bCs w:val="0"/>
          <w:sz w:val="32"/>
          <w:szCs w:val="32"/>
          <w:lang w:val="en-US" w:eastAsia="zh-CN"/>
        </w:rPr>
        <w:t>24.69</w:t>
      </w:r>
      <w:r>
        <w:rPr>
          <w:rFonts w:hint="eastAsia" w:ascii="仿宋" w:hAnsi="仿宋" w:eastAsia="仿宋"/>
          <w:b w:val="0"/>
          <w:bCs w:val="0"/>
          <w:sz w:val="32"/>
          <w:szCs w:val="32"/>
        </w:rPr>
        <w:t>万元，增长</w:t>
      </w:r>
      <w:r>
        <w:rPr>
          <w:rFonts w:hint="eastAsia" w:ascii="仿宋" w:hAnsi="仿宋" w:eastAsia="仿宋"/>
          <w:b w:val="0"/>
          <w:bCs w:val="0"/>
          <w:sz w:val="32"/>
          <w:szCs w:val="32"/>
          <w:lang w:val="en-US" w:eastAsia="zh-CN"/>
        </w:rPr>
        <w:t>10.46</w:t>
      </w:r>
      <w:r>
        <w:rPr>
          <w:rFonts w:ascii="仿宋" w:hAnsi="仿宋" w:eastAsia="仿宋"/>
          <w:b w:val="0"/>
          <w:bCs w:val="0"/>
          <w:sz w:val="32"/>
          <w:szCs w:val="32"/>
        </w:rPr>
        <w:t>%</w:t>
      </w:r>
      <w:r>
        <w:rPr>
          <w:rFonts w:hint="eastAsia" w:ascii="仿宋" w:hAnsi="仿宋" w:eastAsia="仿宋"/>
          <w:b w:val="0"/>
          <w:bCs w:val="0"/>
          <w:sz w:val="32"/>
          <w:szCs w:val="32"/>
        </w:rPr>
        <w:t>。主要变动原因是</w:t>
      </w:r>
      <w:r>
        <w:rPr>
          <w:rFonts w:hint="eastAsia" w:ascii="仿宋" w:hAnsi="仿宋" w:eastAsia="仿宋"/>
          <w:b w:val="0"/>
          <w:bCs w:val="0"/>
          <w:sz w:val="32"/>
          <w:szCs w:val="32"/>
          <w:lang w:val="en-US" w:eastAsia="zh-CN"/>
        </w:rPr>
        <w:t>培训项目经费增加。</w:t>
      </w:r>
    </w:p>
    <w:p w14:paraId="0992B47B">
      <w:pPr>
        <w:spacing w:line="600" w:lineRule="exact"/>
        <w:rPr>
          <w:rFonts w:ascii="仿宋" w:hAnsi="仿宋" w:eastAsia="仿宋"/>
          <w:sz w:val="32"/>
          <w:szCs w:val="32"/>
        </w:rPr>
      </w:pPr>
      <w:r>
        <w:drawing>
          <wp:anchor distT="0" distB="0" distL="114300" distR="114300" simplePos="0" relativeHeight="251659264" behindDoc="0" locked="0" layoutInCell="1" allowOverlap="1">
            <wp:simplePos x="0" y="0"/>
            <wp:positionH relativeFrom="column">
              <wp:posOffset>499745</wp:posOffset>
            </wp:positionH>
            <wp:positionV relativeFrom="paragraph">
              <wp:posOffset>261620</wp:posOffset>
            </wp:positionV>
            <wp:extent cx="3982085" cy="2505710"/>
            <wp:effectExtent l="4445" t="4445" r="13970" b="23495"/>
            <wp:wrapNone/>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7A58435D">
      <w:pPr>
        <w:spacing w:line="600" w:lineRule="exact"/>
        <w:ind w:firstLine="640" w:firstLineChars="200"/>
        <w:rPr>
          <w:rFonts w:hint="eastAsia" w:ascii="仿宋" w:hAnsi="仿宋" w:eastAsia="仿宋"/>
          <w:sz w:val="32"/>
          <w:szCs w:val="32"/>
        </w:rPr>
      </w:pPr>
    </w:p>
    <w:p w14:paraId="5C1E2DB9">
      <w:pPr>
        <w:spacing w:line="600" w:lineRule="exact"/>
        <w:ind w:firstLine="640" w:firstLineChars="200"/>
        <w:rPr>
          <w:rFonts w:hint="eastAsia" w:ascii="仿宋" w:hAnsi="仿宋" w:eastAsia="仿宋"/>
          <w:sz w:val="32"/>
          <w:szCs w:val="32"/>
        </w:rPr>
      </w:pPr>
    </w:p>
    <w:p w14:paraId="5D82CED4">
      <w:pPr>
        <w:spacing w:line="600" w:lineRule="exact"/>
        <w:ind w:firstLine="640" w:firstLineChars="200"/>
        <w:jc w:val="both"/>
        <w:rPr>
          <w:rFonts w:hint="eastAsia" w:ascii="仿宋" w:hAnsi="仿宋" w:eastAsia="仿宋"/>
          <w:sz w:val="32"/>
          <w:szCs w:val="32"/>
        </w:rPr>
      </w:pPr>
    </w:p>
    <w:p w14:paraId="4DB38832">
      <w:pPr>
        <w:spacing w:line="600" w:lineRule="exact"/>
        <w:ind w:firstLine="640" w:firstLineChars="200"/>
        <w:rPr>
          <w:rFonts w:hint="eastAsia" w:ascii="仿宋" w:hAnsi="仿宋" w:eastAsia="仿宋"/>
          <w:sz w:val="32"/>
          <w:szCs w:val="32"/>
        </w:rPr>
      </w:pPr>
    </w:p>
    <w:p w14:paraId="5B0B2999">
      <w:pPr>
        <w:spacing w:line="600" w:lineRule="exact"/>
        <w:ind w:firstLine="640" w:firstLineChars="200"/>
        <w:rPr>
          <w:rFonts w:hint="eastAsia" w:ascii="仿宋" w:hAnsi="仿宋" w:eastAsia="仿宋"/>
          <w:sz w:val="32"/>
          <w:szCs w:val="32"/>
        </w:rPr>
      </w:pPr>
    </w:p>
    <w:p w14:paraId="037349B8">
      <w:pPr>
        <w:spacing w:line="600" w:lineRule="exact"/>
        <w:ind w:firstLine="640" w:firstLineChars="200"/>
        <w:rPr>
          <w:rFonts w:hint="eastAsia" w:ascii="仿宋" w:hAnsi="仿宋" w:eastAsia="仿宋"/>
          <w:sz w:val="32"/>
          <w:szCs w:val="32"/>
        </w:rPr>
      </w:pPr>
    </w:p>
    <w:p w14:paraId="491CC646">
      <w:pPr>
        <w:spacing w:line="600" w:lineRule="exact"/>
        <w:ind w:firstLine="640" w:firstLineChars="200"/>
        <w:rPr>
          <w:rFonts w:hint="eastAsia" w:ascii="仿宋" w:hAnsi="仿宋" w:eastAsia="仿宋"/>
          <w:sz w:val="32"/>
          <w:szCs w:val="32"/>
        </w:rPr>
      </w:pPr>
    </w:p>
    <w:p w14:paraId="0EEC3062">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3FF18BB1">
      <w:pPr>
        <w:spacing w:line="600" w:lineRule="exact"/>
        <w:ind w:firstLine="640"/>
        <w:rPr>
          <w:rFonts w:ascii="仿宋" w:hAnsi="仿宋" w:eastAsia="仿宋"/>
          <w:b/>
          <w:sz w:val="32"/>
          <w:szCs w:val="32"/>
        </w:rPr>
      </w:pPr>
    </w:p>
    <w:p w14:paraId="122B7760">
      <w:pPr>
        <w:spacing w:line="600" w:lineRule="exact"/>
        <w:ind w:firstLine="640" w:firstLineChars="200"/>
        <w:outlineLvl w:val="1"/>
        <w:rPr>
          <w:rStyle w:val="19"/>
          <w:rFonts w:ascii="黑体" w:hAnsi="黑体" w:eastAsia="黑体"/>
          <w:b w:val="0"/>
        </w:rPr>
      </w:pPr>
      <w:bookmarkStart w:id="54" w:name="_Toc15377209"/>
      <w:bookmarkStart w:id="55" w:name="_Toc15396607"/>
      <w:bookmarkStart w:id="56" w:name="_Toc6041"/>
      <w:bookmarkStart w:id="57" w:name="_Toc18765"/>
      <w:r>
        <w:rPr>
          <w:rFonts w:hint="eastAsia" w:ascii="黑体" w:hAnsi="黑体" w:eastAsia="黑体"/>
          <w:sz w:val="32"/>
          <w:szCs w:val="32"/>
        </w:rPr>
        <w:t>五、</w:t>
      </w:r>
      <w:r>
        <w:rPr>
          <w:rFonts w:hint="eastAsia" w:ascii="黑体" w:hAnsi="黑体" w:eastAsia="黑体"/>
          <w:b/>
          <w:sz w:val="32"/>
          <w:szCs w:val="32"/>
        </w:rPr>
        <w:t>一</w:t>
      </w:r>
      <w:r>
        <w:rPr>
          <w:rStyle w:val="19"/>
          <w:rFonts w:hint="eastAsia" w:ascii="黑体" w:hAnsi="黑体" w:eastAsia="黑体"/>
          <w:b w:val="0"/>
        </w:rPr>
        <w:t>般公共预算财政拨款支出决算情况说明</w:t>
      </w:r>
      <w:bookmarkEnd w:id="54"/>
      <w:bookmarkEnd w:id="55"/>
      <w:bookmarkEnd w:id="56"/>
      <w:bookmarkEnd w:id="57"/>
    </w:p>
    <w:p w14:paraId="59AD2F96">
      <w:pPr>
        <w:spacing w:line="600" w:lineRule="exact"/>
        <w:ind w:firstLine="643" w:firstLineChars="200"/>
        <w:outlineLvl w:val="2"/>
        <w:rPr>
          <w:rFonts w:ascii="仿宋" w:hAnsi="仿宋" w:eastAsia="仿宋"/>
          <w:b/>
          <w:sz w:val="32"/>
          <w:szCs w:val="32"/>
        </w:rPr>
      </w:pPr>
      <w:bookmarkStart w:id="58" w:name="_Toc15377210"/>
      <w:r>
        <w:rPr>
          <w:rFonts w:hint="eastAsia" w:ascii="仿宋" w:hAnsi="仿宋" w:eastAsia="仿宋"/>
          <w:b/>
          <w:sz w:val="32"/>
          <w:szCs w:val="32"/>
        </w:rPr>
        <w:t>（一）一般公共预算财政拨款支出决算总体情况</w:t>
      </w:r>
      <w:bookmarkEnd w:id="58"/>
    </w:p>
    <w:p w14:paraId="16B4129C">
      <w:pPr>
        <w:spacing w:line="60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rPr>
        <w:t>2023年度一般公共预算财政拨款支出</w:t>
      </w:r>
      <w:r>
        <w:rPr>
          <w:rFonts w:ascii="仿宋" w:hAnsi="仿宋" w:eastAsia="仿宋"/>
          <w:b w:val="0"/>
          <w:bCs w:val="0"/>
          <w:sz w:val="32"/>
          <w:szCs w:val="32"/>
        </w:rPr>
        <w:t>260.75</w:t>
      </w:r>
      <w:r>
        <w:rPr>
          <w:rFonts w:hint="eastAsia" w:ascii="仿宋" w:hAnsi="仿宋" w:eastAsia="仿宋"/>
          <w:b w:val="0"/>
          <w:bCs w:val="0"/>
          <w:sz w:val="32"/>
          <w:szCs w:val="32"/>
        </w:rPr>
        <w:t>万元，占本年支出合计的</w:t>
      </w:r>
      <w:r>
        <w:rPr>
          <w:rFonts w:ascii="仿宋" w:hAnsi="仿宋" w:eastAsia="仿宋"/>
          <w:b w:val="0"/>
          <w:bCs w:val="0"/>
          <w:sz w:val="32"/>
          <w:szCs w:val="32"/>
        </w:rPr>
        <w:t>100%</w:t>
      </w:r>
      <w:r>
        <w:rPr>
          <w:rFonts w:hint="eastAsia" w:ascii="仿宋" w:hAnsi="仿宋" w:eastAsia="仿宋"/>
          <w:b w:val="0"/>
          <w:bCs w:val="0"/>
          <w:sz w:val="32"/>
          <w:szCs w:val="32"/>
        </w:rPr>
        <w:t>。与2022年度相比，一般公共预算财政拨款支出增加</w:t>
      </w:r>
      <w:r>
        <w:rPr>
          <w:rFonts w:hint="eastAsia" w:ascii="仿宋" w:hAnsi="仿宋" w:eastAsia="仿宋"/>
          <w:b w:val="0"/>
          <w:bCs w:val="0"/>
          <w:sz w:val="32"/>
          <w:szCs w:val="32"/>
          <w:lang w:val="en-US" w:eastAsia="zh-CN"/>
        </w:rPr>
        <w:t>24.69</w:t>
      </w:r>
      <w:r>
        <w:rPr>
          <w:rFonts w:hint="eastAsia" w:ascii="仿宋" w:hAnsi="仿宋" w:eastAsia="仿宋"/>
          <w:b w:val="0"/>
          <w:bCs w:val="0"/>
          <w:sz w:val="32"/>
          <w:szCs w:val="32"/>
        </w:rPr>
        <w:t>万元，增长</w:t>
      </w:r>
      <w:r>
        <w:rPr>
          <w:rFonts w:hint="eastAsia" w:ascii="仿宋" w:hAnsi="仿宋" w:eastAsia="仿宋"/>
          <w:b w:val="0"/>
          <w:bCs w:val="0"/>
          <w:sz w:val="32"/>
          <w:szCs w:val="32"/>
          <w:lang w:val="en-US" w:eastAsia="zh-CN"/>
        </w:rPr>
        <w:t>10.46</w:t>
      </w:r>
      <w:r>
        <w:rPr>
          <w:rFonts w:ascii="仿宋" w:hAnsi="仿宋" w:eastAsia="仿宋"/>
          <w:b w:val="0"/>
          <w:bCs w:val="0"/>
          <w:sz w:val="32"/>
          <w:szCs w:val="32"/>
        </w:rPr>
        <w:t>%</w:t>
      </w:r>
      <w:r>
        <w:rPr>
          <w:rFonts w:hint="eastAsia" w:ascii="仿宋" w:hAnsi="仿宋" w:eastAsia="仿宋"/>
          <w:b w:val="0"/>
          <w:bCs w:val="0"/>
          <w:sz w:val="32"/>
          <w:szCs w:val="32"/>
        </w:rPr>
        <w:t>。主要变动原因是</w:t>
      </w:r>
      <w:r>
        <w:rPr>
          <w:rFonts w:hint="eastAsia" w:ascii="仿宋" w:hAnsi="仿宋" w:eastAsia="仿宋"/>
          <w:b w:val="0"/>
          <w:bCs w:val="0"/>
          <w:sz w:val="32"/>
          <w:szCs w:val="32"/>
          <w:lang w:val="en-US" w:eastAsia="zh-CN"/>
        </w:rPr>
        <w:t>培训项目经费增加。</w:t>
      </w:r>
    </w:p>
    <w:p w14:paraId="11F0E3D2">
      <w:pPr>
        <w:pStyle w:val="2"/>
        <w:rPr>
          <w:rFonts w:hint="eastAsia"/>
          <w:lang w:val="en-US" w:eastAsia="zh-CN"/>
        </w:rPr>
      </w:pPr>
    </w:p>
    <w:p w14:paraId="42B19F7A">
      <w:pPr>
        <w:pStyle w:val="2"/>
        <w:rPr>
          <w:rFonts w:hint="eastAsia"/>
          <w:lang w:val="en-US" w:eastAsia="zh-CN"/>
        </w:rPr>
      </w:pPr>
    </w:p>
    <w:p w14:paraId="4BBA40C2">
      <w:pPr>
        <w:pStyle w:val="2"/>
        <w:rPr>
          <w:rFonts w:hint="eastAsia"/>
          <w:lang w:val="en-US" w:eastAsia="zh-CN"/>
        </w:rPr>
      </w:pPr>
      <w:r>
        <w:drawing>
          <wp:anchor distT="0" distB="0" distL="114300" distR="114300" simplePos="0" relativeHeight="251660288" behindDoc="0" locked="0" layoutInCell="1" allowOverlap="1">
            <wp:simplePos x="0" y="0"/>
            <wp:positionH relativeFrom="column">
              <wp:posOffset>480695</wp:posOffset>
            </wp:positionH>
            <wp:positionV relativeFrom="paragraph">
              <wp:posOffset>99695</wp:posOffset>
            </wp:positionV>
            <wp:extent cx="4153535" cy="2409825"/>
            <wp:effectExtent l="4445" t="4445" r="13970" b="508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1508DA89">
      <w:pPr>
        <w:pStyle w:val="2"/>
        <w:rPr>
          <w:rFonts w:hint="eastAsia" w:ascii="仿宋" w:hAnsi="仿宋" w:eastAsia="仿宋"/>
          <w:sz w:val="32"/>
          <w:szCs w:val="32"/>
          <w:lang w:val="en-US" w:eastAsia="zh-CN"/>
        </w:rPr>
      </w:pPr>
    </w:p>
    <w:p w14:paraId="624CA12A">
      <w:pPr>
        <w:pStyle w:val="2"/>
        <w:rPr>
          <w:rFonts w:hint="eastAsia" w:ascii="仿宋" w:hAnsi="仿宋" w:eastAsia="仿宋"/>
          <w:sz w:val="32"/>
          <w:szCs w:val="32"/>
          <w:lang w:val="en-US" w:eastAsia="zh-CN"/>
        </w:rPr>
      </w:pPr>
    </w:p>
    <w:p w14:paraId="4423B245">
      <w:pPr>
        <w:pStyle w:val="2"/>
        <w:rPr>
          <w:rFonts w:hint="eastAsia" w:ascii="仿宋" w:hAnsi="仿宋" w:eastAsia="仿宋"/>
          <w:sz w:val="32"/>
          <w:szCs w:val="32"/>
          <w:lang w:val="en-US" w:eastAsia="zh-CN"/>
        </w:rPr>
      </w:pPr>
    </w:p>
    <w:p w14:paraId="03327E43">
      <w:pPr>
        <w:pStyle w:val="2"/>
        <w:rPr>
          <w:rFonts w:hint="eastAsia" w:ascii="仿宋" w:hAnsi="仿宋" w:eastAsia="仿宋"/>
          <w:sz w:val="32"/>
          <w:szCs w:val="32"/>
          <w:lang w:val="en-US" w:eastAsia="zh-CN"/>
        </w:rPr>
      </w:pPr>
    </w:p>
    <w:p w14:paraId="36004788">
      <w:pPr>
        <w:pStyle w:val="2"/>
        <w:rPr>
          <w:rFonts w:hint="eastAsia" w:ascii="仿宋" w:hAnsi="仿宋" w:eastAsia="仿宋"/>
          <w:sz w:val="32"/>
          <w:szCs w:val="32"/>
          <w:lang w:val="en-US" w:eastAsia="zh-CN"/>
        </w:rPr>
      </w:pPr>
    </w:p>
    <w:p w14:paraId="68966859">
      <w:pPr>
        <w:spacing w:line="600" w:lineRule="exact"/>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2C94E815">
      <w:pPr>
        <w:spacing w:line="600" w:lineRule="exact"/>
        <w:ind w:firstLine="643" w:firstLineChars="200"/>
        <w:outlineLvl w:val="2"/>
        <w:rPr>
          <w:rFonts w:ascii="仿宋" w:hAnsi="仿宋" w:eastAsia="仿宋"/>
          <w:b/>
          <w:sz w:val="32"/>
          <w:szCs w:val="32"/>
        </w:rPr>
      </w:pPr>
      <w:bookmarkStart w:id="59" w:name="_Toc15377211"/>
      <w:r>
        <w:rPr>
          <w:rFonts w:hint="eastAsia" w:ascii="仿宋" w:hAnsi="仿宋" w:eastAsia="仿宋"/>
          <w:b/>
          <w:sz w:val="32"/>
          <w:szCs w:val="32"/>
        </w:rPr>
        <w:t>（二）一般公共预算财政拨款支出决算结构情况</w:t>
      </w:r>
      <w:bookmarkEnd w:id="59"/>
    </w:p>
    <w:p w14:paraId="66165604">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260.75</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教育支出</w:t>
      </w:r>
      <w:r>
        <w:rPr>
          <w:rFonts w:hint="eastAsia" w:ascii="仿宋" w:hAnsi="仿宋" w:eastAsia="仿宋"/>
          <w:sz w:val="32"/>
          <w:szCs w:val="32"/>
          <w:lang w:val="en-US" w:eastAsia="zh-CN"/>
        </w:rPr>
        <w:t>209.48</w:t>
      </w:r>
      <w:r>
        <w:rPr>
          <w:rFonts w:hint="eastAsia" w:ascii="仿宋" w:hAnsi="仿宋" w:eastAsia="仿宋"/>
          <w:sz w:val="32"/>
          <w:szCs w:val="32"/>
        </w:rPr>
        <w:t>万元，占</w:t>
      </w:r>
      <w:r>
        <w:rPr>
          <w:rFonts w:hint="eastAsia" w:ascii="仿宋" w:hAnsi="仿宋" w:eastAsia="仿宋"/>
          <w:sz w:val="32"/>
          <w:szCs w:val="32"/>
          <w:lang w:val="en-US" w:eastAsia="zh-CN"/>
        </w:rPr>
        <w:t>80.34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34.61</w:t>
      </w:r>
      <w:r>
        <w:rPr>
          <w:rFonts w:hint="eastAsia" w:ascii="仿宋" w:hAnsi="仿宋" w:eastAsia="仿宋"/>
          <w:sz w:val="32"/>
          <w:szCs w:val="32"/>
        </w:rPr>
        <w:t>万元，占</w:t>
      </w:r>
      <w:r>
        <w:rPr>
          <w:rFonts w:hint="eastAsia" w:ascii="仿宋" w:hAnsi="仿宋" w:eastAsia="仿宋"/>
          <w:sz w:val="32"/>
          <w:szCs w:val="32"/>
          <w:lang w:val="en-US" w:eastAsia="zh-CN"/>
        </w:rPr>
        <w:t>13.27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5.9</w:t>
      </w:r>
      <w:r>
        <w:rPr>
          <w:rFonts w:hint="eastAsia" w:ascii="仿宋" w:hAnsi="仿宋" w:eastAsia="仿宋"/>
          <w:sz w:val="32"/>
          <w:szCs w:val="32"/>
        </w:rPr>
        <w:t>万元，占</w:t>
      </w:r>
      <w:r>
        <w:rPr>
          <w:rFonts w:hint="eastAsia" w:ascii="仿宋" w:hAnsi="仿宋" w:eastAsia="仿宋"/>
          <w:sz w:val="32"/>
          <w:szCs w:val="32"/>
          <w:lang w:val="en-US" w:eastAsia="zh-CN"/>
        </w:rPr>
        <w:t>2.26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10.76</w:t>
      </w:r>
      <w:r>
        <w:rPr>
          <w:rFonts w:hint="eastAsia" w:ascii="仿宋" w:hAnsi="仿宋" w:eastAsia="仿宋"/>
          <w:sz w:val="32"/>
          <w:szCs w:val="32"/>
        </w:rPr>
        <w:t>万元，占</w:t>
      </w:r>
      <w:r>
        <w:rPr>
          <w:rFonts w:hint="eastAsia" w:ascii="仿宋" w:hAnsi="仿宋" w:eastAsia="仿宋"/>
          <w:sz w:val="32"/>
          <w:szCs w:val="32"/>
          <w:lang w:val="en-US" w:eastAsia="zh-CN"/>
        </w:rPr>
        <w:t>4.13</w:t>
      </w:r>
      <w:r>
        <w:rPr>
          <w:rFonts w:ascii="仿宋" w:hAnsi="仿宋" w:eastAsia="仿宋"/>
          <w:sz w:val="32"/>
          <w:szCs w:val="32"/>
        </w:rPr>
        <w:t>%</w:t>
      </w:r>
      <w:r>
        <w:rPr>
          <w:rFonts w:hint="eastAsia" w:ascii="仿宋" w:hAnsi="仿宋" w:eastAsia="仿宋"/>
          <w:sz w:val="32"/>
          <w:szCs w:val="32"/>
        </w:rPr>
        <w:t>。</w:t>
      </w:r>
    </w:p>
    <w:p w14:paraId="3CEA94E6">
      <w:pPr>
        <w:spacing w:line="600" w:lineRule="exact"/>
        <w:ind w:firstLine="640"/>
        <w:jc w:val="center"/>
        <w:rPr>
          <w:rFonts w:ascii="仿宋" w:hAnsi="仿宋" w:eastAsia="仿宋"/>
          <w:sz w:val="32"/>
          <w:szCs w:val="32"/>
        </w:rPr>
      </w:pPr>
      <w:r>
        <w:drawing>
          <wp:anchor distT="0" distB="0" distL="114300" distR="114300" simplePos="0" relativeHeight="251661312" behindDoc="0" locked="0" layoutInCell="1" allowOverlap="1">
            <wp:simplePos x="0" y="0"/>
            <wp:positionH relativeFrom="column">
              <wp:posOffset>661670</wp:posOffset>
            </wp:positionH>
            <wp:positionV relativeFrom="paragraph">
              <wp:posOffset>185420</wp:posOffset>
            </wp:positionV>
            <wp:extent cx="3754120" cy="2286635"/>
            <wp:effectExtent l="4445" t="4445" r="13335" b="13970"/>
            <wp:wrapNone/>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72565DA0">
      <w:pPr>
        <w:spacing w:line="600" w:lineRule="exact"/>
        <w:ind w:firstLine="640" w:firstLineChars="200"/>
        <w:rPr>
          <w:rFonts w:hint="eastAsia" w:ascii="仿宋" w:hAnsi="仿宋" w:eastAsia="仿宋"/>
          <w:sz w:val="32"/>
          <w:szCs w:val="32"/>
        </w:rPr>
      </w:pPr>
    </w:p>
    <w:p w14:paraId="77FFDC1A">
      <w:pPr>
        <w:spacing w:line="600" w:lineRule="exact"/>
        <w:ind w:firstLine="640" w:firstLineChars="200"/>
        <w:rPr>
          <w:rFonts w:hint="eastAsia" w:ascii="仿宋" w:hAnsi="仿宋" w:eastAsia="仿宋"/>
          <w:sz w:val="32"/>
          <w:szCs w:val="32"/>
        </w:rPr>
      </w:pPr>
    </w:p>
    <w:p w14:paraId="55C0B658">
      <w:pPr>
        <w:spacing w:line="600" w:lineRule="exact"/>
        <w:ind w:firstLine="640" w:firstLineChars="200"/>
        <w:rPr>
          <w:rFonts w:hint="eastAsia" w:ascii="仿宋" w:hAnsi="仿宋" w:eastAsia="仿宋"/>
          <w:sz w:val="32"/>
          <w:szCs w:val="32"/>
        </w:rPr>
      </w:pPr>
    </w:p>
    <w:p w14:paraId="350FAFE7">
      <w:pPr>
        <w:spacing w:line="600" w:lineRule="exact"/>
        <w:ind w:firstLine="640" w:firstLineChars="200"/>
        <w:rPr>
          <w:rFonts w:hint="eastAsia" w:ascii="仿宋" w:hAnsi="仿宋" w:eastAsia="仿宋"/>
          <w:sz w:val="32"/>
          <w:szCs w:val="32"/>
        </w:rPr>
      </w:pPr>
    </w:p>
    <w:p w14:paraId="702BC8C2">
      <w:pPr>
        <w:pStyle w:val="2"/>
        <w:rPr>
          <w:rFonts w:hint="eastAsia" w:ascii="仿宋" w:hAnsi="仿宋" w:eastAsia="仿宋"/>
          <w:sz w:val="32"/>
          <w:szCs w:val="32"/>
        </w:rPr>
      </w:pPr>
    </w:p>
    <w:p w14:paraId="7DDE8D92">
      <w:pPr>
        <w:pStyle w:val="2"/>
        <w:rPr>
          <w:rFonts w:hint="eastAsia" w:ascii="仿宋" w:hAnsi="仿宋" w:eastAsia="仿宋"/>
          <w:sz w:val="32"/>
          <w:szCs w:val="32"/>
        </w:rPr>
      </w:pPr>
    </w:p>
    <w:p w14:paraId="5C616E3E">
      <w:pPr>
        <w:spacing w:line="600" w:lineRule="exact"/>
        <w:rPr>
          <w:rFonts w:ascii="仿宋" w:hAnsi="仿宋" w:eastAsia="仿宋"/>
          <w:sz w:val="32"/>
          <w:szCs w:val="32"/>
        </w:rPr>
      </w:pPr>
      <w:r>
        <w:rPr>
          <w:rFonts w:hint="eastAsia" w:ascii="仿宋" w:hAnsi="仿宋" w:eastAsia="仿宋"/>
          <w:sz w:val="32"/>
          <w:szCs w:val="32"/>
        </w:rPr>
        <w:t>（图6：一般公共预算财政拨款支出决算结构）（饼状图）</w:t>
      </w:r>
    </w:p>
    <w:p w14:paraId="24E3275B">
      <w:pPr>
        <w:spacing w:line="600" w:lineRule="exact"/>
        <w:ind w:firstLine="643" w:firstLineChars="200"/>
        <w:outlineLvl w:val="2"/>
        <w:rPr>
          <w:rFonts w:ascii="仿宋" w:hAnsi="仿宋" w:eastAsia="仿宋"/>
          <w:b/>
          <w:sz w:val="32"/>
          <w:szCs w:val="32"/>
        </w:rPr>
      </w:pPr>
      <w:bookmarkStart w:id="60" w:name="_Toc15377212"/>
      <w:r>
        <w:rPr>
          <w:rFonts w:hint="eastAsia" w:ascii="仿宋" w:hAnsi="仿宋" w:eastAsia="仿宋"/>
          <w:b/>
          <w:sz w:val="32"/>
          <w:szCs w:val="32"/>
        </w:rPr>
        <w:t>（三）一般公共预算财政拨款支出决算具体情况</w:t>
      </w:r>
      <w:bookmarkEnd w:id="60"/>
    </w:p>
    <w:p w14:paraId="6CAE8058">
      <w:pPr>
        <w:spacing w:line="600" w:lineRule="exact"/>
        <w:ind w:firstLine="643" w:firstLineChars="200"/>
        <w:outlineLvl w:val="2"/>
        <w:rPr>
          <w:rFonts w:ascii="仿宋" w:hAnsi="仿宋" w:eastAsia="仿宋"/>
          <w:b/>
          <w:sz w:val="32"/>
          <w:szCs w:val="32"/>
        </w:rPr>
      </w:pPr>
      <w:bookmarkStart w:id="61" w:name="_Toc15377444"/>
      <w:bookmarkStart w:id="62" w:name="_Toc15378460"/>
      <w:bookmarkStart w:id="63" w:name="_Toc15377213"/>
      <w:r>
        <w:rPr>
          <w:rFonts w:hint="eastAsia" w:ascii="仿宋" w:hAnsi="仿宋" w:eastAsia="仿宋"/>
          <w:b/>
          <w:sz w:val="32"/>
          <w:szCs w:val="32"/>
        </w:rPr>
        <w:t>2023年度一般公共预算支出决算数为</w:t>
      </w:r>
      <w:r>
        <w:rPr>
          <w:rFonts w:ascii="仿宋" w:hAnsi="仿宋" w:eastAsia="仿宋"/>
          <w:b/>
          <w:sz w:val="32"/>
          <w:szCs w:val="32"/>
        </w:rPr>
        <w:t>260.75</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100.00</w:t>
      </w:r>
      <w:r>
        <w:rPr>
          <w:rStyle w:val="16"/>
          <w:rFonts w:ascii="仿宋" w:hAnsi="仿宋" w:eastAsia="仿宋"/>
          <w:bCs/>
          <w:sz w:val="32"/>
          <w:szCs w:val="32"/>
        </w:rPr>
        <w:t>%</w:t>
      </w:r>
      <w:r>
        <w:rPr>
          <w:rStyle w:val="16"/>
          <w:rFonts w:hint="eastAsia" w:ascii="仿宋" w:hAnsi="仿宋" w:eastAsia="仿宋"/>
          <w:bCs/>
          <w:sz w:val="32"/>
          <w:szCs w:val="32"/>
        </w:rPr>
        <w:t>。其中：</w:t>
      </w:r>
      <w:bookmarkEnd w:id="61"/>
      <w:bookmarkEnd w:id="62"/>
      <w:bookmarkEnd w:id="63"/>
    </w:p>
    <w:p w14:paraId="2863DAEA">
      <w:pPr>
        <w:spacing w:line="600" w:lineRule="exact"/>
        <w:ind w:firstLine="643" w:firstLineChars="200"/>
        <w:rPr>
          <w:rFonts w:ascii="仿宋" w:hAnsi="仿宋" w:eastAsia="仿宋"/>
          <w:b/>
          <w:sz w:val="32"/>
          <w:szCs w:val="32"/>
        </w:rPr>
      </w:pPr>
      <w:r>
        <w:rPr>
          <w:rStyle w:val="16"/>
          <w:rFonts w:hint="eastAsia" w:ascii="仿宋" w:hAnsi="仿宋" w:eastAsia="仿宋"/>
          <w:bCs/>
          <w:sz w:val="32"/>
          <w:szCs w:val="32"/>
          <w:lang w:val="en-US" w:eastAsia="zh-CN"/>
        </w:rPr>
        <w:t>1</w:t>
      </w:r>
      <w:r>
        <w:rPr>
          <w:rStyle w:val="16"/>
          <w:rFonts w:ascii="仿宋" w:hAnsi="仿宋" w:eastAsia="仿宋"/>
          <w:bCs/>
          <w:sz w:val="32"/>
          <w:szCs w:val="32"/>
        </w:rPr>
        <w:t>.</w:t>
      </w:r>
      <w:r>
        <w:rPr>
          <w:rStyle w:val="16"/>
          <w:rFonts w:hint="eastAsia" w:ascii="仿宋" w:hAnsi="仿宋" w:eastAsia="仿宋"/>
          <w:bCs/>
          <w:sz w:val="32"/>
          <w:szCs w:val="32"/>
        </w:rPr>
        <w:t>教育（类）</w:t>
      </w:r>
      <w:r>
        <w:rPr>
          <w:rStyle w:val="16"/>
          <w:rFonts w:hint="eastAsia" w:ascii="仿宋" w:hAnsi="仿宋" w:eastAsia="仿宋"/>
          <w:bCs/>
          <w:sz w:val="32"/>
          <w:szCs w:val="32"/>
          <w:lang w:val="en-US" w:eastAsia="zh-CN"/>
        </w:rPr>
        <w:t>教育管理事务</w:t>
      </w:r>
      <w:r>
        <w:rPr>
          <w:rStyle w:val="16"/>
          <w:rFonts w:hint="eastAsia" w:ascii="仿宋" w:hAnsi="仿宋" w:eastAsia="仿宋"/>
          <w:bCs/>
          <w:sz w:val="32"/>
          <w:szCs w:val="32"/>
        </w:rPr>
        <w:t>（款）</w:t>
      </w:r>
      <w:r>
        <w:rPr>
          <w:rStyle w:val="16"/>
          <w:rFonts w:hint="eastAsia" w:ascii="仿宋" w:hAnsi="仿宋" w:eastAsia="仿宋"/>
          <w:bCs/>
          <w:sz w:val="32"/>
          <w:szCs w:val="32"/>
          <w:lang w:val="en-US" w:eastAsia="zh-CN"/>
        </w:rPr>
        <w:t>其他教育管理事务</w:t>
      </w:r>
      <w:r>
        <w:rPr>
          <w:rStyle w:val="16"/>
          <w:rFonts w:hint="eastAsia" w:ascii="仿宋" w:hAnsi="仿宋" w:eastAsia="仿宋"/>
          <w:bCs/>
          <w:sz w:val="32"/>
          <w:szCs w:val="32"/>
        </w:rPr>
        <w:t>（项）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209.48</w:t>
      </w:r>
      <w:r>
        <w:rPr>
          <w:rStyle w:val="16"/>
          <w:rFonts w:hint="eastAsia" w:ascii="仿宋" w:hAnsi="仿宋" w:eastAsia="仿宋"/>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6A7E4BDB">
      <w:pPr>
        <w:spacing w:line="600" w:lineRule="exact"/>
        <w:ind w:firstLine="643" w:firstLineChars="200"/>
        <w:rPr>
          <w:rFonts w:ascii="仿宋" w:hAnsi="仿宋" w:eastAsia="仿宋"/>
          <w:b/>
          <w:sz w:val="32"/>
          <w:szCs w:val="32"/>
        </w:rPr>
      </w:pPr>
      <w:r>
        <w:rPr>
          <w:rStyle w:val="16"/>
          <w:rFonts w:hint="eastAsia" w:ascii="仿宋" w:hAnsi="仿宋" w:eastAsia="仿宋"/>
          <w:bCs/>
          <w:sz w:val="32"/>
          <w:szCs w:val="32"/>
          <w:lang w:val="en-US" w:eastAsia="zh-CN"/>
        </w:rPr>
        <w:t>2</w:t>
      </w:r>
      <w:r>
        <w:rPr>
          <w:rStyle w:val="16"/>
          <w:rFonts w:ascii="仿宋" w:hAnsi="仿宋" w:eastAsia="仿宋"/>
          <w:bCs/>
          <w:sz w:val="32"/>
          <w:szCs w:val="32"/>
        </w:rPr>
        <w:t>.</w:t>
      </w:r>
      <w:r>
        <w:rPr>
          <w:rStyle w:val="16"/>
          <w:rFonts w:hint="eastAsia" w:ascii="仿宋" w:hAnsi="仿宋" w:eastAsia="仿宋"/>
          <w:bCs/>
          <w:sz w:val="32"/>
          <w:szCs w:val="32"/>
        </w:rPr>
        <w:t>社会保障和就业（类）</w:t>
      </w:r>
      <w:r>
        <w:rPr>
          <w:rStyle w:val="16"/>
          <w:rFonts w:hint="eastAsia" w:ascii="仿宋" w:hAnsi="仿宋" w:eastAsia="仿宋"/>
          <w:bCs/>
          <w:sz w:val="32"/>
          <w:szCs w:val="32"/>
          <w:lang w:val="en-US" w:eastAsia="zh-CN"/>
        </w:rPr>
        <w:t>行政事业单位养老支出</w:t>
      </w:r>
      <w:r>
        <w:rPr>
          <w:rStyle w:val="16"/>
          <w:rFonts w:hint="eastAsia" w:ascii="仿宋" w:hAnsi="仿宋" w:eastAsia="仿宋"/>
          <w:bCs/>
          <w:sz w:val="32"/>
          <w:szCs w:val="32"/>
        </w:rPr>
        <w:t>（款）</w:t>
      </w:r>
      <w:r>
        <w:rPr>
          <w:rStyle w:val="16"/>
          <w:rFonts w:hint="eastAsia" w:ascii="仿宋" w:hAnsi="仿宋" w:eastAsia="仿宋"/>
          <w:bCs/>
          <w:sz w:val="32"/>
          <w:szCs w:val="32"/>
          <w:lang w:val="en-US" w:eastAsia="zh-CN"/>
        </w:rPr>
        <w:t>事业单位离退休</w:t>
      </w:r>
      <w:r>
        <w:rPr>
          <w:rStyle w:val="16"/>
          <w:rFonts w:hint="eastAsia" w:ascii="仿宋" w:hAnsi="仿宋" w:eastAsia="仿宋"/>
          <w:bCs/>
          <w:sz w:val="32"/>
          <w:szCs w:val="32"/>
        </w:rPr>
        <w:t>（项）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11.6</w:t>
      </w:r>
      <w:r>
        <w:rPr>
          <w:rStyle w:val="16"/>
          <w:rFonts w:hint="eastAsia" w:ascii="仿宋" w:hAnsi="仿宋" w:eastAsia="仿宋"/>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3A286601">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sz w:val="32"/>
          <w:szCs w:val="32"/>
          <w:lang w:val="en-US" w:eastAsia="zh-CN"/>
        </w:rPr>
        <w:t>3</w:t>
      </w:r>
      <w:r>
        <w:rPr>
          <w:rStyle w:val="16"/>
          <w:rFonts w:ascii="仿宋" w:hAnsi="仿宋" w:eastAsia="仿宋"/>
          <w:bCs/>
          <w:sz w:val="32"/>
          <w:szCs w:val="32"/>
        </w:rPr>
        <w:t>.</w:t>
      </w:r>
      <w:r>
        <w:rPr>
          <w:rStyle w:val="16"/>
          <w:rFonts w:hint="eastAsia" w:ascii="仿宋" w:hAnsi="仿宋" w:eastAsia="仿宋"/>
          <w:bCs/>
          <w:sz w:val="32"/>
          <w:szCs w:val="32"/>
        </w:rPr>
        <w:t>社会保障和就业（类）</w:t>
      </w:r>
      <w:r>
        <w:rPr>
          <w:rStyle w:val="16"/>
          <w:rFonts w:hint="eastAsia" w:ascii="仿宋" w:hAnsi="仿宋" w:eastAsia="仿宋"/>
          <w:bCs/>
          <w:sz w:val="32"/>
          <w:szCs w:val="32"/>
          <w:lang w:val="en-US" w:eastAsia="zh-CN"/>
        </w:rPr>
        <w:t>行政事业单位养老支出</w:t>
      </w:r>
      <w:r>
        <w:rPr>
          <w:rStyle w:val="16"/>
          <w:rFonts w:hint="eastAsia" w:ascii="仿宋" w:hAnsi="仿宋" w:eastAsia="仿宋"/>
          <w:bCs/>
          <w:sz w:val="32"/>
          <w:szCs w:val="32"/>
        </w:rPr>
        <w:t>（款）</w:t>
      </w:r>
      <w:r>
        <w:rPr>
          <w:rStyle w:val="16"/>
          <w:rFonts w:hint="eastAsia" w:ascii="仿宋" w:hAnsi="仿宋" w:eastAsia="仿宋"/>
          <w:bCs/>
          <w:sz w:val="32"/>
          <w:szCs w:val="32"/>
          <w:lang w:val="en-US" w:eastAsia="zh-CN"/>
        </w:rPr>
        <w:t>机关事业单位基本养老保险缴费支出</w:t>
      </w:r>
      <w:r>
        <w:rPr>
          <w:rStyle w:val="16"/>
          <w:rFonts w:hint="eastAsia" w:ascii="仿宋" w:hAnsi="仿宋" w:eastAsia="仿宋"/>
          <w:bCs/>
          <w:sz w:val="32"/>
          <w:szCs w:val="32"/>
        </w:rPr>
        <w:t>（项）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15.16</w:t>
      </w:r>
      <w:r>
        <w:rPr>
          <w:rStyle w:val="16"/>
          <w:rFonts w:hint="eastAsia" w:ascii="仿宋" w:hAnsi="仿宋" w:eastAsia="仿宋"/>
          <w:b w:val="0"/>
          <w:bCs/>
          <w:sz w:val="32"/>
          <w:szCs w:val="32"/>
        </w:rPr>
        <w:t>万元，</w:t>
      </w:r>
      <w:r>
        <w:rPr>
          <w:rStyle w:val="16"/>
          <w:rFonts w:hint="eastAsia" w:ascii="仿宋" w:hAnsi="仿宋" w:eastAsia="仿宋"/>
          <w:b w:val="0"/>
          <w:bCs/>
          <w:sz w:val="32"/>
          <w:szCs w:val="32"/>
          <w:lang w:eastAsia="zh-CN"/>
        </w:rPr>
        <w:t>完成</w:t>
      </w:r>
      <w:r>
        <w:rPr>
          <w:rStyle w:val="16"/>
          <w:rFonts w:hint="eastAsia" w:ascii="仿宋" w:hAnsi="仿宋" w:eastAsia="仿宋"/>
          <w:b w:val="0"/>
          <w:bCs/>
          <w:color w:val="auto"/>
          <w:sz w:val="32"/>
          <w:szCs w:val="32"/>
          <w:highlight w:val="none"/>
        </w:rPr>
        <w:t>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61DA77F9">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sz w:val="32"/>
          <w:szCs w:val="32"/>
          <w:lang w:val="en-US" w:eastAsia="zh-CN"/>
        </w:rPr>
        <w:t>4</w:t>
      </w:r>
      <w:r>
        <w:rPr>
          <w:rStyle w:val="16"/>
          <w:rFonts w:ascii="仿宋" w:hAnsi="仿宋" w:eastAsia="仿宋"/>
          <w:bCs/>
          <w:sz w:val="32"/>
          <w:szCs w:val="32"/>
        </w:rPr>
        <w:t>.</w:t>
      </w:r>
      <w:r>
        <w:rPr>
          <w:rStyle w:val="16"/>
          <w:rFonts w:hint="eastAsia" w:ascii="仿宋" w:hAnsi="仿宋" w:eastAsia="仿宋"/>
          <w:bCs/>
          <w:sz w:val="32"/>
          <w:szCs w:val="32"/>
        </w:rPr>
        <w:t>社会保障和就业（类）</w:t>
      </w:r>
      <w:r>
        <w:rPr>
          <w:rStyle w:val="16"/>
          <w:rFonts w:hint="eastAsia" w:ascii="仿宋" w:hAnsi="仿宋" w:eastAsia="仿宋"/>
          <w:bCs/>
          <w:sz w:val="32"/>
          <w:szCs w:val="32"/>
          <w:lang w:val="en-US" w:eastAsia="zh-CN"/>
        </w:rPr>
        <w:t>行政事业单位养老支出</w:t>
      </w:r>
      <w:r>
        <w:rPr>
          <w:rStyle w:val="16"/>
          <w:rFonts w:hint="eastAsia" w:ascii="仿宋" w:hAnsi="仿宋" w:eastAsia="仿宋"/>
          <w:bCs/>
          <w:sz w:val="32"/>
          <w:szCs w:val="32"/>
        </w:rPr>
        <w:t>（款）</w:t>
      </w:r>
      <w:r>
        <w:rPr>
          <w:rStyle w:val="16"/>
          <w:rFonts w:hint="eastAsia" w:ascii="仿宋" w:hAnsi="仿宋" w:eastAsia="仿宋"/>
          <w:bCs/>
          <w:sz w:val="32"/>
          <w:szCs w:val="32"/>
          <w:lang w:val="en-US" w:eastAsia="zh-CN"/>
        </w:rPr>
        <w:t>机关事业单位职业年金缴费支出</w:t>
      </w:r>
      <w:r>
        <w:rPr>
          <w:rStyle w:val="16"/>
          <w:rFonts w:hint="eastAsia" w:ascii="仿宋" w:hAnsi="仿宋" w:eastAsia="仿宋"/>
          <w:bCs/>
          <w:sz w:val="32"/>
          <w:szCs w:val="32"/>
        </w:rPr>
        <w:t>（项）</w:t>
      </w:r>
      <w:r>
        <w:rPr>
          <w:rStyle w:val="16"/>
          <w:rFonts w:hint="eastAsia" w:ascii="仿宋" w:hAnsi="仿宋" w:eastAsia="仿宋"/>
          <w:bCs/>
          <w:sz w:val="32"/>
          <w:szCs w:val="32"/>
          <w:lang w:eastAsia="zh-CN"/>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6.93</w:t>
      </w:r>
      <w:r>
        <w:rPr>
          <w:rStyle w:val="16"/>
          <w:rFonts w:hint="eastAsia" w:ascii="仿宋" w:hAnsi="仿宋" w:eastAsia="仿宋"/>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5C7FF273">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cstheme="minorBidi"/>
          <w:bCs/>
          <w:sz w:val="32"/>
          <w:szCs w:val="32"/>
          <w:lang w:val="en-US" w:eastAsia="zh-CN"/>
        </w:rPr>
        <w:t>5</w:t>
      </w:r>
      <w:r>
        <w:rPr>
          <w:rStyle w:val="16"/>
          <w:rFonts w:ascii="仿宋" w:hAnsi="仿宋" w:eastAsia="仿宋" w:cstheme="minorBidi"/>
          <w:bCs/>
          <w:sz w:val="32"/>
          <w:szCs w:val="32"/>
        </w:rPr>
        <w:t>.</w:t>
      </w:r>
      <w:r>
        <w:rPr>
          <w:rStyle w:val="16"/>
          <w:rFonts w:hint="eastAsia" w:ascii="仿宋" w:hAnsi="仿宋" w:eastAsia="仿宋" w:cstheme="minorBidi"/>
          <w:bCs/>
          <w:sz w:val="32"/>
          <w:szCs w:val="32"/>
        </w:rPr>
        <w:t>社会保障和就业（类）</w:t>
      </w:r>
      <w:r>
        <w:rPr>
          <w:rStyle w:val="16"/>
          <w:rFonts w:hint="eastAsia" w:ascii="仿宋" w:hAnsi="仿宋" w:eastAsia="仿宋" w:cstheme="minorBidi"/>
          <w:bCs/>
          <w:sz w:val="32"/>
          <w:szCs w:val="32"/>
          <w:lang w:val="en-US" w:eastAsia="zh-CN"/>
        </w:rPr>
        <w:t>其他社会保障和就业支出</w:t>
      </w:r>
      <w:r>
        <w:rPr>
          <w:rStyle w:val="16"/>
          <w:rFonts w:hint="eastAsia" w:ascii="仿宋" w:hAnsi="仿宋" w:eastAsia="仿宋" w:cstheme="minorBidi"/>
          <w:bCs/>
          <w:sz w:val="32"/>
          <w:szCs w:val="32"/>
        </w:rPr>
        <w:t>（款）</w:t>
      </w:r>
      <w:r>
        <w:rPr>
          <w:rStyle w:val="16"/>
          <w:rFonts w:hint="eastAsia" w:ascii="仿宋" w:hAnsi="仿宋" w:eastAsia="仿宋" w:cstheme="minorBidi"/>
          <w:bCs/>
          <w:sz w:val="32"/>
          <w:szCs w:val="32"/>
          <w:lang w:val="en-US" w:eastAsia="zh-CN"/>
        </w:rPr>
        <w:t>其他社会保障和就业支出</w:t>
      </w:r>
      <w:r>
        <w:rPr>
          <w:rStyle w:val="16"/>
          <w:rFonts w:hint="eastAsia" w:ascii="仿宋" w:hAnsi="仿宋" w:eastAsia="仿宋" w:cstheme="minorBidi"/>
          <w:bCs/>
          <w:sz w:val="32"/>
          <w:szCs w:val="32"/>
        </w:rPr>
        <w:t>（项）</w:t>
      </w:r>
      <w:r>
        <w:rPr>
          <w:rStyle w:val="16"/>
          <w:rFonts w:hint="eastAsia" w:ascii="仿宋" w:hAnsi="仿宋" w:eastAsia="仿宋" w:cstheme="minorBidi"/>
          <w:bCs/>
          <w:sz w:val="32"/>
          <w:szCs w:val="32"/>
          <w:lang w:eastAsia="zh-CN"/>
        </w:rPr>
        <w:t>：</w:t>
      </w:r>
      <w:r>
        <w:rPr>
          <w:rStyle w:val="16"/>
          <w:rFonts w:ascii="仿宋" w:hAnsi="仿宋" w:eastAsia="仿宋" w:cstheme="minorBidi"/>
          <w:b w:val="0"/>
          <w:bCs/>
          <w:sz w:val="32"/>
          <w:szCs w:val="32"/>
        </w:rPr>
        <w:t xml:space="preserve"> </w:t>
      </w:r>
      <w:r>
        <w:rPr>
          <w:rStyle w:val="16"/>
          <w:rFonts w:hint="eastAsia" w:ascii="仿宋" w:hAnsi="仿宋" w:eastAsia="仿宋" w:cstheme="minorBidi"/>
          <w:b w:val="0"/>
          <w:bCs/>
          <w:sz w:val="32"/>
          <w:szCs w:val="32"/>
        </w:rPr>
        <w:t>支出决算为</w:t>
      </w:r>
      <w:r>
        <w:rPr>
          <w:rStyle w:val="16"/>
          <w:rFonts w:hint="eastAsia" w:ascii="仿宋" w:hAnsi="仿宋" w:eastAsia="仿宋" w:cstheme="minorBidi"/>
          <w:b w:val="0"/>
          <w:bCs/>
          <w:sz w:val="32"/>
          <w:szCs w:val="32"/>
          <w:lang w:val="en-US" w:eastAsia="zh-CN"/>
        </w:rPr>
        <w:t>0.92</w:t>
      </w:r>
      <w:r>
        <w:rPr>
          <w:rStyle w:val="16"/>
          <w:rFonts w:hint="eastAsia" w:ascii="仿宋" w:hAnsi="仿宋" w:eastAsia="仿宋" w:cstheme="minorBidi"/>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08E1D4A1">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cstheme="minorBidi"/>
          <w:bCs/>
          <w:sz w:val="32"/>
          <w:szCs w:val="32"/>
          <w:lang w:val="en-US" w:eastAsia="zh-CN"/>
        </w:rPr>
        <w:t>6</w:t>
      </w:r>
      <w:r>
        <w:rPr>
          <w:rStyle w:val="16"/>
          <w:rFonts w:ascii="仿宋" w:hAnsi="仿宋" w:eastAsia="仿宋" w:cstheme="minorBidi"/>
          <w:bCs/>
          <w:sz w:val="32"/>
          <w:szCs w:val="32"/>
        </w:rPr>
        <w:t>.</w:t>
      </w:r>
      <w:r>
        <w:rPr>
          <w:rStyle w:val="16"/>
          <w:rFonts w:hint="eastAsia" w:ascii="仿宋" w:hAnsi="仿宋" w:eastAsia="仿宋" w:cstheme="minorBidi"/>
          <w:bCs/>
          <w:sz w:val="32"/>
          <w:szCs w:val="32"/>
          <w:lang w:val="en-US" w:eastAsia="zh-CN"/>
        </w:rPr>
        <w:t>卫生健康支出</w:t>
      </w:r>
      <w:r>
        <w:rPr>
          <w:rStyle w:val="16"/>
          <w:rFonts w:hint="eastAsia" w:ascii="仿宋" w:hAnsi="仿宋" w:eastAsia="仿宋" w:cstheme="minorBidi"/>
          <w:bCs/>
          <w:sz w:val="32"/>
          <w:szCs w:val="32"/>
        </w:rPr>
        <w:t>（类）</w:t>
      </w:r>
      <w:r>
        <w:rPr>
          <w:rStyle w:val="16"/>
          <w:rFonts w:hint="eastAsia" w:ascii="仿宋" w:hAnsi="仿宋" w:eastAsia="仿宋" w:cstheme="minorBidi"/>
          <w:bCs/>
          <w:sz w:val="32"/>
          <w:szCs w:val="32"/>
          <w:lang w:val="en-US" w:eastAsia="zh-CN"/>
        </w:rPr>
        <w:t>行政事业单位医疗</w:t>
      </w:r>
      <w:r>
        <w:rPr>
          <w:rStyle w:val="16"/>
          <w:rFonts w:hint="eastAsia" w:ascii="仿宋" w:hAnsi="仿宋" w:eastAsia="仿宋" w:cstheme="minorBidi"/>
          <w:bCs/>
          <w:sz w:val="32"/>
          <w:szCs w:val="32"/>
        </w:rPr>
        <w:t>（款）</w:t>
      </w:r>
      <w:r>
        <w:rPr>
          <w:rStyle w:val="16"/>
          <w:rFonts w:hint="eastAsia" w:ascii="仿宋" w:hAnsi="仿宋" w:eastAsia="仿宋" w:cstheme="minorBidi"/>
          <w:bCs/>
          <w:sz w:val="32"/>
          <w:szCs w:val="32"/>
          <w:lang w:val="en-US" w:eastAsia="zh-CN"/>
        </w:rPr>
        <w:t>其事业单位医疗</w:t>
      </w:r>
      <w:r>
        <w:rPr>
          <w:rStyle w:val="16"/>
          <w:rFonts w:hint="eastAsia" w:ascii="仿宋" w:hAnsi="仿宋" w:eastAsia="仿宋" w:cstheme="minorBidi"/>
          <w:bCs/>
          <w:sz w:val="32"/>
          <w:szCs w:val="32"/>
        </w:rPr>
        <w:t>（项）</w:t>
      </w:r>
      <w:r>
        <w:rPr>
          <w:rStyle w:val="16"/>
          <w:rFonts w:hint="eastAsia" w:ascii="仿宋" w:hAnsi="仿宋" w:eastAsia="仿宋" w:cstheme="minorBidi"/>
          <w:bCs/>
          <w:sz w:val="32"/>
          <w:szCs w:val="32"/>
          <w:lang w:eastAsia="zh-CN"/>
        </w:rPr>
        <w:t>：</w:t>
      </w:r>
      <w:r>
        <w:rPr>
          <w:rStyle w:val="16"/>
          <w:rFonts w:ascii="仿宋" w:hAnsi="仿宋" w:eastAsia="仿宋" w:cstheme="minorBidi"/>
          <w:b w:val="0"/>
          <w:bCs/>
          <w:sz w:val="32"/>
          <w:szCs w:val="32"/>
        </w:rPr>
        <w:t xml:space="preserve"> </w:t>
      </w:r>
      <w:r>
        <w:rPr>
          <w:rStyle w:val="16"/>
          <w:rFonts w:hint="eastAsia" w:ascii="仿宋" w:hAnsi="仿宋" w:eastAsia="仿宋" w:cstheme="minorBidi"/>
          <w:b w:val="0"/>
          <w:bCs/>
          <w:sz w:val="32"/>
          <w:szCs w:val="32"/>
        </w:rPr>
        <w:t>支出决算为</w:t>
      </w:r>
      <w:r>
        <w:rPr>
          <w:rStyle w:val="16"/>
          <w:rFonts w:hint="eastAsia" w:ascii="仿宋" w:hAnsi="仿宋" w:eastAsia="仿宋" w:cstheme="minorBidi"/>
          <w:b w:val="0"/>
          <w:bCs/>
          <w:sz w:val="32"/>
          <w:szCs w:val="32"/>
          <w:lang w:val="en-US" w:eastAsia="zh-CN"/>
        </w:rPr>
        <w:t>5.9</w:t>
      </w:r>
      <w:r>
        <w:rPr>
          <w:rStyle w:val="16"/>
          <w:rFonts w:hint="eastAsia" w:ascii="仿宋" w:hAnsi="仿宋" w:eastAsia="仿宋" w:cstheme="minorBidi"/>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4A83C58D">
      <w:pPr>
        <w:spacing w:line="600" w:lineRule="exact"/>
        <w:ind w:firstLine="643" w:firstLineChars="200"/>
        <w:rPr>
          <w:rFonts w:ascii="仿宋" w:hAnsi="仿宋" w:eastAsia="仿宋"/>
          <w:b/>
          <w:sz w:val="32"/>
          <w:szCs w:val="32"/>
        </w:rPr>
      </w:pPr>
      <w:r>
        <w:rPr>
          <w:rStyle w:val="16"/>
          <w:rFonts w:hint="eastAsia" w:ascii="仿宋" w:hAnsi="仿宋" w:eastAsia="仿宋" w:cstheme="minorBidi"/>
          <w:bCs/>
          <w:sz w:val="32"/>
          <w:szCs w:val="32"/>
          <w:lang w:val="en-US" w:eastAsia="zh-CN"/>
        </w:rPr>
        <w:t>7</w:t>
      </w:r>
      <w:r>
        <w:rPr>
          <w:rStyle w:val="16"/>
          <w:rFonts w:ascii="仿宋" w:hAnsi="仿宋" w:eastAsia="仿宋" w:cstheme="minorBidi"/>
          <w:bCs/>
          <w:sz w:val="32"/>
          <w:szCs w:val="32"/>
        </w:rPr>
        <w:t>.</w:t>
      </w:r>
      <w:r>
        <w:rPr>
          <w:rStyle w:val="16"/>
          <w:rFonts w:hint="eastAsia" w:ascii="仿宋" w:hAnsi="仿宋" w:eastAsia="仿宋" w:cstheme="minorBidi"/>
          <w:bCs/>
          <w:sz w:val="32"/>
          <w:szCs w:val="32"/>
          <w:lang w:val="en-US" w:eastAsia="zh-CN"/>
        </w:rPr>
        <w:t>住房保障支出</w:t>
      </w:r>
      <w:r>
        <w:rPr>
          <w:rStyle w:val="16"/>
          <w:rFonts w:hint="eastAsia" w:ascii="仿宋" w:hAnsi="仿宋" w:eastAsia="仿宋" w:cstheme="minorBidi"/>
          <w:bCs/>
          <w:sz w:val="32"/>
          <w:szCs w:val="32"/>
        </w:rPr>
        <w:t>（类）</w:t>
      </w:r>
      <w:r>
        <w:rPr>
          <w:rStyle w:val="16"/>
          <w:rFonts w:hint="eastAsia" w:ascii="仿宋" w:hAnsi="仿宋" w:eastAsia="仿宋" w:cstheme="minorBidi"/>
          <w:bCs/>
          <w:sz w:val="32"/>
          <w:szCs w:val="32"/>
          <w:lang w:val="en-US" w:eastAsia="zh-CN"/>
        </w:rPr>
        <w:t>住房改革支出</w:t>
      </w:r>
      <w:r>
        <w:rPr>
          <w:rStyle w:val="16"/>
          <w:rFonts w:hint="eastAsia" w:ascii="仿宋" w:hAnsi="仿宋" w:eastAsia="仿宋" w:cstheme="minorBidi"/>
          <w:bCs/>
          <w:sz w:val="32"/>
          <w:szCs w:val="32"/>
        </w:rPr>
        <w:t>（款）</w:t>
      </w:r>
      <w:r>
        <w:rPr>
          <w:rStyle w:val="16"/>
          <w:rFonts w:hint="eastAsia" w:ascii="仿宋" w:hAnsi="仿宋" w:eastAsia="仿宋" w:cstheme="minorBidi"/>
          <w:bCs/>
          <w:sz w:val="32"/>
          <w:szCs w:val="32"/>
          <w:lang w:val="en-US" w:eastAsia="zh-CN"/>
        </w:rPr>
        <w:t>住房公积金</w:t>
      </w:r>
      <w:r>
        <w:rPr>
          <w:rStyle w:val="16"/>
          <w:rFonts w:hint="eastAsia" w:ascii="仿宋" w:hAnsi="仿宋" w:eastAsia="仿宋" w:cstheme="minorBidi"/>
          <w:bCs/>
          <w:sz w:val="32"/>
          <w:szCs w:val="32"/>
        </w:rPr>
        <w:t>（项）</w:t>
      </w:r>
      <w:r>
        <w:rPr>
          <w:rStyle w:val="16"/>
          <w:rFonts w:hint="eastAsia" w:ascii="仿宋" w:hAnsi="仿宋" w:eastAsia="仿宋" w:cstheme="minorBidi"/>
          <w:bCs/>
          <w:sz w:val="32"/>
          <w:szCs w:val="32"/>
          <w:lang w:eastAsia="zh-CN"/>
        </w:rPr>
        <w:t>：</w:t>
      </w:r>
      <w:r>
        <w:rPr>
          <w:rStyle w:val="16"/>
          <w:rFonts w:ascii="仿宋" w:hAnsi="仿宋" w:eastAsia="仿宋" w:cstheme="minorBidi"/>
          <w:b w:val="0"/>
          <w:bCs/>
          <w:sz w:val="32"/>
          <w:szCs w:val="32"/>
        </w:rPr>
        <w:t xml:space="preserve"> </w:t>
      </w:r>
      <w:r>
        <w:rPr>
          <w:rStyle w:val="16"/>
          <w:rFonts w:hint="eastAsia" w:ascii="仿宋" w:hAnsi="仿宋" w:eastAsia="仿宋" w:cstheme="minorBidi"/>
          <w:b w:val="0"/>
          <w:bCs/>
          <w:sz w:val="32"/>
          <w:szCs w:val="32"/>
        </w:rPr>
        <w:t>支出决算为</w:t>
      </w:r>
      <w:r>
        <w:rPr>
          <w:rStyle w:val="16"/>
          <w:rFonts w:hint="eastAsia" w:ascii="仿宋" w:hAnsi="仿宋" w:eastAsia="仿宋" w:cstheme="minorBidi"/>
          <w:b w:val="0"/>
          <w:bCs/>
          <w:sz w:val="32"/>
          <w:szCs w:val="32"/>
          <w:lang w:val="en-US" w:eastAsia="zh-CN"/>
        </w:rPr>
        <w:t>10.76</w:t>
      </w:r>
      <w:r>
        <w:rPr>
          <w:rStyle w:val="16"/>
          <w:rFonts w:hint="eastAsia" w:ascii="仿宋" w:hAnsi="仿宋" w:eastAsia="仿宋" w:cstheme="minorBidi"/>
          <w:b w:val="0"/>
          <w:bCs/>
          <w:sz w:val="32"/>
          <w:szCs w:val="32"/>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，与预算数持平。</w:t>
      </w:r>
    </w:p>
    <w:p w14:paraId="33C52824">
      <w:pPr>
        <w:tabs>
          <w:tab w:val="right" w:pos="8306"/>
        </w:tabs>
        <w:spacing w:line="600" w:lineRule="exact"/>
        <w:ind w:firstLine="640"/>
        <w:outlineLvl w:val="1"/>
        <w:rPr>
          <w:rStyle w:val="19"/>
        </w:rPr>
      </w:pPr>
      <w:bookmarkStart w:id="64" w:name="_Toc12206"/>
      <w:bookmarkStart w:id="65" w:name="_Toc15396608"/>
      <w:bookmarkStart w:id="66" w:name="_Toc9914"/>
      <w:bookmarkStart w:id="67"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9"/>
          <w:rFonts w:hint="eastAsia" w:ascii="黑体" w:hAnsi="黑体" w:eastAsia="黑体"/>
          <w:b w:val="0"/>
        </w:rPr>
        <w:t>般公共预算财政拨款基本支出决算情况说明</w:t>
      </w:r>
      <w:bookmarkEnd w:id="64"/>
      <w:bookmarkEnd w:id="65"/>
      <w:bookmarkEnd w:id="66"/>
      <w:bookmarkEnd w:id="67"/>
      <w:r>
        <w:rPr>
          <w:rStyle w:val="19"/>
          <w:rFonts w:ascii="黑体" w:hAnsi="黑体" w:eastAsia="黑体"/>
          <w:b w:val="0"/>
        </w:rPr>
        <w:tab/>
      </w:r>
    </w:p>
    <w:p w14:paraId="25E828EE">
      <w:pPr>
        <w:spacing w:line="600" w:lineRule="exact"/>
        <w:ind w:firstLine="645"/>
        <w:rPr>
          <w:rFonts w:ascii="仿宋" w:hAnsi="仿宋" w:eastAsia="仿宋"/>
          <w:b w:val="0"/>
          <w:bCs w:val="0"/>
          <w:sz w:val="32"/>
          <w:szCs w:val="32"/>
        </w:rPr>
      </w:pPr>
      <w:r>
        <w:rPr>
          <w:rFonts w:hint="eastAsia" w:ascii="仿宋" w:hAnsi="仿宋" w:eastAsia="仿宋"/>
          <w:b w:val="0"/>
          <w:bCs w:val="0"/>
          <w:sz w:val="32"/>
          <w:szCs w:val="32"/>
        </w:rPr>
        <w:t>2023年度一般公共预算财政拨款基本支出</w:t>
      </w:r>
      <w:r>
        <w:rPr>
          <w:rFonts w:ascii="仿宋" w:hAnsi="仿宋" w:eastAsia="仿宋"/>
          <w:b w:val="0"/>
          <w:bCs w:val="0"/>
          <w:sz w:val="32"/>
          <w:szCs w:val="32"/>
        </w:rPr>
        <w:t>162.44</w:t>
      </w:r>
      <w:r>
        <w:rPr>
          <w:rFonts w:hint="eastAsia" w:ascii="仿宋" w:hAnsi="仿宋" w:eastAsia="仿宋"/>
          <w:b w:val="0"/>
          <w:bCs w:val="0"/>
          <w:sz w:val="32"/>
          <w:szCs w:val="32"/>
        </w:rPr>
        <w:t>万元，其中：</w:t>
      </w:r>
    </w:p>
    <w:p w14:paraId="72CC4A75">
      <w:pPr>
        <w:spacing w:line="600" w:lineRule="exact"/>
        <w:ind w:firstLine="645"/>
        <w:rPr>
          <w:rFonts w:ascii="仿宋" w:hAnsi="仿宋" w:eastAsia="仿宋"/>
          <w:b w:val="0"/>
          <w:bCs w:val="0"/>
          <w:sz w:val="32"/>
          <w:szCs w:val="32"/>
        </w:rPr>
      </w:pPr>
      <w:r>
        <w:rPr>
          <w:rFonts w:hint="eastAsia" w:ascii="仿宋" w:hAnsi="仿宋" w:eastAsia="仿宋"/>
          <w:b w:val="0"/>
          <w:bCs w:val="0"/>
          <w:sz w:val="32"/>
          <w:szCs w:val="32"/>
        </w:rPr>
        <w:t>人员经费</w:t>
      </w:r>
      <w:r>
        <w:rPr>
          <w:rFonts w:ascii="仿宋" w:hAnsi="仿宋" w:eastAsia="仿宋"/>
          <w:b w:val="0"/>
          <w:bCs w:val="0"/>
          <w:sz w:val="32"/>
          <w:szCs w:val="32"/>
        </w:rPr>
        <w:t>150.79</w:t>
      </w:r>
      <w:r>
        <w:rPr>
          <w:rFonts w:hint="eastAsia" w:ascii="仿宋" w:hAnsi="仿宋" w:eastAsia="仿宋"/>
          <w:b w:val="0"/>
          <w:bCs w:val="0"/>
          <w:sz w:val="32"/>
          <w:szCs w:val="32"/>
        </w:rPr>
        <w:t>万元，主要包括：基本工资、津贴补贴、奖金、绩效工资、机关事业单位基本养老保险缴费、职业年金缴费、</w:t>
      </w:r>
      <w:r>
        <w:rPr>
          <w:rFonts w:hint="eastAsia" w:ascii="仿宋" w:hAnsi="仿宋" w:eastAsia="仿宋"/>
          <w:b w:val="0"/>
          <w:bCs w:val="0"/>
          <w:sz w:val="32"/>
          <w:szCs w:val="32"/>
          <w:lang w:val="en-US" w:eastAsia="zh-CN"/>
        </w:rPr>
        <w:t>职工基本医疗保险缴费、</w:t>
      </w:r>
      <w:r>
        <w:rPr>
          <w:rFonts w:hint="eastAsia" w:ascii="仿宋" w:hAnsi="仿宋" w:eastAsia="仿宋"/>
          <w:b w:val="0"/>
          <w:bCs w:val="0"/>
          <w:sz w:val="32"/>
          <w:szCs w:val="32"/>
        </w:rPr>
        <w:t>其他社会保障缴费、</w:t>
      </w:r>
      <w:r>
        <w:rPr>
          <w:rFonts w:hint="eastAsia" w:ascii="仿宋" w:hAnsi="仿宋" w:eastAsia="仿宋"/>
          <w:b w:val="0"/>
          <w:bCs w:val="0"/>
          <w:sz w:val="32"/>
          <w:szCs w:val="32"/>
          <w:lang w:val="en-US" w:eastAsia="zh-CN"/>
        </w:rPr>
        <w:t>住房公积金、</w:t>
      </w:r>
      <w:r>
        <w:rPr>
          <w:rFonts w:hint="eastAsia" w:ascii="仿宋" w:hAnsi="仿宋" w:eastAsia="仿宋"/>
          <w:b w:val="0"/>
          <w:bCs w:val="0"/>
          <w:sz w:val="32"/>
          <w:szCs w:val="32"/>
        </w:rPr>
        <w:t>其他工资福利支出、对个人和家庭的补助</w:t>
      </w:r>
      <w:r>
        <w:rPr>
          <w:rFonts w:hint="eastAsia" w:ascii="仿宋" w:hAnsi="仿宋" w:eastAsia="仿宋"/>
          <w:b w:val="0"/>
          <w:bCs w:val="0"/>
          <w:sz w:val="32"/>
          <w:szCs w:val="32"/>
          <w:lang w:eastAsia="zh-CN"/>
        </w:rPr>
        <w:t>、</w:t>
      </w:r>
      <w:r>
        <w:rPr>
          <w:rFonts w:hint="eastAsia" w:ascii="仿宋" w:hAnsi="仿宋" w:eastAsia="仿宋"/>
          <w:b w:val="0"/>
          <w:bCs w:val="0"/>
          <w:sz w:val="32"/>
          <w:szCs w:val="32"/>
        </w:rPr>
        <w:t>生活补助等。</w:t>
      </w:r>
      <w:r>
        <w:rPr>
          <w:rFonts w:ascii="仿宋" w:hAnsi="仿宋" w:eastAsia="仿宋"/>
          <w:b w:val="0"/>
          <w:bCs w:val="0"/>
          <w:sz w:val="32"/>
          <w:szCs w:val="32"/>
        </w:rPr>
        <w:br w:type="textWrapping"/>
      </w:r>
      <w:r>
        <w:rPr>
          <w:rFonts w:hint="eastAsia" w:ascii="仿宋" w:hAnsi="仿宋" w:eastAsia="仿宋"/>
          <w:b w:val="0"/>
          <w:bCs w:val="0"/>
          <w:sz w:val="32"/>
          <w:szCs w:val="32"/>
        </w:rPr>
        <w:t>　　公用经费</w:t>
      </w:r>
      <w:r>
        <w:rPr>
          <w:rFonts w:ascii="仿宋" w:hAnsi="仿宋" w:eastAsia="仿宋"/>
          <w:b w:val="0"/>
          <w:bCs w:val="0"/>
          <w:sz w:val="32"/>
          <w:szCs w:val="32"/>
        </w:rPr>
        <w:t>11.65</w:t>
      </w:r>
      <w:r>
        <w:rPr>
          <w:rFonts w:hint="eastAsia" w:ascii="仿宋" w:hAnsi="仿宋" w:eastAsia="仿宋"/>
          <w:b w:val="0"/>
          <w:bCs w:val="0"/>
          <w:sz w:val="32"/>
          <w:szCs w:val="32"/>
        </w:rPr>
        <w:t>万元，主要包括：办公费、印刷费、咨询费、邮电费、差旅费、工会经费、福利费、其他交通费、其他商品和服务支出等。</w:t>
      </w:r>
    </w:p>
    <w:p w14:paraId="5E262AEC">
      <w:pPr>
        <w:spacing w:line="600" w:lineRule="exact"/>
        <w:ind w:firstLine="640"/>
        <w:rPr>
          <w:rFonts w:ascii="仿宋" w:hAnsi="仿宋" w:eastAsia="仿宋"/>
          <w:b/>
          <w:sz w:val="32"/>
          <w:szCs w:val="32"/>
        </w:rPr>
      </w:pPr>
    </w:p>
    <w:p w14:paraId="099BFF50">
      <w:pPr>
        <w:spacing w:line="600" w:lineRule="exact"/>
        <w:ind w:firstLine="640"/>
        <w:outlineLvl w:val="1"/>
        <w:rPr>
          <w:rStyle w:val="19"/>
          <w:rFonts w:ascii="黑体" w:hAnsi="黑体" w:eastAsia="黑体"/>
          <w:b w:val="0"/>
        </w:rPr>
      </w:pPr>
      <w:bookmarkStart w:id="68" w:name="_Toc15396609"/>
      <w:bookmarkStart w:id="69" w:name="_Toc15377215"/>
      <w:bookmarkStart w:id="70" w:name="_Toc16915"/>
      <w:bookmarkStart w:id="71" w:name="_Toc8431"/>
      <w:r>
        <w:rPr>
          <w:rFonts w:hint="eastAsia" w:ascii="黑体" w:eastAsia="黑体"/>
          <w:sz w:val="32"/>
          <w:szCs w:val="32"/>
        </w:rPr>
        <w:t>七、</w:t>
      </w:r>
      <w:r>
        <w:rPr>
          <w:rStyle w:val="19"/>
          <w:rFonts w:hint="eastAsia" w:ascii="黑体" w:hAnsi="黑体" w:eastAsia="黑体"/>
          <w:b w:val="0"/>
        </w:rPr>
        <w:t>财政拨款</w:t>
      </w:r>
      <w:r>
        <w:rPr>
          <w:rStyle w:val="19"/>
          <w:rFonts w:hint="eastAsia" w:ascii="黑体" w:hAnsi="黑体" w:eastAsia="黑体"/>
        </w:rPr>
        <w:t>“</w:t>
      </w:r>
      <w:r>
        <w:rPr>
          <w:rStyle w:val="19"/>
          <w:rFonts w:hint="eastAsia" w:ascii="黑体" w:hAnsi="黑体" w:eastAsia="黑体"/>
          <w:b w:val="0"/>
        </w:rPr>
        <w:t>三公”经费支出决算情况说明</w:t>
      </w:r>
      <w:bookmarkEnd w:id="68"/>
      <w:bookmarkEnd w:id="69"/>
      <w:bookmarkEnd w:id="70"/>
      <w:bookmarkEnd w:id="71"/>
    </w:p>
    <w:p w14:paraId="16846815">
      <w:pPr>
        <w:spacing w:line="600" w:lineRule="exact"/>
        <w:ind w:firstLine="640"/>
        <w:outlineLvl w:val="2"/>
        <w:rPr>
          <w:rFonts w:ascii="仿宋" w:hAnsi="仿宋" w:eastAsia="仿宋"/>
          <w:b/>
          <w:sz w:val="32"/>
          <w:szCs w:val="32"/>
        </w:rPr>
      </w:pPr>
      <w:bookmarkStart w:id="72" w:name="_Toc15377216"/>
      <w:r>
        <w:rPr>
          <w:rFonts w:hint="eastAsia" w:ascii="仿宋" w:hAnsi="仿宋" w:eastAsia="仿宋"/>
          <w:b/>
          <w:sz w:val="32"/>
          <w:szCs w:val="32"/>
        </w:rPr>
        <w:t>（一）“三公”经费财政拨款支出决算总体情况说明</w:t>
      </w:r>
      <w:bookmarkEnd w:id="72"/>
    </w:p>
    <w:p w14:paraId="3C10E6BB">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val="0"/>
          <w:bCs/>
          <w:sz w:val="32"/>
          <w:szCs w:val="32"/>
        </w:rPr>
        <w:t>0</w:t>
      </w:r>
      <w:r>
        <w:rPr>
          <w:rFonts w:hint="eastAsia" w:ascii="仿宋" w:hAnsi="仿宋" w:eastAsia="仿宋"/>
          <w:sz w:val="32"/>
          <w:szCs w:val="32"/>
        </w:rPr>
        <w:t>万元，</w:t>
      </w:r>
      <w:r>
        <w:rPr>
          <w:rFonts w:hint="eastAsia" w:ascii="仿宋" w:hAnsi="仿宋" w:eastAsia="仿宋" w:cs="Times New Roman"/>
          <w:color w:val="auto"/>
          <w:sz w:val="32"/>
          <w:szCs w:val="32"/>
          <w:highlight w:val="none"/>
        </w:rPr>
        <w:t>年初未安排预算</w:t>
      </w:r>
      <w:r>
        <w:rPr>
          <w:rFonts w:hint="default" w:ascii="仿宋" w:hAnsi="仿宋" w:eastAsia="仿宋" w:cs="Times New Roman"/>
          <w:color w:val="auto"/>
          <w:sz w:val="32"/>
          <w:szCs w:val="32"/>
          <w:highlight w:val="none"/>
        </w:rPr>
        <w:t>，较上年无变化</w:t>
      </w:r>
      <w:r>
        <w:rPr>
          <w:rFonts w:hint="eastAsia" w:ascii="仿宋" w:hAnsi="仿宋" w:eastAsia="仿宋"/>
          <w:sz w:val="32"/>
          <w:szCs w:val="32"/>
        </w:rPr>
        <w:t>。</w:t>
      </w:r>
    </w:p>
    <w:p w14:paraId="07EEE05A">
      <w:pPr>
        <w:spacing w:line="600" w:lineRule="exact"/>
        <w:ind w:firstLine="640"/>
        <w:outlineLvl w:val="2"/>
        <w:rPr>
          <w:rFonts w:ascii="仿宋" w:hAnsi="仿宋" w:eastAsia="仿宋"/>
          <w:b/>
          <w:sz w:val="32"/>
          <w:szCs w:val="32"/>
        </w:rPr>
      </w:pPr>
      <w:bookmarkStart w:id="73" w:name="_Toc15377217"/>
      <w:r>
        <w:rPr>
          <w:rFonts w:hint="eastAsia" w:ascii="仿宋" w:hAnsi="仿宋" w:eastAsia="仿宋"/>
          <w:b/>
          <w:sz w:val="32"/>
          <w:szCs w:val="32"/>
        </w:rPr>
        <w:t>（二）“三公”经费财政拨款支出决算具体情况说明</w:t>
      </w:r>
      <w:bookmarkEnd w:id="73"/>
    </w:p>
    <w:p w14:paraId="3EFC01B4">
      <w:pPr>
        <w:spacing w:line="600" w:lineRule="exact"/>
        <w:ind w:firstLine="640"/>
        <w:rPr>
          <w:rFonts w:ascii="仿宋" w:hAnsi="仿宋" w:eastAsia="仿宋"/>
          <w:b w:val="0"/>
          <w:bCs w:val="0"/>
          <w:sz w:val="32"/>
          <w:szCs w:val="32"/>
        </w:rPr>
      </w:pPr>
      <w:r>
        <w:rPr>
          <w:rFonts w:hint="eastAsia" w:ascii="仿宋" w:hAnsi="仿宋" w:eastAsia="仿宋"/>
          <w:sz w:val="32"/>
          <w:szCs w:val="32"/>
        </w:rPr>
        <w:t>2023年度“三公”经费财政拨款支出决算中，因公出国（境）费支出决</w:t>
      </w:r>
      <w:r>
        <w:rPr>
          <w:rFonts w:hint="eastAsia" w:ascii="仿宋" w:hAnsi="仿宋" w:eastAsia="仿宋"/>
          <w:b w:val="0"/>
          <w:bCs w:val="0"/>
          <w:sz w:val="32"/>
          <w:szCs w:val="32"/>
        </w:rPr>
        <w:t>算</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；公务用车购置及运行维护费支出决算</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；公务接待费支出决算</w:t>
      </w:r>
      <w:r>
        <w:rPr>
          <w:rFonts w:ascii="仿宋" w:hAnsi="仿宋" w:eastAsia="仿宋"/>
          <w:b w:val="0"/>
          <w:bCs w:val="0"/>
          <w:sz w:val="32"/>
          <w:szCs w:val="32"/>
        </w:rPr>
        <w:t>0</w:t>
      </w:r>
      <w:r>
        <w:rPr>
          <w:rFonts w:hint="eastAsia" w:ascii="仿宋" w:hAnsi="仿宋" w:eastAsia="仿宋"/>
          <w:b w:val="0"/>
          <w:bCs w:val="0"/>
          <w:sz w:val="32"/>
          <w:szCs w:val="32"/>
        </w:rPr>
        <w:t>万元，占</w:t>
      </w:r>
      <w:r>
        <w:rPr>
          <w:rFonts w:ascii="仿宋" w:hAnsi="仿宋" w:eastAsia="仿宋"/>
          <w:b w:val="0"/>
          <w:bCs w:val="0"/>
          <w:sz w:val="32"/>
          <w:szCs w:val="32"/>
        </w:rPr>
        <w:t>0%</w:t>
      </w:r>
      <w:r>
        <w:rPr>
          <w:rFonts w:hint="eastAsia" w:ascii="仿宋" w:hAnsi="仿宋" w:eastAsia="仿宋"/>
          <w:b w:val="0"/>
          <w:bCs w:val="0"/>
          <w:sz w:val="32"/>
          <w:szCs w:val="32"/>
        </w:rPr>
        <w:t>。</w:t>
      </w:r>
    </w:p>
    <w:p w14:paraId="7AC785E7">
      <w:pPr>
        <w:spacing w:line="600" w:lineRule="exact"/>
        <w:ind w:firstLine="640"/>
        <w:rPr>
          <w:rStyle w:val="16"/>
          <w:rFonts w:hint="eastAsia" w:ascii="仿宋" w:hAnsi="仿宋" w:eastAsia="仿宋"/>
          <w:b w:val="0"/>
          <w:bCs/>
          <w:color w:val="auto"/>
          <w:sz w:val="32"/>
          <w:szCs w:val="32"/>
          <w:highlight w:val="none"/>
        </w:rPr>
      </w:pPr>
      <w:bookmarkStart w:id="74" w:name="_Toc15396610"/>
      <w:bookmarkStart w:id="75"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val="0"/>
          <w:bCs/>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w:t>
      </w:r>
      <w:r>
        <w:rPr>
          <w:rStyle w:val="16"/>
          <w:rFonts w:hint="eastAsia" w:ascii="仿宋" w:hAnsi="仿宋" w:eastAsia="仿宋"/>
          <w:b w:val="0"/>
          <w:bCs/>
          <w:color w:val="auto"/>
          <w:sz w:val="32"/>
          <w:szCs w:val="32"/>
          <w:highlight w:val="none"/>
        </w:rPr>
        <w:t>年初未安排预算，因公出国（境）支出决算较202</w:t>
      </w:r>
      <w:r>
        <w:rPr>
          <w:rStyle w:val="16"/>
          <w:rFonts w:hint="eastAsia" w:ascii="仿宋" w:hAnsi="仿宋" w:eastAsia="仿宋"/>
          <w:b w:val="0"/>
          <w:bCs/>
          <w:color w:val="auto"/>
          <w:sz w:val="32"/>
          <w:szCs w:val="32"/>
          <w:highlight w:val="none"/>
          <w:lang w:val="en-US" w:eastAsia="zh-CN"/>
        </w:rPr>
        <w:t>2</w:t>
      </w:r>
      <w:r>
        <w:rPr>
          <w:rStyle w:val="16"/>
          <w:rFonts w:hint="eastAsia" w:ascii="仿宋" w:hAnsi="仿宋" w:eastAsia="仿宋"/>
          <w:b w:val="0"/>
          <w:bCs/>
          <w:color w:val="auto"/>
          <w:sz w:val="32"/>
          <w:szCs w:val="32"/>
          <w:highlight w:val="none"/>
        </w:rPr>
        <w:t>年无变化。</w:t>
      </w:r>
    </w:p>
    <w:p w14:paraId="7AD65066">
      <w:pPr>
        <w:spacing w:line="600" w:lineRule="exact"/>
        <w:ind w:firstLine="640"/>
        <w:rPr>
          <w:rFonts w:hint="eastAsia" w:ascii="仿宋" w:hAnsi="仿宋" w:eastAsia="仿宋" w:cs="Times New Roman"/>
          <w:color w:val="auto"/>
          <w:sz w:val="32"/>
          <w:szCs w:val="32"/>
          <w:highlight w:val="none"/>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val="0"/>
          <w:bCs/>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w:t>
      </w:r>
      <w:r>
        <w:rPr>
          <w:rFonts w:hint="eastAsia" w:ascii="仿宋" w:hAnsi="仿宋" w:eastAsia="仿宋" w:cs="Times New Roman"/>
          <w:color w:val="auto"/>
          <w:sz w:val="32"/>
          <w:szCs w:val="32"/>
          <w:highlight w:val="none"/>
        </w:rPr>
        <w:t>年初未安排预算，与上年数无变化。本单位无公务用车保有量，与上年数相比无变化。</w:t>
      </w:r>
    </w:p>
    <w:p w14:paraId="455D0EAD">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14:paraId="781BC728">
      <w:pPr>
        <w:spacing w:line="600" w:lineRule="exact"/>
        <w:ind w:firstLine="64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3EF2133E">
      <w:pPr>
        <w:numPr>
          <w:ilvl w:val="0"/>
          <w:numId w:val="0"/>
        </w:numPr>
        <w:spacing w:line="600" w:lineRule="exact"/>
        <w:ind w:firstLine="643" w:firstLineChars="200"/>
        <w:rPr>
          <w:rFonts w:hint="eastAsia"/>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val="0"/>
          <w:bCs/>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w:t>
      </w:r>
      <w:r>
        <w:rPr>
          <w:rStyle w:val="16"/>
          <w:rFonts w:hint="eastAsia" w:ascii="仿宋" w:hAnsi="仿宋" w:eastAsia="仿宋"/>
          <w:b w:val="0"/>
          <w:bCs/>
          <w:color w:val="auto"/>
          <w:sz w:val="32"/>
          <w:szCs w:val="32"/>
          <w:highlight w:val="none"/>
        </w:rPr>
        <w:t>年初未安排预算，与上年数无变化。其中：</w:t>
      </w:r>
    </w:p>
    <w:p w14:paraId="71BE8C3C">
      <w:pPr>
        <w:numPr>
          <w:ilvl w:val="0"/>
          <w:numId w:val="0"/>
        </w:num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14:paraId="4C0D8576">
      <w:pPr>
        <w:spacing w:line="600" w:lineRule="exact"/>
        <w:ind w:firstLine="643" w:firstLineChars="200"/>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14:paraId="1D4FEE60">
      <w:pPr>
        <w:spacing w:line="600" w:lineRule="exact"/>
        <w:ind w:firstLine="640"/>
        <w:outlineLvl w:val="1"/>
        <w:rPr>
          <w:rStyle w:val="19"/>
          <w:rFonts w:ascii="黑体" w:hAnsi="黑体" w:eastAsia="黑体"/>
        </w:rPr>
      </w:pPr>
      <w:bookmarkStart w:id="76" w:name="_Toc4410"/>
      <w:bookmarkStart w:id="77" w:name="_Toc11062"/>
      <w:r>
        <w:rPr>
          <w:rFonts w:hint="eastAsia" w:ascii="黑体" w:eastAsia="黑体"/>
          <w:sz w:val="32"/>
          <w:szCs w:val="32"/>
        </w:rPr>
        <w:t>八、</w:t>
      </w:r>
      <w:r>
        <w:rPr>
          <w:rStyle w:val="19"/>
          <w:rFonts w:hint="eastAsia" w:ascii="黑体" w:hAnsi="黑体" w:eastAsia="黑体"/>
          <w:b w:val="0"/>
        </w:rPr>
        <w:t>政府性基金预算支出决算情况说明</w:t>
      </w:r>
      <w:bookmarkEnd w:id="74"/>
      <w:bookmarkEnd w:id="75"/>
      <w:bookmarkEnd w:id="76"/>
      <w:bookmarkEnd w:id="77"/>
    </w:p>
    <w:p w14:paraId="215C8FAD">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val="0"/>
          <w:bCs/>
          <w:sz w:val="32"/>
          <w:szCs w:val="32"/>
        </w:rPr>
        <w:t>0</w:t>
      </w:r>
      <w:r>
        <w:rPr>
          <w:rFonts w:hint="eastAsia" w:ascii="仿宋_GB2312" w:eastAsia="仿宋_GB2312"/>
          <w:sz w:val="32"/>
          <w:szCs w:val="32"/>
        </w:rPr>
        <w:t>万元。</w:t>
      </w:r>
    </w:p>
    <w:p w14:paraId="3106C0D1">
      <w:pPr>
        <w:numPr>
          <w:ilvl w:val="0"/>
          <w:numId w:val="3"/>
        </w:numPr>
        <w:spacing w:line="600" w:lineRule="exact"/>
        <w:ind w:firstLine="640"/>
        <w:outlineLvl w:val="1"/>
        <w:rPr>
          <w:rStyle w:val="19"/>
          <w:rFonts w:ascii="黑体" w:hAnsi="黑体" w:eastAsia="黑体"/>
          <w:b w:val="0"/>
        </w:rPr>
      </w:pPr>
      <w:bookmarkStart w:id="78" w:name="_Toc19445"/>
      <w:bookmarkStart w:id="79" w:name="_Toc4764"/>
      <w:bookmarkStart w:id="80" w:name="_Toc15377219"/>
      <w:bookmarkStart w:id="81" w:name="_Toc15396611"/>
      <w:r>
        <w:rPr>
          <w:rStyle w:val="19"/>
          <w:rFonts w:hint="eastAsia" w:ascii="黑体" w:hAnsi="黑体" w:eastAsia="黑体"/>
          <w:b w:val="0"/>
        </w:rPr>
        <w:t>国有资本经营预算支出决算情况说明</w:t>
      </w:r>
      <w:bookmarkEnd w:id="78"/>
      <w:bookmarkEnd w:id="79"/>
      <w:bookmarkEnd w:id="80"/>
      <w:bookmarkEnd w:id="81"/>
    </w:p>
    <w:p w14:paraId="102ED0C8">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val="0"/>
          <w:bCs/>
          <w:sz w:val="32"/>
          <w:szCs w:val="32"/>
        </w:rPr>
        <w:t>0</w:t>
      </w:r>
      <w:r>
        <w:rPr>
          <w:rFonts w:hint="eastAsia" w:ascii="仿宋_GB2312" w:eastAsia="仿宋_GB2312"/>
          <w:sz w:val="32"/>
          <w:szCs w:val="32"/>
        </w:rPr>
        <w:t>万元。</w:t>
      </w:r>
    </w:p>
    <w:p w14:paraId="555F6110">
      <w:pPr>
        <w:numPr>
          <w:ilvl w:val="0"/>
          <w:numId w:val="3"/>
        </w:numPr>
        <w:spacing w:line="600" w:lineRule="exact"/>
        <w:ind w:firstLine="640"/>
        <w:outlineLvl w:val="1"/>
        <w:rPr>
          <w:rStyle w:val="19"/>
          <w:rFonts w:ascii="黑体" w:hAnsi="黑体" w:eastAsia="黑体"/>
          <w:b w:val="0"/>
        </w:rPr>
      </w:pPr>
      <w:bookmarkStart w:id="82" w:name="_Toc15377221"/>
      <w:bookmarkStart w:id="83" w:name="_Toc12705"/>
      <w:bookmarkStart w:id="84" w:name="_Toc14060"/>
      <w:bookmarkStart w:id="85" w:name="_Toc15396612"/>
      <w:r>
        <w:rPr>
          <w:rStyle w:val="19"/>
          <w:rFonts w:hint="eastAsia" w:ascii="黑体" w:hAnsi="黑体" w:eastAsia="黑体"/>
          <w:b w:val="0"/>
        </w:rPr>
        <w:t>其他重要事项的情况说明</w:t>
      </w:r>
      <w:bookmarkEnd w:id="82"/>
      <w:bookmarkEnd w:id="83"/>
      <w:bookmarkEnd w:id="84"/>
      <w:bookmarkEnd w:id="85"/>
    </w:p>
    <w:p w14:paraId="6B6D7168">
      <w:pPr>
        <w:spacing w:line="600" w:lineRule="exact"/>
        <w:ind w:firstLine="643" w:firstLineChars="200"/>
        <w:outlineLvl w:val="2"/>
        <w:rPr>
          <w:rFonts w:ascii="仿宋" w:hAnsi="仿宋" w:eastAsia="仿宋"/>
          <w:sz w:val="32"/>
          <w:szCs w:val="32"/>
        </w:rPr>
      </w:pPr>
      <w:bookmarkStart w:id="86" w:name="_Toc15377222"/>
      <w:r>
        <w:rPr>
          <w:rFonts w:hint="eastAsia" w:ascii="仿宋" w:hAnsi="仿宋" w:eastAsia="仿宋"/>
          <w:b/>
          <w:sz w:val="32"/>
          <w:szCs w:val="32"/>
        </w:rPr>
        <w:t>（一）机关运行经费支出情况</w:t>
      </w:r>
      <w:bookmarkEnd w:id="86"/>
    </w:p>
    <w:p w14:paraId="46EA664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2023年度，</w:t>
      </w:r>
      <w:r>
        <w:rPr>
          <w:rFonts w:hint="eastAsia" w:ascii="仿宋_GB2312" w:eastAsia="仿宋_GB2312"/>
          <w:b w:val="0"/>
          <w:bCs/>
          <w:sz w:val="32"/>
          <w:szCs w:val="32"/>
          <w:lang w:eastAsia="zh-CN"/>
        </w:rPr>
        <w:t>本</w:t>
      </w:r>
      <w:r>
        <w:rPr>
          <w:rFonts w:ascii="仿宋_GB2312" w:eastAsia="仿宋_GB2312"/>
          <w:b w:val="0"/>
          <w:bCs/>
          <w:sz w:val="32"/>
          <w:szCs w:val="32"/>
        </w:rPr>
        <w:t>中心</w:t>
      </w:r>
      <w:r>
        <w:rPr>
          <w:rFonts w:hint="eastAsia" w:ascii="仿宋_GB2312" w:eastAsia="仿宋_GB2312"/>
          <w:sz w:val="32"/>
          <w:szCs w:val="32"/>
        </w:rPr>
        <w:t>机关运行经费支出</w:t>
      </w:r>
      <w:r>
        <w:rPr>
          <w:rFonts w:ascii="仿宋" w:hAnsi="仿宋" w:eastAsia="仿宋"/>
          <w:b w:val="0"/>
          <w:bCs/>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rPr>
        <w:t>与202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14:paraId="249CD2B7">
      <w:pPr>
        <w:autoSpaceDE w:val="0"/>
        <w:autoSpaceDN w:val="0"/>
        <w:adjustRightInd w:val="0"/>
        <w:spacing w:line="600" w:lineRule="exact"/>
        <w:ind w:firstLine="643" w:firstLineChars="200"/>
        <w:jc w:val="left"/>
        <w:outlineLvl w:val="2"/>
        <w:rPr>
          <w:rFonts w:ascii="仿宋" w:hAnsi="仿宋" w:eastAsia="仿宋"/>
          <w:b/>
          <w:sz w:val="32"/>
          <w:szCs w:val="32"/>
        </w:rPr>
      </w:pPr>
      <w:bookmarkStart w:id="87" w:name="_Toc15377223"/>
      <w:r>
        <w:rPr>
          <w:rFonts w:hint="eastAsia" w:ascii="仿宋" w:hAnsi="仿宋" w:eastAsia="仿宋"/>
          <w:b/>
          <w:sz w:val="32"/>
          <w:szCs w:val="32"/>
        </w:rPr>
        <w:t>（二）政府采购支出情况</w:t>
      </w:r>
      <w:bookmarkEnd w:id="87"/>
    </w:p>
    <w:p w14:paraId="77F8579A">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ascii="仿宋_GB2312" w:eastAsia="仿宋_GB2312"/>
          <w:b w:val="0"/>
          <w:bCs w:val="0"/>
          <w:sz w:val="32"/>
          <w:szCs w:val="32"/>
        </w:rPr>
        <w:t>，</w:t>
      </w:r>
      <w:r>
        <w:rPr>
          <w:rFonts w:hint="eastAsia" w:ascii="仿宋_GB2312" w:eastAsia="仿宋_GB2312"/>
          <w:b w:val="0"/>
          <w:bCs w:val="0"/>
          <w:sz w:val="32"/>
          <w:szCs w:val="32"/>
          <w:lang w:eastAsia="zh-CN"/>
        </w:rPr>
        <w:t>本</w:t>
      </w:r>
      <w:r>
        <w:rPr>
          <w:rFonts w:ascii="仿宋_GB2312" w:eastAsia="仿宋_GB2312"/>
          <w:b w:val="0"/>
          <w:bCs w:val="0"/>
          <w:sz w:val="32"/>
          <w:szCs w:val="32"/>
        </w:rPr>
        <w:t>中心</w:t>
      </w:r>
      <w:r>
        <w:rPr>
          <w:rFonts w:hint="eastAsia" w:ascii="仿宋_GB2312" w:eastAsia="仿宋_GB2312"/>
          <w:sz w:val="32"/>
          <w:szCs w:val="32"/>
        </w:rPr>
        <w:t>政府采购支出总额</w:t>
      </w:r>
      <w:r>
        <w:rPr>
          <w:rFonts w:ascii="仿宋" w:hAnsi="仿宋" w:eastAsia="仿宋"/>
          <w:b w:val="0"/>
          <w:bCs/>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rPr>
        <w:t>本单位未发生政府采购支出。</w:t>
      </w:r>
    </w:p>
    <w:p w14:paraId="6F017E72">
      <w:pPr>
        <w:autoSpaceDE w:val="0"/>
        <w:autoSpaceDN w:val="0"/>
        <w:adjustRightInd w:val="0"/>
        <w:spacing w:line="600" w:lineRule="exact"/>
        <w:ind w:firstLine="643" w:firstLineChars="200"/>
        <w:jc w:val="left"/>
        <w:outlineLvl w:val="2"/>
        <w:rPr>
          <w:rFonts w:ascii="仿宋" w:hAnsi="仿宋" w:eastAsia="仿宋"/>
          <w:b/>
          <w:sz w:val="32"/>
          <w:szCs w:val="32"/>
        </w:rPr>
      </w:pPr>
      <w:bookmarkStart w:id="88" w:name="_Toc15377224"/>
      <w:r>
        <w:rPr>
          <w:rFonts w:hint="eastAsia" w:ascii="仿宋" w:hAnsi="仿宋" w:eastAsia="仿宋"/>
          <w:b/>
          <w:sz w:val="32"/>
          <w:szCs w:val="32"/>
        </w:rPr>
        <w:t>（三）国有资产占有使用情况</w:t>
      </w:r>
      <w:bookmarkEnd w:id="88"/>
    </w:p>
    <w:p w14:paraId="7FC91BE9">
      <w:pPr>
        <w:autoSpaceDE w:val="0"/>
        <w:autoSpaceDN w:val="0"/>
        <w:adjustRightInd w:val="0"/>
        <w:spacing w:line="600" w:lineRule="exact"/>
        <w:ind w:firstLine="640" w:firstLineChars="200"/>
        <w:jc w:val="left"/>
        <w:rPr>
          <w:rFonts w:ascii="仿宋" w:hAnsi="仿宋" w:eastAsia="仿宋"/>
          <w:b w:val="0"/>
          <w:bCs/>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b w:val="0"/>
          <w:bCs/>
          <w:sz w:val="32"/>
          <w:szCs w:val="32"/>
          <w:lang w:eastAsia="zh-CN"/>
        </w:rPr>
        <w:t>本</w:t>
      </w:r>
      <w:r>
        <w:rPr>
          <w:rFonts w:ascii="仿宋_GB2312" w:eastAsia="仿宋_GB2312"/>
          <w:b w:val="0"/>
          <w:bCs/>
          <w:sz w:val="32"/>
          <w:szCs w:val="32"/>
        </w:rPr>
        <w:t>中心</w:t>
      </w:r>
      <w:r>
        <w:rPr>
          <w:rFonts w:hint="eastAsia" w:ascii="仿宋_GB2312" w:eastAsia="仿宋_GB2312"/>
          <w:b w:val="0"/>
          <w:bCs/>
          <w:sz w:val="32"/>
          <w:szCs w:val="32"/>
        </w:rPr>
        <w:t>共有车辆0辆，单价</w:t>
      </w:r>
      <w:r>
        <w:rPr>
          <w:rFonts w:ascii="仿宋_GB2312" w:eastAsia="仿宋_GB2312"/>
          <w:b w:val="0"/>
          <w:bCs/>
          <w:sz w:val="32"/>
          <w:szCs w:val="32"/>
        </w:rPr>
        <w:t>100</w:t>
      </w:r>
      <w:r>
        <w:rPr>
          <w:rFonts w:hint="eastAsia" w:ascii="仿宋_GB2312" w:eastAsia="仿宋_GB2312"/>
          <w:b w:val="0"/>
          <w:bCs/>
          <w:sz w:val="32"/>
          <w:szCs w:val="32"/>
        </w:rPr>
        <w:t>万元以上设备（不含车辆）</w:t>
      </w:r>
      <w:r>
        <w:rPr>
          <w:rFonts w:ascii="仿宋_GB2312" w:eastAsia="仿宋_GB2312"/>
          <w:b w:val="0"/>
          <w:bCs/>
          <w:sz w:val="32"/>
          <w:szCs w:val="32"/>
        </w:rPr>
        <w:t>0</w:t>
      </w:r>
      <w:r>
        <w:rPr>
          <w:rFonts w:hint="eastAsia" w:ascii="仿宋_GB2312" w:eastAsia="仿宋_GB2312"/>
          <w:b w:val="0"/>
          <w:bCs/>
          <w:sz w:val="32"/>
          <w:szCs w:val="32"/>
        </w:rPr>
        <w:t>台（套）。</w:t>
      </w:r>
    </w:p>
    <w:p w14:paraId="18D14354">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795FAEA2">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根据预算绩效管理要求，本单位在2023年度预算编制阶段，组织对市级专项资金教师培训项目等开展了预算事前绩效评估，对</w:t>
      </w:r>
      <w:r>
        <w:rPr>
          <w:rFonts w:hint="eastAsia" w:ascii="仿宋_GB2312" w:eastAsia="仿宋_GB2312"/>
          <w:sz w:val="32"/>
          <w:szCs w:val="32"/>
          <w:lang w:val="en-US" w:eastAsia="zh-CN"/>
        </w:rPr>
        <w:t>12</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12</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12</w:t>
      </w:r>
      <w:r>
        <w:rPr>
          <w:rFonts w:hint="eastAsia" w:ascii="仿宋_GB2312" w:eastAsia="仿宋_GB2312"/>
          <w:sz w:val="32"/>
          <w:szCs w:val="32"/>
        </w:rPr>
        <w:t>个项目开展绩效自评，绩效自评表详见第四部分附件。</w:t>
      </w:r>
    </w:p>
    <w:p w14:paraId="0C455B67">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2106F086">
      <w:pPr>
        <w:numPr>
          <w:ilvl w:val="0"/>
          <w:numId w:val="4"/>
        </w:numPr>
        <w:spacing w:line="600" w:lineRule="exact"/>
        <w:ind w:firstLine="660" w:firstLineChars="150"/>
        <w:jc w:val="center"/>
        <w:outlineLvl w:val="0"/>
        <w:rPr>
          <w:rStyle w:val="18"/>
          <w:rFonts w:ascii="黑体" w:hAnsi="黑体" w:eastAsia="黑体"/>
          <w:b w:val="0"/>
        </w:rPr>
      </w:pPr>
      <w:bookmarkStart w:id="89" w:name="_Toc15377225"/>
      <w:bookmarkStart w:id="90" w:name="_Toc13028"/>
      <w:bookmarkStart w:id="91" w:name="_Toc15396613"/>
      <w:bookmarkStart w:id="92" w:name="_Toc21429"/>
      <w:r>
        <w:rPr>
          <w:rFonts w:hint="eastAsia" w:ascii="黑体" w:hAnsi="黑体" w:eastAsia="黑体"/>
          <w:sz w:val="44"/>
          <w:szCs w:val="44"/>
        </w:rPr>
        <w:t>名</w:t>
      </w:r>
      <w:r>
        <w:rPr>
          <w:rStyle w:val="18"/>
          <w:rFonts w:hint="eastAsia" w:ascii="黑体" w:hAnsi="黑体" w:eastAsia="黑体"/>
          <w:b w:val="0"/>
        </w:rPr>
        <w:t>词解释</w:t>
      </w:r>
      <w:bookmarkEnd w:id="89"/>
      <w:bookmarkEnd w:id="90"/>
      <w:bookmarkEnd w:id="91"/>
      <w:bookmarkEnd w:id="92"/>
    </w:p>
    <w:p w14:paraId="6D86D2FB">
      <w:pPr>
        <w:spacing w:line="600" w:lineRule="exact"/>
        <w:jc w:val="left"/>
        <w:rPr>
          <w:rFonts w:ascii="宋体"/>
          <w:b/>
          <w:sz w:val="44"/>
          <w:szCs w:val="44"/>
        </w:rPr>
      </w:pPr>
    </w:p>
    <w:p w14:paraId="08D3134E">
      <w:pPr>
        <w:pStyle w:val="28"/>
        <w:numPr>
          <w:ilvl w:val="0"/>
          <w:numId w:val="5"/>
        </w:numPr>
        <w:spacing w:line="560" w:lineRule="exact"/>
        <w:ind w:left="0" w:leftChars="0" w:firstLine="400" w:firstLineChars="0"/>
        <w:rPr>
          <w:rFonts w:hint="eastAsia" w:ascii="仿宋_GB2312" w:eastAsia="仿宋_GB2312"/>
          <w:color w:val="auto"/>
          <w:sz w:val="32"/>
          <w:szCs w:val="32"/>
          <w:highlight w:val="none"/>
        </w:rPr>
      </w:pPr>
      <w:bookmarkStart w:id="93" w:name="_Toc15377226"/>
      <w:r>
        <w:rPr>
          <w:rFonts w:hint="eastAsia" w:ascii="仿宋_GB2312" w:eastAsia="仿宋_GB2312"/>
          <w:color w:val="auto"/>
          <w:sz w:val="32"/>
          <w:szCs w:val="32"/>
          <w:highlight w:val="none"/>
        </w:rPr>
        <w:t>财政拨款收入：指单位从同级财政部门取得的财政预算资金。</w:t>
      </w:r>
    </w:p>
    <w:p w14:paraId="2C7A074C">
      <w:pPr>
        <w:pStyle w:val="28"/>
        <w:numPr>
          <w:ilvl w:val="0"/>
          <w:numId w:val="5"/>
        </w:numPr>
        <w:spacing w:line="560" w:lineRule="exact"/>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年初结转和结余：指以前年度尚未完成、结转到本年按有关规定继续使用的资金。</w:t>
      </w:r>
    </w:p>
    <w:p w14:paraId="513FD52D">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教育支出（类）教育管理事务（款）其他教育管理事务支出（项）：指</w:t>
      </w:r>
      <w:r>
        <w:rPr>
          <w:rFonts w:hint="eastAsia" w:ascii="仿宋_GB2312" w:eastAsia="仿宋_GB2312"/>
          <w:color w:val="auto"/>
          <w:sz w:val="32"/>
          <w:szCs w:val="32"/>
          <w:highlight w:val="none"/>
          <w:lang w:eastAsia="zh-CN"/>
        </w:rPr>
        <w:t>其他用于教育管理事务方面的支出</w:t>
      </w:r>
      <w:r>
        <w:rPr>
          <w:rFonts w:hint="eastAsia" w:ascii="仿宋_GB2312" w:eastAsia="仿宋_GB2312"/>
          <w:color w:val="auto"/>
          <w:sz w:val="32"/>
          <w:szCs w:val="32"/>
          <w:highlight w:val="none"/>
        </w:rPr>
        <w:t>。</w:t>
      </w:r>
    </w:p>
    <w:p w14:paraId="09871C64">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社会保障和就业支出（类）人力资源和社会保障管理事务（款）引进人才费用（项）：指</w:t>
      </w:r>
      <w:r>
        <w:rPr>
          <w:rFonts w:hint="eastAsia" w:ascii="仿宋_GB2312" w:eastAsia="仿宋_GB2312"/>
          <w:color w:val="auto"/>
          <w:sz w:val="32"/>
          <w:szCs w:val="32"/>
          <w:highlight w:val="none"/>
          <w:lang w:eastAsia="zh-CN"/>
        </w:rPr>
        <w:t>用于引进外国专家补助、引智成果推广等方面的支出</w:t>
      </w:r>
      <w:r>
        <w:rPr>
          <w:rFonts w:hint="eastAsia" w:ascii="仿宋_GB2312" w:eastAsia="仿宋_GB2312"/>
          <w:color w:val="auto"/>
          <w:sz w:val="32"/>
          <w:szCs w:val="32"/>
          <w:highlight w:val="none"/>
        </w:rPr>
        <w:t>。</w:t>
      </w:r>
    </w:p>
    <w:p w14:paraId="347E957F">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 事业单位离退休（项）：指</w:t>
      </w:r>
      <w:r>
        <w:rPr>
          <w:rFonts w:hint="eastAsia" w:ascii="仿宋_GB2312" w:eastAsia="仿宋_GB2312"/>
          <w:color w:val="auto"/>
          <w:sz w:val="32"/>
          <w:szCs w:val="32"/>
          <w:highlight w:val="none"/>
          <w:lang w:eastAsia="zh-CN"/>
        </w:rPr>
        <w:t>单位开支的离退休经费</w:t>
      </w:r>
      <w:r>
        <w:rPr>
          <w:rFonts w:hint="eastAsia" w:ascii="仿宋_GB2312" w:eastAsia="仿宋_GB2312"/>
          <w:color w:val="auto"/>
          <w:sz w:val="32"/>
          <w:szCs w:val="32"/>
          <w:highlight w:val="none"/>
        </w:rPr>
        <w:t>。</w:t>
      </w:r>
    </w:p>
    <w:p w14:paraId="4B9CB475">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社会保障和就业支出（类）行政事业单位养老支出（款）机关事业单位基本养老保险缴费支出（项）：指用于实施养老保险制度由单位缴纳的基本养老保险费支出。</w:t>
      </w:r>
    </w:p>
    <w:p w14:paraId="28D80423">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社会保障和就业支出（类）行政事业单位养老支出（款）机关事业单位职业年金缴费支出（项）：指用于实施养老保险制度由单位缴纳的</w:t>
      </w:r>
      <w:r>
        <w:rPr>
          <w:rFonts w:hint="eastAsia" w:ascii="仿宋_GB2312" w:eastAsia="仿宋_GB2312"/>
          <w:color w:val="auto"/>
          <w:sz w:val="32"/>
          <w:szCs w:val="32"/>
          <w:highlight w:val="none"/>
          <w:lang w:eastAsia="zh-CN"/>
        </w:rPr>
        <w:t>职业年金支出</w:t>
      </w:r>
      <w:r>
        <w:rPr>
          <w:rFonts w:hint="eastAsia" w:ascii="仿宋_GB2312" w:eastAsia="仿宋_GB2312"/>
          <w:color w:val="auto"/>
          <w:sz w:val="32"/>
          <w:szCs w:val="32"/>
          <w:highlight w:val="none"/>
        </w:rPr>
        <w:t>。</w:t>
      </w:r>
    </w:p>
    <w:p w14:paraId="422ED533">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卫生健康支出（类）行政事业单位医疗（款）事业单位医疗（项）：指用于事业单位由单位缴纳的基本医疗保险缴费。</w:t>
      </w:r>
    </w:p>
    <w:p w14:paraId="631769F1">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w:t>
      </w:r>
      <w:r>
        <w:rPr>
          <w:rFonts w:hint="eastAsia" w:ascii="仿宋_GB2312" w:eastAsia="仿宋_GB2312"/>
          <w:color w:val="auto"/>
          <w:sz w:val="32"/>
          <w:szCs w:val="32"/>
          <w:highlight w:val="none"/>
          <w:lang w:eastAsia="zh-CN"/>
        </w:rPr>
        <w:t>行政事业单位按人力资源和社会保障部、财政部规定的基本工资和津贴补贴以及规定比例为职工缴纳的住房公积金</w:t>
      </w:r>
      <w:r>
        <w:rPr>
          <w:rFonts w:hint="eastAsia" w:ascii="仿宋_GB2312" w:eastAsia="仿宋_GB2312"/>
          <w:color w:val="auto"/>
          <w:sz w:val="32"/>
          <w:szCs w:val="32"/>
          <w:highlight w:val="none"/>
        </w:rPr>
        <w:t>。</w:t>
      </w:r>
    </w:p>
    <w:p w14:paraId="5A9F794A">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14:paraId="3E0437FB">
      <w:pPr>
        <w:numPr>
          <w:ilvl w:val="0"/>
          <w:numId w:val="5"/>
        </w:numP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2FAB42D">
      <w:pPr>
        <w:pStyle w:val="28"/>
        <w:numPr>
          <w:ilvl w:val="0"/>
          <w:numId w:val="5"/>
        </w:numP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6766EA7">
      <w:pPr>
        <w:spacing w:line="600" w:lineRule="exact"/>
        <w:jc w:val="center"/>
        <w:outlineLvl w:val="0"/>
        <w:rPr>
          <w:rStyle w:val="18"/>
          <w:rFonts w:ascii="黑体" w:hAnsi="黑体" w:eastAsia="黑体"/>
          <w:b w:val="0"/>
        </w:rPr>
      </w:pPr>
      <w:r>
        <w:rPr>
          <w:rFonts w:ascii="宋体"/>
          <w:b/>
          <w:sz w:val="44"/>
          <w:szCs w:val="44"/>
        </w:rPr>
        <w:br w:type="page"/>
      </w:r>
      <w:bookmarkStart w:id="94" w:name="_Toc15396614"/>
      <w:bookmarkStart w:id="95" w:name="_Toc23290"/>
      <w:bookmarkStart w:id="96" w:name="_Toc30243"/>
      <w:r>
        <w:rPr>
          <w:rFonts w:hint="eastAsia" w:ascii="黑体" w:hAnsi="黑体" w:eastAsia="黑体"/>
          <w:sz w:val="44"/>
          <w:szCs w:val="44"/>
        </w:rPr>
        <w:t>第</w:t>
      </w:r>
      <w:r>
        <w:rPr>
          <w:rStyle w:val="18"/>
          <w:rFonts w:hint="eastAsia" w:ascii="黑体" w:hAnsi="黑体" w:eastAsia="黑体"/>
          <w:b w:val="0"/>
        </w:rPr>
        <w:t>四部分 附件</w:t>
      </w:r>
      <w:bookmarkEnd w:id="94"/>
      <w:bookmarkEnd w:id="95"/>
      <w:bookmarkEnd w:id="96"/>
    </w:p>
    <w:tbl>
      <w:tblPr>
        <w:tblStyle w:val="14"/>
        <w:tblpPr w:leftFromText="180" w:rightFromText="180" w:vertAnchor="text" w:horzAnchor="page" w:tblpX="1012" w:tblpY="1216"/>
        <w:tblOverlap w:val="never"/>
        <w:tblW w:w="10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1"/>
        <w:gridCol w:w="1283"/>
        <w:gridCol w:w="1147"/>
        <w:gridCol w:w="1474"/>
        <w:gridCol w:w="458"/>
        <w:gridCol w:w="1103"/>
        <w:gridCol w:w="458"/>
        <w:gridCol w:w="919"/>
        <w:gridCol w:w="497"/>
        <w:gridCol w:w="576"/>
        <w:gridCol w:w="1659"/>
      </w:tblGrid>
      <w:tr w14:paraId="2E798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1020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76EC891">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679D3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E7A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29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CFDA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51080021T000000063294-市级专项资金教师培训</w:t>
            </w:r>
          </w:p>
        </w:tc>
      </w:tr>
      <w:tr w14:paraId="0223B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37B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6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E8FF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广元市教育局部门</w:t>
            </w:r>
          </w:p>
        </w:tc>
        <w:tc>
          <w:tcPr>
            <w:tcW w:w="919" w:type="dxa"/>
            <w:tcBorders>
              <w:top w:val="nil"/>
              <w:left w:val="nil"/>
              <w:bottom w:val="nil"/>
              <w:right w:val="nil"/>
            </w:tcBorders>
            <w:shd w:val="clear" w:color="auto" w:fill="auto"/>
            <w:vAlign w:val="center"/>
          </w:tcPr>
          <w:p w14:paraId="3D2C46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27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13E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广元市教师发展中心</w:t>
            </w:r>
          </w:p>
        </w:tc>
      </w:tr>
      <w:tr w14:paraId="2CA14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E3A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E80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46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9CE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36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C7C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14:paraId="79EA2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AFE76">
            <w:pPr>
              <w:rPr>
                <w:rFonts w:hint="eastAsia" w:ascii="宋体" w:hAnsi="宋体" w:eastAsia="宋体" w:cs="宋体"/>
                <w:i w:val="0"/>
                <w:iCs w:val="0"/>
                <w:color w:val="000000"/>
                <w:sz w:val="18"/>
                <w:szCs w:val="18"/>
                <w:u w:val="none"/>
              </w:rPr>
            </w:pPr>
          </w:p>
        </w:tc>
        <w:tc>
          <w:tcPr>
            <w:tcW w:w="1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0D0E0">
            <w:pPr>
              <w:rPr>
                <w:rFonts w:hint="eastAsia" w:ascii="宋体" w:hAnsi="宋体" w:eastAsia="宋体" w:cs="宋体"/>
                <w:i w:val="0"/>
                <w:iCs w:val="0"/>
                <w:color w:val="000000"/>
                <w:sz w:val="18"/>
                <w:szCs w:val="18"/>
                <w:u w:val="none"/>
              </w:rPr>
            </w:pPr>
          </w:p>
        </w:tc>
        <w:tc>
          <w:tcPr>
            <w:tcW w:w="46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4C0F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通过培训项目的实施，更新教师的教育教学观念，有效促进教师专业发展，为深入实施广元教育提质工程、深化高考综合改革等培养一批专业化、创新型师资队伍，助力广元教育高质量发展。</w:t>
            </w:r>
          </w:p>
        </w:tc>
        <w:tc>
          <w:tcPr>
            <w:tcW w:w="36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1EBA6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更新了教师的教育教学观念，有效地促进教师专业发展，助力广元教育高质量发展。</w:t>
            </w:r>
          </w:p>
        </w:tc>
      </w:tr>
      <w:tr w14:paraId="751A5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8635E">
            <w:pP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32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829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A9430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2023年省、市教育工作总体规划及目标要求，在充分调研、广泛征集各地各校培训意愿的基础上，结合广元教育实际，分类设置市级教师培训项目共计29个。其中，主体项目12个，备案项目17个。主体项目12个由市教师发展中心牵头，各责任科室（单位）负责实施全部完成，备案项目17个，由相关项目申报责任科室（单位）自行组织实施完成9个。</w:t>
            </w:r>
          </w:p>
        </w:tc>
      </w:tr>
      <w:tr w14:paraId="1B9FB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A68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54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B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5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171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F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8C5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4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56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14:paraId="356F8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6601F">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B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6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81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F8D9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38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A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C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F47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r>
      <w:tr w14:paraId="2FB44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868C4">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A7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691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CE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5CE5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98.31</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9B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3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93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AB639">
            <w:pPr>
              <w:rPr>
                <w:rFonts w:hint="eastAsia" w:ascii="宋体" w:hAnsi="宋体" w:eastAsia="宋体" w:cs="宋体"/>
                <w:i w:val="0"/>
                <w:iCs w:val="0"/>
                <w:color w:val="000000"/>
                <w:sz w:val="18"/>
                <w:szCs w:val="18"/>
                <w:u w:val="none"/>
              </w:rPr>
            </w:pPr>
          </w:p>
        </w:tc>
      </w:tr>
      <w:tr w14:paraId="6251F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3679D">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4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C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7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A180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06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77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0B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4878A">
            <w:pPr>
              <w:rPr>
                <w:rFonts w:hint="eastAsia" w:ascii="宋体" w:hAnsi="宋体" w:eastAsia="宋体" w:cs="宋体"/>
                <w:i w:val="0"/>
                <w:iCs w:val="0"/>
                <w:color w:val="000000"/>
                <w:sz w:val="18"/>
                <w:szCs w:val="18"/>
                <w:u w:val="none"/>
              </w:rPr>
            </w:pPr>
          </w:p>
        </w:tc>
      </w:tr>
      <w:tr w14:paraId="6A3AF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0D574">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47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9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F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BA6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1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1E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C5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3E02B">
            <w:pPr>
              <w:rPr>
                <w:rFonts w:hint="eastAsia" w:ascii="宋体" w:hAnsi="宋体" w:eastAsia="宋体" w:cs="宋体"/>
                <w:i w:val="0"/>
                <w:iCs w:val="0"/>
                <w:color w:val="000000"/>
                <w:sz w:val="18"/>
                <w:szCs w:val="18"/>
                <w:u w:val="none"/>
              </w:rPr>
            </w:pPr>
          </w:p>
        </w:tc>
      </w:tr>
      <w:tr w14:paraId="4AB2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97A15">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3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5D6D">
            <w:pPr>
              <w:jc w:val="center"/>
              <w:rPr>
                <w:rFonts w:hint="eastAsia" w:ascii="宋体" w:hAnsi="宋体" w:eastAsia="宋体" w:cs="宋体"/>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6B555">
            <w:pPr>
              <w:jc w:val="center"/>
              <w:rPr>
                <w:rFonts w:hint="eastAsia" w:ascii="宋体" w:hAnsi="宋体" w:eastAsia="宋体" w:cs="宋体"/>
                <w:i w:val="0"/>
                <w:iCs w:val="0"/>
                <w:color w:val="000000"/>
                <w:sz w:val="18"/>
                <w:szCs w:val="18"/>
                <w:u w:val="none"/>
              </w:rPr>
            </w:pPr>
          </w:p>
        </w:tc>
        <w:tc>
          <w:tcPr>
            <w:tcW w:w="20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B96B7B">
            <w:pPr>
              <w:jc w:val="center"/>
              <w:rPr>
                <w:rFonts w:hint="eastAsia" w:ascii="宋体" w:hAnsi="宋体" w:eastAsia="宋体" w:cs="宋体"/>
                <w:i w:val="0"/>
                <w:iCs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C4B6">
            <w:pPr>
              <w:jc w:val="center"/>
              <w:rPr>
                <w:rFonts w:hint="eastAsia" w:ascii="宋体" w:hAnsi="宋体" w:eastAsia="宋体" w:cs="宋体"/>
                <w:i w:val="0"/>
                <w:iCs w:val="0"/>
                <w:color w:val="000000"/>
                <w:sz w:val="18"/>
                <w:szCs w:val="18"/>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A9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E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6F4D6">
            <w:pPr>
              <w:rPr>
                <w:rFonts w:hint="eastAsia" w:ascii="宋体" w:hAnsi="宋体" w:eastAsia="宋体" w:cs="宋体"/>
                <w:i w:val="0"/>
                <w:iCs w:val="0"/>
                <w:color w:val="000000"/>
                <w:sz w:val="18"/>
                <w:szCs w:val="18"/>
                <w:u w:val="none"/>
              </w:rPr>
            </w:pPr>
          </w:p>
        </w:tc>
      </w:tr>
      <w:tr w14:paraId="77286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547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7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9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7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B2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D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D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B4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3D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3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9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14:paraId="6E840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B51A2">
            <w:pPr>
              <w:jc w:val="center"/>
              <w:rPr>
                <w:rFonts w:hint="eastAsia" w:ascii="宋体" w:hAnsi="宋体" w:eastAsia="宋体" w:cs="宋体"/>
                <w:i w:val="0"/>
                <w:iCs w:val="0"/>
                <w:color w:val="000000"/>
                <w:sz w:val="18"/>
                <w:szCs w:val="18"/>
                <w:u w:val="none"/>
              </w:rPr>
            </w:pPr>
          </w:p>
        </w:tc>
        <w:tc>
          <w:tcPr>
            <w:tcW w:w="1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96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E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99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项目规划数</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C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C4A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CC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CA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2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D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DB3F">
            <w:pPr>
              <w:jc w:val="center"/>
              <w:rPr>
                <w:rFonts w:hint="eastAsia" w:ascii="宋体" w:hAnsi="宋体" w:eastAsia="宋体" w:cs="宋体"/>
                <w:i w:val="0"/>
                <w:iCs w:val="0"/>
                <w:color w:val="000000"/>
                <w:sz w:val="18"/>
                <w:szCs w:val="18"/>
                <w:u w:val="none"/>
              </w:rPr>
            </w:pPr>
          </w:p>
        </w:tc>
      </w:tr>
      <w:tr w14:paraId="12648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6147C">
            <w:pPr>
              <w:jc w:val="center"/>
              <w:rPr>
                <w:rFonts w:hint="eastAsia" w:ascii="宋体" w:hAnsi="宋体" w:eastAsia="宋体" w:cs="宋体"/>
                <w:i w:val="0"/>
                <w:iCs w:val="0"/>
                <w:color w:val="000000"/>
                <w:sz w:val="18"/>
                <w:szCs w:val="18"/>
                <w:u w:val="none"/>
              </w:rPr>
            </w:pPr>
          </w:p>
        </w:tc>
        <w:tc>
          <w:tcPr>
            <w:tcW w:w="1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099EC">
            <w:pPr>
              <w:jc w:val="center"/>
              <w:rPr>
                <w:rFonts w:hint="eastAsia" w:ascii="宋体" w:hAnsi="宋体" w:eastAsia="宋体" w:cs="宋体"/>
                <w:i w:val="0"/>
                <w:iCs w:val="0"/>
                <w:color w:val="000000"/>
                <w:sz w:val="18"/>
                <w:szCs w:val="18"/>
                <w:u w:val="none"/>
              </w:rPr>
            </w:pPr>
          </w:p>
        </w:tc>
        <w:tc>
          <w:tcPr>
            <w:tcW w:w="11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D8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76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培训人数</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BA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AC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7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6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10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5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0753">
            <w:pPr>
              <w:jc w:val="center"/>
              <w:rPr>
                <w:rFonts w:hint="eastAsia" w:ascii="宋体" w:hAnsi="宋体" w:eastAsia="宋体" w:cs="宋体"/>
                <w:i w:val="0"/>
                <w:iCs w:val="0"/>
                <w:color w:val="000000"/>
                <w:sz w:val="18"/>
                <w:szCs w:val="18"/>
                <w:u w:val="none"/>
              </w:rPr>
            </w:pPr>
          </w:p>
        </w:tc>
      </w:tr>
      <w:tr w14:paraId="2313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D62AA">
            <w:pPr>
              <w:jc w:val="center"/>
              <w:rPr>
                <w:rFonts w:hint="eastAsia" w:ascii="宋体" w:hAnsi="宋体" w:eastAsia="宋体" w:cs="宋体"/>
                <w:i w:val="0"/>
                <w:iCs w:val="0"/>
                <w:color w:val="000000"/>
                <w:sz w:val="18"/>
                <w:szCs w:val="18"/>
                <w:u w:val="none"/>
              </w:rPr>
            </w:pPr>
          </w:p>
        </w:tc>
        <w:tc>
          <w:tcPr>
            <w:tcW w:w="1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3DC14">
            <w:pPr>
              <w:jc w:val="center"/>
              <w:rPr>
                <w:rFonts w:hint="eastAsia" w:ascii="宋体" w:hAnsi="宋体" w:eastAsia="宋体" w:cs="宋体"/>
                <w:i w:val="0"/>
                <w:iCs w:val="0"/>
                <w:color w:val="000000"/>
                <w:sz w:val="18"/>
                <w:szCs w:val="18"/>
                <w:u w:val="none"/>
              </w:rPr>
            </w:pPr>
          </w:p>
        </w:tc>
        <w:tc>
          <w:tcPr>
            <w:tcW w:w="11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D57C2">
            <w:pPr>
              <w:jc w:val="center"/>
              <w:rPr>
                <w:rFonts w:hint="eastAsia" w:ascii="宋体" w:hAnsi="宋体" w:eastAsia="宋体" w:cs="宋体"/>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C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参培率</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1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6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13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3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D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B1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3F96">
            <w:pPr>
              <w:jc w:val="center"/>
              <w:rPr>
                <w:rFonts w:hint="eastAsia" w:ascii="宋体" w:hAnsi="宋体" w:eastAsia="宋体" w:cs="宋体"/>
                <w:i w:val="0"/>
                <w:iCs w:val="0"/>
                <w:color w:val="000000"/>
                <w:sz w:val="18"/>
                <w:szCs w:val="18"/>
                <w:u w:val="none"/>
              </w:rPr>
            </w:pPr>
          </w:p>
        </w:tc>
      </w:tr>
      <w:tr w14:paraId="7022F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A44EC">
            <w:pPr>
              <w:jc w:val="center"/>
              <w:rPr>
                <w:rFonts w:hint="eastAsia" w:ascii="宋体" w:hAnsi="宋体" w:eastAsia="宋体" w:cs="宋体"/>
                <w:i w:val="0"/>
                <w:iCs w:val="0"/>
                <w:color w:val="000000"/>
                <w:sz w:val="18"/>
                <w:szCs w:val="18"/>
                <w:u w:val="none"/>
              </w:rPr>
            </w:pPr>
          </w:p>
        </w:tc>
        <w:tc>
          <w:tcPr>
            <w:tcW w:w="1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88C2E">
            <w:pPr>
              <w:jc w:val="center"/>
              <w:rPr>
                <w:rFonts w:hint="eastAsia" w:ascii="宋体" w:hAnsi="宋体" w:eastAsia="宋体" w:cs="宋体"/>
                <w:i w:val="0"/>
                <w:iCs w:val="0"/>
                <w:color w:val="000000"/>
                <w:sz w:val="18"/>
                <w:szCs w:val="18"/>
                <w:u w:val="none"/>
              </w:rPr>
            </w:pP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8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E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04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F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2023年12月31日前完成</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B053">
            <w:pPr>
              <w:jc w:val="center"/>
              <w:rPr>
                <w:rFonts w:hint="eastAsia" w:ascii="宋体" w:hAnsi="宋体" w:eastAsia="宋体" w:cs="宋体"/>
                <w:i w:val="0"/>
                <w:iCs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2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93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1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BC08">
            <w:pPr>
              <w:jc w:val="center"/>
              <w:rPr>
                <w:rFonts w:hint="eastAsia" w:ascii="宋体" w:hAnsi="宋体" w:eastAsia="宋体" w:cs="宋体"/>
                <w:i w:val="0"/>
                <w:iCs w:val="0"/>
                <w:color w:val="000000"/>
                <w:sz w:val="18"/>
                <w:szCs w:val="18"/>
                <w:u w:val="none"/>
              </w:rPr>
            </w:pPr>
          </w:p>
        </w:tc>
      </w:tr>
      <w:tr w14:paraId="263FF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FF2C7">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C1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D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可持续发展指标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B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通过对骨干教师、名师的培训培养，形成自己的经验文章或教学主张</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3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6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引领和带动本校或本区域青年教师成长</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763E">
            <w:pPr>
              <w:jc w:val="center"/>
              <w:rPr>
                <w:rFonts w:hint="eastAsia" w:ascii="宋体" w:hAnsi="宋体" w:eastAsia="宋体" w:cs="宋体"/>
                <w:i w:val="0"/>
                <w:iCs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A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良好</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0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5B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2E0F">
            <w:pPr>
              <w:jc w:val="center"/>
              <w:rPr>
                <w:rFonts w:hint="eastAsia" w:ascii="宋体" w:hAnsi="宋体" w:eastAsia="宋体" w:cs="宋体"/>
                <w:i w:val="0"/>
                <w:iCs w:val="0"/>
                <w:color w:val="000000"/>
                <w:sz w:val="18"/>
                <w:szCs w:val="18"/>
                <w:u w:val="none"/>
              </w:rPr>
            </w:pPr>
          </w:p>
        </w:tc>
      </w:tr>
      <w:tr w14:paraId="4A11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25088">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4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0C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7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参训教师满意度</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2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D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C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0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A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0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64DDD">
            <w:pPr>
              <w:jc w:val="center"/>
              <w:rPr>
                <w:rFonts w:hint="eastAsia" w:ascii="宋体" w:hAnsi="宋体" w:eastAsia="宋体" w:cs="宋体"/>
                <w:i w:val="0"/>
                <w:iCs w:val="0"/>
                <w:color w:val="000000"/>
                <w:sz w:val="18"/>
                <w:szCs w:val="18"/>
                <w:u w:val="none"/>
              </w:rPr>
            </w:pPr>
          </w:p>
        </w:tc>
      </w:tr>
      <w:tr w14:paraId="0F40A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AAECA">
            <w:pPr>
              <w:jc w:val="center"/>
              <w:rPr>
                <w:rFonts w:hint="eastAsia" w:ascii="宋体" w:hAnsi="宋体" w:eastAsia="宋体" w:cs="宋体"/>
                <w:i w:val="0"/>
                <w:iCs w:val="0"/>
                <w:color w:val="000000"/>
                <w:sz w:val="18"/>
                <w:szCs w:val="18"/>
                <w:u w:val="none"/>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5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92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5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培训项目经费及工作经费</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4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5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4AA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9B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6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55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61A7">
            <w:pPr>
              <w:jc w:val="center"/>
              <w:rPr>
                <w:rFonts w:hint="eastAsia" w:ascii="宋体" w:hAnsi="宋体" w:eastAsia="宋体" w:cs="宋体"/>
                <w:i w:val="0"/>
                <w:iCs w:val="0"/>
                <w:color w:val="000000"/>
                <w:sz w:val="18"/>
                <w:szCs w:val="18"/>
                <w:u w:val="none"/>
              </w:rPr>
            </w:pPr>
          </w:p>
        </w:tc>
      </w:tr>
      <w:tr w14:paraId="4353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4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1B01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4E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6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93.5</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AAE7">
            <w:pPr>
              <w:rPr>
                <w:rFonts w:hint="eastAsia" w:ascii="宋体" w:hAnsi="宋体" w:eastAsia="宋体" w:cs="宋体"/>
                <w:i w:val="0"/>
                <w:iCs w:val="0"/>
                <w:color w:val="000000"/>
                <w:sz w:val="18"/>
                <w:szCs w:val="18"/>
                <w:u w:val="none"/>
              </w:rPr>
            </w:pPr>
          </w:p>
        </w:tc>
      </w:tr>
      <w:tr w14:paraId="4056B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0A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95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CE08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该项目自评得分94分，通过培训项目的实施，更新教师的教育教学观念、有效促进教师专业发展，深入实施教育提质工程，深化高考综合改革等培养一批专业化、创新型师资队伍，助力广元教育高质量发展。</w:t>
            </w:r>
          </w:p>
        </w:tc>
      </w:tr>
      <w:tr w14:paraId="7256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1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95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E14B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8个备案培训项目未实施。</w:t>
            </w:r>
          </w:p>
        </w:tc>
      </w:tr>
      <w:tr w14:paraId="6441C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2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957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06950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进一步提升培训项目针对性、实效性。充分调研、认真规划、精心谋划2024年市级教师培训项目并认真组织实施。</w:t>
            </w:r>
          </w:p>
        </w:tc>
      </w:tr>
      <w:tr w14:paraId="57400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6FC54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21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7E94B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tbl>
      <w:tblPr>
        <w:tblStyle w:val="14"/>
        <w:tblpPr w:leftFromText="180" w:rightFromText="180" w:vertAnchor="text" w:horzAnchor="page" w:tblpXSpec="center" w:tblpY="220"/>
        <w:tblOverlap w:val="never"/>
        <w:tblW w:w="101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356"/>
        <w:gridCol w:w="1192"/>
        <w:gridCol w:w="1567"/>
        <w:gridCol w:w="396"/>
        <w:gridCol w:w="1110"/>
        <w:gridCol w:w="396"/>
        <w:gridCol w:w="846"/>
        <w:gridCol w:w="486"/>
        <w:gridCol w:w="486"/>
        <w:gridCol w:w="1709"/>
      </w:tblGrid>
      <w:tr w14:paraId="60670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5B85632">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97"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7FD65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378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11D1E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14:paraId="5D264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1232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83805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123A6C88">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FE57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7B8AA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B763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B471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C974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A2848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D396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5A947">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8C58D">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9FEA6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A6596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单位人员待遇足额按时发放到位</w:t>
            </w:r>
          </w:p>
        </w:tc>
      </w:tr>
      <w:tr w14:paraId="10506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495F9">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3A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20BFE4A">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14:paraId="3C85C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4F4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6C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C30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9D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B3F0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D80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9CD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D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3C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5AB2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582A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DC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05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82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F0A2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4BD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615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08F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D075D">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1E39F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7409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42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F8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20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2A5B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57.63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E43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23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3B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47EBC">
            <w:pPr>
              <w:rPr>
                <w:rFonts w:hint="eastAsia" w:ascii="黑体" w:hAnsi="黑体" w:eastAsia="黑体" w:cs="黑体"/>
                <w:i/>
                <w:iCs/>
                <w:color w:val="000000"/>
                <w:sz w:val="18"/>
                <w:szCs w:val="18"/>
                <w:u w:val="none"/>
              </w:rPr>
            </w:pPr>
          </w:p>
        </w:tc>
      </w:tr>
      <w:tr w14:paraId="77BC6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74AE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C8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86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6D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2B6B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2C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A9C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37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7ECA">
            <w:pPr>
              <w:rPr>
                <w:rFonts w:hint="eastAsia" w:ascii="黑体" w:hAnsi="黑体" w:eastAsia="黑体" w:cs="黑体"/>
                <w:i/>
                <w:iCs/>
                <w:color w:val="000000"/>
                <w:sz w:val="18"/>
                <w:szCs w:val="18"/>
                <w:u w:val="none"/>
              </w:rPr>
            </w:pPr>
          </w:p>
        </w:tc>
      </w:tr>
      <w:tr w14:paraId="3B65C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A7B2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43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35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5F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A3B18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94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65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1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1DB58">
            <w:pPr>
              <w:rPr>
                <w:rFonts w:hint="eastAsia" w:ascii="黑体" w:hAnsi="黑体" w:eastAsia="黑体" w:cs="黑体"/>
                <w:i/>
                <w:iCs/>
                <w:color w:val="000000"/>
                <w:sz w:val="18"/>
                <w:szCs w:val="18"/>
                <w:u w:val="none"/>
              </w:rPr>
            </w:pPr>
          </w:p>
        </w:tc>
      </w:tr>
      <w:tr w14:paraId="3DED8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D7F5B">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A4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E03E">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8AF8">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656BA4">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E7A2">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57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85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76907">
            <w:pPr>
              <w:rPr>
                <w:rFonts w:hint="eastAsia" w:ascii="黑体" w:hAnsi="黑体" w:eastAsia="黑体" w:cs="黑体"/>
                <w:i/>
                <w:iCs/>
                <w:color w:val="000000"/>
                <w:sz w:val="18"/>
                <w:szCs w:val="18"/>
                <w:u w:val="none"/>
              </w:rPr>
            </w:pPr>
          </w:p>
        </w:tc>
      </w:tr>
      <w:tr w14:paraId="439FB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D0E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BF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18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AD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680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75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1C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E4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1E5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B5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526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A68B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205CD">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5F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56A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EC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94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73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FB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6B8D">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C5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0E7E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F242">
            <w:pPr>
              <w:jc w:val="center"/>
              <w:rPr>
                <w:rFonts w:hint="eastAsia" w:ascii="微软雅黑" w:hAnsi="微软雅黑" w:eastAsia="微软雅黑" w:cs="微软雅黑"/>
                <w:i/>
                <w:iCs/>
                <w:color w:val="000000"/>
                <w:sz w:val="16"/>
                <w:szCs w:val="16"/>
                <w:u w:val="none"/>
              </w:rPr>
            </w:pPr>
          </w:p>
        </w:tc>
      </w:tr>
      <w:tr w14:paraId="38F4A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04C2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77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B1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3A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8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D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3F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F840">
            <w:pPr>
              <w:jc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74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BA8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E7DD8">
            <w:pPr>
              <w:jc w:val="center"/>
              <w:rPr>
                <w:rFonts w:hint="eastAsia" w:ascii="微软雅黑" w:hAnsi="微软雅黑" w:eastAsia="微软雅黑" w:cs="微软雅黑"/>
                <w:i/>
                <w:iCs/>
                <w:color w:val="000000"/>
                <w:sz w:val="16"/>
                <w:szCs w:val="16"/>
                <w:u w:val="none"/>
              </w:rPr>
            </w:pPr>
          </w:p>
        </w:tc>
      </w:tr>
      <w:tr w14:paraId="36845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4B45B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A95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0EA3">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D9B7">
            <w:pPr>
              <w:rPr>
                <w:rFonts w:hint="eastAsia" w:ascii="宋体" w:hAnsi="宋体" w:eastAsia="宋体" w:cs="宋体"/>
                <w:i w:val="0"/>
                <w:iCs w:val="0"/>
                <w:color w:val="000000"/>
                <w:sz w:val="18"/>
                <w:szCs w:val="18"/>
                <w:u w:val="none"/>
              </w:rPr>
            </w:pPr>
          </w:p>
        </w:tc>
      </w:tr>
      <w:tr w14:paraId="65EB3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19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0565D4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6F8FB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CC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E16E13A">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77F7E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3F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4F06E7B">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无</w:t>
            </w:r>
          </w:p>
        </w:tc>
      </w:tr>
      <w:tr w14:paraId="0EA6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75FF1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2F221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11FD2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5A3BCB3D">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6ACFC50C">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6893ABC6">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6F364367">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2DCABFF3">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123B5FA3">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BBBBD36">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06008DDE">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3C30BC0">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820724A">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7BA62EBF">
            <w:pPr>
              <w:rPr>
                <w:rFonts w:hint="eastAsia" w:ascii="宋体" w:hAnsi="宋体" w:eastAsia="宋体" w:cs="宋体"/>
                <w:i w:val="0"/>
                <w:iCs w:val="0"/>
                <w:color w:val="000000"/>
                <w:sz w:val="18"/>
                <w:szCs w:val="18"/>
                <w:u w:val="none"/>
              </w:rPr>
            </w:pPr>
          </w:p>
        </w:tc>
      </w:tr>
      <w:tr w14:paraId="08CF8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A389BF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8CE6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82B1F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FE50C5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14:paraId="15D56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2D4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78C5F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3F42E4F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067D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244CC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FA85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683F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2143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B38F69">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833C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A5A0D">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0C1B6">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F1160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ACABF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单位人员待遇足额按时发放到位</w:t>
            </w:r>
          </w:p>
        </w:tc>
      </w:tr>
      <w:tr w14:paraId="7B62A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B4758">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050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EF604BA">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14:paraId="3BFF7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1B39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6F7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BF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508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DB7B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BD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DAE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A0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92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1397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584A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233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CA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C1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E824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05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25C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930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DD7A5">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79BA7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7038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30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BC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40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BA20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E3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F7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19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B17EA">
            <w:pPr>
              <w:rPr>
                <w:rFonts w:hint="eastAsia" w:ascii="黑体" w:hAnsi="黑体" w:eastAsia="黑体" w:cs="黑体"/>
                <w:i/>
                <w:iCs/>
                <w:color w:val="000000"/>
                <w:sz w:val="18"/>
                <w:szCs w:val="18"/>
                <w:u w:val="none"/>
              </w:rPr>
            </w:pPr>
          </w:p>
        </w:tc>
      </w:tr>
      <w:tr w14:paraId="19906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9297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37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29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3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E254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BE5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723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88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F2CC6">
            <w:pPr>
              <w:rPr>
                <w:rFonts w:hint="eastAsia" w:ascii="黑体" w:hAnsi="黑体" w:eastAsia="黑体" w:cs="黑体"/>
                <w:i/>
                <w:iCs/>
                <w:color w:val="000000"/>
                <w:sz w:val="18"/>
                <w:szCs w:val="18"/>
                <w:u w:val="none"/>
              </w:rPr>
            </w:pPr>
          </w:p>
        </w:tc>
      </w:tr>
      <w:tr w14:paraId="2DE3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6653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1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B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76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D99E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FE2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01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FC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38F53">
            <w:pPr>
              <w:rPr>
                <w:rFonts w:hint="eastAsia" w:ascii="黑体" w:hAnsi="黑体" w:eastAsia="黑体" w:cs="黑体"/>
                <w:i/>
                <w:iCs/>
                <w:color w:val="000000"/>
                <w:sz w:val="18"/>
                <w:szCs w:val="18"/>
                <w:u w:val="none"/>
              </w:rPr>
            </w:pPr>
          </w:p>
        </w:tc>
      </w:tr>
      <w:tr w14:paraId="6C3B5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DCB2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D7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950BD">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C781">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DF4D5C">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2D15">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8C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95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B7F08">
            <w:pPr>
              <w:rPr>
                <w:rFonts w:hint="eastAsia" w:ascii="黑体" w:hAnsi="黑体" w:eastAsia="黑体" w:cs="黑体"/>
                <w:i/>
                <w:iCs/>
                <w:color w:val="000000"/>
                <w:sz w:val="18"/>
                <w:szCs w:val="18"/>
                <w:u w:val="none"/>
              </w:rPr>
            </w:pPr>
          </w:p>
        </w:tc>
      </w:tr>
      <w:tr w14:paraId="2E4A5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30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A5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C9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07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58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3B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321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DC5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E1A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2E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029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C902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253C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F9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98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D9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E1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AE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FA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9E92">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6D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B96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0E1D">
            <w:pPr>
              <w:jc w:val="center"/>
              <w:rPr>
                <w:rFonts w:hint="eastAsia" w:ascii="微软雅黑" w:hAnsi="微软雅黑" w:eastAsia="微软雅黑" w:cs="微软雅黑"/>
                <w:i/>
                <w:iCs/>
                <w:color w:val="000000"/>
                <w:sz w:val="16"/>
                <w:szCs w:val="16"/>
                <w:u w:val="none"/>
              </w:rPr>
            </w:pPr>
          </w:p>
        </w:tc>
      </w:tr>
      <w:tr w14:paraId="3D139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3A97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13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DC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CD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6B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71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C1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C49F6">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A8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26BC1">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A305">
            <w:pPr>
              <w:jc w:val="center"/>
              <w:rPr>
                <w:rFonts w:hint="eastAsia" w:ascii="微软雅黑" w:hAnsi="微软雅黑" w:eastAsia="微软雅黑" w:cs="微软雅黑"/>
                <w:i/>
                <w:iCs/>
                <w:color w:val="000000"/>
                <w:sz w:val="16"/>
                <w:szCs w:val="16"/>
                <w:u w:val="none"/>
              </w:rPr>
            </w:pPr>
          </w:p>
        </w:tc>
      </w:tr>
      <w:tr w14:paraId="113AC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4C88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CC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3629">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921F">
            <w:pPr>
              <w:rPr>
                <w:rFonts w:hint="eastAsia" w:ascii="宋体" w:hAnsi="宋体" w:eastAsia="宋体" w:cs="宋体"/>
                <w:i w:val="0"/>
                <w:iCs w:val="0"/>
                <w:color w:val="000000"/>
                <w:sz w:val="18"/>
                <w:szCs w:val="18"/>
                <w:u w:val="none"/>
              </w:rPr>
            </w:pPr>
          </w:p>
        </w:tc>
      </w:tr>
      <w:tr w14:paraId="569B5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5B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65A893">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05154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A5C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41F129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39743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AB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5D1B43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sz w:val="18"/>
                <w:szCs w:val="18"/>
                <w:u w:val="none"/>
                <w:lang w:val="en-US" w:eastAsia="zh-CN"/>
              </w:rPr>
              <w:t>无</w:t>
            </w:r>
          </w:p>
        </w:tc>
      </w:tr>
      <w:tr w14:paraId="01AEA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693BA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823C0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3FE8E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58642C07">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51A49D35">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00CA7384">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20569602">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2F375DB">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5C97CFA3">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658CA130">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4A054D92">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28EF2752">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87E5604">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0C8F786F">
            <w:pPr>
              <w:rPr>
                <w:rFonts w:hint="eastAsia" w:ascii="宋体" w:hAnsi="宋体" w:eastAsia="宋体" w:cs="宋体"/>
                <w:i w:val="0"/>
                <w:iCs w:val="0"/>
                <w:color w:val="000000"/>
                <w:sz w:val="18"/>
                <w:szCs w:val="18"/>
                <w:u w:val="none"/>
              </w:rPr>
            </w:pPr>
          </w:p>
        </w:tc>
      </w:tr>
      <w:tr w14:paraId="29CAD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7313C8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2536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769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993DD1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14:paraId="11FDE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8C19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F7183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03DEC28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7185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4B52E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F90D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818A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A2743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FC17BC">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0776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D6C5D">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E4E43">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99E1E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42DFC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w:t>
            </w:r>
          </w:p>
        </w:tc>
      </w:tr>
      <w:tr w14:paraId="12A07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46A6E">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885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B5AE506">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r>
      <w:tr w14:paraId="55D1D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EC9A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C6C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40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D9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A1B2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4D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A4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A6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6A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4662F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AC4F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C3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B3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84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4BAC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021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61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017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C0149">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174A2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8B2A6">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E5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C8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EC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13E8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EA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E5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5A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02908">
            <w:pPr>
              <w:rPr>
                <w:rFonts w:hint="eastAsia" w:ascii="黑体" w:hAnsi="黑体" w:eastAsia="黑体" w:cs="黑体"/>
                <w:i/>
                <w:iCs/>
                <w:color w:val="000000"/>
                <w:sz w:val="18"/>
                <w:szCs w:val="18"/>
                <w:u w:val="none"/>
              </w:rPr>
            </w:pPr>
          </w:p>
        </w:tc>
      </w:tr>
      <w:tr w14:paraId="17BA1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79ADD">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2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9F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07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505C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A2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AA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9E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4AA54">
            <w:pPr>
              <w:rPr>
                <w:rFonts w:hint="eastAsia" w:ascii="黑体" w:hAnsi="黑体" w:eastAsia="黑体" w:cs="黑体"/>
                <w:i/>
                <w:iCs/>
                <w:color w:val="000000"/>
                <w:sz w:val="18"/>
                <w:szCs w:val="18"/>
                <w:u w:val="none"/>
              </w:rPr>
            </w:pPr>
          </w:p>
        </w:tc>
      </w:tr>
      <w:tr w14:paraId="05B6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8BB8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7B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91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B884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9A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05D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55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F0F6D">
            <w:pPr>
              <w:rPr>
                <w:rFonts w:hint="eastAsia" w:ascii="黑体" w:hAnsi="黑体" w:eastAsia="黑体" w:cs="黑体"/>
                <w:i/>
                <w:iCs/>
                <w:color w:val="000000"/>
                <w:sz w:val="18"/>
                <w:szCs w:val="18"/>
                <w:u w:val="none"/>
              </w:rPr>
            </w:pPr>
          </w:p>
        </w:tc>
      </w:tr>
      <w:tr w14:paraId="5128C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15B0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8EF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FE05E">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5248C">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0C088C">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9045">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A8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0A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B367A">
            <w:pPr>
              <w:rPr>
                <w:rFonts w:hint="eastAsia" w:ascii="黑体" w:hAnsi="黑体" w:eastAsia="黑体" w:cs="黑体"/>
                <w:i/>
                <w:iCs/>
                <w:color w:val="000000"/>
                <w:sz w:val="18"/>
                <w:szCs w:val="18"/>
                <w:u w:val="none"/>
              </w:rPr>
            </w:pPr>
          </w:p>
        </w:tc>
      </w:tr>
      <w:tr w14:paraId="11982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99C5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47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BC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B2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9B3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3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04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BE5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D3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C4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30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DE8A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27A32">
            <w:pPr>
              <w:jc w:val="center"/>
              <w:rPr>
                <w:rFonts w:hint="eastAsia" w:ascii="宋体" w:hAnsi="宋体" w:eastAsia="宋体" w:cs="宋体"/>
                <w:i w:val="0"/>
                <w:iCs w:val="0"/>
                <w:color w:val="000000"/>
                <w:sz w:val="18"/>
                <w:szCs w:val="18"/>
                <w:u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F4B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0A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33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35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166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22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10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C6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4C24">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DC9D">
            <w:pPr>
              <w:jc w:val="center"/>
              <w:rPr>
                <w:rFonts w:hint="eastAsia" w:ascii="微软雅黑" w:hAnsi="微软雅黑" w:eastAsia="微软雅黑" w:cs="微软雅黑"/>
                <w:i/>
                <w:iCs/>
                <w:color w:val="000000"/>
                <w:sz w:val="16"/>
                <w:szCs w:val="16"/>
                <w:u w:val="none"/>
              </w:rPr>
            </w:pPr>
          </w:p>
        </w:tc>
      </w:tr>
      <w:tr w14:paraId="5B9A1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B7AEC">
            <w:pPr>
              <w:jc w:val="cente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90BCA">
            <w:pPr>
              <w:jc w:val="center"/>
              <w:rPr>
                <w:rFonts w:hint="eastAsia" w:ascii="宋体" w:hAnsi="宋体" w:eastAsia="宋体" w:cs="宋体"/>
                <w:i w:val="0"/>
                <w:iCs w:val="0"/>
                <w:color w:val="000000"/>
                <w:sz w:val="18"/>
                <w:szCs w:val="18"/>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68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DF5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22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9C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1A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B0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5A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841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3085">
            <w:pPr>
              <w:jc w:val="center"/>
              <w:rPr>
                <w:rFonts w:hint="eastAsia" w:ascii="微软雅黑" w:hAnsi="微软雅黑" w:eastAsia="微软雅黑" w:cs="微软雅黑"/>
                <w:i/>
                <w:iCs/>
                <w:color w:val="000000"/>
                <w:sz w:val="16"/>
                <w:szCs w:val="16"/>
                <w:u w:val="none"/>
              </w:rPr>
            </w:pPr>
          </w:p>
        </w:tc>
      </w:tr>
      <w:tr w14:paraId="6510A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68159">
            <w:pPr>
              <w:jc w:val="center"/>
              <w:rPr>
                <w:rFonts w:hint="eastAsia" w:ascii="宋体" w:hAnsi="宋体" w:eastAsia="宋体" w:cs="宋体"/>
                <w:i w:val="0"/>
                <w:iCs w:val="0"/>
                <w:color w:val="000000"/>
                <w:sz w:val="18"/>
                <w:szCs w:val="18"/>
                <w:u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D92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B4E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5B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9E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10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7B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88F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7D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50F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5A0B">
            <w:pPr>
              <w:jc w:val="center"/>
              <w:rPr>
                <w:rFonts w:hint="eastAsia" w:ascii="微软雅黑" w:hAnsi="微软雅黑" w:eastAsia="微软雅黑" w:cs="微软雅黑"/>
                <w:i/>
                <w:iCs/>
                <w:color w:val="000000"/>
                <w:sz w:val="16"/>
                <w:szCs w:val="16"/>
                <w:u w:val="none"/>
              </w:rPr>
            </w:pPr>
          </w:p>
        </w:tc>
      </w:tr>
      <w:tr w14:paraId="008C4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0AC41">
            <w:pPr>
              <w:jc w:val="cente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E3539">
            <w:pPr>
              <w:jc w:val="center"/>
              <w:rPr>
                <w:rFonts w:hint="eastAsia" w:ascii="宋体" w:hAnsi="宋体" w:eastAsia="宋体" w:cs="宋体"/>
                <w:i w:val="0"/>
                <w:iCs w:val="0"/>
                <w:color w:val="000000"/>
                <w:sz w:val="18"/>
                <w:szCs w:val="18"/>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59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5C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3D6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8D2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3C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677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41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C56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0BB49">
            <w:pPr>
              <w:jc w:val="center"/>
              <w:rPr>
                <w:rFonts w:hint="eastAsia" w:ascii="微软雅黑" w:hAnsi="微软雅黑" w:eastAsia="微软雅黑" w:cs="微软雅黑"/>
                <w:i/>
                <w:iCs/>
                <w:color w:val="000000"/>
                <w:sz w:val="16"/>
                <w:szCs w:val="16"/>
                <w:u w:val="none"/>
              </w:rPr>
            </w:pPr>
          </w:p>
        </w:tc>
      </w:tr>
      <w:tr w14:paraId="7344D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0AE1E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78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A841">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A173">
            <w:pPr>
              <w:rPr>
                <w:rFonts w:hint="eastAsia" w:ascii="宋体" w:hAnsi="宋体" w:eastAsia="宋体" w:cs="宋体"/>
                <w:i w:val="0"/>
                <w:iCs w:val="0"/>
                <w:color w:val="000000"/>
                <w:sz w:val="18"/>
                <w:szCs w:val="18"/>
                <w:u w:val="none"/>
              </w:rPr>
            </w:pPr>
          </w:p>
        </w:tc>
      </w:tr>
      <w:tr w14:paraId="161A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A4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AEC4C0">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1A64C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B6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02AC18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3AE68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E6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6DD69A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3BA3E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DC254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5608E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5070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576" w:type="dxa"/>
            <w:tcBorders>
              <w:top w:val="nil"/>
              <w:left w:val="nil"/>
              <w:bottom w:val="nil"/>
              <w:right w:val="nil"/>
            </w:tcBorders>
            <w:shd w:val="clear" w:color="auto" w:fill="auto"/>
            <w:vAlign w:val="center"/>
          </w:tcPr>
          <w:p w14:paraId="3EDC6140">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3415A143">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48C20C60">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194D3002">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41995D41">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7452A6B8">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507FA1D3">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4ED19FBE">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70668DF7">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7C9785F4">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626DF969">
            <w:pPr>
              <w:rPr>
                <w:rFonts w:hint="eastAsia" w:ascii="宋体" w:hAnsi="宋体" w:eastAsia="宋体" w:cs="宋体"/>
                <w:i w:val="0"/>
                <w:iCs w:val="0"/>
                <w:color w:val="000000"/>
                <w:sz w:val="18"/>
                <w:szCs w:val="18"/>
                <w:u w:val="none"/>
              </w:rPr>
            </w:pPr>
          </w:p>
        </w:tc>
      </w:tr>
      <w:tr w14:paraId="3E3F0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3E5174B">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375D1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D7D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191DA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14:paraId="57194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AB00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434DE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49A5941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4001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27BAF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D430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4A9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DEEB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26996B">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46C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BD820">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80E69">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23D22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8C6CD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单位人员待遇足额按时发放到位</w:t>
            </w:r>
          </w:p>
        </w:tc>
      </w:tr>
      <w:tr w14:paraId="40237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DAE15">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C2C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C78A5AB">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14:paraId="78D4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A92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E1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12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54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34C4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3D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0AE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D9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C1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C6B5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75722">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755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45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61.25</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18E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89990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86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FD7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5F73">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48465">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083E5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4B9B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63A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4D7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61.25</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01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75A8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F6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C7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FA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C426E">
            <w:pPr>
              <w:rPr>
                <w:rFonts w:hint="eastAsia" w:ascii="黑体" w:hAnsi="黑体" w:eastAsia="黑体" w:cs="黑体"/>
                <w:i/>
                <w:iCs/>
                <w:color w:val="000000"/>
                <w:sz w:val="18"/>
                <w:szCs w:val="18"/>
                <w:u w:val="none"/>
              </w:rPr>
            </w:pPr>
          </w:p>
        </w:tc>
      </w:tr>
      <w:tr w14:paraId="49146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4A28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D8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C9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FC0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3CD5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72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78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1D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D4CA8">
            <w:pPr>
              <w:rPr>
                <w:rFonts w:hint="eastAsia" w:ascii="黑体" w:hAnsi="黑体" w:eastAsia="黑体" w:cs="黑体"/>
                <w:i/>
                <w:iCs/>
                <w:color w:val="000000"/>
                <w:sz w:val="18"/>
                <w:szCs w:val="18"/>
                <w:u w:val="none"/>
              </w:rPr>
            </w:pPr>
          </w:p>
        </w:tc>
      </w:tr>
      <w:tr w14:paraId="54946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8517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B6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32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CD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77B7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C2D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77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5D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CE4A7">
            <w:pPr>
              <w:rPr>
                <w:rFonts w:hint="eastAsia" w:ascii="黑体" w:hAnsi="黑体" w:eastAsia="黑体" w:cs="黑体"/>
                <w:i/>
                <w:iCs/>
                <w:color w:val="000000"/>
                <w:sz w:val="18"/>
                <w:szCs w:val="18"/>
                <w:u w:val="none"/>
              </w:rPr>
            </w:pPr>
          </w:p>
        </w:tc>
      </w:tr>
      <w:tr w14:paraId="1188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D7E4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56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5865">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CF10">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B608C8">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AF6A">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EC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E3BA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8D7C3">
            <w:pPr>
              <w:rPr>
                <w:rFonts w:hint="eastAsia" w:ascii="黑体" w:hAnsi="黑体" w:eastAsia="黑体" w:cs="黑体"/>
                <w:i/>
                <w:iCs/>
                <w:color w:val="000000"/>
                <w:sz w:val="18"/>
                <w:szCs w:val="18"/>
                <w:u w:val="none"/>
              </w:rPr>
            </w:pPr>
          </w:p>
        </w:tc>
      </w:tr>
      <w:tr w14:paraId="49722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6BB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CF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D3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5E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CD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F7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23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31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45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20E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24C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467E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2A1CA">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1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D287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51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E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E8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5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1873">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83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F37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96B0">
            <w:pPr>
              <w:jc w:val="center"/>
              <w:rPr>
                <w:rFonts w:hint="eastAsia" w:ascii="微软雅黑" w:hAnsi="微软雅黑" w:eastAsia="微软雅黑" w:cs="微软雅黑"/>
                <w:i/>
                <w:iCs/>
                <w:color w:val="000000"/>
                <w:sz w:val="16"/>
                <w:szCs w:val="16"/>
                <w:u w:val="none"/>
              </w:rPr>
            </w:pPr>
          </w:p>
        </w:tc>
      </w:tr>
      <w:tr w14:paraId="3A144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EC40F">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C0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3F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3F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61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F0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07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7D93">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98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4AC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50E8">
            <w:pPr>
              <w:jc w:val="center"/>
              <w:rPr>
                <w:rFonts w:hint="eastAsia" w:ascii="微软雅黑" w:hAnsi="微软雅黑" w:eastAsia="微软雅黑" w:cs="微软雅黑"/>
                <w:i/>
                <w:iCs/>
                <w:color w:val="000000"/>
                <w:sz w:val="16"/>
                <w:szCs w:val="16"/>
                <w:u w:val="none"/>
              </w:rPr>
            </w:pPr>
          </w:p>
        </w:tc>
      </w:tr>
      <w:tr w14:paraId="33DFF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7C13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59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A831">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7ED7">
            <w:pPr>
              <w:rPr>
                <w:rFonts w:hint="eastAsia" w:ascii="宋体" w:hAnsi="宋体" w:eastAsia="宋体" w:cs="宋体"/>
                <w:i w:val="0"/>
                <w:iCs w:val="0"/>
                <w:color w:val="000000"/>
                <w:sz w:val="18"/>
                <w:szCs w:val="18"/>
                <w:u w:val="none"/>
              </w:rPr>
            </w:pPr>
          </w:p>
        </w:tc>
      </w:tr>
      <w:tr w14:paraId="688F0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098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00F9EB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0A174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9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EF594C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41D5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17A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1F1108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sz w:val="18"/>
                <w:szCs w:val="18"/>
                <w:u w:val="none"/>
                <w:lang w:val="en-US" w:eastAsia="zh-CN"/>
              </w:rPr>
              <w:t>无</w:t>
            </w:r>
          </w:p>
        </w:tc>
      </w:tr>
      <w:tr w14:paraId="0440F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95389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2A49C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7C951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2563D1A5">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39753C68">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55311D1E">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370C7D11">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859AC7E">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1ADE0A0D">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7B66B164">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505FDCEC">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78FF13F1">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CCD8F7F">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237D03C6">
            <w:pPr>
              <w:rPr>
                <w:rFonts w:hint="eastAsia" w:ascii="宋体" w:hAnsi="宋体" w:eastAsia="宋体" w:cs="宋体"/>
                <w:i w:val="0"/>
                <w:iCs w:val="0"/>
                <w:color w:val="000000"/>
                <w:sz w:val="18"/>
                <w:szCs w:val="18"/>
                <w:u w:val="none"/>
              </w:rPr>
            </w:pPr>
          </w:p>
        </w:tc>
      </w:tr>
      <w:tr w14:paraId="2A771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0B215F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858B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1F39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65D61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51080022R000006838642-退休“中人”一次性补助</w:t>
            </w:r>
          </w:p>
        </w:tc>
      </w:tr>
      <w:tr w14:paraId="1DD11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625C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C42F0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4C4E2DF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F8A5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0A1FF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A4EB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2DBE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7B9C9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B46822">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BD21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7839E">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343D7">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21AE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4042A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及时、足额发放</w:t>
            </w:r>
          </w:p>
        </w:tc>
      </w:tr>
      <w:tr w14:paraId="61D47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BF757">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86D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E0660D6">
            <w:pP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及时、足额发放</w:t>
            </w:r>
            <w:r>
              <w:rPr>
                <w:rFonts w:hint="eastAsia" w:ascii="宋体" w:hAnsi="宋体" w:cs="宋体"/>
                <w:i w:val="0"/>
                <w:iCs w:val="0"/>
                <w:color w:val="000000"/>
                <w:kern w:val="0"/>
                <w:sz w:val="18"/>
                <w:szCs w:val="18"/>
                <w:u w:val="none"/>
                <w:lang w:val="en-US" w:eastAsia="zh-CN" w:bidi="ar"/>
              </w:rPr>
              <w:t>退休人员待遇</w:t>
            </w:r>
          </w:p>
        </w:tc>
      </w:tr>
      <w:tr w14:paraId="23AB4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4CAA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5BF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3A5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09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F71E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37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F2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405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7E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9A31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98D5A">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B7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D8A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E9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5302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9E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08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BB13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89EBE">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1E2F1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519C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5E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BB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C2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C7A5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B1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FB9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81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5E43F">
            <w:pPr>
              <w:rPr>
                <w:rFonts w:hint="eastAsia" w:ascii="黑体" w:hAnsi="黑体" w:eastAsia="黑体" w:cs="黑体"/>
                <w:i/>
                <w:iCs/>
                <w:color w:val="000000"/>
                <w:sz w:val="18"/>
                <w:szCs w:val="18"/>
                <w:u w:val="none"/>
              </w:rPr>
            </w:pPr>
          </w:p>
        </w:tc>
      </w:tr>
      <w:tr w14:paraId="53ABA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4ED9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D0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E7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29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60991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B7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4A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A4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B2D7C">
            <w:pPr>
              <w:rPr>
                <w:rFonts w:hint="eastAsia" w:ascii="黑体" w:hAnsi="黑体" w:eastAsia="黑体" w:cs="黑体"/>
                <w:i/>
                <w:iCs/>
                <w:color w:val="000000"/>
                <w:sz w:val="18"/>
                <w:szCs w:val="18"/>
                <w:u w:val="none"/>
              </w:rPr>
            </w:pPr>
          </w:p>
        </w:tc>
      </w:tr>
      <w:tr w14:paraId="59152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3A1EC">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2AD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816C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68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C39F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15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23F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1F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5FAB9">
            <w:pPr>
              <w:rPr>
                <w:rFonts w:hint="eastAsia" w:ascii="黑体" w:hAnsi="黑体" w:eastAsia="黑体" w:cs="黑体"/>
                <w:i/>
                <w:iCs/>
                <w:color w:val="000000"/>
                <w:sz w:val="18"/>
                <w:szCs w:val="18"/>
                <w:u w:val="none"/>
              </w:rPr>
            </w:pPr>
          </w:p>
        </w:tc>
      </w:tr>
      <w:tr w14:paraId="59E79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8027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52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2D91">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EA57">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7826A3">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234C0">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4D8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2B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FA6C0">
            <w:pPr>
              <w:rPr>
                <w:rFonts w:hint="eastAsia" w:ascii="黑体" w:hAnsi="黑体" w:eastAsia="黑体" w:cs="黑体"/>
                <w:i/>
                <w:iCs/>
                <w:color w:val="000000"/>
                <w:sz w:val="18"/>
                <w:szCs w:val="18"/>
                <w:u w:val="none"/>
              </w:rPr>
            </w:pPr>
          </w:p>
        </w:tc>
      </w:tr>
      <w:tr w14:paraId="4945B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04D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A07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0C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1E5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89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DFA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02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B8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B698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AC9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10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6BCF6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FEB1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33B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A04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C78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FB3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0A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00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BEF6">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6F6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C7904">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A1D6">
            <w:pPr>
              <w:jc w:val="center"/>
              <w:rPr>
                <w:rFonts w:hint="eastAsia" w:ascii="微软雅黑" w:hAnsi="微软雅黑" w:eastAsia="微软雅黑" w:cs="微软雅黑"/>
                <w:i/>
                <w:iCs/>
                <w:color w:val="000000"/>
                <w:sz w:val="16"/>
                <w:szCs w:val="16"/>
                <w:u w:val="none"/>
              </w:rPr>
            </w:pPr>
          </w:p>
        </w:tc>
      </w:tr>
      <w:tr w14:paraId="3A837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033C3">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FA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72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0B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A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1E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93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3EE1">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3AD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59A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A4AF">
            <w:pPr>
              <w:jc w:val="center"/>
              <w:rPr>
                <w:rFonts w:hint="eastAsia" w:ascii="微软雅黑" w:hAnsi="微软雅黑" w:eastAsia="微软雅黑" w:cs="微软雅黑"/>
                <w:i/>
                <w:iCs/>
                <w:color w:val="000000"/>
                <w:sz w:val="16"/>
                <w:szCs w:val="16"/>
                <w:u w:val="none"/>
              </w:rPr>
            </w:pPr>
          </w:p>
        </w:tc>
      </w:tr>
      <w:tr w14:paraId="1D8FE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BE887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CC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79B5A">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BF65">
            <w:pPr>
              <w:rPr>
                <w:rFonts w:hint="eastAsia" w:ascii="宋体" w:hAnsi="宋体" w:eastAsia="宋体" w:cs="宋体"/>
                <w:i w:val="0"/>
                <w:iCs w:val="0"/>
                <w:color w:val="000000"/>
                <w:sz w:val="18"/>
                <w:szCs w:val="18"/>
                <w:u w:val="none"/>
              </w:rPr>
            </w:pPr>
          </w:p>
        </w:tc>
      </w:tr>
      <w:tr w14:paraId="31555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EE23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2F15FD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08DE6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99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FB99EA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62FF6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AC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AD84A9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sz w:val="18"/>
                <w:szCs w:val="18"/>
                <w:u w:val="none"/>
                <w:lang w:val="en-US" w:eastAsia="zh-CN"/>
              </w:rPr>
              <w:t>无</w:t>
            </w:r>
          </w:p>
        </w:tc>
      </w:tr>
      <w:tr w14:paraId="170D8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89F2E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27877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2403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4AA51B18">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1B64F7DE">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2BE7011D">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69AA0608">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2FE0C37F">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7BFB56BB">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30E53115">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4CA91465">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88843CD">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2BD1397B">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6315A0A0">
            <w:pPr>
              <w:rPr>
                <w:rFonts w:hint="eastAsia" w:ascii="宋体" w:hAnsi="宋体" w:eastAsia="宋体" w:cs="宋体"/>
                <w:i w:val="0"/>
                <w:iCs w:val="0"/>
                <w:color w:val="000000"/>
                <w:sz w:val="18"/>
                <w:szCs w:val="18"/>
                <w:u w:val="none"/>
              </w:rPr>
            </w:pPr>
          </w:p>
        </w:tc>
      </w:tr>
      <w:tr w14:paraId="07FFC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6EE92FF">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317D3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15D4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D34465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51080022R000007489234-2022年考核奖</w:t>
            </w:r>
          </w:p>
        </w:tc>
      </w:tr>
      <w:tr w14:paraId="0454A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38DC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BB7D1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705244C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8906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62ED8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FA06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9F98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D9006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F4A925">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D966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85357">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DF563">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BBD73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7FCD0C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w:t>
            </w:r>
          </w:p>
        </w:tc>
      </w:tr>
      <w:tr w14:paraId="79B19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2FDA3">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AF5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027CA9E">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w:t>
            </w:r>
          </w:p>
        </w:tc>
      </w:tr>
      <w:tr w14:paraId="1A73F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B93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8937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A6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16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80DC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CDB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68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EC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AD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0F85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3A3AB">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9C10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05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A7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AC3A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0D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B4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D53D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2CA39">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5E74A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49953">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69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3B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69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71A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2A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FD7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D4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F90F4">
            <w:pPr>
              <w:rPr>
                <w:rFonts w:hint="eastAsia" w:ascii="黑体" w:hAnsi="黑体" w:eastAsia="黑体" w:cs="黑体"/>
                <w:i/>
                <w:iCs/>
                <w:color w:val="000000"/>
                <w:sz w:val="18"/>
                <w:szCs w:val="18"/>
                <w:u w:val="none"/>
              </w:rPr>
            </w:pPr>
          </w:p>
        </w:tc>
      </w:tr>
      <w:tr w14:paraId="2C240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B328F">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E89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82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A68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9CA5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DF0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08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5B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20FF5">
            <w:pPr>
              <w:rPr>
                <w:rFonts w:hint="eastAsia" w:ascii="黑体" w:hAnsi="黑体" w:eastAsia="黑体" w:cs="黑体"/>
                <w:i/>
                <w:iCs/>
                <w:color w:val="000000"/>
                <w:sz w:val="18"/>
                <w:szCs w:val="18"/>
                <w:u w:val="none"/>
              </w:rPr>
            </w:pPr>
          </w:p>
        </w:tc>
      </w:tr>
      <w:tr w14:paraId="1B897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ED54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147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931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F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8CBE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5CA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A2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EAA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FE940">
            <w:pPr>
              <w:rPr>
                <w:rFonts w:hint="eastAsia" w:ascii="黑体" w:hAnsi="黑体" w:eastAsia="黑体" w:cs="黑体"/>
                <w:i/>
                <w:iCs/>
                <w:color w:val="000000"/>
                <w:sz w:val="18"/>
                <w:szCs w:val="18"/>
                <w:u w:val="none"/>
              </w:rPr>
            </w:pPr>
          </w:p>
        </w:tc>
      </w:tr>
      <w:tr w14:paraId="77581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2DB9A">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815E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4B95">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EE59">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DD01D8">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9DBA2">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3AB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FA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22BBA">
            <w:pPr>
              <w:rPr>
                <w:rFonts w:hint="eastAsia" w:ascii="黑体" w:hAnsi="黑体" w:eastAsia="黑体" w:cs="黑体"/>
                <w:i/>
                <w:iCs/>
                <w:color w:val="000000"/>
                <w:sz w:val="18"/>
                <w:szCs w:val="18"/>
                <w:u w:val="none"/>
              </w:rPr>
            </w:pPr>
          </w:p>
        </w:tc>
      </w:tr>
      <w:tr w14:paraId="0077C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4EBB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9D9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8F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7F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D4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9B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34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0B5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94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2121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FA73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7383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87C92">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E25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D71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A7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78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3DC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D4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652A">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41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D995">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A2B60">
            <w:pPr>
              <w:jc w:val="center"/>
              <w:rPr>
                <w:rFonts w:hint="eastAsia" w:ascii="微软雅黑" w:hAnsi="微软雅黑" w:eastAsia="微软雅黑" w:cs="微软雅黑"/>
                <w:i/>
                <w:iCs/>
                <w:color w:val="000000"/>
                <w:sz w:val="16"/>
                <w:szCs w:val="16"/>
                <w:u w:val="none"/>
              </w:rPr>
            </w:pPr>
          </w:p>
        </w:tc>
      </w:tr>
      <w:tr w14:paraId="4FEE3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E77D5">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A8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8CD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3B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A6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C9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16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0001">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48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EA6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DE45B">
            <w:pPr>
              <w:jc w:val="center"/>
              <w:rPr>
                <w:rFonts w:hint="eastAsia" w:ascii="微软雅黑" w:hAnsi="微软雅黑" w:eastAsia="微软雅黑" w:cs="微软雅黑"/>
                <w:i/>
                <w:iCs/>
                <w:color w:val="000000"/>
                <w:sz w:val="16"/>
                <w:szCs w:val="16"/>
                <w:u w:val="none"/>
              </w:rPr>
            </w:pPr>
          </w:p>
        </w:tc>
      </w:tr>
      <w:tr w14:paraId="641AC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C1FFD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21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3928">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8FEB">
            <w:pPr>
              <w:rPr>
                <w:rFonts w:hint="eastAsia" w:ascii="宋体" w:hAnsi="宋体" w:eastAsia="宋体" w:cs="宋体"/>
                <w:i w:val="0"/>
                <w:iCs w:val="0"/>
                <w:color w:val="000000"/>
                <w:sz w:val="18"/>
                <w:szCs w:val="18"/>
                <w:u w:val="none"/>
              </w:rPr>
            </w:pPr>
          </w:p>
        </w:tc>
      </w:tr>
      <w:tr w14:paraId="0AAAD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E0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D1C76B7">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43EA2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4F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317269C">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1096A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51F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65EAC12">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宋体" w:hAnsi="宋体" w:cs="宋体"/>
                <w:i w:val="0"/>
                <w:iCs w:val="0"/>
                <w:color w:val="000000"/>
                <w:sz w:val="18"/>
                <w:szCs w:val="18"/>
                <w:u w:val="none"/>
                <w:lang w:val="en-US" w:eastAsia="zh-CN"/>
              </w:rPr>
              <w:t>无</w:t>
            </w:r>
          </w:p>
        </w:tc>
      </w:tr>
      <w:tr w14:paraId="6412B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EAFFA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C8173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6D9C4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099AF5B0">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094F06B5">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2FD368E2">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554D72DE">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0B1593DF">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356198E8">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5487652D">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6D29A733">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30323519">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48ED4DC8">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405D220A">
            <w:pPr>
              <w:rPr>
                <w:rFonts w:hint="eastAsia" w:ascii="宋体" w:hAnsi="宋体" w:eastAsia="宋体" w:cs="宋体"/>
                <w:i w:val="0"/>
                <w:iCs w:val="0"/>
                <w:color w:val="000000"/>
                <w:sz w:val="18"/>
                <w:szCs w:val="18"/>
                <w:u w:val="none"/>
              </w:rPr>
            </w:pPr>
          </w:p>
        </w:tc>
      </w:tr>
      <w:tr w14:paraId="1E7FB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A26758D">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F683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BF78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D566F6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14:paraId="6F72A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96B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A5514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03E2A10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9441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64D9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4259C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790D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80A0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2AAC0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1CA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C4D5">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8E438">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5EC36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88D1AE">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w:t>
            </w:r>
          </w:p>
        </w:tc>
      </w:tr>
      <w:tr w14:paraId="6B087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B9362">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2435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36EA1C1">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r>
      <w:tr w14:paraId="2E07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5DB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008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F39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FC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23D0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68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B5B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30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09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B95A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DA7AF">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51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B2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D7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9387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9.59</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96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E0C1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518A">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9B988">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71A1F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997A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1DF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F8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07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C9A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9.59</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8B0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6C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4B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D69C8">
            <w:pPr>
              <w:rPr>
                <w:rFonts w:hint="eastAsia" w:ascii="黑体" w:hAnsi="黑体" w:eastAsia="黑体" w:cs="黑体"/>
                <w:i/>
                <w:iCs/>
                <w:color w:val="000000"/>
                <w:sz w:val="18"/>
                <w:szCs w:val="18"/>
                <w:u w:val="none"/>
              </w:rPr>
            </w:pPr>
          </w:p>
        </w:tc>
      </w:tr>
      <w:tr w14:paraId="356CC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19EA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BB3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57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062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3088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A64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676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43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71EEA">
            <w:pPr>
              <w:rPr>
                <w:rFonts w:hint="eastAsia" w:ascii="黑体" w:hAnsi="黑体" w:eastAsia="黑体" w:cs="黑体"/>
                <w:i/>
                <w:iCs/>
                <w:color w:val="000000"/>
                <w:sz w:val="18"/>
                <w:szCs w:val="18"/>
                <w:u w:val="none"/>
              </w:rPr>
            </w:pPr>
          </w:p>
        </w:tc>
      </w:tr>
      <w:tr w14:paraId="33D94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09F1F">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3E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76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08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5DC5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9D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B6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5FD4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66BEF">
            <w:pPr>
              <w:rPr>
                <w:rFonts w:hint="eastAsia" w:ascii="黑体" w:hAnsi="黑体" w:eastAsia="黑体" w:cs="黑体"/>
                <w:i/>
                <w:iCs/>
                <w:color w:val="000000"/>
                <w:sz w:val="18"/>
                <w:szCs w:val="18"/>
                <w:u w:val="none"/>
              </w:rPr>
            </w:pPr>
          </w:p>
        </w:tc>
      </w:tr>
      <w:tr w14:paraId="69F19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2288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32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4CE5">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B1757">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DDD1F0">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24EE">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77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ED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8963">
            <w:pPr>
              <w:rPr>
                <w:rFonts w:hint="eastAsia" w:ascii="黑体" w:hAnsi="黑体" w:eastAsia="黑体" w:cs="黑体"/>
                <w:i/>
                <w:iCs/>
                <w:color w:val="000000"/>
                <w:sz w:val="18"/>
                <w:szCs w:val="18"/>
                <w:u w:val="none"/>
              </w:rPr>
            </w:pPr>
          </w:p>
        </w:tc>
      </w:tr>
      <w:tr w14:paraId="6C25D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405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02F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9F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1A6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1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EC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95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AB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49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096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83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E56C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3BCC7">
            <w:pPr>
              <w:jc w:val="center"/>
              <w:rPr>
                <w:rFonts w:hint="eastAsia" w:ascii="宋体" w:hAnsi="宋体" w:eastAsia="宋体" w:cs="宋体"/>
                <w:i w:val="0"/>
                <w:iCs w:val="0"/>
                <w:color w:val="000000"/>
                <w:sz w:val="18"/>
                <w:szCs w:val="18"/>
                <w:u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10C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4A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78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82D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DAE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4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05644">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DC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F57A">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AC9D">
            <w:pPr>
              <w:jc w:val="center"/>
              <w:rPr>
                <w:rFonts w:hint="eastAsia" w:ascii="微软雅黑" w:hAnsi="微软雅黑" w:eastAsia="微软雅黑" w:cs="微软雅黑"/>
                <w:i/>
                <w:iCs/>
                <w:color w:val="000000"/>
                <w:sz w:val="16"/>
                <w:szCs w:val="16"/>
                <w:u w:val="none"/>
              </w:rPr>
            </w:pPr>
          </w:p>
        </w:tc>
      </w:tr>
      <w:tr w14:paraId="0A3CB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27228">
            <w:pPr>
              <w:jc w:val="cente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AE4BD">
            <w:pPr>
              <w:jc w:val="center"/>
              <w:rPr>
                <w:rFonts w:hint="eastAsia" w:ascii="宋体" w:hAnsi="宋体" w:eastAsia="宋体" w:cs="宋体"/>
                <w:i w:val="0"/>
                <w:iCs w:val="0"/>
                <w:color w:val="000000"/>
                <w:sz w:val="18"/>
                <w:szCs w:val="18"/>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AC3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68E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31F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67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92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F8BB">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E9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31347">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85BB">
            <w:pPr>
              <w:jc w:val="center"/>
              <w:rPr>
                <w:rFonts w:hint="eastAsia" w:ascii="微软雅黑" w:hAnsi="微软雅黑" w:eastAsia="微软雅黑" w:cs="微软雅黑"/>
                <w:i/>
                <w:iCs/>
                <w:color w:val="000000"/>
                <w:sz w:val="16"/>
                <w:szCs w:val="16"/>
                <w:u w:val="none"/>
              </w:rPr>
            </w:pPr>
          </w:p>
        </w:tc>
      </w:tr>
      <w:tr w14:paraId="676E9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6BB1C">
            <w:pPr>
              <w:jc w:val="center"/>
              <w:rPr>
                <w:rFonts w:hint="eastAsia" w:ascii="宋体" w:hAnsi="宋体" w:eastAsia="宋体" w:cs="宋体"/>
                <w:i w:val="0"/>
                <w:iCs w:val="0"/>
                <w:color w:val="000000"/>
                <w:sz w:val="18"/>
                <w:szCs w:val="18"/>
                <w:u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029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86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78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60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8A8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EE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55EF">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99.94%</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70D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98C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9FB9">
            <w:pPr>
              <w:jc w:val="center"/>
              <w:rPr>
                <w:rFonts w:hint="eastAsia" w:ascii="微软雅黑" w:hAnsi="微软雅黑" w:eastAsia="微软雅黑" w:cs="微软雅黑"/>
                <w:i/>
                <w:iCs/>
                <w:color w:val="000000"/>
                <w:sz w:val="16"/>
                <w:szCs w:val="16"/>
                <w:u w:val="none"/>
              </w:rPr>
            </w:pPr>
          </w:p>
        </w:tc>
      </w:tr>
      <w:tr w14:paraId="7C1D4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DC71A">
            <w:pPr>
              <w:jc w:val="cente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FB48A">
            <w:pPr>
              <w:jc w:val="center"/>
              <w:rPr>
                <w:rFonts w:hint="eastAsia" w:ascii="宋体" w:hAnsi="宋体" w:eastAsia="宋体" w:cs="宋体"/>
                <w:i w:val="0"/>
                <w:iCs w:val="0"/>
                <w:color w:val="000000"/>
                <w:sz w:val="18"/>
                <w:szCs w:val="18"/>
                <w:u w:val="none"/>
              </w:rPr>
            </w:pP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65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82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82E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FA9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CE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BE7E">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FC4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9DD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9533">
            <w:pPr>
              <w:jc w:val="center"/>
              <w:rPr>
                <w:rFonts w:hint="eastAsia" w:ascii="微软雅黑" w:hAnsi="微软雅黑" w:eastAsia="微软雅黑" w:cs="微软雅黑"/>
                <w:i/>
                <w:iCs/>
                <w:color w:val="000000"/>
                <w:sz w:val="16"/>
                <w:szCs w:val="16"/>
                <w:u w:val="none"/>
              </w:rPr>
            </w:pPr>
          </w:p>
        </w:tc>
      </w:tr>
      <w:tr w14:paraId="5919B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8C8B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E48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3713">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1C0B">
            <w:pPr>
              <w:rPr>
                <w:rFonts w:hint="eastAsia" w:ascii="宋体" w:hAnsi="宋体" w:eastAsia="宋体" w:cs="宋体"/>
                <w:i w:val="0"/>
                <w:iCs w:val="0"/>
                <w:color w:val="000000"/>
                <w:sz w:val="18"/>
                <w:szCs w:val="18"/>
                <w:u w:val="none"/>
              </w:rPr>
            </w:pPr>
          </w:p>
        </w:tc>
      </w:tr>
      <w:tr w14:paraId="0A1F1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7EF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97EC6E9">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6730A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D32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ED02DBF">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4325D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A31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9F7BEA">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14:paraId="5E1E4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FDAEA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98C54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5E9CE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576" w:type="dxa"/>
            <w:tcBorders>
              <w:top w:val="nil"/>
              <w:left w:val="nil"/>
              <w:bottom w:val="nil"/>
              <w:right w:val="nil"/>
            </w:tcBorders>
            <w:shd w:val="clear" w:color="auto" w:fill="auto"/>
            <w:vAlign w:val="center"/>
          </w:tcPr>
          <w:p w14:paraId="33F00633">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4BD025AF">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3831DC4C">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4653908C">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56D8624">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78F7FB03">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116AF9E">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635CE453">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1FE4BD0">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0EED78D">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04F27B71">
            <w:pPr>
              <w:rPr>
                <w:rFonts w:hint="eastAsia" w:ascii="宋体" w:hAnsi="宋体" w:eastAsia="宋体" w:cs="宋体"/>
                <w:i w:val="0"/>
                <w:iCs w:val="0"/>
                <w:color w:val="000000"/>
                <w:sz w:val="18"/>
                <w:szCs w:val="18"/>
                <w:u w:val="none"/>
              </w:rPr>
            </w:pPr>
          </w:p>
        </w:tc>
      </w:tr>
      <w:tr w14:paraId="2A9E6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3"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BD3BD91">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156B9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94ABE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2E29A2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14:paraId="4865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9A55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EC69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545A46F6">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9907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6B6E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AD6B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F952A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77698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E7548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2ED76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FF01">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6E256">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5B4A5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019AC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单位人员待遇足额按时发放到位</w:t>
            </w:r>
          </w:p>
        </w:tc>
      </w:tr>
      <w:tr w14:paraId="70807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C58FD">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933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8F6091">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r>
      <w:tr w14:paraId="5B53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C88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A2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70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2F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39A9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0A6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BC7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B7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66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B97B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2DA4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94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060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22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0DF38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7BC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48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B8D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36266">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3CB83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CD16F">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0D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C4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73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59452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0.67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3A1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C75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E5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F2294">
            <w:pPr>
              <w:rPr>
                <w:rFonts w:hint="eastAsia" w:ascii="黑体" w:hAnsi="黑体" w:eastAsia="黑体" w:cs="黑体"/>
                <w:i/>
                <w:iCs/>
                <w:color w:val="000000"/>
                <w:sz w:val="18"/>
                <w:szCs w:val="18"/>
                <w:u w:val="none"/>
              </w:rPr>
            </w:pPr>
          </w:p>
        </w:tc>
      </w:tr>
      <w:tr w14:paraId="6F614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C3C4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E04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3C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212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CDC9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50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A3A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DBE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93DA3">
            <w:pPr>
              <w:rPr>
                <w:rFonts w:hint="eastAsia" w:ascii="黑体" w:hAnsi="黑体" w:eastAsia="黑体" w:cs="黑体"/>
                <w:i/>
                <w:iCs/>
                <w:color w:val="000000"/>
                <w:sz w:val="18"/>
                <w:szCs w:val="18"/>
                <w:u w:val="none"/>
              </w:rPr>
            </w:pPr>
          </w:p>
        </w:tc>
      </w:tr>
      <w:tr w14:paraId="22169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6C9E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3C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A2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A303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C1EBC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00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35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C9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68AE1">
            <w:pPr>
              <w:rPr>
                <w:rFonts w:hint="eastAsia" w:ascii="黑体" w:hAnsi="黑体" w:eastAsia="黑体" w:cs="黑体"/>
                <w:i/>
                <w:iCs/>
                <w:color w:val="000000"/>
                <w:sz w:val="18"/>
                <w:szCs w:val="18"/>
                <w:u w:val="none"/>
              </w:rPr>
            </w:pPr>
          </w:p>
        </w:tc>
      </w:tr>
      <w:tr w14:paraId="6DF7F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379B3">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A0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D51E">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98F0">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B92441">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B567">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9CE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FBB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F5B3A">
            <w:pPr>
              <w:rPr>
                <w:rFonts w:hint="eastAsia" w:ascii="黑体" w:hAnsi="黑体" w:eastAsia="黑体" w:cs="黑体"/>
                <w:i/>
                <w:iCs/>
                <w:color w:val="000000"/>
                <w:sz w:val="18"/>
                <w:szCs w:val="18"/>
                <w:u w:val="none"/>
              </w:rPr>
            </w:pPr>
          </w:p>
        </w:tc>
      </w:tr>
      <w:tr w14:paraId="6B4E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F25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D3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42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C8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77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A53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D3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1D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98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A7B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F3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B3AC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47CCD">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E71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6F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02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D3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B57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FE2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166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65F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F8DE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75A8">
            <w:pPr>
              <w:jc w:val="center"/>
              <w:rPr>
                <w:rFonts w:hint="eastAsia" w:ascii="微软雅黑" w:hAnsi="微软雅黑" w:eastAsia="微软雅黑" w:cs="微软雅黑"/>
                <w:i/>
                <w:iCs/>
                <w:color w:val="000000"/>
                <w:sz w:val="16"/>
                <w:szCs w:val="16"/>
                <w:u w:val="none"/>
              </w:rPr>
            </w:pPr>
          </w:p>
        </w:tc>
      </w:tr>
      <w:tr w14:paraId="4B6F1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268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3E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715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B6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60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11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C0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64D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F3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0AC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713C">
            <w:pPr>
              <w:jc w:val="center"/>
              <w:rPr>
                <w:rFonts w:hint="eastAsia" w:ascii="微软雅黑" w:hAnsi="微软雅黑" w:eastAsia="微软雅黑" w:cs="微软雅黑"/>
                <w:i/>
                <w:iCs/>
                <w:color w:val="000000"/>
                <w:sz w:val="16"/>
                <w:szCs w:val="16"/>
                <w:u w:val="none"/>
              </w:rPr>
            </w:pPr>
          </w:p>
        </w:tc>
      </w:tr>
      <w:tr w14:paraId="4E89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79429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0B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0F9F">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CAB3">
            <w:pPr>
              <w:rPr>
                <w:rFonts w:hint="eastAsia" w:ascii="宋体" w:hAnsi="宋体" w:eastAsia="宋体" w:cs="宋体"/>
                <w:i w:val="0"/>
                <w:iCs w:val="0"/>
                <w:color w:val="000000"/>
                <w:sz w:val="18"/>
                <w:szCs w:val="18"/>
                <w:u w:val="none"/>
              </w:rPr>
            </w:pPr>
          </w:p>
        </w:tc>
      </w:tr>
      <w:tr w14:paraId="28BAB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D3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DA155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033F1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A5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45F4C7">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0F318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5D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3DFD4BA">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39AB4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7290F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184414">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1D0F3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5B270423">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43F74BA3">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74517C87">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7F95FC04">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00AA2E4">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2C9AFE2C">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41323BD1">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3C743A7D">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23BE7B6A">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16FBC916">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65B69DD3">
            <w:pPr>
              <w:rPr>
                <w:rFonts w:hint="eastAsia" w:ascii="宋体" w:hAnsi="宋体" w:eastAsia="宋体" w:cs="宋体"/>
                <w:i w:val="0"/>
                <w:iCs w:val="0"/>
                <w:color w:val="000000"/>
                <w:sz w:val="18"/>
                <w:szCs w:val="18"/>
                <w:u w:val="none"/>
              </w:rPr>
            </w:pPr>
          </w:p>
        </w:tc>
      </w:tr>
      <w:tr w14:paraId="56E5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04C2045">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E184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9BCC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A8D45C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14:paraId="2D063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317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CD21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5EBB19E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FE66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1B7B9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B5D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746E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0542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D8712E">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C720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790E8">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58E57">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72D4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356CE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w:t>
            </w:r>
          </w:p>
        </w:tc>
      </w:tr>
      <w:tr w14:paraId="34D0C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7E4EB">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B1C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9BA29B9">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w:t>
            </w:r>
          </w:p>
        </w:tc>
      </w:tr>
      <w:tr w14:paraId="1B0B8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DD2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5F1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4D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6F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F712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6E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0D8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446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83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EFA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DFA4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12CB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2C6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2F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9717F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9EE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D2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2D6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C618F">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2445C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BC93B">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A8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17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B6B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9E89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A3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4F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16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86397">
            <w:pPr>
              <w:rPr>
                <w:rFonts w:hint="eastAsia" w:ascii="黑体" w:hAnsi="黑体" w:eastAsia="黑体" w:cs="黑体"/>
                <w:i/>
                <w:iCs/>
                <w:color w:val="000000"/>
                <w:sz w:val="18"/>
                <w:szCs w:val="18"/>
                <w:u w:val="none"/>
              </w:rPr>
            </w:pPr>
          </w:p>
        </w:tc>
      </w:tr>
      <w:tr w14:paraId="794BE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8E10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B4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4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34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D6BC4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C3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132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203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A2B16">
            <w:pPr>
              <w:rPr>
                <w:rFonts w:hint="eastAsia" w:ascii="黑体" w:hAnsi="黑体" w:eastAsia="黑体" w:cs="黑体"/>
                <w:i/>
                <w:iCs/>
                <w:color w:val="000000"/>
                <w:sz w:val="18"/>
                <w:szCs w:val="18"/>
                <w:u w:val="none"/>
              </w:rPr>
            </w:pPr>
          </w:p>
        </w:tc>
      </w:tr>
      <w:tr w14:paraId="4EAAD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38BA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56D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976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04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68EB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E8E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2C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656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4C645">
            <w:pPr>
              <w:rPr>
                <w:rFonts w:hint="eastAsia" w:ascii="黑体" w:hAnsi="黑体" w:eastAsia="黑体" w:cs="黑体"/>
                <w:i/>
                <w:iCs/>
                <w:color w:val="000000"/>
                <w:sz w:val="18"/>
                <w:szCs w:val="18"/>
                <w:u w:val="none"/>
              </w:rPr>
            </w:pPr>
          </w:p>
        </w:tc>
      </w:tr>
      <w:tr w14:paraId="36FB4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18C8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38B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ED3F">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3DB2">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C111BC">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EBA0">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95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F4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79797">
            <w:pPr>
              <w:rPr>
                <w:rFonts w:hint="eastAsia" w:ascii="黑体" w:hAnsi="黑体" w:eastAsia="黑体" w:cs="黑体"/>
                <w:i/>
                <w:iCs/>
                <w:color w:val="000000"/>
                <w:sz w:val="18"/>
                <w:szCs w:val="18"/>
                <w:u w:val="none"/>
              </w:rPr>
            </w:pPr>
          </w:p>
        </w:tc>
      </w:tr>
      <w:tr w14:paraId="4CCAE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D5F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BCA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EDE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99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70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402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3D45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FB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A25E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0B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69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17E5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AAC7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B7A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A64D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EC0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30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F6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829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67FC">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46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053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066E">
            <w:pPr>
              <w:jc w:val="center"/>
              <w:rPr>
                <w:rFonts w:hint="eastAsia" w:ascii="微软雅黑" w:hAnsi="微软雅黑" w:eastAsia="微软雅黑" w:cs="微软雅黑"/>
                <w:i/>
                <w:iCs/>
                <w:color w:val="000000"/>
                <w:sz w:val="16"/>
                <w:szCs w:val="16"/>
                <w:u w:val="none"/>
              </w:rPr>
            </w:pPr>
          </w:p>
        </w:tc>
      </w:tr>
      <w:tr w14:paraId="13CF8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0ADC5">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91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3E4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9E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F8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75D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B0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87A0">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BE2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9EC5">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B00A">
            <w:pPr>
              <w:jc w:val="center"/>
              <w:rPr>
                <w:rFonts w:hint="eastAsia" w:ascii="微软雅黑" w:hAnsi="微软雅黑" w:eastAsia="微软雅黑" w:cs="微软雅黑"/>
                <w:i/>
                <w:iCs/>
                <w:color w:val="000000"/>
                <w:sz w:val="16"/>
                <w:szCs w:val="16"/>
                <w:u w:val="none"/>
              </w:rPr>
            </w:pPr>
          </w:p>
        </w:tc>
      </w:tr>
      <w:tr w14:paraId="24864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B08CF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41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E166">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7BB7">
            <w:pPr>
              <w:rPr>
                <w:rFonts w:hint="eastAsia" w:ascii="宋体" w:hAnsi="宋体" w:eastAsia="宋体" w:cs="宋体"/>
                <w:i w:val="0"/>
                <w:iCs w:val="0"/>
                <w:color w:val="000000"/>
                <w:sz w:val="18"/>
                <w:szCs w:val="18"/>
                <w:u w:val="none"/>
              </w:rPr>
            </w:pPr>
          </w:p>
        </w:tc>
      </w:tr>
      <w:tr w14:paraId="25FE1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CB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AC343B4">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181E5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0CC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FC5F517">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3B61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2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702767">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3564F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F3056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2B0C3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377F4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33EDE3BC">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1A25E3DD">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668A1FBD">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53FFAD21">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013B898F">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6CC578DD">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2C9F81D5">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71C40B7D">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4B927714">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5994602A">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5E2BC127">
            <w:pPr>
              <w:rPr>
                <w:rFonts w:hint="eastAsia" w:ascii="宋体" w:hAnsi="宋体" w:eastAsia="宋体" w:cs="宋体"/>
                <w:i w:val="0"/>
                <w:iCs w:val="0"/>
                <w:color w:val="000000"/>
                <w:sz w:val="18"/>
                <w:szCs w:val="18"/>
                <w:u w:val="none"/>
              </w:rPr>
            </w:pPr>
          </w:p>
        </w:tc>
      </w:tr>
      <w:tr w14:paraId="30582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27152C7">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592F2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2218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3AD66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51080023T000008949296-年度考核奖</w:t>
            </w:r>
          </w:p>
        </w:tc>
      </w:tr>
      <w:tr w14:paraId="1C549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2FF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0CFC1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5F713C5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77782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0AC0F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5D44B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03D3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09ED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29C960">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94B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9BEA">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AEA7A">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F72DB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严格执行相关政策，保障年度考核奖按时、足额发放。</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C509B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保障年度考核奖按时、足额发放。</w:t>
            </w:r>
          </w:p>
        </w:tc>
      </w:tr>
      <w:tr w14:paraId="0B954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F8A74">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24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DF96225">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保障年度考核奖按时、足额发放。</w:t>
            </w:r>
          </w:p>
        </w:tc>
      </w:tr>
      <w:tr w14:paraId="7659D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A406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7E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17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EBEC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7965D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D4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C8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6B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6BC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001D4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EA341">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5A71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44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E2C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64A3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36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62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3EF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2E09C">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65AB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A4E7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5922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04D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49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A6A2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F6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BA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30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1F4A5">
            <w:pPr>
              <w:rPr>
                <w:rFonts w:hint="eastAsia" w:ascii="黑体" w:hAnsi="黑体" w:eastAsia="黑体" w:cs="黑体"/>
                <w:i/>
                <w:iCs/>
                <w:color w:val="000000"/>
                <w:sz w:val="18"/>
                <w:szCs w:val="18"/>
                <w:u w:val="none"/>
              </w:rPr>
            </w:pPr>
          </w:p>
        </w:tc>
      </w:tr>
      <w:tr w14:paraId="7C19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B9E3C">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E1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199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8C0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7FD2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11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076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77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1D0A9">
            <w:pPr>
              <w:rPr>
                <w:rFonts w:hint="eastAsia" w:ascii="黑体" w:hAnsi="黑体" w:eastAsia="黑体" w:cs="黑体"/>
                <w:i/>
                <w:iCs/>
                <w:color w:val="000000"/>
                <w:sz w:val="18"/>
                <w:szCs w:val="18"/>
                <w:u w:val="none"/>
              </w:rPr>
            </w:pPr>
          </w:p>
        </w:tc>
      </w:tr>
      <w:tr w14:paraId="05445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57643">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ED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8C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7763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EC824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BD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FD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CA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C13CB">
            <w:pPr>
              <w:rPr>
                <w:rFonts w:hint="eastAsia" w:ascii="黑体" w:hAnsi="黑体" w:eastAsia="黑体" w:cs="黑体"/>
                <w:i/>
                <w:iCs/>
                <w:color w:val="000000"/>
                <w:sz w:val="18"/>
                <w:szCs w:val="18"/>
                <w:u w:val="none"/>
              </w:rPr>
            </w:pPr>
          </w:p>
        </w:tc>
      </w:tr>
      <w:tr w14:paraId="32247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D201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E77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26DD">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FD06">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566F00">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206C0">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4E5F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AF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1A133">
            <w:pPr>
              <w:rPr>
                <w:rFonts w:hint="eastAsia" w:ascii="黑体" w:hAnsi="黑体" w:eastAsia="黑体" w:cs="黑体"/>
                <w:i/>
                <w:iCs/>
                <w:color w:val="000000"/>
                <w:sz w:val="18"/>
                <w:szCs w:val="18"/>
                <w:u w:val="none"/>
              </w:rPr>
            </w:pPr>
          </w:p>
        </w:tc>
      </w:tr>
      <w:tr w14:paraId="0D104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AE89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9D0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A8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62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EC9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5A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AF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59E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058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0E2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62B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4BE1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35644">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99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BA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B08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发放覆盖率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8C9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B84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C3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9EE90">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12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9E2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D7E0">
            <w:pPr>
              <w:jc w:val="center"/>
              <w:rPr>
                <w:rFonts w:hint="eastAsia" w:ascii="微软雅黑" w:hAnsi="微软雅黑" w:eastAsia="微软雅黑" w:cs="微软雅黑"/>
                <w:i/>
                <w:iCs/>
                <w:color w:val="000000"/>
                <w:sz w:val="16"/>
                <w:szCs w:val="16"/>
                <w:u w:val="none"/>
              </w:rPr>
            </w:pPr>
          </w:p>
        </w:tc>
      </w:tr>
      <w:tr w14:paraId="3E581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7497A">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5D7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F4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E0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10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33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5E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1983">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0A3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8ED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8D12">
            <w:pPr>
              <w:jc w:val="center"/>
              <w:rPr>
                <w:rFonts w:hint="eastAsia" w:ascii="微软雅黑" w:hAnsi="微软雅黑" w:eastAsia="微软雅黑" w:cs="微软雅黑"/>
                <w:i/>
                <w:iCs/>
                <w:color w:val="000000"/>
                <w:sz w:val="16"/>
                <w:szCs w:val="16"/>
                <w:u w:val="none"/>
              </w:rPr>
            </w:pPr>
          </w:p>
        </w:tc>
      </w:tr>
      <w:tr w14:paraId="69004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E7DBF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24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8AE8">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4A79">
            <w:pPr>
              <w:rPr>
                <w:rFonts w:hint="eastAsia" w:ascii="宋体" w:hAnsi="宋体" w:eastAsia="宋体" w:cs="宋体"/>
                <w:i w:val="0"/>
                <w:iCs w:val="0"/>
                <w:color w:val="000000"/>
                <w:sz w:val="18"/>
                <w:szCs w:val="18"/>
                <w:u w:val="none"/>
              </w:rPr>
            </w:pPr>
          </w:p>
        </w:tc>
      </w:tr>
      <w:tr w14:paraId="7309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AC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1B6CC75">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3502D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4B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BCAE8A1">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45ED9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7B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55C5060">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4B051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DA50C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B2FD2F">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19C89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6B683FEB">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3992084D">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5406B646">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60FFDD10">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10CD85F3">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4E3463C5">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64F3C432">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5A0AC595">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28E94852">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30763860">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4F186C87">
            <w:pPr>
              <w:rPr>
                <w:rFonts w:hint="eastAsia" w:ascii="宋体" w:hAnsi="宋体" w:eastAsia="宋体" w:cs="宋体"/>
                <w:i w:val="0"/>
                <w:iCs w:val="0"/>
                <w:color w:val="000000"/>
                <w:sz w:val="18"/>
                <w:szCs w:val="18"/>
                <w:u w:val="none"/>
              </w:rPr>
            </w:pPr>
          </w:p>
        </w:tc>
      </w:tr>
      <w:tr w14:paraId="446BA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1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A634CD3">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14:paraId="051F8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FA7C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C7673A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51080023T000009130659-机关事业单位退休人员（中人）一次性待遇资金</w:t>
            </w:r>
          </w:p>
        </w:tc>
      </w:tr>
      <w:tr w14:paraId="47BA9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jc w:val="center"/>
        </w:trPr>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E9EE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F8979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广元市教育局部门</w:t>
            </w:r>
          </w:p>
        </w:tc>
        <w:tc>
          <w:tcPr>
            <w:tcW w:w="846" w:type="dxa"/>
            <w:tcBorders>
              <w:top w:val="nil"/>
              <w:left w:val="nil"/>
              <w:bottom w:val="nil"/>
              <w:right w:val="nil"/>
            </w:tcBorders>
            <w:shd w:val="clear" w:color="auto" w:fill="auto"/>
            <w:vAlign w:val="center"/>
          </w:tcPr>
          <w:p w14:paraId="34A35C9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AD21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广元市教师发展中心</w:t>
            </w:r>
          </w:p>
        </w:tc>
      </w:tr>
      <w:tr w14:paraId="50934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8863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DEB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9B814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AC930A">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D88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65DFA">
            <w:pPr>
              <w:rPr>
                <w:rFonts w:hint="eastAsia" w:ascii="宋体" w:hAnsi="宋体" w:eastAsia="宋体" w:cs="宋体"/>
                <w:i w:val="0"/>
                <w:iCs w:val="0"/>
                <w:color w:val="000000"/>
                <w:sz w:val="18"/>
                <w:szCs w:val="18"/>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C5ABF">
            <w:pPr>
              <w:rPr>
                <w:rFonts w:hint="eastAsia" w:ascii="宋体" w:hAnsi="宋体" w:eastAsia="宋体" w:cs="宋体"/>
                <w:i w:val="0"/>
                <w:iCs w:val="0"/>
                <w:color w:val="000000"/>
                <w:sz w:val="18"/>
                <w:szCs w:val="18"/>
                <w:u w:val="none"/>
              </w:rPr>
            </w:pPr>
          </w:p>
        </w:tc>
        <w:tc>
          <w:tcPr>
            <w:tcW w:w="46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E88EB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按时足额发放，保障退休人员待遇。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99957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按时足额发放，保障退休人员待遇。</w:t>
            </w:r>
          </w:p>
        </w:tc>
      </w:tr>
      <w:tr w14:paraId="43CED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1"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92386">
            <w:pP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72D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1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F996EED">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按时足额发放，保障退休人员待遇。</w:t>
            </w:r>
          </w:p>
        </w:tc>
      </w:tr>
      <w:tr w14:paraId="104D2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BFA6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440B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B8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13BB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EE52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3F6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81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D37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53B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040C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B82FB">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AF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D7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06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D5A4F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C47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145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9C5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DBA96">
            <w:pPr>
              <w:keepNext w:val="0"/>
              <w:keepLines w:val="0"/>
              <w:widowControl/>
              <w:suppressLineNumbers w:val="0"/>
              <w:jc w:val="left"/>
              <w:textAlignment w:val="center"/>
              <w:rPr>
                <w:rFonts w:hint="eastAsia" w:ascii="黑体" w:hAnsi="黑体" w:eastAsia="黑体" w:cs="黑体"/>
                <w:i/>
                <w:iCs/>
                <w:color w:val="000000"/>
                <w:sz w:val="18"/>
                <w:szCs w:val="18"/>
                <w:u w:val="none"/>
              </w:rPr>
            </w:pPr>
          </w:p>
        </w:tc>
      </w:tr>
      <w:tr w14:paraId="2E7E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C979">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49A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B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51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F037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8C1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59E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E4F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F7CE0">
            <w:pPr>
              <w:rPr>
                <w:rFonts w:hint="eastAsia" w:ascii="黑体" w:hAnsi="黑体" w:eastAsia="黑体" w:cs="黑体"/>
                <w:i/>
                <w:iCs/>
                <w:color w:val="000000"/>
                <w:sz w:val="18"/>
                <w:szCs w:val="18"/>
                <w:u w:val="none"/>
              </w:rPr>
            </w:pPr>
          </w:p>
        </w:tc>
      </w:tr>
      <w:tr w14:paraId="1816E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5"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65092">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D54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1DF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F8C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4B740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DB87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E14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4E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67408">
            <w:pPr>
              <w:rPr>
                <w:rFonts w:hint="eastAsia" w:ascii="黑体" w:hAnsi="黑体" w:eastAsia="黑体" w:cs="黑体"/>
                <w:i/>
                <w:iCs/>
                <w:color w:val="000000"/>
                <w:sz w:val="18"/>
                <w:szCs w:val="18"/>
                <w:u w:val="none"/>
              </w:rPr>
            </w:pPr>
          </w:p>
        </w:tc>
      </w:tr>
      <w:tr w14:paraId="4184B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D335E">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B68F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43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A98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D75A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D8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95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DA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BF367">
            <w:pPr>
              <w:rPr>
                <w:rFonts w:hint="eastAsia" w:ascii="黑体" w:hAnsi="黑体" w:eastAsia="黑体" w:cs="黑体"/>
                <w:i/>
                <w:iCs/>
                <w:color w:val="000000"/>
                <w:sz w:val="18"/>
                <w:szCs w:val="18"/>
                <w:u w:val="none"/>
              </w:rPr>
            </w:pPr>
          </w:p>
        </w:tc>
      </w:tr>
      <w:tr w14:paraId="2C94E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65547">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337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F4B0">
            <w:pPr>
              <w:jc w:val="center"/>
              <w:rPr>
                <w:rFonts w:hint="eastAsia" w:ascii="微软雅黑" w:hAnsi="微软雅黑" w:eastAsia="微软雅黑" w:cs="微软雅黑"/>
                <w:i/>
                <w:iCs/>
                <w:color w:val="000000"/>
                <w:sz w:val="16"/>
                <w:szCs w:val="16"/>
                <w:u w:val="none"/>
              </w:rPr>
            </w:pP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09FC">
            <w:pPr>
              <w:jc w:val="center"/>
              <w:rPr>
                <w:rFonts w:hint="eastAsia" w:ascii="微软雅黑" w:hAnsi="微软雅黑" w:eastAsia="微软雅黑" w:cs="微软雅黑"/>
                <w:i/>
                <w:iCs/>
                <w:color w:val="000000"/>
                <w:sz w:val="16"/>
                <w:szCs w:val="16"/>
                <w:u w:val="none"/>
              </w:rPr>
            </w:pPr>
          </w:p>
        </w:tc>
        <w:tc>
          <w:tcPr>
            <w:tcW w:w="1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B44E1E">
            <w:pPr>
              <w:jc w:val="center"/>
              <w:rPr>
                <w:rFonts w:hint="eastAsia" w:ascii="微软雅黑" w:hAnsi="微软雅黑" w:eastAsia="微软雅黑" w:cs="微软雅黑"/>
                <w:i/>
                <w:iCs/>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D668">
            <w:pPr>
              <w:jc w:val="center"/>
              <w:rPr>
                <w:rFonts w:hint="eastAsia" w:ascii="微软雅黑" w:hAnsi="微软雅黑" w:eastAsia="微软雅黑" w:cs="微软雅黑"/>
                <w:i/>
                <w:iCs/>
                <w:color w:val="000000"/>
                <w:sz w:val="16"/>
                <w:szCs w:val="16"/>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11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E7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1BAAC">
            <w:pPr>
              <w:rPr>
                <w:rFonts w:hint="eastAsia" w:ascii="黑体" w:hAnsi="黑体" w:eastAsia="黑体" w:cs="黑体"/>
                <w:i/>
                <w:iCs/>
                <w:color w:val="000000"/>
                <w:sz w:val="18"/>
                <w:szCs w:val="18"/>
                <w:u w:val="none"/>
              </w:rPr>
            </w:pPr>
          </w:p>
        </w:tc>
      </w:tr>
      <w:tr w14:paraId="2DF01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51FD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4C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26A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FAD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72B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FC4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EF0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FF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A0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AD9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98B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1EC5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E31F8">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45FC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5E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10F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F0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3C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A4D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4FF7">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E1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AA66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FD23">
            <w:pPr>
              <w:jc w:val="center"/>
              <w:rPr>
                <w:rFonts w:hint="eastAsia" w:ascii="微软雅黑" w:hAnsi="微软雅黑" w:eastAsia="微软雅黑" w:cs="微软雅黑"/>
                <w:i/>
                <w:iCs/>
                <w:color w:val="000000"/>
                <w:sz w:val="16"/>
                <w:szCs w:val="16"/>
                <w:u w:val="none"/>
              </w:rPr>
            </w:pPr>
          </w:p>
        </w:tc>
      </w:tr>
      <w:tr w14:paraId="528DD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54765">
            <w:pPr>
              <w:jc w:val="center"/>
              <w:rPr>
                <w:rFonts w:hint="eastAsia" w:ascii="宋体" w:hAnsi="宋体" w:eastAsia="宋体" w:cs="宋体"/>
                <w:i w:val="0"/>
                <w:iCs w:val="0"/>
                <w:color w:val="000000"/>
                <w:sz w:val="18"/>
                <w:szCs w:val="18"/>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6E6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BD6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919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0E6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40C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633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C249">
            <w:pPr>
              <w:jc w:val="center"/>
              <w:rPr>
                <w:rFonts w:hint="eastAsia" w:ascii="微软雅黑" w:hAnsi="微软雅黑" w:eastAsia="微软雅黑" w:cs="微软雅黑"/>
                <w:i/>
                <w:iCs/>
                <w:color w:val="000000"/>
                <w:sz w:val="16"/>
                <w:szCs w:val="16"/>
                <w:u w:val="none"/>
                <w:lang w:val="en-US" w:eastAsia="zh-CN"/>
              </w:rPr>
            </w:pPr>
            <w:r>
              <w:rPr>
                <w:rFonts w:ascii="宋体" w:hAnsi="宋体" w:eastAsia="宋体" w:cs="宋体"/>
                <w:i w:val="0"/>
                <w:iCs w:val="0"/>
                <w:color w:val="000000"/>
                <w:kern w:val="0"/>
                <w:sz w:val="18"/>
                <w:szCs w:val="18"/>
                <w:u w:val="none"/>
                <w:lang w:val="en-US" w:eastAsia="zh-CN" w:bidi="ar"/>
              </w:rPr>
              <w:t>100.00%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662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1EC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7D92">
            <w:pPr>
              <w:jc w:val="center"/>
              <w:rPr>
                <w:rFonts w:hint="eastAsia" w:ascii="微软雅黑" w:hAnsi="微软雅黑" w:eastAsia="微软雅黑" w:cs="微软雅黑"/>
                <w:i/>
                <w:iCs/>
                <w:color w:val="000000"/>
                <w:sz w:val="16"/>
                <w:szCs w:val="16"/>
                <w:u w:val="none"/>
              </w:rPr>
            </w:pPr>
          </w:p>
        </w:tc>
      </w:tr>
      <w:tr w14:paraId="0E9D1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jc w:val="center"/>
        </w:trPr>
        <w:tc>
          <w:tcPr>
            <w:tcW w:w="7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ABAFD4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D6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BB9E">
            <w:pPr>
              <w:rPr>
                <w:rFonts w:hint="eastAsia" w:ascii="宋体" w:hAnsi="宋体" w:eastAsia="宋体" w:cs="宋体"/>
                <w:i w:val="0"/>
                <w:iCs w:val="0"/>
                <w:color w:val="000000"/>
                <w:sz w:val="18"/>
                <w:szCs w:val="18"/>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F6FA">
            <w:pPr>
              <w:rPr>
                <w:rFonts w:hint="eastAsia" w:ascii="宋体" w:hAnsi="宋体" w:eastAsia="宋体" w:cs="宋体"/>
                <w:i w:val="0"/>
                <w:iCs w:val="0"/>
                <w:color w:val="000000"/>
                <w:sz w:val="18"/>
                <w:szCs w:val="18"/>
                <w:u w:val="none"/>
              </w:rPr>
            </w:pPr>
          </w:p>
        </w:tc>
      </w:tr>
      <w:tr w14:paraId="2EC7D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DC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C849C8">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sz w:val="18"/>
                <w:szCs w:val="18"/>
                <w:u w:val="none"/>
              </w:rPr>
              <w:t>预算执行情况自评得分</w:t>
            </w: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分，绩效指标自评得分</w:t>
            </w:r>
            <w:r>
              <w:rPr>
                <w:rFonts w:hint="eastAsia" w:ascii="宋体" w:hAnsi="宋体" w:eastAsia="宋体" w:cs="宋体"/>
                <w:i w:val="0"/>
                <w:iCs w:val="0"/>
                <w:color w:val="000000"/>
                <w:sz w:val="18"/>
                <w:szCs w:val="18"/>
                <w:u w:val="none"/>
                <w:lang w:val="en-US" w:eastAsia="zh-CN"/>
              </w:rPr>
              <w:t>90</w:t>
            </w:r>
            <w:r>
              <w:rPr>
                <w:rFonts w:hint="eastAsia" w:ascii="宋体" w:hAnsi="宋体" w:eastAsia="宋体" w:cs="宋体"/>
                <w:i w:val="0"/>
                <w:iCs w:val="0"/>
                <w:color w:val="000000"/>
                <w:sz w:val="18"/>
                <w:szCs w:val="18"/>
                <w:u w:val="none"/>
              </w:rPr>
              <w:t>分，预算自评总分</w:t>
            </w:r>
            <w:r>
              <w:rPr>
                <w:rFonts w:hint="eastAsia" w:ascii="宋体" w:hAnsi="宋体" w:eastAsia="宋体" w:cs="宋体"/>
                <w:i w:val="0"/>
                <w:iCs w:val="0"/>
                <w:color w:val="000000"/>
                <w:sz w:val="18"/>
                <w:szCs w:val="18"/>
                <w:u w:val="none"/>
                <w:lang w:val="en-US" w:eastAsia="zh-CN"/>
              </w:rPr>
              <w:t>100</w:t>
            </w:r>
            <w:r>
              <w:rPr>
                <w:rFonts w:hint="eastAsia" w:ascii="宋体" w:hAnsi="宋体" w:eastAsia="宋体" w:cs="宋体"/>
                <w:i w:val="0"/>
                <w:iCs w:val="0"/>
                <w:color w:val="000000"/>
                <w:sz w:val="18"/>
                <w:szCs w:val="18"/>
                <w:u w:val="none"/>
              </w:rPr>
              <w:t>分，较好的实现了绩效目标。</w:t>
            </w:r>
          </w:p>
        </w:tc>
      </w:tr>
      <w:tr w14:paraId="61466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77B0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FE3764B">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52C8B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275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9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6C845F">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2743C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508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59D555">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0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0CC1E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14:paraId="0660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576" w:type="dxa"/>
            <w:tcBorders>
              <w:top w:val="nil"/>
              <w:left w:val="nil"/>
              <w:bottom w:val="nil"/>
              <w:right w:val="nil"/>
            </w:tcBorders>
            <w:shd w:val="clear" w:color="auto" w:fill="auto"/>
            <w:vAlign w:val="center"/>
          </w:tcPr>
          <w:p w14:paraId="478F8E6C">
            <w:pPr>
              <w:rPr>
                <w:rFonts w:hint="eastAsia" w:ascii="宋体" w:hAnsi="宋体" w:eastAsia="宋体" w:cs="宋体"/>
                <w:i w:val="0"/>
                <w:iCs w:val="0"/>
                <w:color w:val="000000"/>
                <w:sz w:val="18"/>
                <w:szCs w:val="18"/>
                <w:u w:val="none"/>
              </w:rPr>
            </w:pPr>
          </w:p>
        </w:tc>
        <w:tc>
          <w:tcPr>
            <w:tcW w:w="1356" w:type="dxa"/>
            <w:tcBorders>
              <w:top w:val="nil"/>
              <w:left w:val="nil"/>
              <w:bottom w:val="nil"/>
              <w:right w:val="nil"/>
            </w:tcBorders>
            <w:shd w:val="clear" w:color="auto" w:fill="auto"/>
            <w:vAlign w:val="center"/>
          </w:tcPr>
          <w:p w14:paraId="0E9891A0">
            <w:pPr>
              <w:rPr>
                <w:rFonts w:hint="eastAsia" w:ascii="宋体" w:hAnsi="宋体" w:eastAsia="宋体" w:cs="宋体"/>
                <w:i w:val="0"/>
                <w:iCs w:val="0"/>
                <w:color w:val="000000"/>
                <w:sz w:val="18"/>
                <w:szCs w:val="18"/>
                <w:u w:val="none"/>
              </w:rPr>
            </w:pPr>
          </w:p>
        </w:tc>
        <w:tc>
          <w:tcPr>
            <w:tcW w:w="1192" w:type="dxa"/>
            <w:tcBorders>
              <w:top w:val="nil"/>
              <w:left w:val="nil"/>
              <w:bottom w:val="nil"/>
              <w:right w:val="nil"/>
            </w:tcBorders>
            <w:shd w:val="clear" w:color="auto" w:fill="auto"/>
            <w:vAlign w:val="center"/>
          </w:tcPr>
          <w:p w14:paraId="591676BE">
            <w:pPr>
              <w:rPr>
                <w:rFonts w:hint="eastAsia" w:ascii="宋体" w:hAnsi="宋体" w:eastAsia="宋体" w:cs="宋体"/>
                <w:i w:val="0"/>
                <w:iCs w:val="0"/>
                <w:color w:val="000000"/>
                <w:sz w:val="18"/>
                <w:szCs w:val="18"/>
                <w:u w:val="none"/>
              </w:rPr>
            </w:pPr>
          </w:p>
        </w:tc>
        <w:tc>
          <w:tcPr>
            <w:tcW w:w="1567" w:type="dxa"/>
            <w:tcBorders>
              <w:top w:val="nil"/>
              <w:left w:val="nil"/>
              <w:bottom w:val="nil"/>
              <w:right w:val="nil"/>
            </w:tcBorders>
            <w:shd w:val="clear" w:color="auto" w:fill="auto"/>
            <w:vAlign w:val="center"/>
          </w:tcPr>
          <w:p w14:paraId="210BC08E">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5E6D1BE6">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14:paraId="7D82BA1C">
            <w:pPr>
              <w:rPr>
                <w:rFonts w:hint="eastAsia" w:ascii="宋体" w:hAnsi="宋体" w:eastAsia="宋体" w:cs="宋体"/>
                <w:i w:val="0"/>
                <w:iCs w:val="0"/>
                <w:color w:val="000000"/>
                <w:sz w:val="18"/>
                <w:szCs w:val="18"/>
                <w:u w:val="none"/>
              </w:rPr>
            </w:pPr>
          </w:p>
        </w:tc>
        <w:tc>
          <w:tcPr>
            <w:tcW w:w="396" w:type="dxa"/>
            <w:tcBorders>
              <w:top w:val="nil"/>
              <w:left w:val="nil"/>
              <w:bottom w:val="nil"/>
              <w:right w:val="nil"/>
            </w:tcBorders>
            <w:shd w:val="clear" w:color="auto" w:fill="auto"/>
            <w:vAlign w:val="center"/>
          </w:tcPr>
          <w:p w14:paraId="08EFAF92">
            <w:pPr>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vAlign w:val="center"/>
          </w:tcPr>
          <w:p w14:paraId="31CDA644">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04ACC665">
            <w:pPr>
              <w:rPr>
                <w:rFonts w:hint="eastAsia" w:ascii="宋体" w:hAnsi="宋体" w:eastAsia="宋体" w:cs="宋体"/>
                <w:i w:val="0"/>
                <w:iCs w:val="0"/>
                <w:color w:val="000000"/>
                <w:sz w:val="18"/>
                <w:szCs w:val="18"/>
                <w:u w:val="none"/>
              </w:rPr>
            </w:pPr>
          </w:p>
        </w:tc>
        <w:tc>
          <w:tcPr>
            <w:tcW w:w="486" w:type="dxa"/>
            <w:tcBorders>
              <w:top w:val="nil"/>
              <w:left w:val="nil"/>
              <w:bottom w:val="nil"/>
              <w:right w:val="nil"/>
            </w:tcBorders>
            <w:shd w:val="clear" w:color="auto" w:fill="auto"/>
            <w:vAlign w:val="center"/>
          </w:tcPr>
          <w:p w14:paraId="1B00FCB1">
            <w:pPr>
              <w:rPr>
                <w:rFonts w:hint="eastAsia" w:ascii="宋体" w:hAnsi="宋体" w:eastAsia="宋体" w:cs="宋体"/>
                <w:i w:val="0"/>
                <w:iCs w:val="0"/>
                <w:color w:val="000000"/>
                <w:sz w:val="18"/>
                <w:szCs w:val="18"/>
                <w:u w:val="none"/>
              </w:rPr>
            </w:pPr>
          </w:p>
        </w:tc>
        <w:tc>
          <w:tcPr>
            <w:tcW w:w="1709" w:type="dxa"/>
            <w:tcBorders>
              <w:top w:val="nil"/>
              <w:left w:val="nil"/>
              <w:bottom w:val="nil"/>
              <w:right w:val="nil"/>
            </w:tcBorders>
            <w:shd w:val="clear" w:color="auto" w:fill="auto"/>
            <w:vAlign w:val="center"/>
          </w:tcPr>
          <w:p w14:paraId="3B9A9370">
            <w:pPr>
              <w:rPr>
                <w:rFonts w:hint="eastAsia" w:ascii="宋体" w:hAnsi="宋体" w:eastAsia="宋体" w:cs="宋体"/>
                <w:i w:val="0"/>
                <w:iCs w:val="0"/>
                <w:color w:val="000000"/>
                <w:sz w:val="18"/>
                <w:szCs w:val="18"/>
                <w:u w:val="none"/>
              </w:rPr>
            </w:pPr>
          </w:p>
        </w:tc>
      </w:tr>
    </w:tbl>
    <w:p w14:paraId="5D32A2B5">
      <w:pPr>
        <w:pStyle w:val="2"/>
        <w:spacing w:before="93"/>
        <w:rPr>
          <w:rFonts w:hAnsi="Calibri" w:cs="仿宋"/>
          <w:sz w:val="32"/>
          <w:szCs w:val="32"/>
        </w:rPr>
      </w:pPr>
    </w:p>
    <w:p w14:paraId="312838A6">
      <w:pPr>
        <w:pStyle w:val="2"/>
        <w:spacing w:before="93"/>
        <w:rPr>
          <w:rFonts w:hAnsi="Calibri" w:cs="仿宋"/>
          <w:sz w:val="32"/>
          <w:szCs w:val="32"/>
        </w:rPr>
      </w:pPr>
    </w:p>
    <w:p w14:paraId="48FE4321">
      <w:pPr>
        <w:pStyle w:val="2"/>
        <w:spacing w:before="93"/>
        <w:rPr>
          <w:rFonts w:hAnsi="Calibri" w:cs="仿宋"/>
          <w:sz w:val="32"/>
          <w:szCs w:val="32"/>
        </w:rPr>
      </w:pPr>
    </w:p>
    <w:p w14:paraId="66F99850">
      <w:pPr>
        <w:pStyle w:val="2"/>
        <w:spacing w:before="93"/>
        <w:rPr>
          <w:rFonts w:hAnsi="Calibri" w:cs="仿宋"/>
          <w:sz w:val="32"/>
          <w:szCs w:val="32"/>
        </w:rPr>
      </w:pPr>
    </w:p>
    <w:p w14:paraId="08EACF5D">
      <w:pPr>
        <w:pStyle w:val="2"/>
        <w:spacing w:before="93"/>
        <w:rPr>
          <w:rFonts w:hAnsi="Calibri" w:cs="仿宋"/>
          <w:sz w:val="32"/>
          <w:szCs w:val="32"/>
        </w:rPr>
      </w:pPr>
    </w:p>
    <w:p w14:paraId="198EC5F9">
      <w:pPr>
        <w:pStyle w:val="2"/>
        <w:spacing w:before="93"/>
        <w:rPr>
          <w:rFonts w:hAnsi="Calibri" w:cs="仿宋"/>
          <w:sz w:val="32"/>
          <w:szCs w:val="32"/>
        </w:rPr>
      </w:pPr>
    </w:p>
    <w:p w14:paraId="36C5BBD8">
      <w:pPr>
        <w:pStyle w:val="2"/>
        <w:spacing w:before="93"/>
        <w:rPr>
          <w:rFonts w:hAnsi="Calibri" w:cs="仿宋"/>
          <w:sz w:val="32"/>
          <w:szCs w:val="32"/>
        </w:rPr>
      </w:pPr>
    </w:p>
    <w:p w14:paraId="4AB58B13">
      <w:pPr>
        <w:pStyle w:val="2"/>
        <w:spacing w:before="93"/>
        <w:rPr>
          <w:rFonts w:hAnsi="Calibri" w:cs="仿宋"/>
          <w:sz w:val="32"/>
          <w:szCs w:val="32"/>
        </w:rPr>
      </w:pPr>
    </w:p>
    <w:p w14:paraId="4B190D34">
      <w:pPr>
        <w:pStyle w:val="2"/>
        <w:spacing w:before="93"/>
        <w:rPr>
          <w:rFonts w:hAnsi="Calibri" w:cs="仿宋"/>
          <w:sz w:val="32"/>
          <w:szCs w:val="32"/>
        </w:rPr>
      </w:pPr>
    </w:p>
    <w:p w14:paraId="4DA1D10B">
      <w:pPr>
        <w:pStyle w:val="2"/>
        <w:spacing w:before="93"/>
        <w:rPr>
          <w:rFonts w:hAnsi="Calibri" w:cs="仿宋"/>
          <w:sz w:val="32"/>
          <w:szCs w:val="32"/>
        </w:rPr>
      </w:pPr>
    </w:p>
    <w:p w14:paraId="6044C886">
      <w:pPr>
        <w:pStyle w:val="2"/>
        <w:spacing w:before="93"/>
        <w:rPr>
          <w:rFonts w:hAnsi="Calibri" w:cs="仿宋"/>
          <w:sz w:val="32"/>
          <w:szCs w:val="32"/>
        </w:rPr>
      </w:pPr>
    </w:p>
    <w:p w14:paraId="508EE8F2">
      <w:pPr>
        <w:pStyle w:val="2"/>
        <w:spacing w:before="93"/>
        <w:rPr>
          <w:rFonts w:hAnsi="Calibri" w:cs="仿宋"/>
          <w:sz w:val="32"/>
          <w:szCs w:val="32"/>
        </w:rPr>
      </w:pPr>
    </w:p>
    <w:p w14:paraId="3847BDE7">
      <w:pPr>
        <w:spacing w:line="600" w:lineRule="exact"/>
        <w:jc w:val="center"/>
        <w:outlineLvl w:val="0"/>
        <w:rPr>
          <w:rFonts w:ascii="仿宋" w:hAnsi="仿宋" w:eastAsia="仿宋"/>
        </w:rPr>
      </w:pPr>
      <w:bookmarkStart w:id="98" w:name="_Toc19117"/>
      <w:bookmarkStart w:id="99" w:name="_Toc12046"/>
      <w:r>
        <w:rPr>
          <w:rFonts w:hint="eastAsia" w:ascii="黑体" w:hAnsi="黑体" w:eastAsia="黑体"/>
          <w:sz w:val="44"/>
          <w:szCs w:val="44"/>
        </w:rPr>
        <w:t>第</w:t>
      </w:r>
      <w:r>
        <w:rPr>
          <w:rStyle w:val="18"/>
          <w:rFonts w:hint="eastAsia" w:ascii="黑体" w:hAnsi="黑体" w:eastAsia="黑体"/>
          <w:b w:val="0"/>
        </w:rPr>
        <w:t>五部分 附表</w:t>
      </w:r>
      <w:bookmarkEnd w:id="93"/>
      <w:bookmarkEnd w:id="97"/>
      <w:bookmarkEnd w:id="98"/>
      <w:bookmarkEnd w:id="99"/>
      <w:bookmarkStart w:id="100" w:name="_Toc15396619"/>
    </w:p>
    <w:p w14:paraId="0C852C7A">
      <w:pPr>
        <w:pStyle w:val="4"/>
        <w:rPr>
          <w:rFonts w:ascii="仿宋" w:hAnsi="仿宋" w:eastAsia="仿宋"/>
        </w:rPr>
      </w:pPr>
      <w:bookmarkStart w:id="101" w:name="_Toc13594"/>
      <w:bookmarkStart w:id="102" w:name="_Toc20451"/>
      <w:r>
        <w:rPr>
          <w:rFonts w:hint="eastAsia" w:ascii="仿宋" w:hAnsi="仿宋" w:eastAsia="仿宋"/>
          <w:b w:val="0"/>
        </w:rPr>
        <w:t>一、收</w:t>
      </w:r>
      <w:r>
        <w:rPr>
          <w:rStyle w:val="19"/>
          <w:rFonts w:hint="eastAsia" w:ascii="仿宋" w:hAnsi="仿宋" w:eastAsia="仿宋"/>
          <w:b w:val="0"/>
          <w:bCs w:val="0"/>
        </w:rPr>
        <w:t>入支出决算总表</w:t>
      </w:r>
      <w:bookmarkEnd w:id="100"/>
      <w:bookmarkEnd w:id="101"/>
      <w:bookmarkEnd w:id="102"/>
    </w:p>
    <w:p w14:paraId="6C7F311D">
      <w:pPr>
        <w:pStyle w:val="4"/>
        <w:rPr>
          <w:rFonts w:ascii="仿宋" w:hAnsi="仿宋" w:eastAsia="仿宋"/>
        </w:rPr>
      </w:pPr>
      <w:bookmarkStart w:id="103" w:name="_Toc7225"/>
      <w:bookmarkStart w:id="104" w:name="_Toc15396620"/>
      <w:bookmarkStart w:id="105" w:name="_Toc24256"/>
      <w:r>
        <w:rPr>
          <w:rFonts w:hint="eastAsia" w:ascii="仿宋" w:hAnsi="仿宋" w:eastAsia="仿宋"/>
          <w:b w:val="0"/>
        </w:rPr>
        <w:t>二、收</w:t>
      </w:r>
      <w:r>
        <w:rPr>
          <w:rStyle w:val="19"/>
          <w:rFonts w:hint="eastAsia" w:ascii="仿宋" w:hAnsi="仿宋" w:eastAsia="仿宋"/>
          <w:b w:val="0"/>
          <w:bCs w:val="0"/>
        </w:rPr>
        <w:t>入决算表</w:t>
      </w:r>
      <w:bookmarkEnd w:id="103"/>
      <w:bookmarkEnd w:id="104"/>
      <w:bookmarkEnd w:id="105"/>
    </w:p>
    <w:p w14:paraId="293E98DC">
      <w:pPr>
        <w:pStyle w:val="4"/>
        <w:rPr>
          <w:rFonts w:ascii="仿宋" w:hAnsi="仿宋" w:eastAsia="仿宋"/>
        </w:rPr>
      </w:pPr>
      <w:bookmarkStart w:id="106" w:name="_Toc6150"/>
      <w:bookmarkStart w:id="107" w:name="_Toc17499"/>
      <w:bookmarkStart w:id="108" w:name="_Toc15396621"/>
      <w:r>
        <w:rPr>
          <w:rStyle w:val="19"/>
          <w:rFonts w:hint="eastAsia" w:ascii="仿宋" w:hAnsi="仿宋" w:eastAsia="仿宋"/>
          <w:b w:val="0"/>
          <w:bCs w:val="0"/>
        </w:rPr>
        <w:t>三、</w:t>
      </w:r>
      <w:r>
        <w:rPr>
          <w:rFonts w:hint="eastAsia" w:ascii="仿宋" w:hAnsi="仿宋" w:eastAsia="仿宋"/>
          <w:b w:val="0"/>
        </w:rPr>
        <w:t>支</w:t>
      </w:r>
      <w:r>
        <w:rPr>
          <w:rStyle w:val="19"/>
          <w:rFonts w:hint="eastAsia" w:ascii="仿宋" w:hAnsi="仿宋" w:eastAsia="仿宋"/>
          <w:b w:val="0"/>
          <w:bCs w:val="0"/>
        </w:rPr>
        <w:t>出决算表</w:t>
      </w:r>
      <w:bookmarkEnd w:id="106"/>
      <w:bookmarkEnd w:id="107"/>
      <w:bookmarkEnd w:id="108"/>
    </w:p>
    <w:p w14:paraId="381417FA">
      <w:pPr>
        <w:pStyle w:val="4"/>
        <w:rPr>
          <w:rFonts w:ascii="仿宋" w:hAnsi="仿宋" w:eastAsia="仿宋"/>
          <w:b w:val="0"/>
        </w:rPr>
      </w:pPr>
      <w:bookmarkStart w:id="109" w:name="_Toc21478"/>
      <w:bookmarkStart w:id="110" w:name="_Toc31315"/>
      <w:bookmarkStart w:id="111" w:name="_Toc15396622"/>
      <w:r>
        <w:rPr>
          <w:rStyle w:val="19"/>
          <w:rFonts w:hint="eastAsia" w:ascii="仿宋" w:hAnsi="仿宋" w:eastAsia="仿宋"/>
          <w:b w:val="0"/>
          <w:bCs w:val="0"/>
        </w:rPr>
        <w:t>四、</w:t>
      </w:r>
      <w:r>
        <w:rPr>
          <w:rFonts w:hint="eastAsia" w:ascii="仿宋" w:hAnsi="仿宋" w:eastAsia="仿宋"/>
          <w:b w:val="0"/>
        </w:rPr>
        <w:t>财</w:t>
      </w:r>
      <w:r>
        <w:rPr>
          <w:rStyle w:val="19"/>
          <w:rFonts w:hint="eastAsia" w:ascii="仿宋" w:hAnsi="仿宋" w:eastAsia="仿宋"/>
          <w:b w:val="0"/>
          <w:bCs w:val="0"/>
        </w:rPr>
        <w:t>政拨款收入支出决算总表</w:t>
      </w:r>
      <w:bookmarkEnd w:id="109"/>
      <w:bookmarkEnd w:id="110"/>
      <w:bookmarkEnd w:id="111"/>
    </w:p>
    <w:p w14:paraId="4637078F">
      <w:pPr>
        <w:pStyle w:val="4"/>
        <w:rPr>
          <w:rStyle w:val="19"/>
          <w:rFonts w:ascii="仿宋" w:hAnsi="仿宋" w:eastAsia="仿宋"/>
          <w:b w:val="0"/>
          <w:bCs w:val="0"/>
        </w:rPr>
      </w:pPr>
      <w:bookmarkStart w:id="112" w:name="_Toc15396623"/>
      <w:bookmarkStart w:id="113" w:name="_Toc22202"/>
      <w:bookmarkStart w:id="114" w:name="_Toc16223"/>
      <w:r>
        <w:rPr>
          <w:rStyle w:val="19"/>
          <w:rFonts w:hint="eastAsia" w:ascii="仿宋" w:hAnsi="仿宋" w:eastAsia="仿宋"/>
          <w:b w:val="0"/>
          <w:bCs w:val="0"/>
        </w:rPr>
        <w:t>五、</w:t>
      </w:r>
      <w:r>
        <w:rPr>
          <w:rFonts w:hint="eastAsia" w:ascii="仿宋" w:hAnsi="仿宋" w:eastAsia="仿宋"/>
          <w:b w:val="0"/>
        </w:rPr>
        <w:t>财</w:t>
      </w:r>
      <w:r>
        <w:rPr>
          <w:rStyle w:val="19"/>
          <w:rFonts w:hint="eastAsia" w:ascii="仿宋" w:hAnsi="仿宋" w:eastAsia="仿宋"/>
          <w:b w:val="0"/>
          <w:bCs w:val="0"/>
        </w:rPr>
        <w:t>政拨款支出决算明细表</w:t>
      </w:r>
      <w:bookmarkEnd w:id="112"/>
      <w:bookmarkEnd w:id="113"/>
      <w:bookmarkEnd w:id="114"/>
      <w:bookmarkStart w:id="115" w:name="_Toc15396624"/>
    </w:p>
    <w:p w14:paraId="6DD0A1BC">
      <w:pPr>
        <w:pStyle w:val="4"/>
        <w:rPr>
          <w:rFonts w:ascii="仿宋" w:hAnsi="仿宋" w:eastAsia="仿宋"/>
        </w:rPr>
      </w:pPr>
      <w:bookmarkStart w:id="116" w:name="_Toc27215"/>
      <w:bookmarkStart w:id="117" w:name="_Toc23833"/>
      <w:r>
        <w:rPr>
          <w:rStyle w:val="19"/>
          <w:rFonts w:hint="eastAsia" w:ascii="仿宋" w:hAnsi="仿宋" w:eastAsia="仿宋"/>
          <w:b w:val="0"/>
          <w:bCs w:val="0"/>
        </w:rPr>
        <w:t>六、</w:t>
      </w:r>
      <w:r>
        <w:rPr>
          <w:rFonts w:hint="eastAsia" w:ascii="仿宋" w:hAnsi="仿宋" w:eastAsia="仿宋"/>
          <w:b w:val="0"/>
        </w:rPr>
        <w:t>一</w:t>
      </w:r>
      <w:r>
        <w:rPr>
          <w:rStyle w:val="19"/>
          <w:rFonts w:hint="eastAsia" w:ascii="仿宋" w:hAnsi="仿宋" w:eastAsia="仿宋"/>
          <w:b w:val="0"/>
          <w:bCs w:val="0"/>
        </w:rPr>
        <w:t>般公共预算财政拨款支出决算表</w:t>
      </w:r>
      <w:bookmarkEnd w:id="115"/>
      <w:bookmarkEnd w:id="116"/>
      <w:bookmarkEnd w:id="117"/>
    </w:p>
    <w:p w14:paraId="7BC849E1">
      <w:pPr>
        <w:pStyle w:val="4"/>
        <w:rPr>
          <w:rFonts w:ascii="仿宋" w:hAnsi="仿宋" w:eastAsia="仿宋"/>
        </w:rPr>
      </w:pPr>
      <w:bookmarkStart w:id="118" w:name="_Toc15396625"/>
      <w:bookmarkStart w:id="119" w:name="_Toc23845"/>
      <w:bookmarkStart w:id="120" w:name="_Toc6186"/>
      <w:r>
        <w:rPr>
          <w:rStyle w:val="19"/>
          <w:rFonts w:hint="eastAsia" w:ascii="仿宋" w:hAnsi="仿宋" w:eastAsia="仿宋"/>
          <w:b w:val="0"/>
          <w:bCs w:val="0"/>
        </w:rPr>
        <w:t>七、</w:t>
      </w:r>
      <w:r>
        <w:rPr>
          <w:rFonts w:hint="eastAsia" w:ascii="仿宋" w:hAnsi="仿宋" w:eastAsia="仿宋"/>
          <w:b w:val="0"/>
        </w:rPr>
        <w:t>一</w:t>
      </w:r>
      <w:r>
        <w:rPr>
          <w:rStyle w:val="19"/>
          <w:rFonts w:hint="eastAsia" w:ascii="仿宋" w:hAnsi="仿宋" w:eastAsia="仿宋"/>
          <w:b w:val="0"/>
          <w:bCs w:val="0"/>
        </w:rPr>
        <w:t>般公共预算财政拨款支出决算明细表</w:t>
      </w:r>
      <w:bookmarkEnd w:id="118"/>
      <w:bookmarkEnd w:id="119"/>
      <w:bookmarkEnd w:id="120"/>
    </w:p>
    <w:p w14:paraId="1D34F0A5">
      <w:pPr>
        <w:pStyle w:val="4"/>
        <w:rPr>
          <w:rFonts w:ascii="仿宋" w:hAnsi="仿宋" w:eastAsia="仿宋"/>
        </w:rPr>
      </w:pPr>
      <w:bookmarkStart w:id="121" w:name="_Toc15396626"/>
      <w:bookmarkStart w:id="122" w:name="_Toc19496"/>
      <w:bookmarkStart w:id="123" w:name="_Toc17431"/>
      <w:r>
        <w:rPr>
          <w:rStyle w:val="19"/>
          <w:rFonts w:hint="eastAsia" w:ascii="仿宋" w:hAnsi="仿宋" w:eastAsia="仿宋"/>
          <w:b w:val="0"/>
          <w:bCs w:val="0"/>
        </w:rPr>
        <w:t>八、</w:t>
      </w:r>
      <w:r>
        <w:rPr>
          <w:rFonts w:hint="eastAsia" w:ascii="仿宋" w:hAnsi="仿宋" w:eastAsia="仿宋"/>
          <w:b w:val="0"/>
        </w:rPr>
        <w:t>一</w:t>
      </w:r>
      <w:r>
        <w:rPr>
          <w:rStyle w:val="19"/>
          <w:rFonts w:hint="eastAsia" w:ascii="仿宋" w:hAnsi="仿宋" w:eastAsia="仿宋"/>
          <w:b w:val="0"/>
          <w:bCs w:val="0"/>
        </w:rPr>
        <w:t>般公共预算财政拨款基本支出决算表</w:t>
      </w:r>
      <w:bookmarkEnd w:id="121"/>
      <w:bookmarkEnd w:id="122"/>
      <w:bookmarkEnd w:id="123"/>
    </w:p>
    <w:p w14:paraId="7987EA3B">
      <w:pPr>
        <w:pStyle w:val="4"/>
        <w:rPr>
          <w:rFonts w:ascii="仿宋" w:hAnsi="仿宋" w:eastAsia="仿宋"/>
        </w:rPr>
      </w:pPr>
      <w:bookmarkStart w:id="124" w:name="_Toc23245"/>
      <w:bookmarkStart w:id="125" w:name="_Toc15396627"/>
      <w:bookmarkStart w:id="126" w:name="_Toc14423"/>
      <w:r>
        <w:rPr>
          <w:rStyle w:val="19"/>
          <w:rFonts w:hint="eastAsia" w:ascii="仿宋" w:hAnsi="仿宋" w:eastAsia="仿宋"/>
          <w:b w:val="0"/>
          <w:bCs w:val="0"/>
        </w:rPr>
        <w:t>九、</w:t>
      </w:r>
      <w:r>
        <w:rPr>
          <w:rFonts w:hint="eastAsia" w:ascii="仿宋" w:hAnsi="仿宋" w:eastAsia="仿宋"/>
          <w:b w:val="0"/>
        </w:rPr>
        <w:t>一</w:t>
      </w:r>
      <w:r>
        <w:rPr>
          <w:rStyle w:val="19"/>
          <w:rFonts w:hint="eastAsia" w:ascii="仿宋" w:hAnsi="仿宋" w:eastAsia="仿宋"/>
          <w:b w:val="0"/>
          <w:bCs w:val="0"/>
        </w:rPr>
        <w:t>般公共预算财政拨款项目支出决算表</w:t>
      </w:r>
      <w:bookmarkEnd w:id="124"/>
      <w:bookmarkEnd w:id="125"/>
      <w:bookmarkEnd w:id="126"/>
    </w:p>
    <w:p w14:paraId="05746C2D">
      <w:pPr>
        <w:pStyle w:val="4"/>
        <w:rPr>
          <w:rFonts w:ascii="仿宋" w:hAnsi="仿宋" w:eastAsia="仿宋"/>
        </w:rPr>
      </w:pPr>
      <w:bookmarkStart w:id="127" w:name="_Toc15396628"/>
      <w:bookmarkStart w:id="128" w:name="_Toc24692"/>
      <w:bookmarkStart w:id="129" w:name="_Toc27138"/>
      <w:r>
        <w:rPr>
          <w:rStyle w:val="19"/>
          <w:rFonts w:hint="eastAsia" w:ascii="仿宋" w:hAnsi="仿宋" w:eastAsia="仿宋"/>
          <w:b w:val="0"/>
          <w:bCs w:val="0"/>
        </w:rPr>
        <w:t>十、</w:t>
      </w:r>
      <w:bookmarkEnd w:id="127"/>
      <w:r>
        <w:rPr>
          <w:rFonts w:hint="eastAsia" w:ascii="仿宋" w:hAnsi="仿宋" w:eastAsia="仿宋"/>
          <w:b w:val="0"/>
        </w:rPr>
        <w:t>政</w:t>
      </w:r>
      <w:r>
        <w:rPr>
          <w:rStyle w:val="19"/>
          <w:rFonts w:hint="eastAsia" w:ascii="仿宋" w:hAnsi="仿宋" w:eastAsia="仿宋"/>
          <w:b w:val="0"/>
          <w:bCs w:val="0"/>
        </w:rPr>
        <w:t>府性基金预算财政拨款收入支出决算表</w:t>
      </w:r>
      <w:bookmarkEnd w:id="128"/>
      <w:bookmarkEnd w:id="129"/>
    </w:p>
    <w:p w14:paraId="25B4D91C">
      <w:pPr>
        <w:pStyle w:val="4"/>
        <w:rPr>
          <w:rFonts w:ascii="仿宋" w:hAnsi="仿宋" w:eastAsia="仿宋"/>
        </w:rPr>
      </w:pPr>
      <w:bookmarkStart w:id="130" w:name="_Toc15396629"/>
      <w:bookmarkStart w:id="131" w:name="_Toc26217"/>
      <w:bookmarkStart w:id="132" w:name="_Toc19629"/>
      <w:r>
        <w:rPr>
          <w:rStyle w:val="19"/>
          <w:rFonts w:hint="eastAsia" w:ascii="仿宋" w:hAnsi="仿宋" w:eastAsia="仿宋"/>
          <w:b w:val="0"/>
          <w:bCs w:val="0"/>
        </w:rPr>
        <w:t>十一、</w:t>
      </w:r>
      <w:bookmarkEnd w:id="130"/>
      <w:r>
        <w:rPr>
          <w:rFonts w:hint="eastAsia" w:ascii="仿宋" w:hAnsi="仿宋" w:eastAsia="仿宋"/>
          <w:b w:val="0"/>
        </w:rPr>
        <w:t>国</w:t>
      </w:r>
      <w:r>
        <w:rPr>
          <w:rStyle w:val="19"/>
          <w:rFonts w:hint="eastAsia" w:ascii="仿宋" w:hAnsi="仿宋" w:eastAsia="仿宋"/>
          <w:b w:val="0"/>
          <w:bCs w:val="0"/>
        </w:rPr>
        <w:t>有资本经营预算财政拨款收入支出决算表</w:t>
      </w:r>
      <w:bookmarkEnd w:id="131"/>
      <w:bookmarkEnd w:id="132"/>
    </w:p>
    <w:p w14:paraId="2470B1C8">
      <w:pPr>
        <w:pStyle w:val="4"/>
        <w:rPr>
          <w:rFonts w:ascii="仿宋" w:hAnsi="仿宋" w:eastAsia="仿宋"/>
        </w:rPr>
      </w:pPr>
      <w:bookmarkStart w:id="133" w:name="_Toc15396630"/>
      <w:bookmarkStart w:id="134" w:name="_Toc5336"/>
      <w:bookmarkStart w:id="135" w:name="_Toc19644"/>
      <w:r>
        <w:rPr>
          <w:rStyle w:val="19"/>
          <w:rFonts w:hint="eastAsia" w:ascii="仿宋" w:hAnsi="仿宋" w:eastAsia="仿宋"/>
          <w:b w:val="0"/>
          <w:bCs w:val="0"/>
        </w:rPr>
        <w:t>十二、</w:t>
      </w:r>
      <w:bookmarkEnd w:id="133"/>
      <w:r>
        <w:rPr>
          <w:rStyle w:val="19"/>
          <w:rFonts w:hint="eastAsia" w:ascii="仿宋" w:hAnsi="仿宋" w:eastAsia="仿宋"/>
          <w:b w:val="0"/>
          <w:bCs w:val="0"/>
        </w:rPr>
        <w:t>国有资本经营预算财政拨款支出决算表</w:t>
      </w:r>
      <w:bookmarkEnd w:id="134"/>
      <w:bookmarkEnd w:id="135"/>
    </w:p>
    <w:p w14:paraId="027CE34E">
      <w:pPr>
        <w:pStyle w:val="4"/>
        <w:rPr>
          <w:rFonts w:eastAsia="仿宋"/>
        </w:rPr>
      </w:pPr>
      <w:bookmarkStart w:id="136" w:name="_Toc15396631"/>
      <w:bookmarkStart w:id="137" w:name="_Toc14944"/>
      <w:bookmarkStart w:id="138" w:name="_Toc9796"/>
      <w:r>
        <w:rPr>
          <w:rStyle w:val="19"/>
          <w:rFonts w:hint="eastAsia" w:ascii="仿宋" w:hAnsi="仿宋" w:eastAsia="仿宋"/>
          <w:b w:val="0"/>
          <w:bCs w:val="0"/>
        </w:rPr>
        <w:t>十三、</w:t>
      </w:r>
      <w:bookmarkEnd w:id="136"/>
      <w:r>
        <w:rPr>
          <w:rStyle w:val="19"/>
          <w:rFonts w:hint="eastAsia" w:ascii="仿宋" w:hAnsi="仿宋" w:eastAsia="仿宋"/>
          <w:b w:val="0"/>
          <w:bCs w:val="0"/>
        </w:rPr>
        <w:t>财政拨款“三公”经费支出决算表</w:t>
      </w:r>
      <w:bookmarkEnd w:id="137"/>
      <w:bookmarkEnd w:id="138"/>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F1D0D0-ACB3-4E67-94C9-2AF4D17D8F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D2366BD-8B17-4892-A24E-61277669C8A1}"/>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3" w:fontKey="{284667CF-103B-47B2-8393-F19203AC4A3B}"/>
  </w:font>
  <w:font w:name="Cambria">
    <w:panose1 w:val="02040503050406030204"/>
    <w:charset w:val="00"/>
    <w:family w:val="roman"/>
    <w:pitch w:val="default"/>
    <w:sig w:usb0="E00006FF" w:usb1="420024FF" w:usb2="02000000" w:usb3="00000000" w:csb0="2000019F" w:csb1="00000000"/>
    <w:embedRegular r:id="rId4" w:fontKey="{D4E8623D-4B79-42C6-A598-18F5339D87AD}"/>
  </w:font>
  <w:font w:name="仿宋">
    <w:panose1 w:val="02010609060101010101"/>
    <w:charset w:val="86"/>
    <w:family w:val="auto"/>
    <w:pitch w:val="default"/>
    <w:sig w:usb0="800002BF" w:usb1="38CF7CFA" w:usb2="00000016" w:usb3="00000000" w:csb0="00040001" w:csb1="00000000"/>
    <w:embedRegular r:id="rId5" w:fontKey="{15929DAB-D5B0-4E5F-8EEB-3086D4868572}"/>
  </w:font>
  <w:font w:name="方正小标宋简体">
    <w:panose1 w:val="02000000000000000000"/>
    <w:charset w:val="86"/>
    <w:family w:val="script"/>
    <w:pitch w:val="default"/>
    <w:sig w:usb0="00000001" w:usb1="08000000" w:usb2="00000000" w:usb3="00000000" w:csb0="00040000" w:csb1="00000000"/>
    <w:embedRegular r:id="rId6" w:fontKey="{B2835C8F-724A-4D38-ADCF-962B677C0C0B}"/>
  </w:font>
  <w:font w:name="楷体">
    <w:panose1 w:val="02010609060101010101"/>
    <w:charset w:val="86"/>
    <w:family w:val="auto"/>
    <w:pitch w:val="default"/>
    <w:sig w:usb0="800002BF" w:usb1="38CF7CFA" w:usb2="00000016" w:usb3="00000000" w:csb0="00040001" w:csb1="00000000"/>
    <w:embedRegular r:id="rId7" w:fontKey="{BFE4218B-99D3-4853-9E20-D59E9F80E9C8}"/>
  </w:font>
  <w:font w:name="微软雅黑">
    <w:panose1 w:val="020B0503020204020204"/>
    <w:charset w:val="86"/>
    <w:family w:val="auto"/>
    <w:pitch w:val="default"/>
    <w:sig w:usb0="80000287" w:usb1="2ACF3C50" w:usb2="00000016" w:usb3="00000000" w:csb0="0004001F" w:csb1="00000000"/>
    <w:embedRegular r:id="rId8" w:fontKey="{B1B29723-C616-491A-ABAA-430CF4E305EE}"/>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1100">
    <w:pPr>
      <w:pStyle w:val="9"/>
      <w:tabs>
        <w:tab w:val="left" w:pos="4701"/>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D38BD">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6608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8F66080">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E91D5">
    <w:pPr>
      <w:pStyle w:val="9"/>
      <w:tabs>
        <w:tab w:val="left" w:pos="4701"/>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3E930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B3E930B">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AC152">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63CB96"/>
    <w:multiLevelType w:val="singleLevel"/>
    <w:tmpl w:val="CE63CB96"/>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5F32"/>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02083"/>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69D4"/>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3E6D"/>
    <w:rsid w:val="00F841AA"/>
    <w:rsid w:val="00F84A94"/>
    <w:rsid w:val="00F87E96"/>
    <w:rsid w:val="00FA23E8"/>
    <w:rsid w:val="00FD3CC1"/>
    <w:rsid w:val="00FF1E02"/>
    <w:rsid w:val="00FF30B4"/>
    <w:rsid w:val="017E0CD4"/>
    <w:rsid w:val="01DE5249"/>
    <w:rsid w:val="03DC2831"/>
    <w:rsid w:val="043D5DBA"/>
    <w:rsid w:val="074B79FB"/>
    <w:rsid w:val="081B5E94"/>
    <w:rsid w:val="09A9098D"/>
    <w:rsid w:val="09AB2878"/>
    <w:rsid w:val="0A2032A3"/>
    <w:rsid w:val="0B3B4A1D"/>
    <w:rsid w:val="0B8A37D8"/>
    <w:rsid w:val="0F5FFB2F"/>
    <w:rsid w:val="0FFFCF60"/>
    <w:rsid w:val="10C055FF"/>
    <w:rsid w:val="118107EC"/>
    <w:rsid w:val="11DD6519"/>
    <w:rsid w:val="1297079A"/>
    <w:rsid w:val="13BD23B1"/>
    <w:rsid w:val="145567FD"/>
    <w:rsid w:val="15BC6A49"/>
    <w:rsid w:val="16BB723D"/>
    <w:rsid w:val="18015F3F"/>
    <w:rsid w:val="19744757"/>
    <w:rsid w:val="1B992D9B"/>
    <w:rsid w:val="1BE8440E"/>
    <w:rsid w:val="1D155CEE"/>
    <w:rsid w:val="1FDBBF84"/>
    <w:rsid w:val="20F57F95"/>
    <w:rsid w:val="240371BF"/>
    <w:rsid w:val="25711CC6"/>
    <w:rsid w:val="25C741E6"/>
    <w:rsid w:val="276F80C0"/>
    <w:rsid w:val="27842671"/>
    <w:rsid w:val="29FD04D3"/>
    <w:rsid w:val="2ABE7A3E"/>
    <w:rsid w:val="2AC45499"/>
    <w:rsid w:val="2AFF09B6"/>
    <w:rsid w:val="2CA234A8"/>
    <w:rsid w:val="2DBB6B88"/>
    <w:rsid w:val="2E176C6C"/>
    <w:rsid w:val="2E4F5766"/>
    <w:rsid w:val="2EFA178C"/>
    <w:rsid w:val="2EFDF86C"/>
    <w:rsid w:val="2F14444F"/>
    <w:rsid w:val="2F59386C"/>
    <w:rsid w:val="2F9D17E1"/>
    <w:rsid w:val="2FE62223"/>
    <w:rsid w:val="30B46D73"/>
    <w:rsid w:val="319F7F4E"/>
    <w:rsid w:val="356A28F1"/>
    <w:rsid w:val="357C035A"/>
    <w:rsid w:val="368E000D"/>
    <w:rsid w:val="383D272C"/>
    <w:rsid w:val="39AE70AB"/>
    <w:rsid w:val="3A4DCE41"/>
    <w:rsid w:val="3BBB356F"/>
    <w:rsid w:val="3BCB56FA"/>
    <w:rsid w:val="3C0C0783"/>
    <w:rsid w:val="3D8B56F6"/>
    <w:rsid w:val="3E4C4D21"/>
    <w:rsid w:val="3EE7C2F4"/>
    <w:rsid w:val="3F371B56"/>
    <w:rsid w:val="3F792ED8"/>
    <w:rsid w:val="3F9F3A96"/>
    <w:rsid w:val="3FECA4B2"/>
    <w:rsid w:val="3FF58C48"/>
    <w:rsid w:val="412A6E0C"/>
    <w:rsid w:val="42FF6694"/>
    <w:rsid w:val="44947680"/>
    <w:rsid w:val="45ED2DA5"/>
    <w:rsid w:val="48BF60AB"/>
    <w:rsid w:val="493C27E9"/>
    <w:rsid w:val="496F39ED"/>
    <w:rsid w:val="49FF41D3"/>
    <w:rsid w:val="4BE068DB"/>
    <w:rsid w:val="4BF6002B"/>
    <w:rsid w:val="4BFFC6BE"/>
    <w:rsid w:val="4C2E126A"/>
    <w:rsid w:val="4D2F66BF"/>
    <w:rsid w:val="4ECE2238"/>
    <w:rsid w:val="51DB4B86"/>
    <w:rsid w:val="51F64DB0"/>
    <w:rsid w:val="52445A58"/>
    <w:rsid w:val="55333C3E"/>
    <w:rsid w:val="5D99194B"/>
    <w:rsid w:val="5F67802D"/>
    <w:rsid w:val="5F7DC4F2"/>
    <w:rsid w:val="5FB36814"/>
    <w:rsid w:val="5FBB8E56"/>
    <w:rsid w:val="5FFB5535"/>
    <w:rsid w:val="64CA39A1"/>
    <w:rsid w:val="65121CD7"/>
    <w:rsid w:val="69630ADE"/>
    <w:rsid w:val="69BD5F13"/>
    <w:rsid w:val="69FB0B4B"/>
    <w:rsid w:val="6BFFE1FB"/>
    <w:rsid w:val="6C3C6FA0"/>
    <w:rsid w:val="6C4A05C8"/>
    <w:rsid w:val="6D3B1A89"/>
    <w:rsid w:val="6DB7D8A3"/>
    <w:rsid w:val="6EC78701"/>
    <w:rsid w:val="6F7A5481"/>
    <w:rsid w:val="6FFE07A9"/>
    <w:rsid w:val="71BF4EC2"/>
    <w:rsid w:val="72734D90"/>
    <w:rsid w:val="72C446DE"/>
    <w:rsid w:val="72D260FF"/>
    <w:rsid w:val="73E75B71"/>
    <w:rsid w:val="7412278C"/>
    <w:rsid w:val="75DDCDA9"/>
    <w:rsid w:val="75FF44B1"/>
    <w:rsid w:val="77670518"/>
    <w:rsid w:val="777FA627"/>
    <w:rsid w:val="77DF1B5F"/>
    <w:rsid w:val="77EF2D9D"/>
    <w:rsid w:val="78F41C2E"/>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8553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5"/>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5"/>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5"/>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5"/>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uiPriority w:val="0"/>
    <w:pPr>
      <w:ind w:leftChars="0"/>
    </w:pPr>
    <w:rPr>
      <w:rFonts w:ascii="Times New Roman" w:hAnsi="Times New Roman" w:eastAsia="宋体" w:cs="Times New Roman"/>
      <w:sz w:val="20"/>
      <w:szCs w:val="20"/>
    </w:rPr>
  </w:style>
  <w:style w:type="paragraph" w:customStyle="1" w:styleId="34">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E:\&#26700;&#38754;\2019&#24180;&#20248;&#36136;&#29983;&#28304;.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file:///E:\&#26700;&#38754;\2019&#24180;&#20248;&#36136;&#29983;&#28304;.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file:///E:\&#26700;&#38754;\2019&#24180;&#20248;&#36136;&#29983;&#28304;.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oleObject" Target="file:///E:\&#26700;&#38754;\2019&#24180;&#20248;&#36136;&#29983;&#28304;.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file:///E:\&#26700;&#38754;\2019&#24180;&#20248;&#36136;&#29983;&#28304;.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E:\&#26700;&#38754;\&#36164;&#37329;&#25903;&#20184;&#26597;&#35810;2024.9.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spPr>
            <a:solidFill>
              <a:srgbClr val="4F81BD"/>
            </a:solidFill>
            <a:ln>
              <a:noFill/>
            </a:ln>
            <a:effectLst/>
          </c:spPr>
          <c:invertIfNegative val="0"/>
          <c:dLbls>
            <c:dLbl>
              <c:idx val="0"/>
              <c:layout>
                <c:manualLayout>
                  <c:x val="0.00833333333333333"/>
                  <c:y val="-0.197916666666667"/>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5833333333333"/>
                  <c:y val="-0.42708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[2019年优质生源.xlsx]汇总!$J$27:$J$28</c:f>
              <c:strCache>
                <c:ptCount val="2"/>
                <c:pt idx="0">
                  <c:v>2022年</c:v>
                </c:pt>
                <c:pt idx="1">
                  <c:v>2023年</c:v>
                </c:pt>
              </c:strCache>
            </c:strRef>
          </c:cat>
          <c:val>
            <c:numRef>
              <c:f>[2019年优质生源.xlsx]汇总!$K$27:$K$28</c:f>
              <c:numCache>
                <c:formatCode>General</c:formatCode>
                <c:ptCount val="2"/>
                <c:pt idx="0">
                  <c:v>236.06</c:v>
                </c:pt>
                <c:pt idx="1">
                  <c:v>260.75</c:v>
                </c:pt>
              </c:numCache>
            </c:numRef>
          </c:val>
        </c:ser>
        <c:dLbls>
          <c:showLegendKey val="0"/>
          <c:showVal val="0"/>
          <c:showCatName val="0"/>
          <c:showSerName val="0"/>
          <c:showPercent val="0"/>
          <c:showBubbleSize val="0"/>
        </c:dLbls>
        <c:gapWidth val="150"/>
        <c:overlap val="100"/>
        <c:axId val="156482212"/>
        <c:axId val="318718932"/>
      </c:barChart>
      <c:catAx>
        <c:axId val="156482212"/>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318718932"/>
        <c:crosses val="autoZero"/>
        <c:auto val="1"/>
        <c:lblAlgn val="ctr"/>
        <c:lblOffset val="100"/>
        <c:noMultiLvlLbl val="0"/>
      </c:catAx>
      <c:valAx>
        <c:axId val="318718932"/>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56482212"/>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tx>
            <c:strRef>
              <c:f>[2019年优质生源.xlsx]汇总!$L$22</c:f>
              <c:strCache>
                <c:ptCount val="1"/>
                <c:pt idx="0">
                  <c:v>对对对</c:v>
                </c:pt>
              </c:strCache>
            </c:strRef>
          </c:tx>
          <c:spPr>
            <a:scene3d>
              <a:camera prst="orthographicFront"/>
              <a:lightRig rig="threePt" dir="t"/>
            </a:scene3d>
            <a:sp3d contourW="25400"/>
          </c:spPr>
          <c:explosion val="0"/>
          <c:dPt>
            <c:idx val="0"/>
            <c:bubble3D val="0"/>
            <c:spPr>
              <a:solidFill>
                <a:srgbClr val="4F81BD"/>
              </a:solidFill>
              <a:ln w="25400">
                <a:solidFill>
                  <a:sysClr val="window" lastClr="FFFFFF"/>
                </a:solidFill>
              </a:ln>
              <a:effectLst/>
              <a:scene3d>
                <a:camera prst="orthographicFront"/>
                <a:lightRig rig="threePt" dir="t"/>
              </a:scene3d>
              <a:sp3d contourW="25400"/>
            </c:spPr>
          </c:dPt>
          <c:dLbls>
            <c:dLbl>
              <c:idx val="0"/>
              <c:layout>
                <c:manualLayout>
                  <c:x val="0.00833290892963071"/>
                  <c:y val="0.019974950967856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[2019年优质生源.xlsx]汇总!$M$21</c:f>
              <c:strCache>
                <c:ptCount val="1"/>
                <c:pt idx="0">
                  <c:v>一般公共预算财政拨款收入</c:v>
                </c:pt>
              </c:strCache>
            </c:strRef>
          </c:cat>
          <c:val>
            <c:numRef>
              <c:f>[2019年优质生源.xlsx]汇总!$M$22</c:f>
              <c:numCache>
                <c:formatCode>General</c:formatCode>
                <c:ptCount val="1"/>
                <c:pt idx="0">
                  <c:v>260.75</c:v>
                </c:pt>
              </c:numCache>
            </c:numRef>
          </c:val>
        </c:ser>
        <c:dLbls>
          <c:showLegendKey val="0"/>
          <c:showVal val="0"/>
          <c:showCatName val="0"/>
          <c:showSerName val="0"/>
          <c:showPercent val="1"/>
          <c:showBubbleSize val="0"/>
        </c:dLbls>
      </c:pie3DChart>
      <c:spPr>
        <a:noFill/>
        <a:ln>
          <a:noFill/>
        </a:ln>
        <a:effectLst/>
      </c:spPr>
    </c:plotArea>
    <c:legend>
      <c:legendPos val="r"/>
      <c:layout>
        <c:manualLayout>
          <c:xMode val="edge"/>
          <c:yMode val="edge"/>
          <c:x val="0.65"/>
          <c:y val="0.461574074074074"/>
          <c:w val="0.333333333333333"/>
          <c:h val="0.11736111111111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rgbClr val="4F81BD"/>
              </a:solidFill>
              <a:ln w="25400">
                <a:solidFill>
                  <a:sysClr val="window" lastClr="FFFFFF"/>
                </a:solidFill>
              </a:ln>
              <a:effectLst/>
              <a:scene3d>
                <a:camera prst="orthographicFront"/>
                <a:lightRig rig="threePt" dir="t"/>
              </a:scene3d>
              <a:sp3d contourW="25400"/>
            </c:spPr>
          </c:dPt>
          <c:dPt>
            <c:idx val="1"/>
            <c:bubble3D val="0"/>
            <c:spPr>
              <a:solidFill>
                <a:srgbClr val="C0504D"/>
              </a:solidFill>
              <a:ln w="25400">
                <a:solidFill>
                  <a:sysClr val="window" lastClr="FFFFFF"/>
                </a:solidFill>
              </a:ln>
              <a:effectLst/>
              <a:scene3d>
                <a:camera prst="orthographicFront"/>
                <a:lightRig rig="threePt" dir="t"/>
              </a:scene3d>
              <a:sp3d contourW="25400"/>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62.29%</a:t>
                    </a:r>
                  </a:p>
                </c:rich>
              </c:tx>
              <c:dLblPos val="outEnd"/>
              <c:showLegendKey val="0"/>
              <c:showVal val="0"/>
              <c:showCatName val="0"/>
              <c:showSerName val="0"/>
              <c:showPercent val="1"/>
              <c:showBubbleSize val="0"/>
              <c:extLst>
                <c:ext xmlns:c15="http://schemas.microsoft.com/office/drawing/2012/chart" uri="{CE6537A1-D6FC-4f65-9D91-7224C49458BB}">
                  <c15:layout/>
                  <c15:dlblFieldTable/>
                  <c15:xForSave val="1"/>
                  <c15:showDataLabelsRange val="1"/>
                </c:ext>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3</a:t>
                    </a:r>
                    <a:r>
                      <a:rPr lang="en-US" altLang="zh-CN"/>
                      <a:t>7.7</a:t>
                    </a:r>
                    <a:r>
                      <a:t>%</a:t>
                    </a:r>
                  </a:p>
                </c:rich>
              </c:tx>
              <c:dLblPos val="outEnd"/>
              <c:showLegendKey val="0"/>
              <c:showVal val="0"/>
              <c:showCatName val="0"/>
              <c:showSerName val="0"/>
              <c:showPercent val="1"/>
              <c:showBubbleSize val="0"/>
              <c:extLst>
                <c:ext xmlns:c15="http://schemas.microsoft.com/office/drawing/2012/chart" uri="{CE6537A1-D6FC-4f65-9D91-7224C49458BB}">
                  <c15:layout/>
                  <c15:dlblFieldTable/>
                  <c15:xForSave val="1"/>
                  <c15:showDataLabelsRange val="1"/>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DataLabelsRange val="1"/>
                <c15:showLeaderLines val="1"/>
                <c15:leaderLines>
                  <c:spPr>
                    <a:ln w="9525" cap="flat" cmpd="sng" algn="ctr">
                      <a:solidFill>
                        <a:sysClr val="windowText" lastClr="000000">
                          <a:lumMod val="35000"/>
                          <a:lumOff val="65000"/>
                        </a:sysClr>
                      </a:solidFill>
                      <a:round/>
                    </a:ln>
                    <a:effectLst/>
                  </c:spPr>
                </c15:leaderLines>
              </c:ext>
            </c:extLst>
          </c:dLbls>
          <c:cat>
            <c:strRef>
              <c:f>[2019年优质生源.xlsx]汇总!$L$27:$L$28</c:f>
              <c:strCache>
                <c:ptCount val="2"/>
                <c:pt idx="0">
                  <c:v>基本支出</c:v>
                </c:pt>
                <c:pt idx="1">
                  <c:v>项目支出</c:v>
                </c:pt>
              </c:strCache>
            </c:strRef>
          </c:cat>
          <c:val>
            <c:numRef>
              <c:f>[2019年优质生源.xlsx]汇总!$M$27:$M$28</c:f>
              <c:numCache>
                <c:formatCode>General</c:formatCode>
                <c:ptCount val="2"/>
                <c:pt idx="0">
                  <c:v>162.44</c:v>
                </c:pt>
                <c:pt idx="1">
                  <c:v>98.31</c:v>
                </c:pt>
              </c:numCache>
            </c:numRef>
          </c:val>
          <c:extLst>
            <c:ext xmlns:c15="http://schemas.microsoft.com/office/drawing/2012/chart" uri="{02D57815-91ED-43cb-92C2-25804820EDAC}">
              <c15:datalabelsRange>
                <c15:f>汇总!$O$27</c15:f>
                <c15:dlblRangeCache>
                  <c:ptCount val="1"/>
                  <c:pt idx="0">
                    <c:v>37.70%</c:v>
                  </c:pt>
                </c15:dlblRangeCache>
              </c15:datalabelsRange>
            </c:ext>
          </c:extLst>
        </c:ser>
        <c:dLbls>
          <c:showLegendKey val="0"/>
          <c:showVal val="0"/>
          <c:showCatName val="0"/>
          <c:showSerName val="0"/>
          <c:showPercent val="1"/>
          <c:showBubbleSize val="0"/>
        </c:dLbls>
      </c:pie3D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spPr>
            <a:solidFill>
              <a:srgbClr val="4F81BD"/>
            </a:solidFill>
            <a:ln>
              <a:noFill/>
            </a:ln>
            <a:effectLst/>
          </c:spPr>
          <c:invertIfNegative val="0"/>
          <c:dLbls>
            <c:dLbl>
              <c:idx val="0"/>
              <c:layout>
                <c:manualLayout>
                  <c:x val="0.00833333333333333"/>
                  <c:y val="-0.197916666666667"/>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5833333333333"/>
                  <c:y val="-0.42708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[2019年优质生源.xlsx]汇总!$J$27:$J$28</c:f>
              <c:strCache>
                <c:ptCount val="2"/>
                <c:pt idx="0">
                  <c:v>2022年</c:v>
                </c:pt>
                <c:pt idx="1">
                  <c:v>2023年</c:v>
                </c:pt>
              </c:strCache>
            </c:strRef>
          </c:cat>
          <c:val>
            <c:numRef>
              <c:f>[2019年优质生源.xlsx]汇总!$K$27:$K$28</c:f>
              <c:numCache>
                <c:formatCode>General</c:formatCode>
                <c:ptCount val="2"/>
                <c:pt idx="0">
                  <c:v>236.06</c:v>
                </c:pt>
                <c:pt idx="1">
                  <c:v>260.75</c:v>
                </c:pt>
              </c:numCache>
            </c:numRef>
          </c:val>
        </c:ser>
        <c:dLbls>
          <c:showLegendKey val="0"/>
          <c:showVal val="0"/>
          <c:showCatName val="0"/>
          <c:showSerName val="0"/>
          <c:showPercent val="0"/>
          <c:showBubbleSize val="0"/>
        </c:dLbls>
        <c:gapWidth val="150"/>
        <c:overlap val="100"/>
        <c:axId val="156482212"/>
        <c:axId val="318718932"/>
      </c:barChart>
      <c:catAx>
        <c:axId val="156482212"/>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318718932"/>
        <c:crosses val="autoZero"/>
        <c:auto val="1"/>
        <c:lblAlgn val="ctr"/>
        <c:lblOffset val="100"/>
        <c:noMultiLvlLbl val="0"/>
      </c:catAx>
      <c:valAx>
        <c:axId val="318718932"/>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56482212"/>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9877846478661"/>
          <c:y val="0.0628930817610063"/>
          <c:w val="0.885597949027296"/>
          <c:h val="0.822993710691824"/>
        </c:manualLayout>
      </c:layout>
      <c:barChart>
        <c:barDir val="col"/>
        <c:grouping val="stacked"/>
        <c:varyColors val="0"/>
        <c:ser>
          <c:idx val="0"/>
          <c:order val="0"/>
          <c:spPr>
            <a:solidFill>
              <a:srgbClr val="4F81BD"/>
            </a:solidFill>
            <a:ln>
              <a:noFill/>
            </a:ln>
            <a:effectLst/>
          </c:spPr>
          <c:invertIfNegative val="0"/>
          <c:dLbls>
            <c:dLbl>
              <c:idx val="0"/>
              <c:layout>
                <c:manualLayout>
                  <c:x val="0.00833333333333333"/>
                  <c:y val="-0.197916666666667"/>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45833333333333"/>
                  <c:y val="-0.42708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[2019年优质生源.xlsx]汇总!$J$27:$J$28</c:f>
              <c:strCache>
                <c:ptCount val="2"/>
                <c:pt idx="0">
                  <c:v>2022年</c:v>
                </c:pt>
                <c:pt idx="1">
                  <c:v>2023年</c:v>
                </c:pt>
              </c:strCache>
            </c:strRef>
          </c:cat>
          <c:val>
            <c:numRef>
              <c:f>[2019年优质生源.xlsx]汇总!$K$27:$K$28</c:f>
              <c:numCache>
                <c:formatCode>General</c:formatCode>
                <c:ptCount val="2"/>
                <c:pt idx="0">
                  <c:v>236.06</c:v>
                </c:pt>
                <c:pt idx="1">
                  <c:v>260.75</c:v>
                </c:pt>
              </c:numCache>
            </c:numRef>
          </c:val>
        </c:ser>
        <c:dLbls>
          <c:showLegendKey val="0"/>
          <c:showVal val="0"/>
          <c:showCatName val="0"/>
          <c:showSerName val="0"/>
          <c:showPercent val="0"/>
          <c:showBubbleSize val="0"/>
        </c:dLbls>
        <c:gapWidth val="150"/>
        <c:overlap val="100"/>
        <c:axId val="156482212"/>
        <c:axId val="318718932"/>
      </c:barChart>
      <c:catAx>
        <c:axId val="156482212"/>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318718932"/>
        <c:crosses val="autoZero"/>
        <c:auto val="1"/>
        <c:lblAlgn val="ctr"/>
        <c:lblOffset val="100"/>
        <c:noMultiLvlLbl val="0"/>
      </c:catAx>
      <c:valAx>
        <c:axId val="318718932"/>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56482212"/>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rgbClr val="5B9BD5"/>
              </a:solidFill>
              <a:ln w="25400">
                <a:solidFill>
                  <a:sysClr val="window" lastClr="FFFFFF"/>
                </a:solidFill>
              </a:ln>
              <a:effectLst/>
              <a:scene3d>
                <a:camera prst="orthographicFront"/>
                <a:lightRig rig="threePt" dir="t"/>
              </a:scene3d>
              <a:sp3d contourW="25400"/>
            </c:spPr>
          </c:dPt>
          <c:dPt>
            <c:idx val="1"/>
            <c:bubble3D val="0"/>
            <c:spPr>
              <a:solidFill>
                <a:srgbClr val="ED7D31"/>
              </a:solidFill>
              <a:ln w="25400">
                <a:solidFill>
                  <a:sysClr val="window" lastClr="FFFFFF"/>
                </a:solidFill>
              </a:ln>
              <a:effectLst/>
              <a:scene3d>
                <a:camera prst="orthographicFront"/>
                <a:lightRig rig="threePt" dir="t"/>
              </a:scene3d>
              <a:sp3d contourW="25400"/>
            </c:spPr>
          </c:dPt>
          <c:dPt>
            <c:idx val="2"/>
            <c:bubble3D val="0"/>
            <c:spPr>
              <a:solidFill>
                <a:srgbClr val="A5A5A5"/>
              </a:solidFill>
              <a:ln w="25400">
                <a:solidFill>
                  <a:sysClr val="window" lastClr="FFFFFF"/>
                </a:solidFill>
              </a:ln>
              <a:effectLst/>
              <a:scene3d>
                <a:camera prst="orthographicFront"/>
                <a:lightRig rig="threePt" dir="t"/>
              </a:scene3d>
              <a:sp3d contourW="25400"/>
            </c:spPr>
          </c:dPt>
          <c:dPt>
            <c:idx val="3"/>
            <c:bubble3D val="0"/>
            <c:spPr>
              <a:solidFill>
                <a:srgbClr val="FFC000"/>
              </a:solidFill>
              <a:ln w="25400">
                <a:solidFill>
                  <a:sysClr val="window" lastClr="FFFFFF"/>
                </a:solidFill>
              </a:ln>
              <a:effectLst/>
              <a:scene3d>
                <a:camera prst="orthographicFront"/>
                <a:lightRig rig="threePt" dir="t"/>
              </a:scene3d>
              <a:sp3d contourW="25400"/>
            </c:spPr>
          </c:dPt>
          <c:dLbls>
            <c:dLbl>
              <c:idx val="0"/>
              <c:layout>
                <c:manualLayout>
                  <c:x val="-0.00141686306224939"/>
                  <c:y val="0.0067394537816009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80.34</a:t>
                    </a:r>
                    <a:r>
                      <a:rPr lang="en-US" altLang="zh-CN"/>
                      <a:t>%</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manualLayout>
                      <c:w val="0.129166666666667"/>
                      <c:h val="0.0729166666666667"/>
                    </c:manualLayout>
                  </c15:layout>
                </c:ext>
              </c:extLst>
            </c:dLbl>
            <c:dLbl>
              <c:idx val="1"/>
              <c:layout>
                <c:manualLayout>
                  <c:x val="0.0145464501121559"/>
                  <c:y val="-0.049528312461580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13.27%</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143584948269988"/>
                  <c:y val="-0.032091255541435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2.26%</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653856006983177"/>
                  <c:y val="-0.028565297667931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t>4.13</a:t>
                    </a:r>
                    <a:r>
                      <a:rPr lang="en-US" altLang="zh-CN"/>
                      <a:t>%</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[资金支付查询2024.9.3.xlsx]Sheet1!$C$8:$C$11</c:f>
              <c:strCache>
                <c:ptCount val="4"/>
                <c:pt idx="0">
                  <c:v>教育支出</c:v>
                </c:pt>
                <c:pt idx="1">
                  <c:v>社会保障和就业支出</c:v>
                </c:pt>
                <c:pt idx="2">
                  <c:v>卫生健康支出</c:v>
                </c:pt>
                <c:pt idx="3">
                  <c:v>住房保障支出</c:v>
                </c:pt>
              </c:strCache>
            </c:strRef>
          </c:cat>
          <c:val>
            <c:numRef>
              <c:f>[资金支付查询2024.9.3.xlsx]Sheet1!$D$8:$D$11</c:f>
              <c:numCache>
                <c:formatCode>General</c:formatCode>
                <c:ptCount val="4"/>
                <c:pt idx="0">
                  <c:v>209.48</c:v>
                </c:pt>
                <c:pt idx="1">
                  <c:v>34.61</c:v>
                </c:pt>
                <c:pt idx="2">
                  <c:v>5.9</c:v>
                </c:pt>
                <c:pt idx="3">
                  <c:v>10.76</c:v>
                </c:pt>
              </c:numCache>
            </c:numRef>
          </c:val>
        </c:ser>
        <c:dLbls>
          <c:showLegendKey val="0"/>
          <c:showVal val="0"/>
          <c:showCatName val="0"/>
          <c:showSerName val="0"/>
          <c:showPercent val="1"/>
          <c:showBubbleSize val="0"/>
        </c:dLbls>
      </c:pie3D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27</Pages>
  <Words>9634</Words>
  <Characters>11379</Characters>
  <Lines>42</Lines>
  <Paragraphs>11</Paragraphs>
  <TotalTime>5</TotalTime>
  <ScaleCrop>false</ScaleCrop>
  <LinksUpToDate>false</LinksUpToDate>
  <CharactersWithSpaces>11505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玖千余为春秋</cp:lastModifiedBy>
  <cp:lastPrinted>2023-08-03T02:35:00Z</cp:lastPrinted>
  <dcterms:modified xsi:type="dcterms:W3CDTF">2024-10-10T02:55:59Z</dcterms:modified>
  <dc:title>四川省***</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AFC81804606E400DA3E1D1AD63523E1A</vt:lpwstr>
  </property>
</Properties>
</file>