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2023年度广元市剑阁生态环境局单位决算</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ascii="黑体" w:hAnsi="黑体" w:eastAsia="黑体" w:cs="黑体"/>
          <w:sz w:val="32"/>
          <w:szCs w:val="32"/>
        </w:rPr>
      </w:pPr>
      <w:r>
        <w:rPr>
          <w:rFonts w:hint="eastAsia" w:ascii="黑体" w:hAnsi="黑体" w:eastAsia="黑体" w:cs="黑体"/>
          <w:sz w:val="44"/>
          <w:szCs w:val="44"/>
        </w:rPr>
        <w:t>目录</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公开时间：2024年10月1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日</w:t>
      </w:r>
    </w:p>
    <w:p>
      <w:pPr>
        <w:rPr>
          <w:rFonts w:hint="eastAsia"/>
        </w:rPr>
      </w:pPr>
    </w:p>
    <w:sdt>
      <w:sdtPr>
        <w:rPr>
          <w:rFonts w:ascii="宋体" w:hAnsi="宋体" w:eastAsia="宋体" w:cstheme="minorBidi"/>
          <w:kern w:val="2"/>
          <w:sz w:val="21"/>
          <w:szCs w:val="24"/>
          <w:lang w:val="en-US" w:eastAsia="zh-CN" w:bidi="ar-SA"/>
        </w:rPr>
        <w:id w:val="147481787"/>
        <w15:color w:val="DBDBDB"/>
        <w:docPartObj>
          <w:docPartGallery w:val="Table of Contents"/>
          <w:docPartUnique/>
        </w:docPartObj>
      </w:sdtPr>
      <w:sdtEndPr>
        <w:rPr>
          <w:rFonts w:hint="eastAsia" w:ascii="仿宋_GB2312" w:hAnsi="仿宋_GB2312" w:eastAsia="仿宋_GB2312" w:cs="仿宋_GB2312"/>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\h \u </w:instrText>
          </w:r>
          <w:r>
            <w:rPr>
              <w:rFonts w:hint="eastAsia" w:ascii="仿宋_GB2312" w:hAnsi="仿宋_GB2312" w:eastAsia="仿宋_GB2312" w:cs="仿宋_GB2312"/>
              <w:sz w:val="32"/>
              <w:szCs w:val="32"/>
            </w:rPr>
            <w:fldChar w:fldCharType="separate"/>
          </w:r>
        </w:p>
        <w:p>
          <w:pPr>
            <w:pStyle w:val="10"/>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_Toc30952 </w:instrText>
          </w:r>
          <w:r>
            <w:rPr>
              <w:rFonts w:hint="eastAsia" w:ascii="仿宋_GB2312" w:hAnsi="仿宋_GB2312" w:eastAsia="仿宋_GB2312" w:cs="仿宋_GB2312"/>
              <w:sz w:val="32"/>
              <w:szCs w:val="32"/>
            </w:rPr>
            <w:fldChar w:fldCharType="separate"/>
          </w:r>
          <w:r>
            <w:rPr>
              <w:rFonts w:hint="eastAsia" w:ascii="方正小标宋简体" w:hAnsi="方正小标宋简体" w:eastAsia="方正小标宋简体" w:cs="方正小标宋简体"/>
              <w:sz w:val="32"/>
              <w:szCs w:val="32"/>
            </w:rPr>
            <w:t>第一部分 单位概况</w:t>
          </w:r>
          <w:r>
            <w:rPr>
              <w:sz w:val="32"/>
              <w:szCs w:val="32"/>
            </w:rPr>
            <w:tab/>
          </w:r>
          <w:r>
            <w:rPr>
              <w:sz w:val="32"/>
              <w:szCs w:val="32"/>
            </w:rPr>
            <w:fldChar w:fldCharType="begin"/>
          </w:r>
          <w:r>
            <w:rPr>
              <w:sz w:val="32"/>
              <w:szCs w:val="32"/>
            </w:rPr>
            <w:instrText xml:space="preserve"> PAGEREF _Toc30952 \h </w:instrText>
          </w:r>
          <w:r>
            <w:rPr>
              <w:sz w:val="32"/>
              <w:szCs w:val="32"/>
            </w:rPr>
            <w:fldChar w:fldCharType="separate"/>
          </w:r>
          <w:r>
            <w:rPr>
              <w:sz w:val="32"/>
              <w:szCs w:val="32"/>
            </w:rPr>
            <w:t>4</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_Toc2508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一、主要职责</w:t>
          </w:r>
          <w:r>
            <w:rPr>
              <w:sz w:val="32"/>
              <w:szCs w:val="32"/>
            </w:rPr>
            <w:tab/>
          </w:r>
          <w:r>
            <w:rPr>
              <w:sz w:val="32"/>
              <w:szCs w:val="32"/>
            </w:rPr>
            <w:fldChar w:fldCharType="begin"/>
          </w:r>
          <w:r>
            <w:rPr>
              <w:sz w:val="32"/>
              <w:szCs w:val="32"/>
            </w:rPr>
            <w:instrText xml:space="preserve"> PAGEREF _Toc2508 \h </w:instrText>
          </w:r>
          <w:r>
            <w:rPr>
              <w:sz w:val="32"/>
              <w:szCs w:val="32"/>
            </w:rPr>
            <w:fldChar w:fldCharType="separate"/>
          </w:r>
          <w:r>
            <w:rPr>
              <w:sz w:val="32"/>
              <w:szCs w:val="32"/>
            </w:rPr>
            <w:t>4</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_Toc31037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二、机构设置</w:t>
          </w:r>
          <w:r>
            <w:rPr>
              <w:sz w:val="32"/>
              <w:szCs w:val="32"/>
            </w:rPr>
            <w:tab/>
          </w:r>
          <w:r>
            <w:rPr>
              <w:sz w:val="32"/>
              <w:szCs w:val="32"/>
            </w:rPr>
            <w:fldChar w:fldCharType="begin"/>
          </w:r>
          <w:r>
            <w:rPr>
              <w:sz w:val="32"/>
              <w:szCs w:val="32"/>
            </w:rPr>
            <w:instrText xml:space="preserve"> PAGEREF _Toc31037 \h </w:instrText>
          </w:r>
          <w:r>
            <w:rPr>
              <w:sz w:val="32"/>
              <w:szCs w:val="32"/>
            </w:rPr>
            <w:fldChar w:fldCharType="separate"/>
          </w:r>
          <w:r>
            <w:rPr>
              <w:sz w:val="32"/>
              <w:szCs w:val="32"/>
            </w:rPr>
            <w:t>8</w:t>
          </w:r>
          <w:r>
            <w:rPr>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_Toc28287 </w:instrText>
          </w:r>
          <w:r>
            <w:rPr>
              <w:rFonts w:hint="eastAsia" w:ascii="仿宋_GB2312" w:hAnsi="仿宋_GB2312" w:eastAsia="仿宋_GB2312" w:cs="仿宋_GB2312"/>
              <w:sz w:val="32"/>
              <w:szCs w:val="32"/>
            </w:rPr>
            <w:fldChar w:fldCharType="separate"/>
          </w:r>
          <w:r>
            <w:rPr>
              <w:rFonts w:hint="eastAsia" w:ascii="方正小标宋简体" w:hAnsi="方正小标宋简体" w:eastAsia="方正小标宋简体" w:cs="方正小标宋简体"/>
              <w:sz w:val="32"/>
              <w:szCs w:val="32"/>
            </w:rPr>
            <w:t>第二部分</w:t>
          </w:r>
          <w:r>
            <w:rPr>
              <w:rFonts w:hint="eastAsia" w:ascii="方正小标宋简体" w:hAnsi="方正小标宋简体" w:eastAsia="方正小标宋简体" w:cs="方正小标宋简体"/>
              <w:sz w:val="32"/>
              <w:szCs w:val="32"/>
              <w:lang w:val="en-US" w:eastAsia="zh-CN"/>
            </w:rPr>
            <w:t xml:space="preserve">  </w:t>
          </w:r>
          <w:r>
            <w:rPr>
              <w:rFonts w:hint="eastAsia" w:ascii="方正小标宋简体" w:hAnsi="方正小标宋简体" w:eastAsia="方正小标宋简体" w:cs="方正小标宋简体"/>
              <w:sz w:val="32"/>
              <w:szCs w:val="32"/>
            </w:rPr>
            <w:t>2023年度单位决算情况说明</w:t>
          </w:r>
          <w:r>
            <w:rPr>
              <w:sz w:val="32"/>
              <w:szCs w:val="32"/>
            </w:rPr>
            <w:tab/>
          </w:r>
          <w:r>
            <w:rPr>
              <w:sz w:val="32"/>
              <w:szCs w:val="32"/>
            </w:rPr>
            <w:fldChar w:fldCharType="begin"/>
          </w:r>
          <w:r>
            <w:rPr>
              <w:sz w:val="32"/>
              <w:szCs w:val="32"/>
            </w:rPr>
            <w:instrText xml:space="preserve"> PAGEREF _Toc28287 \h </w:instrText>
          </w:r>
          <w:r>
            <w:rPr>
              <w:sz w:val="32"/>
              <w:szCs w:val="32"/>
            </w:rPr>
            <w:fldChar w:fldCharType="separate"/>
          </w:r>
          <w:r>
            <w:rPr>
              <w:sz w:val="32"/>
              <w:szCs w:val="32"/>
            </w:rPr>
            <w:t>9</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_Toc20036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一、收入支出决算总体情况说明</w:t>
          </w:r>
          <w:r>
            <w:rPr>
              <w:sz w:val="32"/>
              <w:szCs w:val="32"/>
            </w:rPr>
            <w:tab/>
          </w:r>
          <w:r>
            <w:rPr>
              <w:sz w:val="32"/>
              <w:szCs w:val="32"/>
            </w:rPr>
            <w:fldChar w:fldCharType="begin"/>
          </w:r>
          <w:r>
            <w:rPr>
              <w:sz w:val="32"/>
              <w:szCs w:val="32"/>
            </w:rPr>
            <w:instrText xml:space="preserve"> PAGEREF _Toc20036 \h </w:instrText>
          </w:r>
          <w:r>
            <w:rPr>
              <w:sz w:val="32"/>
              <w:szCs w:val="32"/>
            </w:rPr>
            <w:fldChar w:fldCharType="separate"/>
          </w:r>
          <w:r>
            <w:rPr>
              <w:sz w:val="32"/>
              <w:szCs w:val="32"/>
            </w:rPr>
            <w:t>9</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_Toc13578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二、收入决算情况说明</w:t>
          </w:r>
          <w:r>
            <w:rPr>
              <w:sz w:val="32"/>
              <w:szCs w:val="32"/>
            </w:rPr>
            <w:tab/>
          </w:r>
          <w:r>
            <w:rPr>
              <w:sz w:val="32"/>
              <w:szCs w:val="32"/>
            </w:rPr>
            <w:fldChar w:fldCharType="begin"/>
          </w:r>
          <w:r>
            <w:rPr>
              <w:sz w:val="32"/>
              <w:szCs w:val="32"/>
            </w:rPr>
            <w:instrText xml:space="preserve"> PAGEREF _Toc13578 \h </w:instrText>
          </w:r>
          <w:r>
            <w:rPr>
              <w:sz w:val="32"/>
              <w:szCs w:val="32"/>
            </w:rPr>
            <w:fldChar w:fldCharType="separate"/>
          </w:r>
          <w:r>
            <w:rPr>
              <w:sz w:val="32"/>
              <w:szCs w:val="32"/>
            </w:rPr>
            <w:t>9</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_Toc24685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三、支出决算情况说明</w:t>
          </w:r>
          <w:r>
            <w:rPr>
              <w:sz w:val="32"/>
              <w:szCs w:val="32"/>
            </w:rPr>
            <w:tab/>
          </w:r>
          <w:r>
            <w:rPr>
              <w:sz w:val="32"/>
              <w:szCs w:val="32"/>
            </w:rPr>
            <w:fldChar w:fldCharType="begin"/>
          </w:r>
          <w:r>
            <w:rPr>
              <w:sz w:val="32"/>
              <w:szCs w:val="32"/>
            </w:rPr>
            <w:instrText xml:space="preserve"> PAGEREF _Toc24685 \h </w:instrText>
          </w:r>
          <w:r>
            <w:rPr>
              <w:sz w:val="32"/>
              <w:szCs w:val="32"/>
            </w:rPr>
            <w:fldChar w:fldCharType="separate"/>
          </w:r>
          <w:r>
            <w:rPr>
              <w:sz w:val="32"/>
              <w:szCs w:val="32"/>
            </w:rPr>
            <w:t>10</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_Toc10581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四、财政拨款收入支出决算总体情况说明</w:t>
          </w:r>
          <w:r>
            <w:rPr>
              <w:sz w:val="32"/>
              <w:szCs w:val="32"/>
            </w:rPr>
            <w:tab/>
          </w:r>
          <w:r>
            <w:rPr>
              <w:sz w:val="32"/>
              <w:szCs w:val="32"/>
            </w:rPr>
            <w:fldChar w:fldCharType="begin"/>
          </w:r>
          <w:r>
            <w:rPr>
              <w:sz w:val="32"/>
              <w:szCs w:val="32"/>
            </w:rPr>
            <w:instrText xml:space="preserve"> PAGEREF _Toc10581 \h </w:instrText>
          </w:r>
          <w:r>
            <w:rPr>
              <w:sz w:val="32"/>
              <w:szCs w:val="32"/>
            </w:rPr>
            <w:fldChar w:fldCharType="separate"/>
          </w:r>
          <w:r>
            <w:rPr>
              <w:sz w:val="32"/>
              <w:szCs w:val="32"/>
            </w:rPr>
            <w:t>10</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_Toc28375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五、一般公共预算财政拨款支出决算情况说明</w:t>
          </w:r>
          <w:r>
            <w:rPr>
              <w:sz w:val="32"/>
              <w:szCs w:val="32"/>
            </w:rPr>
            <w:tab/>
          </w:r>
          <w:r>
            <w:rPr>
              <w:sz w:val="32"/>
              <w:szCs w:val="32"/>
            </w:rPr>
            <w:fldChar w:fldCharType="begin"/>
          </w:r>
          <w:r>
            <w:rPr>
              <w:sz w:val="32"/>
              <w:szCs w:val="32"/>
            </w:rPr>
            <w:instrText xml:space="preserve"> PAGEREF _Toc28375 \h </w:instrText>
          </w:r>
          <w:r>
            <w:rPr>
              <w:sz w:val="32"/>
              <w:szCs w:val="32"/>
            </w:rPr>
            <w:fldChar w:fldCharType="separate"/>
          </w:r>
          <w:r>
            <w:rPr>
              <w:sz w:val="32"/>
              <w:szCs w:val="32"/>
            </w:rPr>
            <w:t>11</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_Toc15049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六、一般公共预算财政拨款基本支出决算情况说明</w:t>
          </w:r>
          <w:r>
            <w:rPr>
              <w:sz w:val="32"/>
              <w:szCs w:val="32"/>
            </w:rPr>
            <w:tab/>
          </w:r>
          <w:r>
            <w:rPr>
              <w:sz w:val="32"/>
              <w:szCs w:val="32"/>
            </w:rPr>
            <w:fldChar w:fldCharType="begin"/>
          </w:r>
          <w:r>
            <w:rPr>
              <w:sz w:val="32"/>
              <w:szCs w:val="32"/>
            </w:rPr>
            <w:instrText xml:space="preserve"> PAGEREF _Toc15049 \h </w:instrText>
          </w:r>
          <w:r>
            <w:rPr>
              <w:sz w:val="32"/>
              <w:szCs w:val="32"/>
            </w:rPr>
            <w:fldChar w:fldCharType="separate"/>
          </w:r>
          <w:r>
            <w:rPr>
              <w:sz w:val="32"/>
              <w:szCs w:val="32"/>
            </w:rPr>
            <w:t>14</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_Toc4223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七、财政拨款“三公”经费支出决算情况说明</w:t>
          </w:r>
          <w:r>
            <w:rPr>
              <w:sz w:val="32"/>
              <w:szCs w:val="32"/>
            </w:rPr>
            <w:tab/>
          </w:r>
          <w:r>
            <w:rPr>
              <w:sz w:val="32"/>
              <w:szCs w:val="32"/>
            </w:rPr>
            <w:fldChar w:fldCharType="begin"/>
          </w:r>
          <w:r>
            <w:rPr>
              <w:sz w:val="32"/>
              <w:szCs w:val="32"/>
            </w:rPr>
            <w:instrText xml:space="preserve"> PAGEREF _Toc4223 \h </w:instrText>
          </w:r>
          <w:r>
            <w:rPr>
              <w:sz w:val="32"/>
              <w:szCs w:val="32"/>
            </w:rPr>
            <w:fldChar w:fldCharType="separate"/>
          </w:r>
          <w:r>
            <w:rPr>
              <w:sz w:val="32"/>
              <w:szCs w:val="32"/>
            </w:rPr>
            <w:t>14</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_Toc6614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八、政府性基金预算支出决算情况说明</w:t>
          </w:r>
          <w:r>
            <w:rPr>
              <w:sz w:val="32"/>
              <w:szCs w:val="32"/>
            </w:rPr>
            <w:tab/>
          </w:r>
          <w:r>
            <w:rPr>
              <w:sz w:val="32"/>
              <w:szCs w:val="32"/>
            </w:rPr>
            <w:fldChar w:fldCharType="begin"/>
          </w:r>
          <w:r>
            <w:rPr>
              <w:sz w:val="32"/>
              <w:szCs w:val="32"/>
            </w:rPr>
            <w:instrText xml:space="preserve"> PAGEREF _Toc6614 \h </w:instrText>
          </w:r>
          <w:r>
            <w:rPr>
              <w:sz w:val="32"/>
              <w:szCs w:val="32"/>
            </w:rPr>
            <w:fldChar w:fldCharType="separate"/>
          </w:r>
          <w:r>
            <w:rPr>
              <w:sz w:val="32"/>
              <w:szCs w:val="32"/>
            </w:rPr>
            <w:t>16</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_Toc25842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九、国有资本经营预算支出决算情况说明</w:t>
          </w:r>
          <w:r>
            <w:rPr>
              <w:sz w:val="32"/>
              <w:szCs w:val="32"/>
            </w:rPr>
            <w:tab/>
          </w:r>
          <w:r>
            <w:rPr>
              <w:sz w:val="32"/>
              <w:szCs w:val="32"/>
            </w:rPr>
            <w:fldChar w:fldCharType="begin"/>
          </w:r>
          <w:r>
            <w:rPr>
              <w:sz w:val="32"/>
              <w:szCs w:val="32"/>
            </w:rPr>
            <w:instrText xml:space="preserve"> PAGEREF _Toc25842 \h </w:instrText>
          </w:r>
          <w:r>
            <w:rPr>
              <w:sz w:val="32"/>
              <w:szCs w:val="32"/>
            </w:rPr>
            <w:fldChar w:fldCharType="separate"/>
          </w:r>
          <w:r>
            <w:rPr>
              <w:sz w:val="32"/>
              <w:szCs w:val="32"/>
            </w:rPr>
            <w:t>16</w:t>
          </w:r>
          <w:r>
            <w:rPr>
              <w:sz w:val="32"/>
              <w:szCs w:val="32"/>
            </w:rPr>
            <w:fldChar w:fldCharType="end"/>
          </w:r>
          <w:r>
            <w:rPr>
              <w:rFonts w:hint="eastAsia" w:ascii="仿宋_GB2312" w:hAnsi="仿宋_GB2312" w:eastAsia="仿宋_GB2312" w:cs="仿宋_GB2312"/>
              <w:sz w:val="32"/>
              <w:szCs w:val="32"/>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_Toc29078 </w:instrText>
          </w:r>
          <w:r>
            <w:rPr>
              <w:rFonts w:hint="eastAsia" w:ascii="仿宋_GB2312" w:hAnsi="仿宋_GB2312" w:eastAsia="仿宋_GB2312" w:cs="仿宋_GB2312"/>
              <w:sz w:val="32"/>
              <w:szCs w:val="32"/>
            </w:rPr>
            <w:fldChar w:fldCharType="separate"/>
          </w:r>
          <w:r>
            <w:rPr>
              <w:rFonts w:hint="eastAsia" w:ascii="黑体" w:hAnsi="黑体" w:eastAsia="黑体" w:cs="黑体"/>
              <w:sz w:val="32"/>
              <w:szCs w:val="32"/>
            </w:rPr>
            <w:t>十、其他重要事项的情况说明</w:t>
          </w:r>
          <w:r>
            <w:rPr>
              <w:sz w:val="32"/>
              <w:szCs w:val="32"/>
            </w:rPr>
            <w:tab/>
          </w:r>
          <w:r>
            <w:rPr>
              <w:sz w:val="32"/>
              <w:szCs w:val="32"/>
            </w:rPr>
            <w:fldChar w:fldCharType="begin"/>
          </w:r>
          <w:r>
            <w:rPr>
              <w:sz w:val="32"/>
              <w:szCs w:val="32"/>
            </w:rPr>
            <w:instrText xml:space="preserve"> PAGEREF _Toc29078 \h </w:instrText>
          </w:r>
          <w:r>
            <w:rPr>
              <w:sz w:val="32"/>
              <w:szCs w:val="32"/>
            </w:rPr>
            <w:fldChar w:fldCharType="separate"/>
          </w:r>
          <w:r>
            <w:rPr>
              <w:sz w:val="32"/>
              <w:szCs w:val="32"/>
            </w:rPr>
            <w:t>16</w:t>
          </w:r>
          <w:r>
            <w:rPr>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_Toc25391 </w:instrText>
          </w:r>
          <w:r>
            <w:rPr>
              <w:rFonts w:hint="eastAsia" w:ascii="仿宋_GB2312" w:hAnsi="仿宋_GB2312" w:eastAsia="仿宋_GB2312" w:cs="仿宋_GB2312"/>
              <w:sz w:val="32"/>
              <w:szCs w:val="32"/>
            </w:rPr>
            <w:fldChar w:fldCharType="separate"/>
          </w:r>
          <w:r>
            <w:rPr>
              <w:rFonts w:hint="eastAsia" w:ascii="方正小标宋简体" w:hAnsi="方正小标宋简体" w:eastAsia="方正小标宋简体" w:cs="方正小标宋简体"/>
              <w:sz w:val="32"/>
              <w:szCs w:val="32"/>
            </w:rPr>
            <w:t>第三部分　名词解释</w:t>
          </w:r>
          <w:r>
            <w:rPr>
              <w:sz w:val="32"/>
              <w:szCs w:val="32"/>
            </w:rPr>
            <w:tab/>
          </w:r>
          <w:r>
            <w:rPr>
              <w:sz w:val="32"/>
              <w:szCs w:val="32"/>
            </w:rPr>
            <w:fldChar w:fldCharType="begin"/>
          </w:r>
          <w:r>
            <w:rPr>
              <w:sz w:val="32"/>
              <w:szCs w:val="32"/>
            </w:rPr>
            <w:instrText xml:space="preserve"> PAGEREF _Toc25391 \h </w:instrText>
          </w:r>
          <w:r>
            <w:rPr>
              <w:sz w:val="32"/>
              <w:szCs w:val="32"/>
            </w:rPr>
            <w:fldChar w:fldCharType="separate"/>
          </w:r>
          <w:r>
            <w:rPr>
              <w:sz w:val="32"/>
              <w:szCs w:val="32"/>
            </w:rPr>
            <w:t>18</w:t>
          </w:r>
          <w:r>
            <w:rPr>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_Toc18265 </w:instrText>
          </w:r>
          <w:r>
            <w:rPr>
              <w:rFonts w:hint="eastAsia" w:ascii="仿宋_GB2312" w:hAnsi="仿宋_GB2312" w:eastAsia="仿宋_GB2312" w:cs="仿宋_GB2312"/>
              <w:sz w:val="32"/>
              <w:szCs w:val="32"/>
            </w:rPr>
            <w:fldChar w:fldCharType="separate"/>
          </w:r>
          <w:r>
            <w:rPr>
              <w:rFonts w:hint="eastAsia" w:ascii="方正小标宋简体" w:hAnsi="方正小标宋简体" w:eastAsia="方正小标宋简体" w:cs="方正小标宋简体"/>
              <w:sz w:val="32"/>
              <w:szCs w:val="32"/>
              <w:highlight w:val="none"/>
            </w:rPr>
            <w:t>第四部分 附件</w:t>
          </w:r>
          <w:r>
            <w:rPr>
              <w:sz w:val="32"/>
              <w:szCs w:val="32"/>
            </w:rPr>
            <w:tab/>
          </w:r>
          <w:r>
            <w:rPr>
              <w:sz w:val="32"/>
              <w:szCs w:val="32"/>
            </w:rPr>
            <w:fldChar w:fldCharType="begin"/>
          </w:r>
          <w:r>
            <w:rPr>
              <w:sz w:val="32"/>
              <w:szCs w:val="32"/>
            </w:rPr>
            <w:instrText xml:space="preserve"> PAGEREF _Toc18265 \h </w:instrText>
          </w:r>
          <w:r>
            <w:rPr>
              <w:sz w:val="32"/>
              <w:szCs w:val="32"/>
            </w:rPr>
            <w:fldChar w:fldCharType="separate"/>
          </w:r>
          <w:r>
            <w:rPr>
              <w:sz w:val="32"/>
              <w:szCs w:val="32"/>
            </w:rPr>
            <w:t>21</w:t>
          </w:r>
          <w:r>
            <w:rPr>
              <w:sz w:val="32"/>
              <w:szCs w:val="32"/>
            </w:rPr>
            <w:fldChar w:fldCharType="end"/>
          </w:r>
          <w:r>
            <w:rPr>
              <w:rFonts w:hint="eastAsia" w:ascii="仿宋_GB2312" w:hAnsi="仿宋_GB2312" w:eastAsia="仿宋_GB2312" w:cs="仿宋_GB2312"/>
              <w:sz w:val="32"/>
              <w:szCs w:val="32"/>
            </w:rPr>
            <w:fldChar w:fldCharType="end"/>
          </w:r>
        </w:p>
        <w:p>
          <w:pPr>
            <w:pStyle w:val="10"/>
            <w:keepNext w:val="0"/>
            <w:keepLines w:val="0"/>
            <w:pageBreakBefore w:val="0"/>
            <w:tabs>
              <w:tab w:val="right" w:leader="dot" w:pos="8845"/>
            </w:tabs>
            <w:kinsoku/>
            <w:wordWrap/>
            <w:overflowPunct/>
            <w:topLinePunct w:val="0"/>
            <w:autoSpaceDE/>
            <w:autoSpaceDN/>
            <w:bidi w:val="0"/>
            <w:adjustRightInd/>
            <w:snapToGrid/>
            <w:spacing w:line="576" w:lineRule="exact"/>
            <w:textAlignment w:val="auto"/>
            <w:rPr>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_Toc10875 </w:instrText>
          </w:r>
          <w:r>
            <w:rPr>
              <w:rFonts w:hint="eastAsia" w:ascii="仿宋_GB2312" w:hAnsi="仿宋_GB2312" w:eastAsia="仿宋_GB2312" w:cs="仿宋_GB2312"/>
              <w:sz w:val="32"/>
              <w:szCs w:val="32"/>
            </w:rPr>
            <w:fldChar w:fldCharType="separate"/>
          </w:r>
          <w:r>
            <w:rPr>
              <w:rFonts w:hint="eastAsia" w:ascii="方正小标宋简体" w:hAnsi="方正小标宋简体" w:eastAsia="方正小标宋简体" w:cs="方正小标宋简体"/>
              <w:sz w:val="32"/>
              <w:szCs w:val="32"/>
            </w:rPr>
            <w:t>第五部分 附表</w:t>
          </w:r>
          <w:r>
            <w:rPr>
              <w:sz w:val="32"/>
              <w:szCs w:val="32"/>
            </w:rPr>
            <w:tab/>
          </w:r>
          <w:r>
            <w:rPr>
              <w:sz w:val="32"/>
              <w:szCs w:val="32"/>
            </w:rPr>
            <w:fldChar w:fldCharType="begin"/>
          </w:r>
          <w:r>
            <w:rPr>
              <w:sz w:val="32"/>
              <w:szCs w:val="32"/>
            </w:rPr>
            <w:instrText xml:space="preserve"> PAGEREF _Toc10875 \h </w:instrText>
          </w:r>
          <w:r>
            <w:rPr>
              <w:sz w:val="32"/>
              <w:szCs w:val="32"/>
            </w:rPr>
            <w:fldChar w:fldCharType="separate"/>
          </w:r>
          <w:r>
            <w:rPr>
              <w:sz w:val="32"/>
              <w:szCs w:val="32"/>
            </w:rPr>
            <w:t>58</w:t>
          </w:r>
          <w:r>
            <w:rPr>
              <w:sz w:val="32"/>
              <w:szCs w:val="32"/>
            </w:rPr>
            <w:fldChar w:fldCharType="end"/>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rPr>
            <w:fldChar w:fldCharType="end"/>
          </w:r>
          <w:bookmarkStart w:id="0" w:name="_Toc30952"/>
        </w:p>
      </w:sdtContent>
    </w:sdt>
    <w:p>
      <w:pPr>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第一部分 单位概况</w:t>
      </w:r>
      <w:bookmarkEnd w:id="0"/>
    </w:p>
    <w:p>
      <w:pPr>
        <w:rPr>
          <w:rFonts w:hint="eastAsia"/>
        </w:rPr>
      </w:pPr>
    </w:p>
    <w:p>
      <w:pPr>
        <w:ind w:firstLine="640" w:firstLineChars="200"/>
        <w:outlineLvl w:val="1"/>
        <w:rPr>
          <w:rFonts w:hint="eastAsia" w:ascii="黑体" w:hAnsi="黑体" w:eastAsia="黑体" w:cs="黑体"/>
          <w:sz w:val="32"/>
          <w:szCs w:val="32"/>
        </w:rPr>
      </w:pPr>
      <w:bookmarkStart w:id="1" w:name="_Toc2508"/>
      <w:r>
        <w:rPr>
          <w:rFonts w:hint="eastAsia" w:ascii="黑体" w:hAnsi="黑体" w:eastAsia="黑体" w:cs="黑体"/>
          <w:sz w:val="32"/>
          <w:szCs w:val="32"/>
        </w:rPr>
        <w:t>一、主要职责</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建立健全生态环境基本制度。承担本行政辖区内生态环境保护的监督工作。会同有关部门拟订并组织实施县区生态环境政策、规划，贯彻执行国家、省、市有关法律、法规、规章和政策，参与编制县区环境功能区划，会同有关部门编制并监督实施重点区域、流域、饮用水水源地生态环境规划和水功能区划。参与制定与县区生态环境相关的经济、技术、资源配置和产业政策。参与拟定县区主体功能区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负责县区生态环境问题的统筹协调和监督管理。依照规定牵头协调县区突发环境事件和生态破坏事件的调查处理，指导协调县区突发环境事件的应急、预警工作。参与实施生态环境损害赔偿制度。协调解决有关环境污染纠纷。协调重点区域、流域生态环境保护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3.负责监督县区减排目标的落实。监督县区各类污染物排放总量控制和排污许可证制度执行，检查污染物减排任务完成情况。参与确定大气、水等环境纳污能力。监督生态环境保护目标责任制落实。</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4.参与提出县区生态环境领域固定资产投资规模和方向、专项资金分配建议方案，配合有关部门做好组织实施和监督工作。参与指导推动县区循环经济和生态环保产业发展。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县区环境污染防治监督管理。组织制定并监督实施县区大气、水、土壤、噪声、光、恶臭、固体废物、化学品、机动车等的污染防治管理制度。会同有关部门监督管理饮用水水源地生态环境保护工作，组织指导城乡生态环境综合整治工作，监督指导农业面源污染治理工作。监督指导区域大气环境保护工作，监督实施区域大气污染联防联控协作机制。按职责分工组织开展县区强制性清洁生产审核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指导协调和监督县区生态保护修复工作。参与编制生态保护规划并监督实施，监督对生态环境有影响的自然资源开发利用活动、重要生态环境建设和生态破坏恢复工作。组织、指导生态示范创建工作。参与制定县区各类自然保护地生态环境监管制度并监督执法，承担自然保护地、生态保护红线相关监管工作。监督野生动植物保护、湿地生态环境保护、荒漠化防治等工作。指导协调和监督县区农村生态环境保护，参与生物多样性保护工作，参与生态保护补偿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负责县区核与辐射安全监督管理。贯彻执行核与辐射安全法律、法规、规章。协调县区核安全有关工作，参与核事故与辐射环境事故应急处理。监督管理放射源与射线装置安全，监督管理核技术应用、电磁辐射、伴有放射性矿产资源开发利用中的污染防治。负责核与辐射建设项目“三同时”（同时设计、同时施工、同时投入使用）管理工作，参与核设施安全、核设施污染防治监督管理相关工作，负责核与辐射环境监测和执法工作。参与反生化、核与辐射恐怖事件的防范和处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8.负责县区生态环境准入的监督管理。承担市生态环境局授权范围内的部分生态环境保护许可具体工作。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负责县区生态环境监测、统计和信息发布工作。执行国家、省颁布的各类环境标准，制定县区生态环境监测制度。组织实施执法监测、监督性监测和突发环境事件应急监测，组织对县区生态环境质量状况进行调查评价、预警预测。参与建设和管理县区生态环境监测网和生态环境信息网。按要求做好生态环境质量监测相关工作。负责生态环境统计工作。按规定发布县区生态环境综合性报告和重大生态环境信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10.负责应对气候变化工作。贯彻落实国家、省、市应对气候变化及温室气体减排重大战略、规划和政策，组织拟订县区应对气候变化的规划和政策措施。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11.负责协调生态环境保护督察和监察相关工作。贯彻执行生态环境保护督察和监察制度。监督县区生态环境保护“党政同责、一岗双责”落实情况。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12.统一负责全县生态环境监督执法。负责开展现场生态环境保护执法，强化现场生态环境保护执法和事中事后监管。监督落实网格化环境监管制度。监督实施建设项目生态环境保护设施“三同时”制度。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13.组织指导和协调县区生态环境宣传教育工作。制定并组织实施县区生态环境保护宣传教育有关规划和计划。推动社会组织和公众参与生态环境保护。</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14.开展县区生态环境科技工作。管理县区生态环境保护科技成果并推广应用。组织开展县区生态环境重大科学研究和技术工程示范，推动生态环境技术管理体系建设。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15.开展生态环境对外合作交流。参与协调重要生态环境保护国际活动和区域合作，参与处理涉外生态环境事务。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16.负责职责范围内的安全生产和职业健康、审批服务便民化等工作。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2" w:name="_Toc31972"/>
      <w:r>
        <w:rPr>
          <w:rFonts w:hint="eastAsia" w:ascii="仿宋_GB2312" w:hAnsi="仿宋_GB2312" w:eastAsia="仿宋_GB2312" w:cs="仿宋_GB2312"/>
          <w:sz w:val="32"/>
          <w:szCs w:val="32"/>
        </w:rPr>
        <w:t>17.完成市生态环境局交办的其他任务。</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rPr>
      </w:pPr>
      <w:r>
        <w:rPr>
          <w:rFonts w:hint="eastAsia" w:ascii="仿宋_GB2312" w:hAnsi="仿宋_GB2312" w:eastAsia="仿宋_GB2312" w:cs="仿宋_GB2312"/>
          <w:sz w:val="32"/>
          <w:szCs w:val="32"/>
        </w:rPr>
        <w:t>18.职能转变。统筹谋划县区生态环境保护各项工作，分解下达生态环境保护目标任务，统一指导、协调、监督生态环境保护工作，负责属地党委政府生态环境保护议事协调机构的办事机构的日常工作，协调属地党委政府履行生态环境保护主体责任；会同有关部门组织开展生态环境保护方面绩效考核，定期通报重大生态环境保护工作进展情况；加强与有关部门联动执法，协同作战，集中解决突出生态环境问题。构建政府为主导、企业为主体、社会组织和公众共同参与的生态环境治理体系，实行最严格的生态环境保护制度，严守生态保护红线和环境质量底线，坚决打好污染防治攻坚战，筑牢嘉陵江上游生态屏障，保障生态安全。</w:t>
      </w:r>
    </w:p>
    <w:p>
      <w:pPr>
        <w:ind w:firstLine="640" w:firstLineChars="200"/>
        <w:outlineLvl w:val="1"/>
        <w:rPr>
          <w:rFonts w:hint="eastAsia" w:ascii="黑体" w:hAnsi="黑体" w:eastAsia="黑体" w:cs="黑体"/>
          <w:sz w:val="32"/>
          <w:szCs w:val="32"/>
        </w:rPr>
      </w:pPr>
      <w:bookmarkStart w:id="3" w:name="_Toc31037"/>
      <w:r>
        <w:rPr>
          <w:rFonts w:hint="eastAsia" w:ascii="黑体" w:hAnsi="黑体" w:eastAsia="黑体" w:cs="黑体"/>
          <w:sz w:val="32"/>
          <w:szCs w:val="32"/>
        </w:rPr>
        <w:t>二、机构设置</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我单位为广元市生态环境局下属二级预算单位，本单位</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下属机构，设有内设机构2个。其中：行政单位0个，参照公务员法管理的事业单位1个，其他事业单位1个。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纳入广元市剑阁生态环境局2023年度部门决算编制范围的二级单位2个（下属2个二级单位，财务均未独立核算）。</w:t>
      </w:r>
    </w:p>
    <w:p>
      <w:pPr>
        <w:jc w:val="center"/>
        <w:rPr>
          <w:rFonts w:hint="eastAsia" w:ascii="方正小标宋简体" w:hAnsi="方正小标宋简体" w:eastAsia="方正小标宋简体" w:cs="方正小标宋简体"/>
          <w:sz w:val="32"/>
          <w:szCs w:val="32"/>
        </w:rPr>
      </w:pPr>
    </w:p>
    <w:p>
      <w:pPr>
        <w:jc w:val="center"/>
        <w:outlineLvl w:val="0"/>
        <w:rPr>
          <w:rFonts w:hint="eastAsia" w:ascii="方正小标宋简体" w:hAnsi="方正小标宋简体" w:eastAsia="方正小标宋简体" w:cs="方正小标宋简体"/>
          <w:sz w:val="44"/>
          <w:szCs w:val="44"/>
        </w:rPr>
      </w:pPr>
      <w:bookmarkStart w:id="4" w:name="_Toc28287"/>
      <w:r>
        <w:rPr>
          <w:rFonts w:hint="eastAsia" w:ascii="方正小标宋简体" w:hAnsi="方正小标宋简体" w:eastAsia="方正小标宋简体" w:cs="方正小标宋简体"/>
          <w:sz w:val="44"/>
          <w:szCs w:val="44"/>
        </w:rPr>
        <w:t>第二部分</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2023年度单位决算情况说明</w:t>
      </w:r>
      <w:bookmarkEnd w:id="4"/>
    </w:p>
    <w:p>
      <w:pPr>
        <w:ind w:firstLine="640" w:firstLineChars="200"/>
        <w:rPr>
          <w:rFonts w:hint="eastAsia" w:ascii="黑体" w:hAnsi="黑体" w:eastAsia="黑体" w:cs="黑体"/>
          <w:sz w:val="32"/>
          <w:szCs w:val="32"/>
        </w:rPr>
      </w:pPr>
    </w:p>
    <w:p>
      <w:pPr>
        <w:ind w:firstLine="640" w:firstLineChars="200"/>
        <w:outlineLvl w:val="1"/>
        <w:rPr>
          <w:rFonts w:hint="eastAsia" w:ascii="黑体" w:hAnsi="黑体" w:eastAsia="黑体" w:cs="黑体"/>
          <w:sz w:val="32"/>
          <w:szCs w:val="32"/>
        </w:rPr>
      </w:pPr>
      <w:bookmarkStart w:id="5" w:name="_Toc20036"/>
      <w:r>
        <w:rPr>
          <w:rFonts w:hint="eastAsia" w:ascii="黑体" w:hAnsi="黑体" w:eastAsia="黑体" w:cs="黑体"/>
          <w:sz w:val="32"/>
          <w:szCs w:val="32"/>
        </w:rPr>
        <w:t>一、收入支出决算总体情况说明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2023年度收、支总计均为3437.06万元。与2022年度相比，收、支总计各减少11078.31万元，下降76.32%。主要变动原因是其他收入减少。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（图1：收、支决算总计变动情况图）（柱状图）</w:t>
      </w:r>
    </w:p>
    <w:p>
      <w:pPr>
        <w:rPr>
          <w:rFonts w:hint="eastAsia"/>
        </w:rPr>
      </w:pPr>
      <w:r>
        <w:rPr>
          <w:rFonts w:hint="default" w:ascii="Arial" w:hAnsi="Arial" w:eastAsia="宋体" w:cs="Arial"/>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186055</wp:posOffset>
            </wp:positionH>
            <wp:positionV relativeFrom="paragraph">
              <wp:posOffset>193675</wp:posOffset>
            </wp:positionV>
            <wp:extent cx="3811905" cy="2847340"/>
            <wp:effectExtent l="0" t="0" r="17145" b="10160"/>
            <wp:wrapNone/>
            <wp:docPr id="1" name="图表_5"/>
            <wp:cNvGraphicFramePr/>
            <a:graphic xmlns:a="http://schemas.openxmlformats.org/drawingml/2006/main">
              <a:graphicData uri="http://schemas.openxmlformats.org/drawingml/2006/picture">
                <pic:pic xmlns:pic="http://schemas.openxmlformats.org/drawingml/2006/picture">
                  <pic:nvPicPr>
                    <pic:cNvPr id="1" name="图表_5"/>
                    <pic:cNvPicPr/>
                  </pic:nvPicPr>
                  <pic:blipFill>
                    <a:blip r:embed="rId4"/>
                    <a:stretch>
                      <a:fillRect/>
                    </a:stretch>
                  </pic:blipFill>
                  <pic:spPr>
                    <a:xfrm>
                      <a:off x="0" y="0"/>
                      <a:ext cx="3811905" cy="2847340"/>
                    </a:xfrm>
                    <a:prstGeom prst="rect">
                      <a:avLst/>
                    </a:prstGeom>
                    <a:noFill/>
                    <a:ln>
                      <a:noFill/>
                    </a:ln>
                  </pic:spPr>
                </pic:pic>
              </a:graphicData>
            </a:graphic>
          </wp:anchor>
        </w:drawing>
      </w:r>
    </w:p>
    <w:p>
      <w:pPr>
        <w:rPr>
          <w:rFonts w:hint="eastAsia"/>
        </w:rPr>
      </w:pPr>
    </w:p>
    <w:p>
      <w:pPr>
        <w:rPr>
          <w:rFonts w:hint="eastAsia"/>
        </w:rPr>
      </w:pPr>
    </w:p>
    <w:p>
      <w:pPr>
        <w:rPr>
          <w:rFonts w:hint="eastAsia"/>
        </w:rPr>
      </w:pPr>
    </w:p>
    <w:p>
      <w:pPr>
        <w:rPr>
          <w:rFonts w:hint="eastAsia" w:eastAsiaTheme="minorEastAsia"/>
          <w:lang w:eastAsia="zh-C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firstLine="640" w:firstLineChars="200"/>
        <w:outlineLvl w:val="1"/>
        <w:rPr>
          <w:rFonts w:hint="eastAsia" w:ascii="黑体" w:hAnsi="黑体" w:eastAsia="黑体" w:cs="黑体"/>
          <w:sz w:val="32"/>
          <w:szCs w:val="32"/>
        </w:rPr>
      </w:pPr>
      <w:bookmarkStart w:id="6" w:name="_Toc13578"/>
      <w:r>
        <w:rPr>
          <w:rFonts w:hint="eastAsia" w:ascii="黑体" w:hAnsi="黑体" w:eastAsia="黑体" w:cs="黑体"/>
          <w:sz w:val="32"/>
          <w:szCs w:val="32"/>
        </w:rPr>
        <w:t>二、收入决算情况说明</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2023年度本年收入合计3239.15万元，其中：一般公共预算财政拨款收入2297.12万元，占70.92%；其他收入942.03万元，占29.08%。</w:t>
      </w:r>
    </w:p>
    <w:p>
      <w:pPr>
        <w:rPr>
          <w:rFonts w:hint="eastAsia"/>
        </w:rPr>
      </w:pPr>
      <w:r>
        <w:rPr>
          <w:rFonts w:hint="eastAsia" w:ascii="仿宋_GB2312" w:hAnsi="仿宋_GB2312" w:eastAsia="仿宋_GB2312" w:cs="仿宋_GB2312"/>
          <w:sz w:val="32"/>
          <w:szCs w:val="32"/>
        </w:rPr>
        <w:t>（图2：收入决算结构图）（饼状图）</w:t>
      </w:r>
    </w:p>
    <w:p>
      <w:pPr>
        <w:rPr>
          <w:rFonts w:hint="eastAsia"/>
        </w:rPr>
      </w:pPr>
    </w:p>
    <w:p>
      <w:pPr>
        <w:rPr>
          <w:rFonts w:hint="eastAsia"/>
        </w:rPr>
      </w:pPr>
      <w:r>
        <w:rPr>
          <w:rFonts w:hint="eastAsia" w:eastAsiaTheme="minorEastAsia"/>
          <w:lang w:eastAsia="zh-CN"/>
        </w:rPr>
        <w:drawing>
          <wp:inline distT="0" distB="0" distL="114300" distR="114300">
            <wp:extent cx="3371850" cy="3076575"/>
            <wp:effectExtent l="0" t="0" r="0" b="9525"/>
            <wp:docPr id="4" name="图片 4" descr="图片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4" descr="图片2"/>
                    <pic:cNvPicPr>
                      <a:picLocks noChangeAspect="true"/>
                    </pic:cNvPicPr>
                  </pic:nvPicPr>
                  <pic:blipFill>
                    <a:blip r:embed="rId5"/>
                    <a:stretch>
                      <a:fillRect/>
                    </a:stretch>
                  </pic:blipFill>
                  <pic:spPr>
                    <a:xfrm>
                      <a:off x="0" y="0"/>
                      <a:ext cx="3371850" cy="3076575"/>
                    </a:xfrm>
                    <a:prstGeom prst="rect">
                      <a:avLst/>
                    </a:prstGeom>
                  </pic:spPr>
                </pic:pic>
              </a:graphicData>
            </a:graphic>
          </wp:inline>
        </w:drawing>
      </w:r>
    </w:p>
    <w:p>
      <w:pPr>
        <w:ind w:firstLine="640" w:firstLineChars="200"/>
        <w:outlineLvl w:val="1"/>
        <w:rPr>
          <w:rFonts w:hint="eastAsia" w:ascii="黑体" w:hAnsi="黑体" w:eastAsia="黑体" w:cs="黑体"/>
          <w:sz w:val="32"/>
          <w:szCs w:val="32"/>
        </w:rPr>
      </w:pPr>
      <w:bookmarkStart w:id="7" w:name="_Toc24685"/>
      <w:r>
        <w:rPr>
          <w:rFonts w:hint="eastAsia" w:ascii="黑体" w:hAnsi="黑体" w:eastAsia="黑体" w:cs="黑体"/>
          <w:sz w:val="32"/>
          <w:szCs w:val="32"/>
        </w:rPr>
        <w:t>三、支出决算情况说明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2023年度本年支出合计3437.06万元，其中：基本支出657.54万元，占19%；项目支出2779.52万元，占81%。</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（图3：支出决算结构图）（饼状图）</w:t>
      </w:r>
    </w:p>
    <w:p>
      <w:pPr>
        <w:rPr>
          <w:rFonts w:hint="eastAsia"/>
        </w:rPr>
      </w:pPr>
      <w:r>
        <w:rPr>
          <w:rFonts w:hint="eastAsia" w:eastAsiaTheme="minorEastAsia"/>
          <w:lang w:eastAsia="zh-CN"/>
        </w:rPr>
        <w:drawing>
          <wp:inline distT="0" distB="0" distL="114300" distR="114300">
            <wp:extent cx="3296285" cy="2605405"/>
            <wp:effectExtent l="0" t="0" r="18415" b="4445"/>
            <wp:docPr id="5" name="图片 5" descr="图片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descr="图片3"/>
                    <pic:cNvPicPr>
                      <a:picLocks noChangeAspect="true"/>
                    </pic:cNvPicPr>
                  </pic:nvPicPr>
                  <pic:blipFill>
                    <a:blip r:embed="rId6"/>
                    <a:stretch>
                      <a:fillRect/>
                    </a:stretch>
                  </pic:blipFill>
                  <pic:spPr>
                    <a:xfrm>
                      <a:off x="0" y="0"/>
                      <a:ext cx="3296285" cy="2605405"/>
                    </a:xfrm>
                    <a:prstGeom prst="rect">
                      <a:avLst/>
                    </a:prstGeom>
                  </pic:spPr>
                </pic:pic>
              </a:graphicData>
            </a:graphic>
          </wp:inline>
        </w:drawing>
      </w:r>
    </w:p>
    <w:p>
      <w:pPr>
        <w:ind w:firstLine="640" w:firstLineChars="200"/>
        <w:outlineLvl w:val="1"/>
        <w:rPr>
          <w:rFonts w:hint="eastAsia" w:ascii="黑体" w:hAnsi="黑体" w:eastAsia="黑体" w:cs="黑体"/>
          <w:sz w:val="32"/>
          <w:szCs w:val="32"/>
        </w:rPr>
      </w:pPr>
      <w:bookmarkStart w:id="8" w:name="_Toc10581"/>
      <w:r>
        <w:rPr>
          <w:rFonts w:hint="eastAsia" w:ascii="黑体" w:hAnsi="黑体" w:eastAsia="黑体" w:cs="黑体"/>
          <w:sz w:val="32"/>
          <w:szCs w:val="32"/>
        </w:rPr>
        <w:t>四、财政拨款收入支出决算总体情况说明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2023年度财政拨款收、支总计均为</w:t>
      </w:r>
      <w:r>
        <w:rPr>
          <w:rFonts w:hint="eastAsia" w:ascii="仿宋_GB2312" w:hAnsi="仿宋_GB2312" w:eastAsia="仿宋_GB2312" w:cs="仿宋_GB2312"/>
          <w:sz w:val="32"/>
          <w:szCs w:val="32"/>
          <w:lang w:val="en-US" w:eastAsia="zh-CN"/>
        </w:rPr>
        <w:t>2495.03</w:t>
      </w:r>
      <w:r>
        <w:rPr>
          <w:rFonts w:hint="eastAsia" w:ascii="仿宋_GB2312" w:hAnsi="仿宋_GB2312" w:eastAsia="仿宋_GB2312" w:cs="仿宋_GB2312"/>
          <w:sz w:val="32"/>
          <w:szCs w:val="32"/>
        </w:rPr>
        <w:t>万元。与2022年度相比，财政拨款收、支总计各增加1662.89万元，增长199.83%。主要变动原因是专项资金增加。</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（图4：财政拨款收、支决算总计变动情况）（柱状图）</w:t>
      </w:r>
    </w:p>
    <w:p>
      <w:pPr>
        <w:rPr>
          <w:rFonts w:hint="eastAsia"/>
        </w:rPr>
      </w:pPr>
    </w:p>
    <w:p>
      <w:pPr>
        <w:rPr>
          <w:rFonts w:hint="eastAsia"/>
        </w:rPr>
      </w:pPr>
      <w:r>
        <w:rPr>
          <w:rFonts w:hint="eastAsia" w:eastAsiaTheme="minorEastAsia"/>
          <w:lang w:eastAsia="zh-CN"/>
        </w:rPr>
        <w:drawing>
          <wp:inline distT="0" distB="0" distL="114300" distR="114300">
            <wp:extent cx="4581525" cy="2752725"/>
            <wp:effectExtent l="0" t="0" r="9525" b="9525"/>
            <wp:docPr id="6" name="图片 6" descr="图片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descr="图片4"/>
                    <pic:cNvPicPr>
                      <a:picLocks noChangeAspect="true"/>
                    </pic:cNvPicPr>
                  </pic:nvPicPr>
                  <pic:blipFill>
                    <a:blip r:embed="rId7"/>
                    <a:stretch>
                      <a:fillRect/>
                    </a:stretch>
                  </pic:blipFill>
                  <pic:spPr>
                    <a:xfrm>
                      <a:off x="0" y="0"/>
                      <a:ext cx="4581525" cy="2752725"/>
                    </a:xfrm>
                    <a:prstGeom prst="rect">
                      <a:avLst/>
                    </a:prstGeom>
                  </pic:spPr>
                </pic:pic>
              </a:graphicData>
            </a:graphic>
          </wp:inline>
        </w:drawing>
      </w:r>
    </w:p>
    <w:p>
      <w:pPr>
        <w:rPr>
          <w:rFonts w:hint="eastAsia"/>
        </w:rPr>
      </w:pPr>
    </w:p>
    <w:p>
      <w:pPr>
        <w:ind w:firstLine="640" w:firstLineChars="200"/>
        <w:outlineLvl w:val="1"/>
        <w:rPr>
          <w:rFonts w:hint="eastAsia" w:ascii="黑体" w:hAnsi="黑体" w:eastAsia="黑体" w:cs="黑体"/>
          <w:sz w:val="32"/>
          <w:szCs w:val="32"/>
        </w:rPr>
      </w:pPr>
      <w:bookmarkStart w:id="9" w:name="_Toc28375"/>
      <w:r>
        <w:rPr>
          <w:rFonts w:hint="eastAsia" w:ascii="黑体" w:hAnsi="黑体" w:eastAsia="黑体" w:cs="黑体"/>
          <w:sz w:val="32"/>
          <w:szCs w:val="32"/>
        </w:rPr>
        <w:t>五、一般公共预算财政拨款支出决算情况说明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10" w:name="_Toc31057"/>
      <w:r>
        <w:rPr>
          <w:rFonts w:hint="eastAsia" w:ascii="仿宋_GB2312" w:hAnsi="仿宋_GB2312" w:eastAsia="仿宋_GB2312" w:cs="仿宋_GB2312"/>
          <w:sz w:val="32"/>
          <w:szCs w:val="32"/>
        </w:rPr>
        <w:t>（一）一般公共预算财政拨款支出决算总体情况</w:t>
      </w:r>
      <w:bookmarkEnd w:id="10"/>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2495.03万元，占本年支出合计的72.59%。与2022年度相比，一般公共预算财政拨款支出增加1662.89万元，增长199.83%。主要变动原因是专项工作经费增加支付增加，故财政收入支出增加。</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（图5：一般公共预算财政拨款支出决算变动情况）（柱状图）</w:t>
      </w:r>
    </w:p>
    <w:p>
      <w:pPr>
        <w:rPr>
          <w:rFonts w:hint="eastAsia"/>
        </w:rPr>
      </w:pPr>
    </w:p>
    <w:p>
      <w:pPr>
        <w:rPr>
          <w:rFonts w:hint="eastAsia"/>
        </w:rPr>
      </w:pPr>
    </w:p>
    <w:p>
      <w:pPr>
        <w:rPr>
          <w:rFonts w:hint="eastAsia" w:eastAsiaTheme="minorEastAsia"/>
          <w:lang w:eastAsia="zh-CN"/>
        </w:rPr>
      </w:pPr>
      <w:r>
        <w:rPr>
          <w:rFonts w:hint="eastAsia" w:eastAsiaTheme="minorEastAsia"/>
          <w:lang w:eastAsia="zh-CN"/>
        </w:rPr>
        <w:drawing>
          <wp:inline distT="0" distB="0" distL="114300" distR="114300">
            <wp:extent cx="4581525" cy="2752725"/>
            <wp:effectExtent l="0" t="0" r="9525" b="9525"/>
            <wp:docPr id="7" name="图片 7" descr="图片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7" descr="图片5"/>
                    <pic:cNvPicPr>
                      <a:picLocks noChangeAspect="true"/>
                    </pic:cNvPicPr>
                  </pic:nvPicPr>
                  <pic:blipFill>
                    <a:blip r:embed="rId8"/>
                    <a:stretch>
                      <a:fillRect/>
                    </a:stretch>
                  </pic:blipFill>
                  <pic:spPr>
                    <a:xfrm>
                      <a:off x="0" y="0"/>
                      <a:ext cx="4581525" cy="2752725"/>
                    </a:xfrm>
                    <a:prstGeom prst="rect">
                      <a:avLst/>
                    </a:prstGeom>
                  </pic:spPr>
                </pic:pic>
              </a:graphicData>
            </a:graphic>
          </wp:inline>
        </w:drawing>
      </w:r>
    </w:p>
    <w:p>
      <w:pPr>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11" w:name="_Toc21974"/>
      <w:r>
        <w:rPr>
          <w:rFonts w:hint="eastAsia" w:ascii="仿宋_GB2312" w:hAnsi="仿宋_GB2312" w:eastAsia="仿宋_GB2312" w:cs="仿宋_GB2312"/>
          <w:sz w:val="32"/>
          <w:szCs w:val="32"/>
        </w:rPr>
        <w:t>（二）一般公共预算财政拨款支出决算结构情况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2023年度一般公共预算财政拨款支出2495.03万元，主要用于以下方面:社会保障和就业支出48.45万元，占1.94%；卫生健康支出22.71万元，占0.91%；节能环保支出2388.84万元，占95.75%；住房保障支出35.04万元，占1.4%。</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（图6：一般公共预算财政拨款支出决算结构）（饼状图）</w:t>
      </w:r>
    </w:p>
    <w:p>
      <w:pPr>
        <w:rPr>
          <w:rFonts w:hint="eastAsia"/>
        </w:rPr>
      </w:pPr>
      <w:r>
        <w:rPr>
          <w:rFonts w:hint="eastAsia" w:eastAsiaTheme="minorEastAsia"/>
          <w:lang w:eastAsia="zh-CN"/>
        </w:rPr>
        <w:drawing>
          <wp:inline distT="0" distB="0" distL="114300" distR="114300">
            <wp:extent cx="3482340" cy="2092325"/>
            <wp:effectExtent l="0" t="0" r="3810" b="3175"/>
            <wp:docPr id="8" name="图片 8" descr="图片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8" descr="图片6"/>
                    <pic:cNvPicPr>
                      <a:picLocks noChangeAspect="true"/>
                    </pic:cNvPicPr>
                  </pic:nvPicPr>
                  <pic:blipFill>
                    <a:blip r:embed="rId9"/>
                    <a:stretch>
                      <a:fillRect/>
                    </a:stretch>
                  </pic:blipFill>
                  <pic:spPr>
                    <a:xfrm>
                      <a:off x="0" y="0"/>
                      <a:ext cx="3482340" cy="2092325"/>
                    </a:xfrm>
                    <a:prstGeom prst="rect">
                      <a:avLst/>
                    </a:prstGeom>
                  </pic:spPr>
                </pic:pic>
              </a:graphicData>
            </a:graphic>
          </wp:inline>
        </w:drawing>
      </w:r>
    </w:p>
    <w:p>
      <w:pPr>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12" w:name="_Toc26009"/>
      <w:r>
        <w:rPr>
          <w:rFonts w:hint="eastAsia" w:ascii="仿宋_GB2312" w:hAnsi="仿宋_GB2312" w:eastAsia="仿宋_GB2312" w:cs="仿宋_GB2312"/>
          <w:sz w:val="32"/>
          <w:szCs w:val="32"/>
        </w:rPr>
        <w:t>（三）一般公共预算财政拨款支出决算具体情况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2023年度一般公共预算支出决算数为2495.03万元，完成预算100%。其中：2023年一般公共预算支出决算数为2495.03，完成预算100%。其中：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1．社会保障和就业支出（类）行政事业单位养老支出（款）机关事业单位基本养老保险缴费支出（项）：支出决算为45.41万元，完成预算100%，决算数与预算数持平。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2．社会保障和就业支出（类）行政事业单位养老支出（款）机关事业单位职业年金缴费支出（项）：支出决算为3.04万元，完成预算100%，决算数与预算数持平。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3．卫生健康支出（类）行政事业单位医疗（款）行政单位医疗（项）：支出决算为22.71万元，完成预算100%，决算数与预算数持平。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4．节能环保支出（类）环境保护管理事务（款）行政运行（项）：支出决算为305.86万元，完成预算100%.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5．节能环保支出（类）环境保护管理事务（款）一般行政管理实务（项）支出决算为23万元（属上年结转指标），完成预算100%，决算数与预算数持平。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6．节能环保支出（类）环境保护管理事务（款）生态环境保护宣传（项）：支出决算为20万元，完成预算100%，决算数与预算数持平。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7．节能环保支出（类）环境保护管理事务（款）其他环境保护管理事务支出（项）：支出决算为18万元，完成预算100%。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 节能环保支出（类）环境监测与监察（款）其他环境监测与监察支出（项）：支出决算为195.97万元，完成预算100%。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9.节能环保支出（类）污染防治（款）大气（项）：支出决算为25万元，完成预算100%，决算数与预算数持平。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10.节能环保支出（类）污染防治（款）水体（项）：支出决算为1758.90万元，完成预算100%，决算数与预算数持平。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．节能环保支出（类）污染防治（款）其他污染防治支出（项）：支出决算为42.1万元，完成预算100%，决算数与预算数持平。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．住房保障支出（类）住房改革支出（款）住房公积金（项）：支出决算为35.04万元，完成预算100%，决算数与预算数持平。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rPr>
      </w:pPr>
      <w:bookmarkStart w:id="13" w:name="_Toc15049"/>
      <w:r>
        <w:rPr>
          <w:rFonts w:hint="eastAsia" w:ascii="黑体" w:hAnsi="黑体" w:eastAsia="黑体" w:cs="黑体"/>
          <w:sz w:val="32"/>
          <w:szCs w:val="32"/>
        </w:rPr>
        <w:t>六、一般公共预算财政拨款基本支出决算情况说明</w:t>
      </w:r>
      <w:bookmarkEnd w:id="13"/>
      <w:r>
        <w:rPr>
          <w:rFonts w:hint="eastAsia" w:ascii="黑体" w:hAnsi="黑体" w:eastAsia="黑体" w:cs="黑体"/>
          <w:sz w:val="32"/>
          <w:szCs w:val="32"/>
        </w:rPr>
        <w:tab/>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2023年度一般公共预算财政拨款基本支出518.03万元，其中：人员经费410.24万元，主要包括：基本工资、津贴补贴、奖金、绩效工资、机关事业单位基本养老保险缴费、职业年金缴费、</w:t>
      </w:r>
      <w:r>
        <w:rPr>
          <w:rFonts w:hint="eastAsia" w:ascii="仿宋_GB2312" w:hAnsi="仿宋_GB2312" w:eastAsia="仿宋_GB2312" w:cs="仿宋_GB2312"/>
          <w:sz w:val="32"/>
          <w:szCs w:val="32"/>
          <w:lang w:eastAsia="zh-CN"/>
        </w:rPr>
        <w:t>职工基本医疗保险缴费、</w:t>
      </w:r>
      <w:r>
        <w:rPr>
          <w:rFonts w:hint="eastAsia" w:ascii="仿宋_GB2312" w:hAnsi="仿宋_GB2312" w:eastAsia="仿宋_GB2312" w:cs="仿宋_GB2312"/>
          <w:sz w:val="32"/>
          <w:szCs w:val="32"/>
        </w:rPr>
        <w:t>其他社会保障缴费、生活补助、住房公积金等。</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公用经费107.79万元，主要包括：办公费、印刷费、水费、电费、邮电费、物业管理费、差旅费、维修（护）费、租赁费、会议费、培训费、公务接待费、劳务费、工会经费、福利费、公务用车运行维护费、其他交通费、其他商品和服务支出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bookmarkStart w:id="14" w:name="_Toc4223"/>
      <w:r>
        <w:rPr>
          <w:rFonts w:hint="eastAsia" w:ascii="黑体" w:hAnsi="黑体" w:eastAsia="黑体" w:cs="黑体"/>
          <w:sz w:val="32"/>
          <w:szCs w:val="32"/>
        </w:rPr>
        <w:t>七、财政拨款“三公”经费支出决算情况说明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15" w:name="_Toc10109"/>
      <w:r>
        <w:rPr>
          <w:rFonts w:hint="eastAsia" w:ascii="仿宋_GB2312" w:hAnsi="仿宋_GB2312" w:eastAsia="仿宋_GB2312" w:cs="仿宋_GB2312"/>
          <w:sz w:val="32"/>
          <w:szCs w:val="32"/>
        </w:rPr>
        <w:t>（一）“三公”经费财政拨款支出决算总体情况说明</w:t>
      </w:r>
      <w:bookmarkEnd w:id="15"/>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2023年度“三公”经费财政拨款支出决算为6.2万元，完成预算100%，</w:t>
      </w:r>
      <w:r>
        <w:rPr>
          <w:rFonts w:hint="eastAsia" w:ascii="仿宋_GB2312" w:hAnsi="仿宋_GB2312" w:eastAsia="仿宋_GB2312" w:cs="仿宋_GB2312"/>
          <w:sz w:val="32"/>
          <w:szCs w:val="32"/>
          <w:lang w:eastAsia="zh-CN"/>
        </w:rPr>
        <w:t>决算数与预算数</w:t>
      </w:r>
      <w:r>
        <w:rPr>
          <w:rFonts w:hint="eastAsia" w:ascii="仿宋_GB2312" w:hAnsi="仿宋_GB2312" w:eastAsia="仿宋_GB2312" w:cs="仿宋_GB2312"/>
          <w:sz w:val="32"/>
          <w:szCs w:val="32"/>
        </w:rPr>
        <w:t>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16" w:name="_Toc4690"/>
      <w:r>
        <w:rPr>
          <w:rFonts w:hint="eastAsia" w:ascii="仿宋_GB2312" w:hAnsi="仿宋_GB2312" w:eastAsia="仿宋_GB2312" w:cs="仿宋_GB2312"/>
          <w:sz w:val="32"/>
          <w:szCs w:val="32"/>
        </w:rPr>
        <w:t>（二）“三公”经费财政拨款支出决算具体情况说明</w:t>
      </w:r>
      <w:bookmarkEnd w:id="16"/>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2023年度“三公”经费财政拨款支出决算中，因公出国（境）费支出决算0万元，占0%；公务用车运行维护费支出决算3万元，占48.39%；公务接待费支出决算3.2万元，占51.61%。具体情况如下：</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（图7：“三公”经费财政拨款支出结构）（饼状图）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ascii="仿宋_GB2312" w:hAnsi="仿宋_GB2312" w:eastAsia="仿宋_GB2312" w:cs="仿宋_GB2312"/>
          <w:sz w:val="32"/>
          <w:szCs w:val="32"/>
          <w:lang w:eastAsia="zh-CN"/>
        </w:rPr>
        <w:drawing>
          <wp:inline distT="0" distB="0" distL="114300" distR="114300">
            <wp:extent cx="4857750" cy="2571750"/>
            <wp:effectExtent l="0" t="0" r="0" b="0"/>
            <wp:docPr id="9" name="图片 9" descr="图片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9" descr="图片7"/>
                    <pic:cNvPicPr>
                      <a:picLocks noChangeAspect="true"/>
                    </pic:cNvPicPr>
                  </pic:nvPicPr>
                  <pic:blipFill>
                    <a:blip r:embed="rId10"/>
                    <a:stretch>
                      <a:fillRect/>
                    </a:stretch>
                  </pic:blipFill>
                  <pic:spPr>
                    <a:xfrm>
                      <a:off x="0" y="0"/>
                      <a:ext cx="4857750" cy="25717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1.因公出国（境）经费支出0万元，年初未安排预算，因公出国（境）支出决算较2022年无变化。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购置及运行维护费支出3万元,完成预算100%。公务用车购置及运行维护费支出决算和2022年度持平。其中：公务用车购置支出0万元。年初未安排预算，全年按规定更新购置公务用车0辆，截至2023年12月底，单位共有公务用车4辆，其中：轿车2辆、越野车2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公务用车运行维护费支出3万元。主要用于生态环境监察执法、环保督察、环境应急、环境质量监测等所需的公务用车燃料费、维修费、过路过桥费、保险费等支出。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3.公务接待费支出3.2万元，完成预算100%。公务接待费支出决算和2022年度持平。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内公务接待支出3.2万元，主要用于主要用于执行公务、开展业务活动开支的交通费、住宿费、用餐费等。国内公务接待58批次，267人次，共计支出3.2万元，具体内容包括：上级环保督察、专项检查、环境质量监测技术指导及检查、调研等活动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外事接待支出0万元，外事接待支出决算较2022年无变化。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bookmarkStart w:id="17" w:name="_Toc6614"/>
      <w:r>
        <w:rPr>
          <w:rFonts w:hint="eastAsia" w:ascii="黑体" w:hAnsi="黑体" w:eastAsia="黑体" w:cs="黑体"/>
          <w:sz w:val="32"/>
          <w:szCs w:val="32"/>
        </w:rPr>
        <w:t>八、政府性基金预算支出决算情况说明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2023年政府性基金预算财政拨款支出0万元。2023年本单位未在政府性基金预算安排“三公经费”支出。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bookmarkStart w:id="18" w:name="_Toc25842"/>
      <w:r>
        <w:rPr>
          <w:rFonts w:hint="eastAsia" w:ascii="黑体" w:hAnsi="黑体" w:eastAsia="黑体" w:cs="黑体"/>
          <w:sz w:val="32"/>
          <w:szCs w:val="32"/>
        </w:rPr>
        <w:t>九、国有资本经营预算支出决算情况说明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2023年国有资本经营预算财政拨款支出0万元。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bookmarkStart w:id="19" w:name="_Toc29078"/>
      <w:r>
        <w:rPr>
          <w:rFonts w:hint="eastAsia" w:ascii="黑体" w:hAnsi="黑体" w:eastAsia="黑体" w:cs="黑体"/>
          <w:sz w:val="32"/>
          <w:szCs w:val="32"/>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20" w:name="_Toc2291"/>
      <w:r>
        <w:rPr>
          <w:rFonts w:hint="eastAsia" w:ascii="仿宋_GB2312" w:hAnsi="仿宋_GB2312" w:eastAsia="仿宋_GB2312" w:cs="仿宋_GB2312"/>
          <w:sz w:val="32"/>
          <w:szCs w:val="32"/>
        </w:rPr>
        <w:t>（一）机关运行经费支出情况</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2022年，广元市剑阁生态环境局机关运行经费支出107.79万元，比2022年减少2.38万元，减少2.16%。减少的主要原因：人员减少。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21" w:name="_Toc13684"/>
      <w:r>
        <w:rPr>
          <w:rFonts w:hint="eastAsia" w:ascii="仿宋_GB2312" w:hAnsi="仿宋_GB2312" w:eastAsia="仿宋_GB2312" w:cs="仿宋_GB2312"/>
          <w:sz w:val="32"/>
          <w:szCs w:val="32"/>
        </w:rPr>
        <w:t>（二）政府采购支出情况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2023年度，政府采购项目支出为0万元。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22" w:name="_Toc6359"/>
      <w:r>
        <w:rPr>
          <w:rFonts w:hint="eastAsia" w:ascii="仿宋_GB2312" w:hAnsi="仿宋_GB2312" w:eastAsia="仿宋_GB2312" w:cs="仿宋_GB2312"/>
          <w:sz w:val="32"/>
          <w:szCs w:val="32"/>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截至2023 年12月31日，广元市剑阁生态环境局共有车辆4辆，其中：特种专业技术用车4辆，其他用车主要是用于开展环境监察执法、环境监测、环境应急等工作。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sz w:val="32"/>
          <w:szCs w:val="32"/>
        </w:rPr>
      </w:pPr>
      <w:bookmarkStart w:id="23" w:name="_Toc12777"/>
      <w:r>
        <w:rPr>
          <w:rFonts w:hint="eastAsia" w:ascii="仿宋_GB2312" w:hAnsi="仿宋_GB2312" w:eastAsia="仿宋_GB2312" w:cs="仿宋_GB2312"/>
          <w:sz w:val="32"/>
          <w:szCs w:val="32"/>
        </w:rPr>
        <w:t>（四）预算绩效管理情况</w:t>
      </w:r>
      <w:bookmarkEnd w:id="23"/>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仿宋_GB2312" w:eastAsia="仿宋_GB2312" w:cs="仿宋_GB2312"/>
          <w:sz w:val="32"/>
          <w:szCs w:val="32"/>
        </w:rPr>
        <w:t>根据预算绩效管理要求，本单位在2023年度预算编制阶段，组织对水污染防治资金、环境监察执法工作经费、生态环境监测工作经费等17个项目开展了预算事前绩效评估，对以上17个项目经费编制了绩效目标，预算执行过程中，选取17个项目开展绩效监控，年终执行完毕后，对17个项目（包括人员经费和公用经费）开展了绩效自评，</w:t>
      </w:r>
      <w:r>
        <w:rPr>
          <w:rFonts w:hint="eastAsia" w:ascii="仿宋_GB2312" w:hAnsi="Times New Roman" w:eastAsia="仿宋_GB2312" w:cs="Times New Roman"/>
          <w:color w:val="auto"/>
          <w:sz w:val="32"/>
          <w:szCs w:val="32"/>
          <w:highlight w:val="none"/>
          <w:lang w:val="en-US" w:eastAsia="zh-CN"/>
        </w:rPr>
        <w:t>绩效自评表详见第四部分附件。</w:t>
      </w:r>
    </w:p>
    <w:p>
      <w:pPr>
        <w:jc w:val="center"/>
        <w:rPr>
          <w:rFonts w:hint="eastAsia" w:ascii="方正小标宋简体" w:hAnsi="方正小标宋简体" w:eastAsia="方正小标宋简体" w:cs="方正小标宋简体"/>
          <w:sz w:val="44"/>
          <w:szCs w:val="44"/>
        </w:rPr>
      </w:pPr>
    </w:p>
    <w:p>
      <w:pPr>
        <w:jc w:val="center"/>
        <w:outlineLvl w:val="0"/>
        <w:rPr>
          <w:rFonts w:hint="eastAsia" w:ascii="方正小标宋简体" w:hAnsi="方正小标宋简体" w:eastAsia="方正小标宋简体" w:cs="方正小标宋简体"/>
          <w:sz w:val="44"/>
          <w:szCs w:val="44"/>
        </w:rPr>
      </w:pPr>
      <w:bookmarkStart w:id="24" w:name="_Toc25391"/>
      <w:r>
        <w:rPr>
          <w:rFonts w:hint="eastAsia" w:ascii="方正小标宋简体" w:hAnsi="方正小标宋简体" w:eastAsia="方正小标宋简体" w:cs="方正小标宋简体"/>
          <w:sz w:val="44"/>
          <w:szCs w:val="44"/>
        </w:rPr>
        <w:t>第三部分　名词解释</w:t>
      </w:r>
      <w:bookmarkEnd w:id="24"/>
    </w:p>
    <w:p>
      <w:pPr>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1．财政拨款收入：指单位从同级财政部门取得的财政预算资金。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2．其他收入：指单位取得的除上述收入以外的各项收入</w:t>
      </w:r>
      <w:r>
        <w:rPr>
          <w:rFonts w:hint="eastAsia" w:ascii="仿宋_GB2312" w:hAnsi="仿宋_GB2312" w:eastAsia="仿宋_GB2312" w:cs="仿宋_GB2312"/>
          <w:sz w:val="32"/>
          <w:szCs w:val="32"/>
          <w:lang w:eastAsia="zh-CN"/>
        </w:rPr>
        <w:t>，主要是县区财政拨款收入</w:t>
      </w:r>
      <w:bookmarkStart w:id="28" w:name="_GoBack"/>
      <w:bookmarkEnd w:id="28"/>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3．年初结转和结余：指以前年度尚未完成、结转到本年按有关规定继续使用的资金。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4．社会保障和就业支出（类）行政事业单位养老支出（款）机关事业单位基本养老保险缴费支出（项）:指本单位缴纳的2023年基本养老保险费。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5．社会保障和就业支出（类）行政事业单位养老支出（款）机关事业单位职业年金缴费支出（项）：反映机关事业单位实施养老制度由单位实际缴纳的职业年金支出。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6．卫生健康（类）行政事业单位医疗（款）行政单位医疗（项）：指本单位缴纳的2023年医疗保险费。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卫生健康(类）行政事业单位医疗（款）事业单位医疗（项）：指反映财政部门安排的事业单位基本医疗保险缴费经费，未参加医疗保险的事业单位的公费医疗经费，按国家规定享受离休人员待遇人员的医疗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8．节能环保(类）环境保护管理事务（款）行政运行（项）：指反映行政单位（包括实行公务员管理的事业单位）的基本支出。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节能环保(类）环境保护管理事务（款）一般行政管理事务（项）：指反映行政单位（包括实行公务员管理的事业单位）未单独设置项级科目的其他项目支出。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节能环保(类）环境保护管理事务（款）机关服务（项）：指反映行政单位（包括实行公务员管理的事业单位）提供的各类后勤服务的支出。其他事业单位的支出，凡单独设置了项级科目的，在单独设置项级科目中反映。未单独设置项级科目的，在“其他”项级科目中反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11．节能环保(类）环境保护管理事务（款）生态环境保护宣传（项）：指反映生态环境部门环境保护宣传教育方面的支出。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12．节能环保(类）环境保护管理事务（款）其他环境保护管理事务（项）：指反映除上述项目以外其他用于环境保护管理事务方面的支出。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13．节能环保(类）污染防治（款）水体（项）：指反映政府在排水、污水处理、水污染防治、湖库生态环境保护、水源地保护、国土江河综合整治、河流治理与保护、地下水修复与保护等方面的支出。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14．节能环保(类）污染防治（款）其他污染防治（项）：指反映除上述项目以外其他用于自然生态保护方面的支出。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15．节能环保(类）自然生态保护（款）其他自然生态保护支出（项）：指反映除上述项目以外其他用于自然生态保护方面的支出。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16．节能环保(类）其他节能环保（款）其他节能环保（项）：指反映除上述项目以外其他用于节能环保方面的支出。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17．住房保障（类）住房改革（款）住房公积金（项）:指本单位缴纳的2023年住房公积金。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sectPr>
          <w:pgSz w:w="11906" w:h="16838"/>
          <w:pgMar w:top="2098" w:right="1474" w:bottom="1984" w:left="1587" w:header="851" w:footer="992" w:gutter="0"/>
          <w:cols w:space="425" w:num="1"/>
          <w:docGrid w:type="lines" w:linePitch="312" w:charSpace="0"/>
        </w:sectPr>
      </w:pPr>
      <w:r>
        <w:rPr>
          <w:rFonts w:hint="eastAsia" w:ascii="仿宋_GB2312" w:hAnsi="仿宋_GB2312" w:eastAsia="仿宋_GB2312" w:cs="仿宋_GB2312"/>
          <w:sz w:val="32"/>
          <w:szCs w:val="32"/>
        </w:rPr>
        <w:t>21．机关运行经费：为保障行政单位（含参照公务员法管理的事业单位）运行用于购买货物和服务的各项资金，包括办公费、印刷费、邮电费、差旅费、会议费、福利费、日常维修费、办公用房水电费、办公用房物业管理费以及其他费用。</w:t>
      </w:r>
    </w:p>
    <w:p>
      <w:pPr>
        <w:spacing w:line="600" w:lineRule="exact"/>
        <w:jc w:val="center"/>
        <w:outlineLvl w:val="0"/>
        <w:rPr>
          <w:rStyle w:val="9"/>
          <w:rFonts w:hint="eastAsia" w:ascii="方正小标宋简体" w:hAnsi="方正小标宋简体" w:eastAsia="方正小标宋简体" w:cs="方正小标宋简体"/>
          <w:b w:val="0"/>
          <w:color w:val="auto"/>
          <w:sz w:val="44"/>
          <w:szCs w:val="44"/>
          <w:highlight w:val="none"/>
        </w:rPr>
      </w:pPr>
      <w:bookmarkStart w:id="25" w:name="_Toc18265"/>
      <w:r>
        <w:rPr>
          <w:rFonts w:hint="eastAsia" w:ascii="方正小标宋简体" w:hAnsi="方正小标宋简体" w:eastAsia="方正小标宋简体" w:cs="方正小标宋简体"/>
          <w:color w:val="auto"/>
          <w:sz w:val="44"/>
          <w:szCs w:val="44"/>
          <w:highlight w:val="none"/>
        </w:rPr>
        <w:t>第</w:t>
      </w:r>
      <w:r>
        <w:rPr>
          <w:rStyle w:val="9"/>
          <w:rFonts w:hint="eastAsia" w:ascii="方正小标宋简体" w:hAnsi="方正小标宋简体" w:eastAsia="方正小标宋简体" w:cs="方正小标宋简体"/>
          <w:b w:val="0"/>
          <w:color w:val="auto"/>
          <w:sz w:val="44"/>
          <w:szCs w:val="44"/>
          <w:highlight w:val="none"/>
        </w:rPr>
        <w:t>四部分 附件</w:t>
      </w:r>
      <w:bookmarkEnd w:id="25"/>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1"/>
        <w:rPr>
          <w:rFonts w:hint="eastAsia" w:ascii="仿宋_GB2312" w:hAnsi="仿宋_GB2312" w:eastAsia="仿宋_GB2312" w:cs="仿宋_GB2312"/>
          <w:color w:val="FF0000"/>
          <w:sz w:val="32"/>
          <w:szCs w:val="32"/>
          <w:highlight w:val="none"/>
        </w:rPr>
      </w:pPr>
      <w:bookmarkStart w:id="26" w:name="_Toc10909"/>
      <w:r>
        <w:rPr>
          <w:rFonts w:hint="eastAsia" w:ascii="仿宋_GB2312" w:hAnsi="仿宋_GB2312" w:eastAsia="仿宋_GB2312" w:cs="仿宋_GB2312"/>
          <w:sz w:val="32"/>
          <w:szCs w:val="32"/>
          <w:highlight w:val="none"/>
          <w:lang w:val="en-US" w:eastAsia="zh-CN"/>
        </w:rPr>
        <w:t>部门预算项目支出绩效自评表（2023年度）</w:t>
      </w:r>
      <w:bookmarkEnd w:id="26"/>
    </w:p>
    <w:p>
      <w:pPr>
        <w:pStyle w:val="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sz w:val="32"/>
          <w:szCs w:val="32"/>
          <w:highlight w:val="none"/>
          <w:lang w:val="en-US" w:eastAsia="zh-CN"/>
        </w:rPr>
      </w:pPr>
    </w:p>
    <w:tbl>
      <w:tblPr>
        <w:tblStyle w:val="7"/>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9"/>
        <w:gridCol w:w="1989"/>
        <w:gridCol w:w="1739"/>
        <w:gridCol w:w="2219"/>
        <w:gridCol w:w="516"/>
        <w:gridCol w:w="1646"/>
        <w:gridCol w:w="756"/>
        <w:gridCol w:w="1081"/>
        <w:gridCol w:w="504"/>
        <w:gridCol w:w="486"/>
        <w:gridCol w:w="2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294.15</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297.73</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297.73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294.15</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297.73</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297.73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本项目自评得分100分，严格执行相关政策，做到及时、足额发放，无结余资金。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项目负责人：蒲凤清</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单位日常运转高效保障。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46.80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46.80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46.80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46.80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46.80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46.80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本项目自评得分100分，严格按预算执行预算编制。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项目负责人：蒲凤清</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单位日常运转高效保障。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33.99</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33.99</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33.99</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33.99</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33.99</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33.99</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本项目自评得分100分，严格按预算执行预算编制。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项目负责人：蒲凤清</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51080022T000005607202-横向流域生态补偿奖励资金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1.推动嘉陵江流域闻溪河沿线农村生活污水得到有效治理，确保流域水环境质量逐步改善。</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2.推动嘉陵江流域清江河沿线煤矿涌水治理项目铁泥得到妥善处置，清江河流域水环境稳中有升。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整治区域内水环境问题得到有效治理，入河污染物排放量有效削减，清江河、闻溪河水环境质量显著改善。流域水环境质量持续提升，清江河、闻溪河水质达到地表水三类及以上。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对清江河流域（上寺段）水环境开展治理，完成铁泥压滤系统建设并投入运行。对闻溪河流域（普安段）开展治理，新建钢筋混凝土检查井21座，30 立方米化粪池6座,2立方米化粪池60座及配套污水收集管网。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85.91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85.91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85.91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85.91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铁泥压滤系统设备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闻溪河沿线农村生活污水治理率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符合验收标准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闻溪河沿线农村环境改善，清江河沿线煤矿涌水治理项目铁泥得到妥善处置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流域绿色发展水平</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受益群众对流域农村水环境改善满意率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项目完成铁泥压滤系统建设并投入运行。新建钢筋混凝土检查井21座，30 立方米化粪池6座,2立方米化粪池60座及配套污水收集管网。整治区域内水环境问题得到有效治理，入河污染物排放量有效削减，清江河、闻溪河水环境质量显著改善。流域水环境质量持续提升，清江河、闻溪河水质达到地表水三类及以上。绩效指标综合评分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项目负责人：尤泳</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51080022T000007132087-重点流域水污染治理和水生态保护修复项目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剑阁县闻溪河流域部分黑臭水体实施治理，其中河道淤青疏浚48500立方米，生态修复28400平方米，污水处理厂尾水治理1项。</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解决闻溪河流域(普安镇场镇段)黑臭水体问题，改善水体环境，改良河底基质层，优化沿河植被、水生植物群落，改善河道水环境质量。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剑阁县闻溪河流域部分黑臭水体实施治理，其中河道淤青疏浚48500立方米，生态修复28400平方米，污水处理厂尾水治理1项。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583.00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583.00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583.00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583.00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583.00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583.00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支持项目个数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项目验收合格率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支持项目在方案规定的时限内实施完成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环境管理水平</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断面水质达到国家考核要求</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进一步提高辖区水生态环境质量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本项目解决闻溪河流域(普安镇场镇段)黑臭水体问题，改善水体环境，改良河底基质层，优化沿河植被、水生植物群落，改善河道水环境质量。自评得分100分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项目负责人：范生锦</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51080022T000007132109-集中式饮用水水源地保护和地下水生态环境保护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2个乡镇集中式饮用水源地保护和地下水生态环境保护。</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对广元市剑阁县演圣镇亭坝水库，姚家镇高台水库开展各水库周边生活污水及农业面源污染治理、水源地生态修复饮用水源地规范化建设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演圣镇亭坝水库饮用水水源地保护区新建及修复隔离防护网共150m；在保护区内共设置2块宣传牌。新建前置塘2210m2，人工湿地7100m2，新建生态浮岛3个。在水源地保护区内新建三格式化粪池+清水池52座；新建垃圾收集房3座，清运垃圾三轮车1辆。在水源地保护区内建设生态沟渠2280米及配套溢流坝27座。在姚家镇高台水库饮用水水源地保护区新建及修复隔离防护网共2130m；在保护区内共设置4块宣传牌。新建前置塘2210m2，人工湿地7100m2，新建生态浮岛3个，新建。在水源地保护区内新建三格式化粪池+清水池52座；新建垃圾收集房3座，清运垃圾三轮车1辆。在水源地保护区内建设生态沟渠2280米及配套溢流坝27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2,901.00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978.00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978.00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2,901.00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978.00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978.00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整治的饮用水水源地数量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项目工程质量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饮用水水质和区域地下水环境质量改善对周边影响</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变好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变好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集中式饮用水水源水质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达到或优于Ⅲ类</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达到或优于Ⅲ类</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水源地和地下水环境监管能力</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群众对项目满意度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基本遏制项目涉及饮用水水源地环境质量下降趋劳；水污染物排放得到有效控制，生态环境恶化趋势得到遏制。使水源地的水质基本达到地表水II类水质要求，确保周边群众饮水安全。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项目负责人：范生锦</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51080023T000008410927-生态环境政策法规与宣教工作经费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深入宣传贯彻习近平生态文明思想，开展生态环境保护宣传教育，大力弘扬生态文明和生态道德，营造“人人关心环境保护、人人参与生态文明建设”的良好社会氛围。2023年度开展至少2次专题培训；组织开展新闻宣传策划与采访宣传报道；做好微信公众“剑阁生态环境”运营管理；组织开展六五环境日、世界水日、低碳日等主题宣传活动；组织环保设施向公众开放活动；组织做好“美境行动”等环境教育；组织做好意识形态、学法普法、扫黑除恶、森林防火等重点宣传活动。认真开展生态环境损害赔偿案件办理、行政处罚案件初核工作。</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按照年初任务，积极开展宣传思想文化、意识形态、依法治县、生态环境损害赔偿、信用评价等相关工作。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深入开展宣传贯彻习近平生态文明思想、习近平来川来广重要指示精神等，组织组织开展六五环境日、生物多样性日、低碳日等主题宣传活动；组织环保设施向公众开放活动，组织做好意识形态、学法普法、文明城市创建等重点宣传活动。办理6件生态环境损害赔偿案件、11件行政处罚案件初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案件办理、初核</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购置并发放宣传资料</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7000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开展宣传活动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开展生态环境保护专题培训</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环境宣传动态</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提高公众环保意识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公众环保意识提高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公众环保意识提高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持续改善县域环境质量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县域环境质量改善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县域环境质量改善</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公众对环境满意率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本项目自评100分，将生态环境政策法规与宣教工作纳入年度目标和党建工作责任制，做到与全局整体工作同安排、同部署、同推进、同督促、同考核，确保宣传思想文化工作整体推进，取得一定实效。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宣传与业务工作有效衔接有待提升，缺乏深入研究统一部署，未能将宣传工作与生态环境业务工作有机结合，主动宣传意识不强，宣传不够深入，信息撰写的质量有待提高，在构建宣传“一盘棋”的工作思路上有待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牢牢把握正确导向，加强生态环境工作整体策划、板块推进、集群式宣传，探索外宣形式丰富化，不断巩固壮大积极健康向上的主流舆论，推动生态环境事业发展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项目负责人：李其原</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51080023T000008411285-建设项目审查工作经费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完成建设项目环境影响评价文件审查、企业排污许可管理及核与辐射安全管理工作。</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完成建设项目环境影响评价文件审查、企业排污许可管理及核与辐射安全管理工作。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完成8个项目环评文件审批，新办理4家企业排污许可证，新办理1家核与辐射安全许可证。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完成核技术利用工作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开展企业排污许可管理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47</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完成项目评审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县域环境安全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县域环境安全性提高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县域环境安全性提高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服务对象对建设项目评审满意度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本项目自评得分95分，2022年度完成了新进项目的环评，排污许可证企业的复核以及射线企业的监管，确保县域生态环境安全。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项目负责人：颜莉</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51080023T000008411295-生态环境执法与应急工作经费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1.完成省市下达的环境监管检查任务（对400余家污染源企业、2个自然保护区、1个风景名胜区、43个饮用水水源地等开展日常生态环境监管。 2.及时调查处理环境信访问题，提升群众满意度。3.开展环境安全隐患常态化排查整治，加强环境安全应急物资储备，强化应急预案备案；加强安全生产、食品安全、森林防灭火等工作经费投入和队伍建设。4.对全县疫情隔离点、涉疫生活污水处理厂、及医疗危废处置中的废水、垃圾进行管控。 5.聘请环境应急工作人员经费。</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1.2023年开展生态环境监督检查266次，其中明查198次、暗查暗访67次，测管协同37次。2.2023年共办理涉水、气、噪音等环境污染的信访投诉92件次，截止2023年底全部办结完成，群众满意率达100%。3.常态化开展环境安全隐患排查整治，全年排查环境安全问题26个，全部完成整改；完成pvc防护靴、重型围油栏等6类环境应急物资入库，22类执法装备入库。4.常态化开展疫情隔离点、涉疫生活污水处理厂、及医疗危废处置现场检查及在线监管。5.成立突发生态环境事件应急专家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1.2023年开展生态环境监督检查266次，其中明查198次、暗查暗访67次，测管协同37次。2.2023年共办理涉水、气、噪音等环境污染的信访投诉92件次，截止2023年底全部办结完成，群众满意率达100%。3.常态化开展环境安全隐患排查整治，全年排查环境安全问题26个，全部完成整改；完成pvc防护靴、重型围油栏等6类环境应急物资入库，完成录音笔、移动执法终端等22类执法装备入库，完成14家企业应急预案备案工作，17家企业预案修订。4.常态化开展疫情隔离点、涉疫生活污水处理厂、及医疗危废处置现场检查及在线监管。5.成立突发生态环境事件应急专家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完成“双随机““一公开”及专项执法检查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市定目标任务完成率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生态环境安全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改善县域环境</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县域环境改善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县域环境改善</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1.2023年开展生态环境监督检查266次，其中明查198次、暗查暗访67次，测管协同37次，完成省、是“双随机、一公开”执法检查87次，完成比例100%。2.2023年剑阁县未发生重大环境污染事故和生态破坏事件，推动开展安装联网自动监测设施企、西河流域、畜禽养殖、污水处理厂专项检查，市下任务完成率100%。3.2023年共办理涉水、气、噪音等环境污染的信访投诉92件次，截止2023年底全部办结完成，群众满意率达100%。4.2023年全年执法支出41万元。综合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由于职责划分导致对风景名胜区、自然保护区、饮用水水源地监管力度不够；2.专项排查涉及点多、面广，我县在编在岗执法人员仅9人，造成专项排查整治不彻底。3.队伍能力建设存在差距，由于执法人员年龄跨度较大，专业水平及工作经验有限，工作开展存在难点，在线监控、无人机等开展非现场监管的要求还有差距设施设备较为落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结合市、县工作任务，借助“双随机”、信访调处、网格化环境监管体系，结合开展各类专项检查，确保问题排查到位，整改不反弹。2.将风景名胜区、自然保护区、饮用水水源地纳入“双随机”监管平台，制定检查计划，加大生态监察。3.聘请生态环境执法、环境应急、执法装备应用专家，对执法人员常态化开展业务培训，加大执法装备在执法检查中的运用，推动执法规范化、标准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项目负责人：李治剑</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51080023T000008411311-环境监督管理与污染防治工作经费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主要开展柴油货车尾气抽测，非道路移动机械编码、尾气抽测，需委托有检测能力的第三方进行检测。2.开展污染防治专项工作培训。3.开展水、气、土壤、固废和农村环境等日常管理工作开展。4.中央、省级常规环保督察、后督察迎检，反馈、信访问题整改现场检查、督促、指导、推进等</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开展柴油货车尾气抽测，非道路移动机械编码、尾气抽测，需委托有检测能力的第三方进行检测。2.开展污染防治专项工作培训。3.开展水、气、土壤、固废和农村环境等日常管理工作开展。4.中央、省级常规环保督察、后督察迎检，反馈、信访问题整改现场检查、督促、指导、推进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是积极实施工业达标排放行动，牵头印发《剑阁县2023年臭氧污染防治攻坚方案》，全覆盖开展砖瓦企业、水泥等重点行业企业排查整治，大力推进清洁生产，确保工业企业大气污染物排放达标率98%以上。二是牵头印发《剑阁县大气污染防治联防联控秸秆禁烧工作职责清单》，全域禁止露天焚烧秸秆，常态化开展秸秆露天焚烧专项检查，保障全县“不见火光、不冒黑烟、不见黑斑”。三是精细管控城市颗粒物，对建筑和道路扬尘开展专项整治，在春节期间开展烟花爆竹禁燃禁放巡查；加强移动污染源管控，加快淘汰黄标车和老旧车，常态开展柴油货车尾气路检抽测，进一步确保全县环境空气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42.10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42.10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42.10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42.10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42.10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42.10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河流水环境管理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处</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大气环境管理完成尾气检测次数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540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重点企业土壤环境监管、危险废物产废单位监管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124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集中式饮用水水源地环境管理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43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对全县农村行政村生活污水治理实施环境管理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311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督促完成生态环境保护督察反馈问题整改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水环境质量达标，空气环境质量达标，农村生活污水得到有效治理达标率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生态环境社会效益</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生态环境社会效益优异</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生态环境社会效益优异</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环境质量改善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环境质量改善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环境质量改善</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坚持精准、科学、依法治污，持续深入打好蓝天、碧水、净土保卫战，确保环境空气质量稳定保持全市前列，常态实现一江清水出剑阁、土壤环境保持稳定。本项目自评得分100分。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项目负责人：尤泳</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51080023T000008411527-环境管理监测工作经费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1.2023年生态环境监测工作；2、省空气、水自动站运行基础保障；3、疫情防控监测等工作。</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已完成2023年县域内监测233处，其中主要包含上、下半年乡镇饮用水、一、二、三、四季度千吨万人饮用水水源地监测及其他例行监测工作；省空气、水自动站水、电、站房均保障到位，设施设备运行正常，全年空气质量优良率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2023年县域内监测共计233处，其中主要包含上、下半年乡镇饮用水、一、二、三、四季度千吨万人饮用水水源地监测及其他例行监测工作；省空气、水自动站水、电、站房均保障到位，设施设备运行正常。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监控平台正常运行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处</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完成县域内监测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处</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完成市定目标任务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高效高质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高效高质</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环境质量有效改善、提升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环境质量有效改善、提升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环境质量有效改善、提升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县域环境改善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环境质量有效改善、提升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环境质量有效改善、提升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公众对环境满意率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年度监测方案，全年高质量完成县域内233处监测工作及市、县下达相关监测工作，其中国控铁炉寺断面所监测项目水质年均达Ⅱ类水质；省控石羊村（清江河）、大桥村（清江河）、金刚渡口（西河）、金刚渡口（西河）、花石包（白溪浩河）、市级河长制窑沟社区铁路桥上游100米（大窑沟河）、天子墓（沙坝河）、伍家河（西河）所监测项目水质均达到或优于地表水环境质量Ⅲ类标准；2023年修城坝点环境空气年均值符合国家环境空气质量二级标准，优良天数343天，达标率为94%，县域环境质量持续、稳步提升。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项目负责人：欧阳倩</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51080023T000008411544-生态环境监测委托业务费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完成2023年度环境质量监测工作、重点污染源监测工作、有机产品认证监测工作及污水处理厂监督性监测。</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2023年委托完成县域内监测任务共计103处，其中主要包含县域环境质量监测、重点排污单位监督性监测及全县污水厂监督性监测工作。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2023年委托完成县域内监测任务共计103处，其中主要包含县域环境质量监测、重点排污单位监督监测及全县污水厂监督性监测工作。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完成监测任务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市定目标完成率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改善县域环境</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县域环境改善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县域环境改善</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环境监测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改善环境质量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改善环境质量</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水质达标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所需成本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照年度监测方案，全年委托完成监测103处，其中主要包含县域环境质量监测、重点排污单位监督监测及全县污水厂监督性监测工作，工作完成率100%，通过执法监测，督促排污企业加强运行管理，确保达标排放，有力改善县域环境质量，助推发展。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项目负责人：欧阳倩</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51080023T000008687967-省级生态环境保护专项资金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完成生态环境专项工作。</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完成年度生态环境保护相关工作。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完成年度生态环境保护相关工作。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完成生态环境专项工作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完成时效</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完成生态环境专项工作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生态效益明显</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生态效益明显</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机关高效运转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工作效率提升，生态效益优异</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工作效率提升，生态效益优异</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运行成本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本项目自评得分100分，我单位高效完成了环保工作，确保了生态环境保护工作正常开展。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项目负责人：姜佳元</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51080023T000009514722-省级环境空气质量激励约束资金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开展重柴油货车管控、非道路移动机械的编码登记和重点区域抽测工作、城市扬尘治理以及秸秆焚烧、网格化微站点位维护等工作。</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开展重柴油货车管控、非道路移动机械的编码登记和重点区域抽测工作、城市扬尘治理以及秸秆焚烧、网格化微站点位维护等工作。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开展重柴油货车管控、非道路移动机械的编码登记和重点区域抽测工作、城市扬尘治理以及秸秆焚烧、网格化微站点位维护等工作。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利用媒体、广告、显示屏开展烟花爆竹宣传</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大气网格化监测运维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柴油货车抽检数量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非道路移动机械编码登记数量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辆</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大气污染防治攻坚期间暗访巡查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城市扬尘治理洒水降尘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印制禁燃放烟花爆竹宣传资料</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优良天数率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细颗粒物浓度（微克每立方米）</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立方米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城区生活环境质量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得到改善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得到改善</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空气环境质量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开展重柴油货车管控、非道路移动机械的编码登记和重点区域抽测工作、城市扬尘治理以及秸秆焚烧、网格化微站点位维护等工作。本项目自评得分100分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项目负责人：尤泳</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51080023T000009899525-剑阁县闻溪河流域（普安段）水生态保护修复项目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通过实施剑阁县闻溪河流域（普安段）水生态保护修复项目，实现闻溪河流域水体污染物总量持续削减，水环境质量有效提升，水生态功能进一步丰富，沿河人居环境明显改善，工作满意度显著提高。</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241.00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241.00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新增湿地恢复面积</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37700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生态缓冲带建设</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公里</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新增符合削减量cod40.15吨/年、氨氮12.05吨/年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吨</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项目完成进度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项目验收合格率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开工率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促进社会经济发展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沿河生态环境恢复，沿岸区域土地率得到提高，改善当地投融资环境。</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时序推进</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人居环境提升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沿河综合环境得到明显提升，周边居民人居环境得到改善，群众身体健康得到有效保障。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时序推进</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地表水水质优良（达到或优于Ⅲ类）水体比例</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时序推进</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污染物总量持续削减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项目实施可实现年削减COD40.15吨、氨氮12.05吨。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时序推进</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落实长江大保护战略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嘉陵江水生态环境质量得到巩固。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时序推进</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时序推进</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项目总投资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3491.78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时序推进</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项目未开工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本项目未开工。自评得分0分。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项目进度缓慢。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加快项目实施，提高预算执行率。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项目负责人：范生锦</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51080024T000009982961-嘉陵江流域污染防治剑阁县乡镇污水处理及配套管网项目（剑阁县农村生活污水治理项目）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在原毛坝乡、正兴乡、国光乡、公店乡、圈龙乡、柏垭乡等6个拆井二级场镇建设污水处理站8座，配套污水管网。</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建设公店、时古、甘水、国光、圈龙、柏桠等6个二级场镇污水处理站及配套管网建设。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新建公店、时古、甘水、国光、圈龙、柏桠等6个二级场镇污水处理站及配套管网建设，总处理规模350m³/d。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配套污水管网</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公里</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31.25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污水处理站</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座（处）</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根据下达资金数调整了工程量。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水质达标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达标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达标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环境质量改善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进一步提升改善</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进一步提升改善</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污染物削减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COD削减26.69吨/年，氨氮削减5.9吨/年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COD削减26.69吨/年，氨氮削减5.9吨/年</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经自评，综合得分90，扣分指标为污水处理站建设数未达到预定绩效，原因在于下达资金较少，调减了工程量。项目建成后，整治区域内生活污水得到有效治理，入河污染物排放量有效削减，流域水环境质量持续提升，任家沟河、巩河、葫芦坝河、圈龙河、水井河、等5条县级河流水质达到地表水三类及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项目负责人：范生锦</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51080024T000011265766-生态环境保护工作经费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广元市生态环境局部门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广元市剑阁生态环境局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完成年度生态环境保护相关工作</w:t>
            </w:r>
          </w:p>
        </w:tc>
        <w:tc>
          <w:tcPr>
            <w:tcW w:w="46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完成年度生态环境保护相关工作。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完成年度生态环境保护相关工作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环保工作质量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高质高效</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高质高效</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环保专项工作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生态环境保护工作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高质高效完成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高质高效完成</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完成环保专项工作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本项目自评得分100分，2023年底我单位高效完成了环保工作，确保了生态环境保护工作正常开展。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项目负责人：姜佳元</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财务负责人：梁俊武</w:t>
            </w:r>
          </w:p>
        </w:tc>
      </w:tr>
    </w:tbl>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sectPr>
          <w:pgSz w:w="16838" w:h="11906" w:orient="landscape"/>
          <w:pgMar w:top="1587" w:right="2098" w:bottom="1474" w:left="1984"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880" w:firstLineChars="200"/>
        <w:jc w:val="center"/>
        <w:textAlignment w:val="auto"/>
        <w:outlineLvl w:val="0"/>
        <w:rPr>
          <w:rFonts w:hint="eastAsia" w:ascii="方正小标宋简体" w:hAnsi="方正小标宋简体" w:eastAsia="方正小标宋简体" w:cs="方正小标宋简体"/>
          <w:sz w:val="44"/>
          <w:szCs w:val="44"/>
        </w:rPr>
      </w:pPr>
      <w:bookmarkStart w:id="27" w:name="_Toc10875"/>
      <w:r>
        <w:rPr>
          <w:rFonts w:hint="eastAsia" w:ascii="方正小标宋简体" w:hAnsi="方正小标宋简体" w:eastAsia="方正小标宋简体" w:cs="方正小标宋简体"/>
          <w:sz w:val="44"/>
          <w:szCs w:val="44"/>
        </w:rPr>
        <w:t>第五部分 附表</w:t>
      </w:r>
      <w:bookmarkEnd w:id="2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四、财政拨款收入支出决算总表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五、财政拨款支出决算明细表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六、一般公共预算财政拨款支出决算表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七、一般公共预算财政拨款支出决算明细表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八、一般公共预算财政拨款基本支出决算表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九、一般公共预算财政拨款项目支出决算表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十一、国有资本经营预算财政拨款收入支出决算表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十二、国有资本经营预算财政拨款支出决算表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十三、财政拨款“三公”经费支出决算表</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kMDkyNDcyNDFhZDIxZjYyMDE3ZGExY2Q0MzMyMmIifQ=="/>
  </w:docVars>
  <w:rsids>
    <w:rsidRoot w:val="4BC62B2E"/>
    <w:rsid w:val="01515BCD"/>
    <w:rsid w:val="02C866AB"/>
    <w:rsid w:val="07181283"/>
    <w:rsid w:val="248738C9"/>
    <w:rsid w:val="30440F6B"/>
    <w:rsid w:val="32BD2B5B"/>
    <w:rsid w:val="458D7681"/>
    <w:rsid w:val="493D74AF"/>
    <w:rsid w:val="4BC62B2E"/>
    <w:rsid w:val="4CA61C30"/>
    <w:rsid w:val="4D711E4D"/>
    <w:rsid w:val="4DE24501"/>
    <w:rsid w:val="54047867"/>
    <w:rsid w:val="5C952C42"/>
    <w:rsid w:val="647B6AA7"/>
    <w:rsid w:val="6E3C4748"/>
    <w:rsid w:val="6FDD4494"/>
    <w:rsid w:val="734A0615"/>
    <w:rsid w:val="7E5732E7"/>
    <w:rsid w:val="DDFD64EB"/>
    <w:rsid w:val="F2B4A62A"/>
    <w:rsid w:val="FB7B5970"/>
    <w:rsid w:val="FC4FA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4">
    <w:name w:val="index 6"/>
    <w:basedOn w:val="1"/>
    <w:next w:val="1"/>
    <w:qFormat/>
    <w:uiPriority w:val="0"/>
    <w:pPr>
      <w:ind w:left="2100"/>
      <w:jc w:val="center"/>
    </w:p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next w:val="4"/>
    <w:unhideWhenUsed/>
    <w:qFormat/>
    <w:uiPriority w:val="99"/>
    <w:pPr>
      <w:ind w:firstLine="420" w:firstLineChars="200"/>
    </w:pPr>
  </w:style>
  <w:style w:type="character" w:customStyle="1" w:styleId="9">
    <w:name w:val="标题 1 Char"/>
    <w:basedOn w:val="8"/>
    <w:link w:val="3"/>
    <w:qFormat/>
    <w:uiPriority w:val="9"/>
    <w:rPr>
      <w:b/>
      <w:bCs/>
      <w:kern w:val="44"/>
      <w:sz w:val="44"/>
      <w:szCs w:val="44"/>
    </w:rPr>
  </w:style>
  <w:style w:type="paragraph" w:customStyle="1" w:styleId="10">
    <w:name w:val="WPSOffice手动目录 1"/>
    <w:qFormat/>
    <w:uiPriority w:val="0"/>
    <w:pPr>
      <w:ind w:leftChars="0"/>
    </w:pPr>
    <w:rPr>
      <w:rFonts w:asciiTheme="minorHAnsi" w:hAnsiTheme="minorHAnsi" w:eastAsiaTheme="minorEastAsia" w:cstheme="minorBidi"/>
      <w:sz w:val="20"/>
      <w:szCs w:val="20"/>
    </w:rPr>
  </w:style>
  <w:style w:type="paragraph" w:customStyle="1" w:styleId="11">
    <w:name w:val="WPSOffice手动目录 2"/>
    <w:qFormat/>
    <w:uiPriority w:val="0"/>
    <w:pPr>
      <w:ind w:leftChars="200"/>
    </w:pPr>
    <w:rPr>
      <w:rFonts w:asciiTheme="minorHAnsi" w:hAnsiTheme="minorHAnsi" w:eastAsiaTheme="minorEastAsia" w:cstheme="minorBidi"/>
      <w:sz w:val="20"/>
      <w:szCs w:val="20"/>
    </w:rPr>
  </w:style>
  <w:style w:type="paragraph" w:customStyle="1" w:styleId="12">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21923</Words>
  <Characters>24855</Characters>
  <Lines>0</Lines>
  <Paragraphs>0</Paragraphs>
  <TotalTime>1</TotalTime>
  <ScaleCrop>false</ScaleCrop>
  <LinksUpToDate>false</LinksUpToDate>
  <CharactersWithSpaces>24947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2024-09-19T15:40:00Z</dcterms:created>
  <dc:creator>喵你个猫喵咪</dc:creator>
  <cp:lastModifiedBy> </cp:lastModifiedBy>
  <dcterms:modified xsi:type="dcterms:W3CDTF">2024-10-10T15:47:24Z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5900E37A656045548A5F5A6C3C43460D_13</vt:lpwstr>
  </property>
</Properties>
</file>