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96597"/>
      <w:bookmarkStart w:id="3" w:name="_Toc15396475"/>
      <w:bookmarkStart w:id="4" w:name="_Toc17886"/>
      <w:bookmarkStart w:id="5" w:name="_Toc30644"/>
      <w:bookmarkStart w:id="6" w:name="_Toc15377425"/>
      <w:bookmarkStart w:id="7"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8" w:name="_Toc20082"/>
      <w:bookmarkStart w:id="9" w:name="_Toc20475"/>
      <w:bookmarkStart w:id="10" w:name="_Toc15377194"/>
      <w:bookmarkStart w:id="11" w:name="_Toc15378442"/>
      <w:bookmarkStart w:id="12" w:name="_Toc15396598"/>
      <w:bookmarkStart w:id="13" w:name="_Toc15396476"/>
      <w:bookmarkStart w:id="14" w:name="_Toc15377426"/>
      <w:r>
        <w:rPr>
          <w:rFonts w:hint="eastAsia" w:ascii="方正小标宋简体" w:hAnsi="方正小标宋简体" w:eastAsia="方正小标宋简体" w:cs="方正小标宋简体"/>
          <w:sz w:val="72"/>
          <w:szCs w:val="72"/>
        </w:rPr>
        <w:t>四川省</w:t>
      </w:r>
      <w:bookmarkEnd w:id="0"/>
      <w:bookmarkStart w:id="15" w:name="_Toc15306268"/>
      <w:r>
        <w:rPr>
          <w:rFonts w:hint="eastAsia" w:ascii="方正小标宋简体" w:hAnsi="方正小标宋简体" w:eastAsia="方正小标宋简体" w:cs="方正小标宋简体"/>
          <w:sz w:val="72"/>
          <w:szCs w:val="72"/>
        </w:rPr>
        <w:t>广元市美术馆</w:t>
      </w:r>
      <w:bookmarkEnd w:id="8"/>
      <w:bookmarkEnd w:id="9"/>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6" w:name="_Toc32307"/>
      <w:bookmarkStart w:id="17" w:name="_Toc1511"/>
      <w:r>
        <w:rPr>
          <w:rFonts w:hint="eastAsia" w:ascii="方正小标宋简体" w:hAnsi="方正小标宋简体" w:eastAsia="方正小标宋简体" w:cs="方正小标宋简体"/>
          <w:sz w:val="72"/>
          <w:szCs w:val="72"/>
        </w:rPr>
        <w:t>单位决算</w:t>
      </w:r>
      <w:bookmarkEnd w:id="10"/>
      <w:bookmarkEnd w:id="11"/>
      <w:bookmarkEnd w:id="12"/>
      <w:bookmarkEnd w:id="13"/>
      <w:bookmarkEnd w:id="14"/>
      <w:bookmarkEnd w:id="15"/>
      <w:bookmarkEnd w:id="16"/>
      <w:bookmarkEnd w:id="17"/>
    </w:p>
    <w:p>
      <w:pPr>
        <w:widowControl/>
        <w:jc w:val="center"/>
        <w:rPr>
          <w:rFonts w:ascii="方正小标宋简体" w:hAnsi="宋体" w:eastAsia="方正小标宋简体"/>
          <w:sz w:val="36"/>
          <w:szCs w:val="36"/>
        </w:rPr>
      </w:pPr>
      <w:r>
        <w:rPr>
          <w:rFonts w:ascii="方正小标宋简体" w:hAnsi="宋体" w:eastAsia="方正小标宋简体"/>
          <w:sz w:val="36"/>
          <w:szCs w:val="36"/>
        </w:rPr>
        <w:br w:type="page"/>
      </w:r>
    </w:p>
    <w:p>
      <w:pPr>
        <w:widowControl/>
        <w:jc w:val="center"/>
        <w:rPr>
          <w:rFonts w:ascii="黑体" w:hAnsi="黑体" w:eastAsia="黑体"/>
          <w:sz w:val="48"/>
          <w:szCs w:val="48"/>
        </w:rPr>
      </w:pPr>
    </w:p>
    <w:p>
      <w:pPr>
        <w:widowControl/>
        <w:jc w:val="center"/>
        <w:rPr>
          <w:rFonts w:ascii="黑体" w:hAnsi="黑体" w:eastAsia="黑体"/>
          <w:sz w:val="28"/>
          <w:szCs w:val="28"/>
        </w:rPr>
      </w:pPr>
      <w:r>
        <w:rPr>
          <w:rFonts w:hint="eastAsia" w:ascii="黑体" w:hAnsi="黑体" w:eastAsia="黑体"/>
          <w:sz w:val="48"/>
          <w:szCs w:val="48"/>
        </w:rPr>
        <w:t>目  录</w:t>
      </w:r>
    </w:p>
    <w:p>
      <w:pPr>
        <w:pStyle w:val="10"/>
        <w:spacing w:line="580" w:lineRule="exact"/>
      </w:pPr>
      <w:r>
        <w:rPr>
          <w:rFonts w:hint="eastAsia"/>
        </w:rPr>
        <w:t>公开时间：2024年10月14日</w:t>
      </w:r>
    </w:p>
    <w:sdt>
      <w:sdtPr>
        <w:rPr>
          <w:rFonts w:ascii="宋体" w:hAnsi="宋体"/>
        </w:rPr>
        <w:id w:val="147461356"/>
        <w:docPartObj>
          <w:docPartGallery w:val="Table of Contents"/>
          <w:docPartUnique/>
        </w:docPartObj>
      </w:sdtPr>
      <w:sdtEndPr>
        <w:rPr>
          <w:rFonts w:ascii="宋体" w:hAnsi="宋体"/>
          <w:b/>
        </w:rPr>
      </w:sdtEndPr>
      <w:sdtContent>
        <w:p>
          <w:pPr>
            <w:jc w:val="center"/>
            <w:rPr>
              <w:b/>
            </w:rPr>
          </w:pPr>
          <w:bookmarkStart w:id="67" w:name="_GoBack"/>
          <w:bookmarkEnd w:id="67"/>
          <w:r>
            <w:fldChar w:fldCharType="begin"/>
          </w:r>
          <w:r>
            <w:instrText xml:space="preserve">TOC \o "1-2" \h \u </w:instrText>
          </w:r>
          <w:r>
            <w:fldChar w:fldCharType="separate"/>
          </w:r>
        </w:p>
        <w:p>
          <w:pPr>
            <w:pStyle w:val="47"/>
            <w:tabs>
              <w:tab w:val="right" w:leader="dot" w:pos="8306"/>
            </w:tabs>
            <w:rPr>
              <w:b/>
            </w:rPr>
          </w:pPr>
          <w:r>
            <w:fldChar w:fldCharType="begin"/>
          </w:r>
          <w:r>
            <w:instrText xml:space="preserve"> HYPERLINK \l "_Toc3239" </w:instrText>
          </w:r>
          <w:r>
            <w:fldChar w:fldCharType="separate"/>
          </w:r>
          <w:r>
            <w:rPr>
              <w:rFonts w:hint="eastAsia" w:ascii="黑体" w:hAnsi="黑体" w:eastAsia="黑体"/>
              <w:b/>
              <w:szCs w:val="44"/>
            </w:rPr>
            <w:t>第一部分单位概况</w:t>
          </w:r>
          <w:r>
            <w:rPr>
              <w:b/>
            </w:rPr>
            <w:tab/>
          </w:r>
          <w:r>
            <w:rPr>
              <w:b/>
            </w:rPr>
            <w:fldChar w:fldCharType="begin"/>
          </w:r>
          <w:r>
            <w:rPr>
              <w:b/>
            </w:rPr>
            <w:instrText xml:space="preserve"> PAGEREF _Toc3239 \h </w:instrText>
          </w:r>
          <w:r>
            <w:rPr>
              <w:b/>
            </w:rPr>
            <w:fldChar w:fldCharType="separate"/>
          </w:r>
          <w:r>
            <w:rPr>
              <w:b/>
            </w:rPr>
            <w:t>- 3 -</w:t>
          </w:r>
          <w:r>
            <w:rPr>
              <w:b/>
            </w:rPr>
            <w:fldChar w:fldCharType="end"/>
          </w:r>
          <w:r>
            <w:rPr>
              <w:b/>
            </w:rPr>
            <w:fldChar w:fldCharType="end"/>
          </w:r>
        </w:p>
        <w:p>
          <w:pPr>
            <w:pStyle w:val="48"/>
            <w:tabs>
              <w:tab w:val="right" w:leader="dot" w:pos="8306"/>
            </w:tabs>
            <w:ind w:left="420"/>
          </w:pPr>
          <w:r>
            <w:fldChar w:fldCharType="begin"/>
          </w:r>
          <w:r>
            <w:instrText xml:space="preserve"> HYPERLINK \l "_Toc20219" </w:instrText>
          </w:r>
          <w:r>
            <w:fldChar w:fldCharType="separate"/>
          </w:r>
          <w:r>
            <w:rPr>
              <w:rFonts w:hint="eastAsia" w:ascii="黑体" w:hAnsi="黑体" w:eastAsia="黑体"/>
              <w:szCs w:val="32"/>
            </w:rPr>
            <w:t>一、主要职责</w:t>
          </w:r>
          <w:r>
            <w:tab/>
          </w:r>
          <w:r>
            <w:fldChar w:fldCharType="begin"/>
          </w:r>
          <w:r>
            <w:instrText xml:space="preserve"> PAGEREF _Toc20219 \h </w:instrText>
          </w:r>
          <w:r>
            <w:fldChar w:fldCharType="separate"/>
          </w:r>
          <w:r>
            <w:t>- 3 -</w:t>
          </w:r>
          <w:r>
            <w:fldChar w:fldCharType="end"/>
          </w:r>
          <w:r>
            <w:fldChar w:fldCharType="end"/>
          </w:r>
        </w:p>
        <w:p>
          <w:pPr>
            <w:pStyle w:val="48"/>
            <w:tabs>
              <w:tab w:val="right" w:leader="dot" w:pos="8306"/>
            </w:tabs>
            <w:ind w:left="420"/>
          </w:pPr>
          <w:r>
            <w:fldChar w:fldCharType="begin"/>
          </w:r>
          <w:r>
            <w:instrText xml:space="preserve"> HYPERLINK \l "_Toc10869" </w:instrText>
          </w:r>
          <w:r>
            <w:fldChar w:fldCharType="separate"/>
          </w:r>
          <w:r>
            <w:rPr>
              <w:rFonts w:hint="eastAsia" w:ascii="黑体" w:hAnsi="黑体" w:eastAsia="黑体"/>
              <w:szCs w:val="32"/>
            </w:rPr>
            <w:t>二、机构设置</w:t>
          </w:r>
          <w:r>
            <w:tab/>
          </w:r>
          <w:r>
            <w:fldChar w:fldCharType="begin"/>
          </w:r>
          <w:r>
            <w:instrText xml:space="preserve"> PAGEREF _Toc10869 \h </w:instrText>
          </w:r>
          <w:r>
            <w:fldChar w:fldCharType="separate"/>
          </w:r>
          <w:r>
            <w:t>- 3 -</w:t>
          </w:r>
          <w:r>
            <w:fldChar w:fldCharType="end"/>
          </w:r>
          <w:r>
            <w:fldChar w:fldCharType="end"/>
          </w:r>
        </w:p>
        <w:p>
          <w:pPr>
            <w:pStyle w:val="47"/>
            <w:tabs>
              <w:tab w:val="right" w:leader="dot" w:pos="8306"/>
            </w:tabs>
            <w:rPr>
              <w:b/>
            </w:rPr>
          </w:pPr>
          <w:r>
            <w:fldChar w:fldCharType="begin"/>
          </w:r>
          <w:r>
            <w:instrText xml:space="preserve"> HYPERLINK \l "_Toc32281" </w:instrText>
          </w:r>
          <w:r>
            <w:fldChar w:fldCharType="separate"/>
          </w:r>
          <w:r>
            <w:rPr>
              <w:rFonts w:hint="eastAsia" w:ascii="黑体" w:hAnsi="黑体" w:eastAsia="黑体"/>
              <w:b/>
              <w:szCs w:val="32"/>
            </w:rPr>
            <w:t>第二部分 2023年度单位决算情况说明</w:t>
          </w:r>
          <w:r>
            <w:rPr>
              <w:b/>
            </w:rPr>
            <w:tab/>
          </w:r>
          <w:r>
            <w:rPr>
              <w:b/>
            </w:rPr>
            <w:fldChar w:fldCharType="begin"/>
          </w:r>
          <w:r>
            <w:rPr>
              <w:b/>
            </w:rPr>
            <w:instrText xml:space="preserve"> PAGEREF _Toc32281 \h </w:instrText>
          </w:r>
          <w:r>
            <w:rPr>
              <w:b/>
            </w:rPr>
            <w:fldChar w:fldCharType="separate"/>
          </w:r>
          <w:r>
            <w:rPr>
              <w:b/>
            </w:rPr>
            <w:t>- 3 -</w:t>
          </w:r>
          <w:r>
            <w:rPr>
              <w:b/>
            </w:rPr>
            <w:fldChar w:fldCharType="end"/>
          </w:r>
          <w:r>
            <w:rPr>
              <w:b/>
            </w:rPr>
            <w:fldChar w:fldCharType="end"/>
          </w:r>
        </w:p>
        <w:p>
          <w:pPr>
            <w:pStyle w:val="48"/>
            <w:tabs>
              <w:tab w:val="right" w:leader="dot" w:pos="8306"/>
            </w:tabs>
            <w:ind w:left="420"/>
          </w:pPr>
          <w:r>
            <w:fldChar w:fldCharType="begin"/>
          </w:r>
          <w:r>
            <w:instrText xml:space="preserve"> HYPERLINK \l "_Toc10407" </w:instrText>
          </w:r>
          <w:r>
            <w:fldChar w:fldCharType="separate"/>
          </w:r>
          <w:r>
            <w:rPr>
              <w:rFonts w:hint="eastAsia" w:ascii="黑体" w:hAnsi="黑体" w:eastAsia="黑体"/>
              <w:szCs w:val="32"/>
            </w:rPr>
            <w:t>一、收入支出决算总体情况说明</w:t>
          </w:r>
          <w:r>
            <w:tab/>
          </w:r>
          <w:r>
            <w:fldChar w:fldCharType="begin"/>
          </w:r>
          <w:r>
            <w:instrText xml:space="preserve"> PAGEREF _Toc10407 \h </w:instrText>
          </w:r>
          <w:r>
            <w:fldChar w:fldCharType="separate"/>
          </w:r>
          <w:r>
            <w:t>- 3 -</w:t>
          </w:r>
          <w:r>
            <w:fldChar w:fldCharType="end"/>
          </w:r>
          <w:r>
            <w:fldChar w:fldCharType="end"/>
          </w:r>
        </w:p>
        <w:p>
          <w:pPr>
            <w:pStyle w:val="48"/>
            <w:tabs>
              <w:tab w:val="right" w:leader="dot" w:pos="8306"/>
            </w:tabs>
            <w:ind w:left="420"/>
          </w:pPr>
          <w:r>
            <w:fldChar w:fldCharType="begin"/>
          </w:r>
          <w:r>
            <w:instrText xml:space="preserve"> HYPERLINK \l "_Toc29056" </w:instrText>
          </w:r>
          <w:r>
            <w:fldChar w:fldCharType="separate"/>
          </w:r>
          <w:r>
            <w:rPr>
              <w:rFonts w:hint="eastAsia" w:ascii="黑体" w:hAnsi="黑体" w:eastAsia="黑体" w:cs="仿宋"/>
              <w:szCs w:val="32"/>
            </w:rPr>
            <w:t>二、收入决算情况说明</w:t>
          </w:r>
          <w:r>
            <w:tab/>
          </w:r>
          <w:r>
            <w:fldChar w:fldCharType="begin"/>
          </w:r>
          <w:r>
            <w:instrText xml:space="preserve"> PAGEREF _Toc29056 \h </w:instrText>
          </w:r>
          <w:r>
            <w:fldChar w:fldCharType="separate"/>
          </w:r>
          <w:r>
            <w:t>- 4 -</w:t>
          </w:r>
          <w:r>
            <w:fldChar w:fldCharType="end"/>
          </w:r>
          <w:r>
            <w:fldChar w:fldCharType="end"/>
          </w:r>
        </w:p>
        <w:p>
          <w:pPr>
            <w:pStyle w:val="48"/>
            <w:tabs>
              <w:tab w:val="right" w:leader="dot" w:pos="8306"/>
            </w:tabs>
            <w:ind w:left="420"/>
          </w:pPr>
          <w:r>
            <w:fldChar w:fldCharType="begin"/>
          </w:r>
          <w:r>
            <w:instrText xml:space="preserve"> HYPERLINK \l "_Toc21147" </w:instrText>
          </w:r>
          <w:r>
            <w:fldChar w:fldCharType="separate"/>
          </w:r>
          <w:r>
            <w:rPr>
              <w:rFonts w:hint="eastAsia" w:ascii="黑体" w:hAnsi="黑体" w:eastAsia="黑体"/>
              <w:szCs w:val="32"/>
            </w:rPr>
            <w:t>三、支出决算情况说明</w:t>
          </w:r>
          <w:r>
            <w:tab/>
          </w:r>
          <w:r>
            <w:fldChar w:fldCharType="begin"/>
          </w:r>
          <w:r>
            <w:instrText xml:space="preserve"> PAGEREF _Toc21147 \h </w:instrText>
          </w:r>
          <w:r>
            <w:fldChar w:fldCharType="separate"/>
          </w:r>
          <w:r>
            <w:t>- 5 -</w:t>
          </w:r>
          <w:r>
            <w:fldChar w:fldCharType="end"/>
          </w:r>
          <w:r>
            <w:fldChar w:fldCharType="end"/>
          </w:r>
        </w:p>
        <w:p>
          <w:pPr>
            <w:pStyle w:val="48"/>
            <w:tabs>
              <w:tab w:val="right" w:leader="dot" w:pos="8306"/>
            </w:tabs>
            <w:ind w:left="420"/>
          </w:pPr>
          <w:r>
            <w:fldChar w:fldCharType="begin"/>
          </w:r>
          <w:r>
            <w:instrText xml:space="preserve"> HYPERLINK \l "_Toc31944" </w:instrText>
          </w:r>
          <w:r>
            <w:fldChar w:fldCharType="separate"/>
          </w:r>
          <w:r>
            <w:rPr>
              <w:rFonts w:hint="eastAsia" w:ascii="黑体" w:hAnsi="黑体" w:eastAsia="黑体"/>
              <w:szCs w:val="32"/>
            </w:rPr>
            <w:t>四、财政拨款收入支出决算总体情况说明</w:t>
          </w:r>
          <w:r>
            <w:tab/>
          </w:r>
          <w:r>
            <w:fldChar w:fldCharType="begin"/>
          </w:r>
          <w:r>
            <w:instrText xml:space="preserve"> PAGEREF _Toc31944 \h </w:instrText>
          </w:r>
          <w:r>
            <w:fldChar w:fldCharType="separate"/>
          </w:r>
          <w:r>
            <w:t>- 6 -</w:t>
          </w:r>
          <w:r>
            <w:fldChar w:fldCharType="end"/>
          </w:r>
          <w:r>
            <w:fldChar w:fldCharType="end"/>
          </w:r>
        </w:p>
        <w:p>
          <w:pPr>
            <w:pStyle w:val="48"/>
            <w:tabs>
              <w:tab w:val="right" w:leader="dot" w:pos="8306"/>
            </w:tabs>
            <w:ind w:left="420"/>
          </w:pPr>
          <w:r>
            <w:fldChar w:fldCharType="begin"/>
          </w:r>
          <w:r>
            <w:instrText xml:space="preserve"> HYPERLINK \l "_Toc21618" </w:instrText>
          </w:r>
          <w:r>
            <w:fldChar w:fldCharType="separate"/>
          </w:r>
          <w:r>
            <w:rPr>
              <w:rFonts w:hint="eastAsia" w:ascii="黑体" w:hAnsi="黑体" w:eastAsia="黑体"/>
              <w:szCs w:val="32"/>
            </w:rPr>
            <w:t>五、一般公共预算财政拨款支出决算情况说明</w:t>
          </w:r>
          <w:r>
            <w:tab/>
          </w:r>
          <w:r>
            <w:fldChar w:fldCharType="begin"/>
          </w:r>
          <w:r>
            <w:instrText xml:space="preserve"> PAGEREF _Toc21618 \h </w:instrText>
          </w:r>
          <w:r>
            <w:fldChar w:fldCharType="separate"/>
          </w:r>
          <w:r>
            <w:t>- 7 -</w:t>
          </w:r>
          <w:r>
            <w:fldChar w:fldCharType="end"/>
          </w:r>
          <w:r>
            <w:fldChar w:fldCharType="end"/>
          </w:r>
        </w:p>
        <w:p>
          <w:pPr>
            <w:pStyle w:val="48"/>
            <w:tabs>
              <w:tab w:val="right" w:leader="dot" w:pos="8306"/>
            </w:tabs>
            <w:ind w:left="420"/>
          </w:pPr>
          <w:r>
            <w:fldChar w:fldCharType="begin"/>
          </w:r>
          <w:r>
            <w:instrText xml:space="preserve"> HYPERLINK \l "_Toc20181" </w:instrText>
          </w:r>
          <w:r>
            <w:fldChar w:fldCharType="separate"/>
          </w:r>
          <w:r>
            <w:rPr>
              <w:rFonts w:hint="eastAsia" w:ascii="黑体" w:hAnsi="黑体" w:eastAsia="黑体"/>
              <w:szCs w:val="32"/>
            </w:rPr>
            <w:t>六、一般公共预算财政拨款基本支出决算情况说明</w:t>
          </w:r>
          <w:r>
            <w:tab/>
          </w:r>
          <w:r>
            <w:fldChar w:fldCharType="begin"/>
          </w:r>
          <w:r>
            <w:instrText xml:space="preserve"> PAGEREF _Toc20181 \h </w:instrText>
          </w:r>
          <w:r>
            <w:fldChar w:fldCharType="separate"/>
          </w:r>
          <w:r>
            <w:t>- 10 -</w:t>
          </w:r>
          <w:r>
            <w:fldChar w:fldCharType="end"/>
          </w:r>
          <w:r>
            <w:fldChar w:fldCharType="end"/>
          </w:r>
        </w:p>
        <w:p>
          <w:pPr>
            <w:pStyle w:val="48"/>
            <w:tabs>
              <w:tab w:val="right" w:leader="dot" w:pos="8306"/>
            </w:tabs>
            <w:ind w:left="420"/>
          </w:pPr>
          <w:r>
            <w:fldChar w:fldCharType="begin"/>
          </w:r>
          <w:r>
            <w:instrText xml:space="preserve"> HYPERLINK \l "_Toc4029" </w:instrText>
          </w:r>
          <w:r>
            <w:fldChar w:fldCharType="separate"/>
          </w:r>
          <w:r>
            <w:rPr>
              <w:rFonts w:hint="eastAsia" w:ascii="黑体" w:hAnsi="黑体" w:eastAsia="黑体"/>
              <w:szCs w:val="32"/>
            </w:rPr>
            <w:t>七、财政拨款“三公”经费支出决算情况说明</w:t>
          </w:r>
          <w:r>
            <w:tab/>
          </w:r>
          <w:r>
            <w:fldChar w:fldCharType="begin"/>
          </w:r>
          <w:r>
            <w:instrText xml:space="preserve"> PAGEREF _Toc4029 \h </w:instrText>
          </w:r>
          <w:r>
            <w:fldChar w:fldCharType="separate"/>
          </w:r>
          <w:r>
            <w:t>- 10 -</w:t>
          </w:r>
          <w:r>
            <w:fldChar w:fldCharType="end"/>
          </w:r>
          <w:r>
            <w:fldChar w:fldCharType="end"/>
          </w:r>
        </w:p>
        <w:p>
          <w:pPr>
            <w:pStyle w:val="48"/>
            <w:tabs>
              <w:tab w:val="right" w:leader="dot" w:pos="8306"/>
            </w:tabs>
            <w:ind w:left="420"/>
          </w:pPr>
          <w:r>
            <w:fldChar w:fldCharType="begin"/>
          </w:r>
          <w:r>
            <w:instrText xml:space="preserve"> HYPERLINK \l "_Toc24638" </w:instrText>
          </w:r>
          <w:r>
            <w:fldChar w:fldCharType="separate"/>
          </w:r>
          <w:r>
            <w:rPr>
              <w:rFonts w:hint="eastAsia" w:ascii="黑体" w:hAnsi="黑体" w:eastAsia="黑体"/>
              <w:szCs w:val="32"/>
            </w:rPr>
            <w:t>八、政府性基金预算支出决算情况说明</w:t>
          </w:r>
          <w:r>
            <w:tab/>
          </w:r>
          <w:r>
            <w:fldChar w:fldCharType="begin"/>
          </w:r>
          <w:r>
            <w:instrText xml:space="preserve"> PAGEREF _Toc24638 \h </w:instrText>
          </w:r>
          <w:r>
            <w:fldChar w:fldCharType="separate"/>
          </w:r>
          <w:r>
            <w:t>- 12 -</w:t>
          </w:r>
          <w:r>
            <w:fldChar w:fldCharType="end"/>
          </w:r>
          <w:r>
            <w:fldChar w:fldCharType="end"/>
          </w:r>
        </w:p>
        <w:p>
          <w:pPr>
            <w:pStyle w:val="48"/>
            <w:tabs>
              <w:tab w:val="right" w:leader="dot" w:pos="8306"/>
            </w:tabs>
            <w:ind w:left="420"/>
          </w:pPr>
          <w:r>
            <w:fldChar w:fldCharType="begin"/>
          </w:r>
          <w:r>
            <w:instrText xml:space="preserve"> HYPERLINK \l "_Toc2750" </w:instrText>
          </w:r>
          <w:r>
            <w:fldChar w:fldCharType="separate"/>
          </w:r>
          <w:r>
            <w:rPr>
              <w:rFonts w:hint="eastAsia" w:ascii="黑体" w:hAnsi="黑体" w:eastAsia="黑体"/>
              <w:szCs w:val="32"/>
            </w:rPr>
            <w:t>九、国有资本经营预算支出决算情况说明</w:t>
          </w:r>
          <w:r>
            <w:tab/>
          </w:r>
          <w:r>
            <w:fldChar w:fldCharType="begin"/>
          </w:r>
          <w:r>
            <w:instrText xml:space="preserve"> PAGEREF _Toc2750 \h </w:instrText>
          </w:r>
          <w:r>
            <w:fldChar w:fldCharType="separate"/>
          </w:r>
          <w:r>
            <w:t>- 13 -</w:t>
          </w:r>
          <w:r>
            <w:fldChar w:fldCharType="end"/>
          </w:r>
          <w:r>
            <w:fldChar w:fldCharType="end"/>
          </w:r>
        </w:p>
        <w:p>
          <w:pPr>
            <w:pStyle w:val="48"/>
            <w:tabs>
              <w:tab w:val="right" w:leader="dot" w:pos="8306"/>
            </w:tabs>
            <w:ind w:left="420"/>
          </w:pPr>
          <w:r>
            <w:fldChar w:fldCharType="begin"/>
          </w:r>
          <w:r>
            <w:instrText xml:space="preserve"> HYPERLINK \l "_Toc30244" </w:instrText>
          </w:r>
          <w:r>
            <w:fldChar w:fldCharType="separate"/>
          </w:r>
          <w:r>
            <w:rPr>
              <w:rFonts w:hint="eastAsia" w:ascii="黑体" w:hAnsi="黑体" w:eastAsia="黑体"/>
              <w:szCs w:val="32"/>
            </w:rPr>
            <w:t>十、其他重要事项的情况说明</w:t>
          </w:r>
          <w:r>
            <w:tab/>
          </w:r>
          <w:r>
            <w:fldChar w:fldCharType="begin"/>
          </w:r>
          <w:r>
            <w:instrText xml:space="preserve"> PAGEREF _Toc30244 \h </w:instrText>
          </w:r>
          <w:r>
            <w:fldChar w:fldCharType="separate"/>
          </w:r>
          <w:r>
            <w:t>- 13 -</w:t>
          </w:r>
          <w:r>
            <w:fldChar w:fldCharType="end"/>
          </w:r>
          <w:r>
            <w:fldChar w:fldCharType="end"/>
          </w:r>
        </w:p>
        <w:p>
          <w:pPr>
            <w:pStyle w:val="47"/>
            <w:tabs>
              <w:tab w:val="right" w:leader="dot" w:pos="8306"/>
            </w:tabs>
            <w:rPr>
              <w:b/>
            </w:rPr>
          </w:pPr>
          <w:r>
            <w:fldChar w:fldCharType="begin"/>
          </w:r>
          <w:r>
            <w:instrText xml:space="preserve"> HYPERLINK \l "_Toc30319" </w:instrText>
          </w:r>
          <w:r>
            <w:fldChar w:fldCharType="separate"/>
          </w:r>
          <w:r>
            <w:rPr>
              <w:rFonts w:hint="eastAsia" w:ascii="黑体" w:hAnsi="黑体" w:eastAsia="黑体"/>
              <w:b/>
              <w:szCs w:val="44"/>
            </w:rPr>
            <w:t>第三部分名词解释</w:t>
          </w:r>
          <w:r>
            <w:rPr>
              <w:b/>
            </w:rPr>
            <w:tab/>
          </w:r>
          <w:r>
            <w:rPr>
              <w:b/>
            </w:rPr>
            <w:fldChar w:fldCharType="begin"/>
          </w:r>
          <w:r>
            <w:rPr>
              <w:b/>
            </w:rPr>
            <w:instrText xml:space="preserve"> PAGEREF _Toc30319 \h </w:instrText>
          </w:r>
          <w:r>
            <w:rPr>
              <w:b/>
            </w:rPr>
            <w:fldChar w:fldCharType="separate"/>
          </w:r>
          <w:r>
            <w:rPr>
              <w:b/>
            </w:rPr>
            <w:t>- 15 -</w:t>
          </w:r>
          <w:r>
            <w:rPr>
              <w:b/>
            </w:rPr>
            <w:fldChar w:fldCharType="end"/>
          </w:r>
          <w:r>
            <w:rPr>
              <w:b/>
            </w:rPr>
            <w:fldChar w:fldCharType="end"/>
          </w:r>
        </w:p>
        <w:p>
          <w:pPr>
            <w:pStyle w:val="47"/>
            <w:tabs>
              <w:tab w:val="right" w:leader="dot" w:pos="8306"/>
            </w:tabs>
            <w:rPr>
              <w:b/>
            </w:rPr>
          </w:pPr>
          <w:r>
            <w:fldChar w:fldCharType="begin"/>
          </w:r>
          <w:r>
            <w:instrText xml:space="preserve"> HYPERLINK \l "_Toc21691" </w:instrText>
          </w:r>
          <w:r>
            <w:fldChar w:fldCharType="separate"/>
          </w:r>
          <w:r>
            <w:rPr>
              <w:rFonts w:hint="eastAsia"/>
              <w:b/>
            </w:rPr>
            <w:t>第四部分附件</w:t>
          </w:r>
          <w:r>
            <w:rPr>
              <w:b/>
            </w:rPr>
            <w:tab/>
          </w:r>
          <w:r>
            <w:rPr>
              <w:b/>
            </w:rPr>
            <w:fldChar w:fldCharType="begin"/>
          </w:r>
          <w:r>
            <w:rPr>
              <w:b/>
            </w:rPr>
            <w:instrText xml:space="preserve"> PAGEREF _Toc21691 \h </w:instrText>
          </w:r>
          <w:r>
            <w:rPr>
              <w:b/>
            </w:rPr>
            <w:fldChar w:fldCharType="separate"/>
          </w:r>
          <w:r>
            <w:rPr>
              <w:b/>
            </w:rPr>
            <w:t>- 17 -</w:t>
          </w:r>
          <w:r>
            <w:rPr>
              <w:b/>
            </w:rPr>
            <w:fldChar w:fldCharType="end"/>
          </w:r>
          <w:r>
            <w:rPr>
              <w:b/>
            </w:rPr>
            <w:fldChar w:fldCharType="end"/>
          </w:r>
        </w:p>
        <w:p>
          <w:pPr>
            <w:pStyle w:val="47"/>
            <w:tabs>
              <w:tab w:val="right" w:leader="dot" w:pos="8306"/>
            </w:tabs>
            <w:rPr>
              <w:b/>
            </w:rPr>
          </w:pPr>
          <w:r>
            <w:fldChar w:fldCharType="begin"/>
          </w:r>
          <w:r>
            <w:instrText xml:space="preserve"> HYPERLINK \l "_Toc9685" </w:instrText>
          </w:r>
          <w:r>
            <w:fldChar w:fldCharType="separate"/>
          </w:r>
          <w:r>
            <w:rPr>
              <w:rFonts w:hint="eastAsia"/>
              <w:b/>
            </w:rPr>
            <w:t>第五部分  附表</w:t>
          </w:r>
          <w:r>
            <w:rPr>
              <w:b/>
            </w:rPr>
            <w:tab/>
          </w:r>
          <w:r>
            <w:rPr>
              <w:b/>
            </w:rPr>
            <w:fldChar w:fldCharType="begin"/>
          </w:r>
          <w:r>
            <w:rPr>
              <w:b/>
            </w:rPr>
            <w:instrText xml:space="preserve"> PAGEREF _Toc9685 \h </w:instrText>
          </w:r>
          <w:r>
            <w:rPr>
              <w:b/>
            </w:rPr>
            <w:fldChar w:fldCharType="separate"/>
          </w:r>
          <w:r>
            <w:rPr>
              <w:b/>
            </w:rPr>
            <w:t>- 39 -</w:t>
          </w:r>
          <w:r>
            <w:rPr>
              <w:b/>
            </w:rPr>
            <w:fldChar w:fldCharType="end"/>
          </w:r>
          <w:r>
            <w:rPr>
              <w:b/>
            </w:rPr>
            <w:fldChar w:fldCharType="end"/>
          </w:r>
        </w:p>
        <w:p>
          <w:pPr>
            <w:pStyle w:val="48"/>
            <w:tabs>
              <w:tab w:val="right" w:leader="dot" w:pos="8306"/>
            </w:tabs>
            <w:ind w:left="420"/>
          </w:pPr>
          <w:r>
            <w:fldChar w:fldCharType="begin"/>
          </w:r>
          <w:r>
            <w:instrText xml:space="preserve"> HYPERLINK \l "_Toc14105" </w:instrText>
          </w:r>
          <w:r>
            <w:fldChar w:fldCharType="separate"/>
          </w:r>
          <w:r>
            <w:rPr>
              <w:rFonts w:hint="eastAsia"/>
            </w:rPr>
            <w:t>一、收入支出决算总表</w:t>
          </w:r>
          <w:r>
            <w:tab/>
          </w:r>
          <w:r>
            <w:fldChar w:fldCharType="begin"/>
          </w:r>
          <w:r>
            <w:instrText xml:space="preserve"> PAGEREF _Toc14105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"_Toc2377" </w:instrText>
          </w:r>
          <w:r>
            <w:fldChar w:fldCharType="separate"/>
          </w:r>
          <w:r>
            <w:rPr>
              <w:rFonts w:hint="eastAsia"/>
            </w:rPr>
            <w:t>二、收入决算表</w:t>
          </w:r>
          <w:r>
            <w:tab/>
          </w:r>
          <w:r>
            <w:fldChar w:fldCharType="begin"/>
          </w:r>
          <w:r>
            <w:instrText xml:space="preserve"> PAGEREF _Toc2377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"_Toc1458" </w:instrText>
          </w:r>
          <w:r>
            <w:fldChar w:fldCharType="separate"/>
          </w:r>
          <w:r>
            <w:rPr>
              <w:rFonts w:hint="eastAsia"/>
            </w:rPr>
            <w:t>三、支出决算表</w:t>
          </w:r>
          <w:r>
            <w:tab/>
          </w:r>
          <w:r>
            <w:fldChar w:fldCharType="begin"/>
          </w:r>
          <w:r>
            <w:instrText xml:space="preserve"> PAGEREF _Toc1458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"_Toc26808" </w:instrText>
          </w:r>
          <w:r>
            <w:fldChar w:fldCharType="separate"/>
          </w:r>
          <w:r>
            <w:rPr>
              <w:rFonts w:hint="eastAsia"/>
            </w:rPr>
            <w:t>四、财政拨款收入支出决算总表</w:t>
          </w:r>
          <w:r>
            <w:tab/>
          </w:r>
          <w:r>
            <w:fldChar w:fldCharType="begin"/>
          </w:r>
          <w:r>
            <w:instrText xml:space="preserve"> PAGEREF _Toc26808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"_Toc25430" </w:instrText>
          </w:r>
          <w:r>
            <w:fldChar w:fldCharType="separate"/>
          </w:r>
          <w:r>
            <w:rPr>
              <w:rFonts w:hint="eastAsia"/>
            </w:rPr>
            <w:t>五、财政拨款支出决算明细表</w:t>
          </w:r>
          <w:r>
            <w:tab/>
          </w:r>
          <w:r>
            <w:fldChar w:fldCharType="begin"/>
          </w:r>
          <w:r>
            <w:instrText xml:space="preserve"> PAGEREF _Toc25430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"_Toc17181" </w:instrText>
          </w:r>
          <w:r>
            <w:fldChar w:fldCharType="separate"/>
          </w:r>
          <w:r>
            <w:rPr>
              <w:rFonts w:hint="eastAsia"/>
            </w:rPr>
            <w:t>六、一般公共预算财政拨款支出决算表</w:t>
          </w:r>
          <w:r>
            <w:tab/>
          </w:r>
          <w:r>
            <w:fldChar w:fldCharType="begin"/>
          </w:r>
          <w:r>
            <w:instrText xml:space="preserve"> PAGEREF _Toc17181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"_Toc17614" </w:instrText>
          </w:r>
          <w:r>
            <w:fldChar w:fldCharType="separate"/>
          </w:r>
          <w:r>
            <w:rPr>
              <w:rFonts w:hint="eastAsia"/>
            </w:rPr>
            <w:t>七、一般公共预算财政拨款支出决算明细表</w:t>
          </w:r>
          <w:r>
            <w:tab/>
          </w:r>
          <w:r>
            <w:fldChar w:fldCharType="begin"/>
          </w:r>
          <w:r>
            <w:instrText xml:space="preserve"> PAGEREF _Toc17614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"_Toc27864" </w:instrText>
          </w:r>
          <w:r>
            <w:fldChar w:fldCharType="separate"/>
          </w:r>
          <w:r>
            <w:rPr>
              <w:rFonts w:hint="eastAsia"/>
            </w:rPr>
            <w:t>八、一般公共预算财政拨款基本支出决算明细表</w:t>
          </w:r>
          <w:r>
            <w:tab/>
          </w:r>
          <w:r>
            <w:fldChar w:fldCharType="begin"/>
          </w:r>
          <w:r>
            <w:instrText xml:space="preserve"> PAGEREF _Toc27864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"_Toc31955" </w:instrText>
          </w:r>
          <w:r>
            <w:fldChar w:fldCharType="separate"/>
          </w:r>
          <w:r>
            <w:rPr>
              <w:rFonts w:hint="eastAsia"/>
            </w:rPr>
            <w:t>九、一般公共预算财政拨款项目支出决算表</w:t>
          </w:r>
          <w:r>
            <w:tab/>
          </w:r>
          <w:r>
            <w:fldChar w:fldCharType="begin"/>
          </w:r>
          <w:r>
            <w:instrText xml:space="preserve"> PAGEREF _Toc31955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"_Toc17993" </w:instrText>
          </w:r>
          <w:r>
            <w:fldChar w:fldCharType="separate"/>
          </w:r>
          <w:r>
            <w:rPr>
              <w:rFonts w:hint="eastAsia"/>
            </w:rPr>
            <w:t>十、政府性基金预算财政拨款收入支出决算表</w:t>
          </w:r>
          <w:r>
            <w:tab/>
          </w:r>
          <w:r>
            <w:fldChar w:fldCharType="begin"/>
          </w:r>
          <w:r>
            <w:instrText xml:space="preserve"> PAGEREF _Toc17993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"_Toc2214" </w:instrText>
          </w:r>
          <w:r>
            <w:fldChar w:fldCharType="separate"/>
          </w:r>
          <w:r>
            <w:rPr>
              <w:rFonts w:hint="eastAsia"/>
            </w:rPr>
            <w:t>十一、国有资本经营预算财政拨款收入支出决算表</w:t>
          </w:r>
          <w:r>
            <w:tab/>
          </w:r>
          <w:r>
            <w:fldChar w:fldCharType="begin"/>
          </w:r>
          <w:r>
            <w:instrText xml:space="preserve"> PAGEREF _Toc2214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"_Toc1156" </w:instrText>
          </w:r>
          <w:r>
            <w:fldChar w:fldCharType="separate"/>
          </w:r>
          <w:r>
            <w:rPr>
              <w:rFonts w:hint="eastAsia"/>
            </w:rPr>
            <w:t>十二、国有资本经营预算财政拨款支出决算表</w:t>
          </w:r>
          <w:r>
            <w:tab/>
          </w:r>
          <w:r>
            <w:fldChar w:fldCharType="begin"/>
          </w:r>
          <w:r>
            <w:instrText xml:space="preserve"> PAGEREF _Toc1156 \h </w:instrText>
          </w:r>
          <w:r>
            <w:fldChar w:fldCharType="separate"/>
          </w:r>
          <w:r>
            <w:t>- 39 -</w:t>
          </w:r>
          <w:r>
            <w:fldChar w:fldCharType="end"/>
          </w:r>
          <w:r>
            <w:fldChar w:fldCharType="end"/>
          </w:r>
        </w:p>
        <w:p>
          <w:pPr>
            <w:pStyle w:val="48"/>
            <w:tabs>
              <w:tab w:val="right" w:leader="dot" w:pos="8306"/>
            </w:tabs>
            <w:ind w:left="420"/>
          </w:pPr>
          <w:r>
            <w:fldChar w:fldCharType="begin"/>
          </w:r>
          <w:r>
            <w:instrText xml:space="preserve"> HYPERLINK \l "_Toc10872" </w:instrText>
          </w:r>
          <w:r>
            <w:fldChar w:fldCharType="separate"/>
          </w:r>
          <w:r>
            <w:rPr>
              <w:rFonts w:hint="eastAsia"/>
            </w:rPr>
            <w:t>十三、财政拨款“三公”经费支出决算表</w:t>
          </w:r>
          <w:r>
            <w:tab/>
          </w:r>
          <w:r>
            <w:fldChar w:fldCharType="begin"/>
          </w:r>
          <w:r>
            <w:instrText xml:space="preserve"> PAGEREF _Toc10872 \h </w:instrText>
          </w:r>
          <w:r>
            <w:fldChar w:fldCharType="separate"/>
          </w:r>
          <w:r>
            <w:t>- 39 -</w:t>
          </w:r>
          <w:r>
            <w:fldChar w:fldCharType="end"/>
          </w:r>
          <w:r>
            <w:fldChar w:fldCharType="end"/>
          </w:r>
        </w:p>
        <w:p>
          <w:pPr>
            <w:rPr>
              <w:b/>
            </w:rPr>
          </w:pPr>
          <w:r>
            <w:rPr>
              <w:b/>
            </w:rPr>
            <w:fldChar w:fldCharType="end"/>
          </w:r>
        </w:p>
      </w:sdtContent>
    </w:sdt>
    <w:p>
      <w:pPr>
        <w:rPr>
          <w:b/>
        </w:rPr>
      </w:pPr>
    </w:p>
    <w:p>
      <w:r>
        <w:rPr>
          <w:rFonts w:hint="eastAsia"/>
        </w:rPr>
        <w:br w:type="page"/>
      </w:r>
    </w:p>
    <w:p/>
    <w:p>
      <w:pPr>
        <w:pStyle w:val="10"/>
        <w:adjustRightInd w:val="0"/>
        <w:snapToGrid w:val="0"/>
        <w:spacing w:before="0" w:line="576" w:lineRule="exact"/>
        <w:outlineLvl w:val="0"/>
        <w:rPr>
          <w:rFonts w:ascii="黑体" w:hAnsi="黑体" w:eastAsia="黑体"/>
          <w:sz w:val="44"/>
          <w:szCs w:val="44"/>
        </w:rPr>
      </w:pPr>
      <w:bookmarkStart w:id="18" w:name="_Toc3239"/>
      <w:bookmarkStart w:id="19" w:name="_Toc26386"/>
      <w:r>
        <w:rPr>
          <w:rFonts w:hint="eastAsia" w:ascii="黑体" w:hAnsi="黑体" w:eastAsia="黑体"/>
          <w:sz w:val="44"/>
          <w:szCs w:val="44"/>
        </w:rPr>
        <w:t>第一部分单位概况</w:t>
      </w:r>
      <w:bookmarkEnd w:id="18"/>
      <w:bookmarkEnd w:id="19"/>
    </w:p>
    <w:p>
      <w:pPr>
        <w:spacing w:line="576" w:lineRule="exact"/>
        <w:rPr>
          <w:sz w:val="32"/>
          <w:szCs w:val="32"/>
        </w:rPr>
      </w:pPr>
    </w:p>
    <w:p>
      <w:pPr>
        <w:pStyle w:val="11"/>
        <w:adjustRightInd w:val="0"/>
        <w:snapToGrid w:val="0"/>
        <w:spacing w:beforeLines="100" w:afterLines="100" w:line="576" w:lineRule="exact"/>
        <w:ind w:left="420" w:firstLine="313" w:firstLineChars="98"/>
        <w:jc w:val="left"/>
        <w:outlineLvl w:val="1"/>
        <w:rPr>
          <w:rFonts w:ascii="黑体" w:hAnsi="黑体" w:eastAsia="黑体"/>
          <w:sz w:val="32"/>
          <w:szCs w:val="32"/>
        </w:rPr>
      </w:pPr>
      <w:bookmarkStart w:id="20" w:name="_Toc18390"/>
      <w:bookmarkStart w:id="21" w:name="_Toc20219"/>
      <w:r>
        <w:rPr>
          <w:rFonts w:hint="eastAsia" w:ascii="黑体" w:hAnsi="黑体" w:eastAsia="黑体"/>
          <w:sz w:val="32"/>
          <w:szCs w:val="32"/>
        </w:rPr>
        <w:t>一、主要职责</w:t>
      </w:r>
      <w:bookmarkEnd w:id="20"/>
      <w:bookmarkEnd w:id="21"/>
    </w:p>
    <w:p>
      <w:pPr>
        <w:widowControl/>
        <w:snapToGrid w:val="0"/>
        <w:spacing w:line="576" w:lineRule="exact"/>
        <w:ind w:firstLine="720"/>
        <w:jc w:val="left"/>
        <w:textAlignment w:val="baseline"/>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市美术馆主要职责：开展美术收藏、研究、教育、创作；举办美术陈列展览、对外交流活动；开发运用及推广美术资源、衍生品。</w:t>
      </w:r>
    </w:p>
    <w:p>
      <w:pPr>
        <w:pStyle w:val="11"/>
        <w:adjustRightInd w:val="0"/>
        <w:snapToGrid w:val="0"/>
        <w:spacing w:beforeLines="100" w:afterLines="100" w:line="576" w:lineRule="exact"/>
        <w:ind w:left="420" w:firstLine="313" w:firstLineChars="98"/>
        <w:jc w:val="left"/>
        <w:outlineLvl w:val="1"/>
        <w:rPr>
          <w:rFonts w:ascii="黑体" w:hAnsi="黑体" w:eastAsia="黑体"/>
          <w:sz w:val="32"/>
          <w:szCs w:val="32"/>
        </w:rPr>
      </w:pPr>
      <w:bookmarkStart w:id="22" w:name="_Toc12690"/>
      <w:bookmarkStart w:id="23" w:name="_Toc10869"/>
      <w:r>
        <w:rPr>
          <w:rFonts w:hint="eastAsia" w:ascii="黑体" w:hAnsi="黑体" w:eastAsia="黑体"/>
          <w:sz w:val="32"/>
          <w:szCs w:val="32"/>
        </w:rPr>
        <w:t>二、机构设置</w:t>
      </w:r>
      <w:bookmarkEnd w:id="22"/>
      <w:bookmarkEnd w:id="23"/>
    </w:p>
    <w:p>
      <w:pPr>
        <w:spacing w:line="576" w:lineRule="exact"/>
        <w:ind w:firstLine="640" w:firstLineChars="200"/>
        <w:jc w:val="left"/>
        <w:rPr>
          <w:rFonts w:ascii="仿宋" w:hAnsi="仿宋" w:eastAsia="仿宋"/>
          <w:sz w:val="32"/>
          <w:szCs w:val="32"/>
        </w:rPr>
      </w:pPr>
      <w:r>
        <w:rPr>
          <w:rFonts w:hint="eastAsia" w:ascii="仿宋" w:hAnsi="仿宋" w:eastAsia="仿宋"/>
          <w:sz w:val="32"/>
          <w:szCs w:val="32"/>
        </w:rPr>
        <w:t>广元市美术馆</w:t>
      </w:r>
      <w:r>
        <w:rPr>
          <w:rFonts w:hint="eastAsia" w:ascii="仿宋" w:hAnsi="仿宋" w:eastAsia="仿宋"/>
          <w:sz w:val="32"/>
          <w:szCs w:val="32"/>
          <w:lang w:eastAsia="zh-CN"/>
        </w:rPr>
        <w:t>为广元市文化广播电视和旅游局二级预算单位，</w:t>
      </w:r>
      <w:r>
        <w:rPr>
          <w:rFonts w:hint="eastAsia" w:ascii="仿宋" w:hAnsi="仿宋" w:eastAsia="仿宋"/>
          <w:sz w:val="32"/>
          <w:szCs w:val="32"/>
        </w:rPr>
        <w:t>内设办公室、展览策划部、收藏研究部、宣教部三部一室。</w:t>
      </w:r>
    </w:p>
    <w:p>
      <w:pPr>
        <w:pStyle w:val="11"/>
        <w:adjustRightInd w:val="0"/>
        <w:snapToGrid w:val="0"/>
        <w:spacing w:beforeLines="100" w:afterLines="100" w:line="576" w:lineRule="exact"/>
        <w:ind w:left="420" w:firstLine="313" w:firstLineChars="98"/>
        <w:jc w:val="left"/>
        <w:outlineLvl w:val="0"/>
        <w:rPr>
          <w:rFonts w:ascii="黑体" w:hAnsi="黑体" w:eastAsia="黑体"/>
          <w:sz w:val="32"/>
          <w:szCs w:val="32"/>
        </w:rPr>
      </w:pPr>
      <w:bookmarkStart w:id="24" w:name="_Toc30127"/>
      <w:bookmarkStart w:id="25" w:name="_Toc32281"/>
      <w:r>
        <w:rPr>
          <w:rFonts w:hint="eastAsia" w:ascii="黑体" w:hAnsi="黑体" w:eastAsia="黑体"/>
          <w:sz w:val="32"/>
          <w:szCs w:val="32"/>
        </w:rPr>
        <w:t>第二部分 2023年度单位决算情况说明</w:t>
      </w:r>
      <w:bookmarkEnd w:id="24"/>
      <w:bookmarkEnd w:id="25"/>
    </w:p>
    <w:p>
      <w:pPr>
        <w:pStyle w:val="11"/>
        <w:adjustRightInd w:val="0"/>
        <w:snapToGrid w:val="0"/>
        <w:spacing w:beforeLines="100" w:afterLines="100" w:line="576" w:lineRule="exact"/>
        <w:ind w:left="420" w:firstLine="313" w:firstLineChars="98"/>
        <w:jc w:val="left"/>
        <w:outlineLvl w:val="1"/>
        <w:rPr>
          <w:rFonts w:ascii="黑体" w:hAnsi="黑体" w:eastAsia="黑体"/>
          <w:sz w:val="32"/>
          <w:szCs w:val="32"/>
        </w:rPr>
      </w:pPr>
      <w:bookmarkStart w:id="26" w:name="_Toc29977"/>
      <w:bookmarkStart w:id="27" w:name="_Toc10407"/>
      <w:r>
        <w:rPr>
          <w:rFonts w:hint="eastAsia" w:ascii="黑体" w:hAnsi="黑体" w:eastAsia="黑体"/>
          <w:sz w:val="32"/>
          <w:szCs w:val="32"/>
        </w:rPr>
        <w:t>一、收入支出决算总体情况说明</w:t>
      </w:r>
      <w:bookmarkEnd w:id="26"/>
      <w:bookmarkEnd w:id="27"/>
    </w:p>
    <w:p>
      <w:pPr>
        <w:spacing w:line="576" w:lineRule="exact"/>
        <w:ind w:firstLine="640" w:firstLineChars="20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3年度收、支总计227.17万元。与</w:t>
      </w:r>
      <w:r>
        <w:rPr>
          <w:rFonts w:ascii="仿宋" w:hAnsi="仿宋" w:eastAsia="仿宋" w:cs="仿宋"/>
          <w:color w:val="000000"/>
          <w:sz w:val="32"/>
          <w:szCs w:val="32"/>
        </w:rPr>
        <w:t>202</w:t>
      </w:r>
      <w:r>
        <w:rPr>
          <w:rFonts w:hint="eastAsia" w:ascii="仿宋" w:hAnsi="仿宋" w:eastAsia="仿宋" w:cs="仿宋"/>
          <w:color w:val="000000"/>
          <w:sz w:val="32"/>
          <w:szCs w:val="32"/>
        </w:rPr>
        <w:t>2年相比，收入总计减少5.47万元，下降0.02</w:t>
      </w:r>
      <w:r>
        <w:rPr>
          <w:rFonts w:ascii="仿宋" w:hAnsi="仿宋" w:eastAsia="仿宋" w:cs="仿宋"/>
          <w:color w:val="000000"/>
          <w:sz w:val="32"/>
          <w:szCs w:val="32"/>
        </w:rPr>
        <w:t>%</w:t>
      </w:r>
      <w:r>
        <w:rPr>
          <w:rFonts w:hint="eastAsia" w:ascii="仿宋" w:hAnsi="仿宋" w:eastAsia="仿宋" w:cs="仿宋"/>
          <w:color w:val="000000"/>
          <w:sz w:val="32"/>
          <w:szCs w:val="32"/>
        </w:rPr>
        <w:t>。主要变动原因是</w:t>
      </w:r>
      <w:r>
        <w:rPr>
          <w:rFonts w:hint="eastAsia" w:ascii="仿宋" w:hAnsi="仿宋" w:eastAsia="仿宋" w:cs="仿宋"/>
          <w:color w:val="000000"/>
          <w:sz w:val="32"/>
          <w:szCs w:val="32"/>
          <w:lang w:eastAsia="zh-CN"/>
        </w:rPr>
        <w:t>项目</w:t>
      </w:r>
      <w:r>
        <w:rPr>
          <w:rFonts w:hint="eastAsia" w:ascii="仿宋" w:hAnsi="仿宋" w:eastAsia="仿宋" w:cs="仿宋"/>
          <w:color w:val="000000"/>
          <w:sz w:val="32"/>
          <w:szCs w:val="32"/>
        </w:rPr>
        <w:t>减少。</w:t>
      </w:r>
    </w:p>
    <w:p>
      <w:pPr>
        <w:pStyle w:val="2"/>
        <w:spacing w:beforeLines="0" w:line="576" w:lineRule="exact"/>
      </w:pPr>
    </w:p>
    <w:p>
      <w:pPr>
        <w:pStyle w:val="2"/>
        <w:spacing w:beforeLines="0" w:line="576" w:lineRule="exact"/>
        <w:rPr>
          <w:rFonts w:eastAsia="仿宋"/>
        </w:rPr>
      </w:pPr>
    </w:p>
    <w:p>
      <w:pPr>
        <w:pStyle w:val="2"/>
        <w:spacing w:beforeLines="0"/>
      </w:pPr>
      <w:r>
        <w:rPr>
          <w:rFonts w:hint="eastAsia" w:eastAsia="仿宋"/>
        </w:rPr>
        <w:drawing>
          <wp:inline distT="0" distB="0" distL="114300" distR="114300">
            <wp:extent cx="5079365" cy="4405630"/>
            <wp:effectExtent l="19050" t="0" r="26035" b="0"/>
            <wp:docPr id="1"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1</w:t>
      </w:r>
      <w:r>
        <w:rPr>
          <w:rFonts w:hint="eastAsia" w:ascii="仿宋" w:hAnsi="仿宋" w:eastAsia="仿宋" w:cs="仿宋"/>
          <w:color w:val="000000"/>
          <w:sz w:val="32"/>
          <w:szCs w:val="32"/>
        </w:rPr>
        <w:t>：收、支决算总计变动情况图）</w:t>
      </w:r>
    </w:p>
    <w:p>
      <w:pPr>
        <w:pStyle w:val="11"/>
        <w:adjustRightInd w:val="0"/>
        <w:snapToGrid w:val="0"/>
        <w:spacing w:beforeLines="100" w:afterLines="100" w:line="576" w:lineRule="exact"/>
        <w:ind w:left="420" w:firstLine="320" w:firstLineChars="100"/>
        <w:jc w:val="left"/>
        <w:outlineLvl w:val="1"/>
        <w:rPr>
          <w:rFonts w:ascii="黑体" w:hAnsi="黑体" w:eastAsia="黑体" w:cs="仿宋"/>
          <w:color w:val="000000"/>
          <w:sz w:val="32"/>
          <w:szCs w:val="32"/>
        </w:rPr>
      </w:pPr>
      <w:bookmarkStart w:id="28" w:name="_Toc25741"/>
      <w:bookmarkStart w:id="29" w:name="_Toc29056"/>
      <w:r>
        <w:rPr>
          <w:rFonts w:hint="eastAsia" w:ascii="黑体" w:hAnsi="黑体" w:eastAsia="黑体" w:cs="仿宋"/>
          <w:color w:val="000000"/>
          <w:sz w:val="32"/>
          <w:szCs w:val="32"/>
        </w:rPr>
        <w:t>二、收入决算情况说明</w:t>
      </w:r>
      <w:bookmarkEnd w:id="28"/>
      <w:bookmarkEnd w:id="29"/>
    </w:p>
    <w:p>
      <w:pPr>
        <w:spacing w:line="576" w:lineRule="exact"/>
        <w:ind w:firstLine="640" w:firstLineChars="20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3年本年收入合计218.08万元，其中：一般公共预算财政拨款收入218.07万元，占100</w:t>
      </w:r>
      <w:r>
        <w:rPr>
          <w:rFonts w:ascii="仿宋" w:hAnsi="仿宋" w:eastAsia="仿宋" w:cs="仿宋"/>
          <w:color w:val="000000"/>
          <w:sz w:val="32"/>
          <w:szCs w:val="32"/>
        </w:rPr>
        <w:t>%</w:t>
      </w:r>
      <w:r>
        <w:rPr>
          <w:rFonts w:hint="eastAsia" w:ascii="仿宋" w:hAnsi="仿宋" w:eastAsia="仿宋" w:cs="仿宋"/>
          <w:color w:val="000000"/>
          <w:sz w:val="32"/>
          <w:szCs w:val="32"/>
        </w:rPr>
        <w:t>；其他收入0.01万元，占</w:t>
      </w:r>
      <w:r>
        <w:rPr>
          <w:rFonts w:ascii="仿宋" w:hAnsi="仿宋" w:eastAsia="仿宋" w:cs="仿宋"/>
          <w:color w:val="000000"/>
          <w:sz w:val="32"/>
          <w:szCs w:val="32"/>
        </w:rPr>
        <w:t>0%</w:t>
      </w:r>
      <w:r>
        <w:rPr>
          <w:rFonts w:hint="eastAsia" w:ascii="仿宋" w:hAnsi="仿宋" w:eastAsia="仿宋" w:cs="仿宋"/>
          <w:color w:val="000000"/>
          <w:sz w:val="32"/>
          <w:szCs w:val="32"/>
        </w:rPr>
        <w:t>。</w:t>
      </w:r>
    </w:p>
    <w:p>
      <w:pPr>
        <w:pStyle w:val="2"/>
        <w:spacing w:beforeLines="0" w:line="576" w:lineRule="exact"/>
      </w:pPr>
    </w:p>
    <w:p>
      <w:pPr>
        <w:pStyle w:val="2"/>
        <w:spacing w:beforeLines="0"/>
        <w:rPr>
          <w:rFonts w:ascii="仿宋" w:hAnsi="仿宋" w:eastAsia="仿宋" w:cs="仿宋"/>
          <w:color w:val="000000"/>
          <w:sz w:val="32"/>
          <w:szCs w:val="32"/>
        </w:rPr>
      </w:pPr>
      <w:r>
        <w:rPr>
          <w:rFonts w:hint="eastAsia" w:ascii="仿宋" w:hAnsi="仿宋" w:eastAsia="仿宋" w:cs="仿宋"/>
          <w:color w:val="000000"/>
          <w:sz w:val="32"/>
          <w:szCs w:val="32"/>
        </w:rPr>
        <w:drawing>
          <wp:inline distT="0" distB="0" distL="114300" distR="114300">
            <wp:extent cx="5079365" cy="4509770"/>
            <wp:effectExtent l="0" t="0" r="0" b="0"/>
            <wp:docPr id="2"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2</w:t>
      </w:r>
      <w:r>
        <w:rPr>
          <w:rFonts w:hint="eastAsia" w:ascii="仿宋" w:hAnsi="仿宋" w:eastAsia="仿宋" w:cs="仿宋"/>
          <w:color w:val="000000"/>
          <w:sz w:val="32"/>
          <w:szCs w:val="32"/>
        </w:rPr>
        <w:t>：收入决算结构图）</w:t>
      </w:r>
    </w:p>
    <w:p>
      <w:pPr>
        <w:pStyle w:val="11"/>
        <w:adjustRightInd w:val="0"/>
        <w:snapToGrid w:val="0"/>
        <w:spacing w:beforeLines="100" w:afterLines="100" w:line="576" w:lineRule="exact"/>
        <w:ind w:left="420" w:firstLine="156" w:firstLineChars="49"/>
        <w:jc w:val="left"/>
        <w:outlineLvl w:val="1"/>
        <w:rPr>
          <w:rFonts w:ascii="黑体" w:hAnsi="黑体" w:eastAsia="黑体"/>
          <w:sz w:val="32"/>
          <w:szCs w:val="32"/>
        </w:rPr>
      </w:pPr>
      <w:bookmarkStart w:id="30" w:name="_Toc6732"/>
      <w:bookmarkStart w:id="31" w:name="_Toc21147"/>
      <w:r>
        <w:rPr>
          <w:rFonts w:hint="eastAsia" w:ascii="黑体" w:hAnsi="黑体" w:eastAsia="黑体"/>
          <w:sz w:val="32"/>
          <w:szCs w:val="32"/>
        </w:rPr>
        <w:t>三、支出决算情况说明</w:t>
      </w:r>
      <w:bookmarkEnd w:id="30"/>
      <w:bookmarkEnd w:id="31"/>
    </w:p>
    <w:p>
      <w:pPr>
        <w:spacing w:line="576" w:lineRule="exact"/>
        <w:ind w:firstLine="640" w:firstLineChars="20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3年本年支出合计225.97万元，其中：基本支出146.68万元，占64.91</w:t>
      </w:r>
      <w:r>
        <w:rPr>
          <w:rFonts w:ascii="仿宋" w:hAnsi="仿宋" w:eastAsia="仿宋" w:cs="仿宋"/>
          <w:color w:val="000000"/>
          <w:sz w:val="32"/>
          <w:szCs w:val="32"/>
        </w:rPr>
        <w:t>%</w:t>
      </w:r>
      <w:r>
        <w:rPr>
          <w:rFonts w:hint="eastAsia" w:ascii="仿宋" w:hAnsi="仿宋" w:eastAsia="仿宋" w:cs="仿宋"/>
          <w:color w:val="000000"/>
          <w:sz w:val="32"/>
          <w:szCs w:val="32"/>
        </w:rPr>
        <w:t>；项目支出79.29万元，占35.09</w:t>
      </w:r>
      <w:r>
        <w:rPr>
          <w:rFonts w:ascii="仿宋" w:hAnsi="仿宋" w:eastAsia="仿宋" w:cs="仿宋"/>
          <w:color w:val="000000"/>
          <w:sz w:val="32"/>
          <w:szCs w:val="32"/>
        </w:rPr>
        <w:t>%</w:t>
      </w:r>
      <w:r>
        <w:rPr>
          <w:rFonts w:hint="eastAsia" w:ascii="仿宋" w:hAnsi="仿宋" w:eastAsia="仿宋" w:cs="仿宋"/>
          <w:color w:val="000000"/>
          <w:sz w:val="32"/>
          <w:szCs w:val="32"/>
        </w:rPr>
        <w:t>；</w:t>
      </w:r>
    </w:p>
    <w:p>
      <w:pPr>
        <w:pStyle w:val="2"/>
        <w:spacing w:beforeLines="0" w:line="576" w:lineRule="exact"/>
      </w:pPr>
    </w:p>
    <w:p>
      <w:pPr>
        <w:pStyle w:val="2"/>
        <w:spacing w:beforeLines="0"/>
      </w:pPr>
    </w:p>
    <w:p>
      <w:pPr>
        <w:pStyle w:val="2"/>
        <w:spacing w:beforeLines="0"/>
      </w:pPr>
    </w:p>
    <w:p>
      <w:pPr>
        <w:pStyle w:val="2"/>
        <w:spacing w:beforeLines="0"/>
        <w:rPr>
          <w:rFonts w:ascii="仿宋" w:hAnsi="仿宋" w:eastAsia="仿宋"/>
          <w:sz w:val="32"/>
          <w:szCs w:val="32"/>
        </w:rPr>
      </w:pPr>
    </w:p>
    <w:p>
      <w:pPr>
        <w:pStyle w:val="2"/>
        <w:spacing w:beforeLines="0"/>
        <w:rPr>
          <w:rFonts w:eastAsia="仿宋"/>
        </w:rPr>
      </w:pPr>
      <w:r>
        <w:rPr>
          <w:rFonts w:hint="eastAsia" w:ascii="仿宋" w:hAnsi="仿宋" w:eastAsia="仿宋" w:cs="仿宋"/>
          <w:color w:val="000000"/>
          <w:sz w:val="32"/>
          <w:szCs w:val="32"/>
        </w:rPr>
        <w:drawing>
          <wp:inline distT="0" distB="0" distL="114300" distR="114300">
            <wp:extent cx="5079365" cy="3810000"/>
            <wp:effectExtent l="0" t="0" r="0" b="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textAlignment w:val="baseline"/>
        <w:rPr>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3</w:t>
      </w:r>
      <w:r>
        <w:rPr>
          <w:rFonts w:hint="eastAsia" w:ascii="仿宋" w:hAnsi="仿宋" w:eastAsia="仿宋" w:cs="仿宋"/>
          <w:color w:val="000000"/>
          <w:sz w:val="32"/>
          <w:szCs w:val="32"/>
        </w:rPr>
        <w:t>：支出决算结构图）</w:t>
      </w:r>
    </w:p>
    <w:p>
      <w:pPr>
        <w:pStyle w:val="11"/>
        <w:adjustRightInd w:val="0"/>
        <w:snapToGrid w:val="0"/>
        <w:spacing w:beforeLines="100" w:afterLines="100" w:line="576" w:lineRule="exact"/>
        <w:ind w:left="420"/>
        <w:jc w:val="left"/>
        <w:outlineLvl w:val="1"/>
        <w:rPr>
          <w:rFonts w:ascii="黑体" w:hAnsi="黑体" w:eastAsia="黑体"/>
          <w:sz w:val="32"/>
          <w:szCs w:val="32"/>
        </w:rPr>
      </w:pPr>
      <w:bookmarkStart w:id="32" w:name="_Toc17709"/>
      <w:bookmarkStart w:id="33" w:name="_Toc31944"/>
      <w:r>
        <w:rPr>
          <w:rFonts w:hint="eastAsia" w:ascii="黑体" w:hAnsi="黑体" w:eastAsia="黑体"/>
          <w:sz w:val="32"/>
          <w:szCs w:val="32"/>
        </w:rPr>
        <w:t>四、财政拨款收入支出决算总体情况说明</w:t>
      </w:r>
      <w:bookmarkEnd w:id="32"/>
      <w:bookmarkEnd w:id="33"/>
    </w:p>
    <w:p>
      <w:pPr>
        <w:spacing w:line="576" w:lineRule="exact"/>
        <w:ind w:firstLine="64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3年财政拨款收入总计226.66万元。与</w:t>
      </w:r>
      <w:r>
        <w:rPr>
          <w:rFonts w:ascii="仿宋" w:hAnsi="仿宋" w:eastAsia="仿宋" w:cs="仿宋"/>
          <w:color w:val="000000"/>
          <w:sz w:val="32"/>
          <w:szCs w:val="32"/>
        </w:rPr>
        <w:t>202</w:t>
      </w:r>
      <w:r>
        <w:rPr>
          <w:rFonts w:hint="eastAsia" w:ascii="仿宋" w:hAnsi="仿宋" w:eastAsia="仿宋" w:cs="仿宋"/>
          <w:color w:val="000000"/>
          <w:sz w:val="32"/>
          <w:szCs w:val="32"/>
        </w:rPr>
        <w:t>2年相比，财政拨款支出总计减少5.41万元，下降2.33</w:t>
      </w:r>
      <w:r>
        <w:rPr>
          <w:rFonts w:ascii="仿宋" w:hAnsi="仿宋" w:eastAsia="仿宋" w:cs="仿宋"/>
          <w:color w:val="000000"/>
          <w:sz w:val="32"/>
          <w:szCs w:val="32"/>
        </w:rPr>
        <w:t>%</w:t>
      </w:r>
      <w:r>
        <w:rPr>
          <w:rFonts w:hint="eastAsia" w:ascii="仿宋" w:hAnsi="仿宋" w:eastAsia="仿宋" w:cs="仿宋"/>
          <w:color w:val="000000"/>
          <w:sz w:val="32"/>
          <w:szCs w:val="32"/>
        </w:rPr>
        <w:t>，主要变动原因是项目减少。</w:t>
      </w:r>
    </w:p>
    <w:p>
      <w:pPr>
        <w:pStyle w:val="2"/>
        <w:spacing w:beforeLines="0"/>
      </w:pPr>
    </w:p>
    <w:p>
      <w:pPr>
        <w:pStyle w:val="2"/>
        <w:spacing w:beforeLines="0"/>
      </w:pPr>
    </w:p>
    <w:p>
      <w:pPr>
        <w:pStyle w:val="2"/>
        <w:spacing w:beforeLines="0"/>
      </w:pPr>
    </w:p>
    <w:p>
      <w:pPr>
        <w:pStyle w:val="2"/>
        <w:spacing w:beforeLines="0"/>
        <w:rPr>
          <w:rFonts w:ascii="仿宋" w:hAnsi="仿宋" w:eastAsia="仿宋" w:cs="仿宋"/>
          <w:color w:val="000000"/>
          <w:sz w:val="32"/>
          <w:szCs w:val="32"/>
        </w:rPr>
      </w:pPr>
    </w:p>
    <w:p>
      <w:pPr>
        <w:spacing w:line="600" w:lineRule="exact"/>
        <w:ind w:firstLine="640" w:firstLineChars="200"/>
        <w:jc w:val="center"/>
        <w:textAlignment w:val="baseline"/>
        <w:rPr>
          <w:rFonts w:ascii="仿宋" w:hAnsi="仿宋" w:eastAsia="仿宋"/>
          <w:sz w:val="32"/>
          <w:szCs w:val="32"/>
        </w:rPr>
      </w:pPr>
    </w:p>
    <w:p>
      <w:pPr>
        <w:pStyle w:val="2"/>
        <w:spacing w:before="93"/>
      </w:pPr>
    </w:p>
    <w:p>
      <w:pPr>
        <w:pStyle w:val="2"/>
        <w:spacing w:beforeLines="0"/>
        <w:rPr>
          <w:rFonts w:ascii="仿宋" w:hAnsi="仿宋" w:eastAsia="仿宋"/>
          <w:sz w:val="32"/>
          <w:szCs w:val="32"/>
        </w:rPr>
      </w:pPr>
      <w:r>
        <w:rPr>
          <w:rFonts w:hint="eastAsia" w:ascii="仿宋" w:hAnsi="仿宋" w:eastAsia="仿宋"/>
          <w:sz w:val="32"/>
          <w:szCs w:val="32"/>
        </w:rPr>
        <w:drawing>
          <wp:inline distT="0" distB="0" distL="114300" distR="114300">
            <wp:extent cx="5079365" cy="4405630"/>
            <wp:effectExtent l="19050" t="0" r="26035" b="0"/>
            <wp:docPr id="8"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spacing w:beforeLines="0" w:line="576" w:lineRule="exact"/>
        <w:jc w:val="center"/>
        <w:rPr>
          <w:rFonts w:ascii="仿宋" w:hAnsi="仿宋" w:eastAsia="仿宋"/>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4</w:t>
      </w:r>
      <w:r>
        <w:rPr>
          <w:rFonts w:hint="eastAsia" w:ascii="仿宋" w:hAnsi="仿宋" w:eastAsia="仿宋" w:cs="仿宋"/>
          <w:color w:val="000000"/>
          <w:sz w:val="32"/>
          <w:szCs w:val="32"/>
        </w:rPr>
        <w:t>：财政拨款收、支决算总计变动情况）</w:t>
      </w:r>
    </w:p>
    <w:p>
      <w:pPr>
        <w:pStyle w:val="11"/>
        <w:adjustRightInd w:val="0"/>
        <w:snapToGrid w:val="0"/>
        <w:spacing w:beforeLines="100" w:afterLines="100" w:line="576" w:lineRule="exact"/>
        <w:ind w:left="420" w:firstLine="313" w:firstLineChars="98"/>
        <w:jc w:val="left"/>
        <w:outlineLvl w:val="1"/>
        <w:rPr>
          <w:rFonts w:ascii="黑体" w:hAnsi="黑体" w:eastAsia="黑体"/>
          <w:sz w:val="32"/>
          <w:szCs w:val="32"/>
        </w:rPr>
      </w:pPr>
      <w:bookmarkStart w:id="34" w:name="_Toc5854"/>
      <w:bookmarkStart w:id="35" w:name="_Toc21618"/>
      <w:r>
        <w:rPr>
          <w:rFonts w:hint="eastAsia" w:ascii="黑体" w:hAnsi="黑体" w:eastAsia="黑体"/>
          <w:sz w:val="32"/>
          <w:szCs w:val="32"/>
        </w:rPr>
        <w:t>五、一般公共预算财政拨款支出决算情况说明</w:t>
      </w:r>
      <w:bookmarkEnd w:id="34"/>
      <w:bookmarkEnd w:id="35"/>
    </w:p>
    <w:p>
      <w:pPr>
        <w:pStyle w:val="11"/>
        <w:adjustRightInd w:val="0"/>
        <w:snapToGrid w:val="0"/>
        <w:spacing w:beforeLines="100" w:afterLines="100" w:line="576" w:lineRule="exact"/>
        <w:ind w:left="420" w:firstLine="313" w:firstLineChars="98"/>
        <w:jc w:val="left"/>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576" w:lineRule="exact"/>
        <w:ind w:firstLine="640" w:firstLineChars="20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3年一般公共预算财政拨款支出225.47万元，占本年支出合计的99.25%。与</w:t>
      </w:r>
      <w:r>
        <w:rPr>
          <w:rFonts w:ascii="仿宋" w:hAnsi="仿宋" w:eastAsia="仿宋" w:cs="仿宋"/>
          <w:color w:val="000000"/>
          <w:sz w:val="32"/>
          <w:szCs w:val="32"/>
        </w:rPr>
        <w:t>202</w:t>
      </w:r>
      <w:r>
        <w:rPr>
          <w:rFonts w:hint="eastAsia" w:ascii="仿宋" w:hAnsi="仿宋" w:eastAsia="仿宋" w:cs="仿宋"/>
          <w:color w:val="000000"/>
          <w:sz w:val="32"/>
          <w:szCs w:val="32"/>
        </w:rPr>
        <w:t>2年相比，一般公共预算财政拨款增加0.11万元，上升0.05</w:t>
      </w:r>
      <w:r>
        <w:rPr>
          <w:rFonts w:ascii="仿宋" w:hAnsi="仿宋" w:eastAsia="仿宋" w:cs="仿宋"/>
          <w:color w:val="000000"/>
          <w:sz w:val="32"/>
          <w:szCs w:val="32"/>
        </w:rPr>
        <w:t>%</w:t>
      </w:r>
      <w:r>
        <w:rPr>
          <w:rFonts w:hint="eastAsia" w:ascii="仿宋" w:hAnsi="仿宋" w:eastAsia="仿宋" w:cs="仿宋"/>
          <w:color w:val="000000"/>
          <w:sz w:val="32"/>
          <w:szCs w:val="32"/>
        </w:rPr>
        <w:t>。主要变动原因是增加了新进人员。</w:t>
      </w:r>
    </w:p>
    <w:p>
      <w:pPr>
        <w:pStyle w:val="2"/>
        <w:spacing w:beforeLines="0" w:line="576" w:lineRule="exact"/>
      </w:pPr>
    </w:p>
    <w:p>
      <w:pPr>
        <w:pStyle w:val="2"/>
        <w:spacing w:beforeLines="0"/>
        <w:rPr>
          <w:rFonts w:ascii="仿宋" w:hAnsi="仿宋" w:eastAsia="仿宋"/>
          <w:sz w:val="32"/>
          <w:szCs w:val="32"/>
        </w:rPr>
      </w:pPr>
      <w:r>
        <w:rPr>
          <w:rFonts w:hint="eastAsia" w:ascii="仿宋" w:hAnsi="仿宋" w:eastAsia="仿宋"/>
          <w:sz w:val="32"/>
          <w:szCs w:val="32"/>
        </w:rPr>
        <w:drawing>
          <wp:inline distT="0" distB="0" distL="114300" distR="114300">
            <wp:extent cx="5534025" cy="4410075"/>
            <wp:effectExtent l="19050" t="0" r="9525" b="0"/>
            <wp:docPr id="9"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576" w:lineRule="exact"/>
        <w:ind w:firstLine="640" w:firstLineChars="200"/>
        <w:textAlignment w:val="baseline"/>
        <w:rPr>
          <w:rFonts w:ascii="仿宋" w:hAnsi="仿宋" w:eastAsia="仿宋" w:cs="仿宋"/>
          <w:color w:val="000000"/>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5</w:t>
      </w:r>
      <w:r>
        <w:rPr>
          <w:rFonts w:hint="eastAsia" w:ascii="仿宋" w:hAnsi="仿宋" w:eastAsia="仿宋" w:cs="仿宋"/>
          <w:color w:val="000000"/>
          <w:sz w:val="32"/>
          <w:szCs w:val="32"/>
        </w:rPr>
        <w:t>：一般公共预算财政拨款支出决算变动情况）</w:t>
      </w:r>
    </w:p>
    <w:p>
      <w:pPr>
        <w:spacing w:beforeLines="100" w:afterLines="100" w:line="576" w:lineRule="exact"/>
        <w:ind w:firstLine="642" w:firstLineChars="200"/>
        <w:textAlignment w:val="baseline"/>
        <w:rPr>
          <w:rFonts w:ascii="仿宋" w:hAnsi="仿宋" w:eastAsia="仿宋"/>
          <w:b/>
          <w:bCs/>
          <w:color w:val="000000"/>
          <w:sz w:val="32"/>
          <w:szCs w:val="32"/>
        </w:rPr>
      </w:pPr>
      <w:r>
        <w:rPr>
          <w:rFonts w:hint="eastAsia" w:ascii="仿宋" w:hAnsi="仿宋" w:eastAsia="仿宋" w:cs="仿宋"/>
          <w:b/>
          <w:bCs/>
          <w:color w:val="000000"/>
          <w:sz w:val="32"/>
          <w:szCs w:val="32"/>
        </w:rPr>
        <w:t>（二）一般公共预算财政拨款支出决算结构情况</w:t>
      </w:r>
    </w:p>
    <w:p>
      <w:pPr>
        <w:spacing w:line="576" w:lineRule="exact"/>
        <w:ind w:firstLine="640"/>
        <w:textAlignment w:val="baseline"/>
        <w:rPr>
          <w:rFonts w:ascii="仿宋" w:hAnsi="仿宋" w:eastAsia="仿宋" w:cs="仿宋"/>
          <w:color w:val="000000"/>
          <w:sz w:val="32"/>
          <w:szCs w:val="32"/>
        </w:rPr>
      </w:pPr>
      <w:r>
        <w:rPr>
          <w:rFonts w:ascii="仿宋" w:hAnsi="仿宋" w:eastAsia="仿宋" w:cs="仿宋"/>
          <w:color w:val="000000"/>
          <w:sz w:val="32"/>
          <w:szCs w:val="32"/>
        </w:rPr>
        <w:t>202</w:t>
      </w:r>
      <w:r>
        <w:rPr>
          <w:rFonts w:hint="eastAsia" w:ascii="仿宋" w:hAnsi="仿宋" w:eastAsia="仿宋" w:cs="仿宋"/>
          <w:color w:val="000000"/>
          <w:sz w:val="32"/>
          <w:szCs w:val="32"/>
        </w:rPr>
        <w:t>3年一般公共预算财政拨款支出225.47万元，主要用于以下方面：文化旅游体育与传媒支出191.7万元，占85.02</w:t>
      </w:r>
      <w:r>
        <w:rPr>
          <w:rFonts w:ascii="仿宋" w:hAnsi="仿宋" w:eastAsia="仿宋" w:cs="仿宋"/>
          <w:color w:val="000000"/>
          <w:sz w:val="32"/>
          <w:szCs w:val="32"/>
        </w:rPr>
        <w:t>%</w:t>
      </w:r>
      <w:r>
        <w:rPr>
          <w:rFonts w:hint="eastAsia" w:ascii="仿宋" w:hAnsi="仿宋" w:eastAsia="仿宋" w:cs="仿宋"/>
          <w:color w:val="000000"/>
          <w:sz w:val="32"/>
          <w:szCs w:val="32"/>
        </w:rPr>
        <w:t>；社会保障和就业支出17.13万元，占7.6</w:t>
      </w:r>
      <w:r>
        <w:rPr>
          <w:rFonts w:ascii="仿宋" w:hAnsi="仿宋" w:eastAsia="仿宋" w:cs="仿宋"/>
          <w:color w:val="000000"/>
          <w:sz w:val="32"/>
          <w:szCs w:val="32"/>
        </w:rPr>
        <w:t>%</w:t>
      </w:r>
      <w:r>
        <w:rPr>
          <w:rFonts w:hint="eastAsia" w:ascii="仿宋" w:hAnsi="仿宋" w:eastAsia="仿宋" w:cs="仿宋"/>
          <w:color w:val="000000"/>
          <w:sz w:val="32"/>
          <w:szCs w:val="32"/>
        </w:rPr>
        <w:t>；卫生健康支出4.7万元，占2.08</w:t>
      </w:r>
      <w:r>
        <w:rPr>
          <w:rFonts w:ascii="仿宋" w:hAnsi="仿宋" w:eastAsia="仿宋" w:cs="仿宋"/>
          <w:color w:val="000000"/>
          <w:sz w:val="32"/>
          <w:szCs w:val="32"/>
        </w:rPr>
        <w:t>%</w:t>
      </w:r>
      <w:r>
        <w:rPr>
          <w:rFonts w:hint="eastAsia" w:ascii="仿宋" w:hAnsi="仿宋" w:eastAsia="仿宋" w:cs="仿宋"/>
          <w:color w:val="000000"/>
          <w:sz w:val="32"/>
          <w:szCs w:val="32"/>
        </w:rPr>
        <w:t>；住房保障支出11.94万元，占5.3</w:t>
      </w:r>
      <w:r>
        <w:rPr>
          <w:rFonts w:ascii="仿宋" w:hAnsi="仿宋" w:eastAsia="仿宋" w:cs="仿宋"/>
          <w:color w:val="000000"/>
          <w:sz w:val="32"/>
          <w:szCs w:val="32"/>
        </w:rPr>
        <w:t>%</w:t>
      </w:r>
      <w:r>
        <w:rPr>
          <w:rFonts w:hint="eastAsia" w:ascii="仿宋" w:hAnsi="仿宋" w:eastAsia="仿宋" w:cs="仿宋"/>
          <w:color w:val="000000"/>
          <w:sz w:val="32"/>
          <w:szCs w:val="32"/>
        </w:rPr>
        <w:t>；</w:t>
      </w:r>
    </w:p>
    <w:p>
      <w:pPr>
        <w:pStyle w:val="2"/>
        <w:spacing w:beforeLines="0"/>
      </w:pPr>
    </w:p>
    <w:p>
      <w:pPr>
        <w:pStyle w:val="2"/>
        <w:spacing w:beforeLines="0"/>
      </w:pPr>
    </w:p>
    <w:p>
      <w:pPr>
        <w:pStyle w:val="2"/>
        <w:spacing w:beforeLines="0"/>
        <w:rPr>
          <w:rFonts w:ascii="仿宋" w:hAnsi="仿宋" w:eastAsia="仿宋"/>
          <w:color w:val="000000"/>
          <w:sz w:val="32"/>
          <w:szCs w:val="32"/>
        </w:rPr>
      </w:pPr>
      <w:r>
        <w:rPr>
          <w:rFonts w:hint="eastAsia" w:ascii="仿宋" w:hAnsi="仿宋" w:eastAsia="仿宋"/>
          <w:color w:val="000000"/>
          <w:sz w:val="32"/>
          <w:szCs w:val="32"/>
        </w:rPr>
        <w:drawing>
          <wp:inline distT="0" distB="0" distL="114300" distR="114300">
            <wp:extent cx="5079365" cy="4599305"/>
            <wp:effectExtent l="19050" t="0" r="26035" b="0"/>
            <wp:docPr id="6"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576" w:lineRule="exact"/>
        <w:ind w:firstLine="640"/>
        <w:textAlignment w:val="baseline"/>
        <w:rPr>
          <w:rFonts w:ascii="仿宋" w:hAnsi="仿宋" w:eastAsia="仿宋" w:cs="仿宋"/>
          <w:color w:val="000000"/>
          <w:sz w:val="32"/>
          <w:szCs w:val="32"/>
        </w:rPr>
      </w:pPr>
      <w:r>
        <w:rPr>
          <w:rFonts w:hint="eastAsia" w:ascii="仿宋" w:hAnsi="仿宋" w:eastAsia="仿宋" w:cs="仿宋"/>
          <w:color w:val="000000"/>
          <w:sz w:val="32"/>
          <w:szCs w:val="32"/>
        </w:rPr>
        <w:t>（图</w:t>
      </w:r>
      <w:r>
        <w:rPr>
          <w:rFonts w:ascii="仿宋" w:hAnsi="仿宋" w:eastAsia="仿宋" w:cs="仿宋"/>
          <w:color w:val="000000"/>
          <w:sz w:val="32"/>
          <w:szCs w:val="32"/>
        </w:rPr>
        <w:t>6</w:t>
      </w:r>
      <w:r>
        <w:rPr>
          <w:rFonts w:hint="eastAsia" w:ascii="仿宋" w:hAnsi="仿宋" w:eastAsia="仿宋" w:cs="仿宋"/>
          <w:color w:val="000000"/>
          <w:sz w:val="32"/>
          <w:szCs w:val="32"/>
        </w:rPr>
        <w:t>：一般公共预算财政拨款支出决算结构）</w:t>
      </w:r>
    </w:p>
    <w:p>
      <w:pPr>
        <w:spacing w:beforeLines="100" w:afterLines="100" w:line="576" w:lineRule="exact"/>
        <w:ind w:firstLine="642" w:firstLineChars="200"/>
        <w:textAlignment w:val="baseline"/>
        <w:rPr>
          <w:rFonts w:ascii="仿宋" w:hAnsi="仿宋" w:eastAsia="仿宋"/>
          <w:b/>
          <w:bCs/>
          <w:color w:val="000000"/>
          <w:sz w:val="32"/>
          <w:szCs w:val="32"/>
        </w:rPr>
      </w:pPr>
      <w:r>
        <w:rPr>
          <w:rFonts w:hint="eastAsia" w:ascii="仿宋" w:hAnsi="仿宋" w:eastAsia="仿宋" w:cs="仿宋"/>
          <w:b/>
          <w:bCs/>
          <w:color w:val="000000"/>
          <w:sz w:val="32"/>
          <w:szCs w:val="32"/>
        </w:rPr>
        <w:t>（三）一般公共预算财政拨款支出决算具体情况</w:t>
      </w:r>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3年一般公共预算支出决算数为225.47万元，完成预算99.47%。其中：</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1.文化旅游体育与传媒（类）文化和旅游（款）文化展示及纪念机构（项）：支出决算为191.7万元，完成预算99.46%，</w:t>
      </w:r>
      <w:r>
        <w:rPr>
          <w:rFonts w:ascii="仿宋" w:hAnsi="仿宋" w:eastAsia="仿宋"/>
          <w:sz w:val="32"/>
          <w:szCs w:val="32"/>
        </w:rPr>
        <w:t>决算数于小预算数的原因是有人员调出、惠民活动免费给人民群众写春联</w:t>
      </w:r>
      <w:r>
        <w:rPr>
          <w:rFonts w:hint="eastAsia" w:ascii="仿宋" w:hAnsi="仿宋" w:eastAsia="仿宋"/>
          <w:sz w:val="32"/>
          <w:szCs w:val="32"/>
        </w:rPr>
        <w:t>正在进行。</w:t>
      </w:r>
    </w:p>
    <w:p>
      <w:pPr>
        <w:spacing w:line="576" w:lineRule="exact"/>
        <w:ind w:firstLine="640" w:firstLineChars="200"/>
        <w:rPr>
          <w:rFonts w:hint="eastAsia" w:ascii="仿宋" w:hAnsi="仿宋" w:eastAsia="仿宋"/>
          <w:sz w:val="32"/>
          <w:szCs w:val="32"/>
        </w:rPr>
      </w:pPr>
      <w:r>
        <w:rPr>
          <w:rFonts w:ascii="仿宋" w:hAnsi="仿宋" w:eastAsia="仿宋"/>
          <w:sz w:val="32"/>
          <w:szCs w:val="32"/>
        </w:rPr>
        <w:t>2</w:t>
      </w:r>
      <w:r>
        <w:rPr>
          <w:rFonts w:hint="eastAsia" w:ascii="仿宋" w:hAnsi="仿宋" w:eastAsia="仿宋"/>
          <w:sz w:val="32"/>
          <w:szCs w:val="32"/>
        </w:rPr>
        <w:t>.社会保障和就业（类）行政事业单位养老（款）机关事业单位基本养老保险缴费（项）：支出决算为16.13万元，完成预算100</w:t>
      </w:r>
      <w:r>
        <w:rPr>
          <w:rFonts w:ascii="仿宋" w:hAnsi="仿宋" w:eastAsia="仿宋"/>
          <w:sz w:val="32"/>
          <w:szCs w:val="32"/>
        </w:rPr>
        <w:t>%</w:t>
      </w:r>
      <w:r>
        <w:rPr>
          <w:rFonts w:hint="eastAsia" w:ascii="仿宋" w:hAnsi="仿宋" w:eastAsia="仿宋"/>
          <w:sz w:val="32"/>
          <w:szCs w:val="32"/>
        </w:rPr>
        <w:t>。</w:t>
      </w:r>
    </w:p>
    <w:p>
      <w:pPr>
        <w:pStyle w:val="2"/>
        <w:spacing w:before="93"/>
        <w:rPr>
          <w:rFonts w:ascii="仿宋" w:hAnsi="仿宋" w:eastAsia="仿宋"/>
          <w:sz w:val="32"/>
          <w:szCs w:val="32"/>
        </w:rPr>
      </w:pPr>
      <w:r>
        <w:rPr>
          <w:rFonts w:hint="eastAsia"/>
        </w:rPr>
        <w:t xml:space="preserve">   </w:t>
      </w:r>
      <w:r>
        <w:rPr>
          <w:rFonts w:hint="eastAsia" w:ascii="仿宋" w:hAnsi="仿宋" w:eastAsia="仿宋"/>
          <w:kern w:val="2"/>
          <w:sz w:val="32"/>
          <w:szCs w:val="32"/>
        </w:rPr>
        <w:t xml:space="preserve"> 3. 社会保障和就业（类）其他社会保险和就业支出（款）其他社会保险和就业支出1万元，</w:t>
      </w:r>
      <w:r>
        <w:rPr>
          <w:rFonts w:hint="eastAsia" w:ascii="仿宋" w:hAnsi="仿宋" w:eastAsia="仿宋"/>
          <w:sz w:val="32"/>
          <w:szCs w:val="32"/>
        </w:rPr>
        <w:t>完成预算100%。</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4.卫生健康（类）行政事业单位医疗（款）事业单位医疗（项）：支出决算为4.7万元，完成预算</w:t>
      </w:r>
      <w:r>
        <w:rPr>
          <w:rFonts w:ascii="仿宋" w:hAnsi="仿宋" w:eastAsia="仿宋"/>
          <w:sz w:val="32"/>
          <w:szCs w:val="32"/>
        </w:rPr>
        <w:t>100%</w:t>
      </w:r>
      <w:r>
        <w:rPr>
          <w:rFonts w:hint="eastAsia" w:ascii="仿宋" w:hAnsi="仿宋" w:eastAsia="仿宋"/>
          <w:sz w:val="32"/>
          <w:szCs w:val="32"/>
        </w:rPr>
        <w:t>。</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5.住房保障支出（类）住房改革支出（款）住房公积金（项）支出决算为11.94万元，完成预算99</w:t>
      </w:r>
      <w:r>
        <w:rPr>
          <w:rFonts w:ascii="仿宋" w:hAnsi="仿宋" w:eastAsia="仿宋"/>
          <w:sz w:val="32"/>
          <w:szCs w:val="32"/>
        </w:rPr>
        <w:t>%，决算数于小预算数的原因是有人员调出</w:t>
      </w:r>
      <w:r>
        <w:rPr>
          <w:rFonts w:hint="eastAsia" w:ascii="仿宋" w:hAnsi="仿宋" w:eastAsia="仿宋"/>
          <w:sz w:val="32"/>
          <w:szCs w:val="32"/>
        </w:rPr>
        <w:t>。</w:t>
      </w:r>
    </w:p>
    <w:p>
      <w:pPr>
        <w:spacing w:beforeLines="100" w:afterLines="100" w:line="576" w:lineRule="exact"/>
        <w:ind w:firstLine="640" w:firstLineChars="200"/>
        <w:outlineLvl w:val="1"/>
        <w:rPr>
          <w:rFonts w:ascii="黑体" w:hAnsi="黑体" w:eastAsia="黑体"/>
          <w:sz w:val="32"/>
          <w:szCs w:val="32"/>
        </w:rPr>
      </w:pPr>
      <w:bookmarkStart w:id="36" w:name="_Toc20181"/>
      <w:bookmarkStart w:id="37" w:name="_Toc18105"/>
      <w:r>
        <w:rPr>
          <w:rFonts w:hint="eastAsia" w:ascii="黑体" w:hAnsi="黑体" w:eastAsia="黑体"/>
          <w:sz w:val="32"/>
          <w:szCs w:val="32"/>
        </w:rPr>
        <w:t>六、一般公共预算财政拨款基本支出决算情况说明</w:t>
      </w:r>
      <w:bookmarkEnd w:id="36"/>
      <w:bookmarkEnd w:id="37"/>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3年一般公共预算财政拨款基本支出146.68万元，其中：</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人员经费133.75万元，主要包括：基本工资、津贴补贴、奖金、绩效工资、机关事业单位基本养老保险缴费、职工基本医疗保险缴费、其他社会保障缴费、住房公积金。</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日常公用经费12.93万元，主要包括：办公费、印刷费、手续费、水费、电费、邮电费、差旅费、维修（护）费、培训费、公务接待费、专用材料费、劳务费、委托业务费、工会经费、福利费、其他交通费用、其他商品和服务支出。</w:t>
      </w:r>
    </w:p>
    <w:p>
      <w:pPr>
        <w:spacing w:beforeLines="100" w:afterLines="100" w:line="576" w:lineRule="exact"/>
        <w:ind w:firstLine="640" w:firstLineChars="200"/>
        <w:outlineLvl w:val="1"/>
        <w:rPr>
          <w:rFonts w:ascii="黑体" w:hAnsi="黑体" w:eastAsia="黑体"/>
          <w:sz w:val="32"/>
          <w:szCs w:val="32"/>
        </w:rPr>
      </w:pPr>
      <w:bookmarkStart w:id="38" w:name="_Toc13457"/>
      <w:bookmarkStart w:id="39" w:name="_Toc4029"/>
      <w:r>
        <w:rPr>
          <w:rFonts w:hint="eastAsia" w:ascii="黑体" w:hAnsi="黑体" w:eastAsia="黑体"/>
          <w:sz w:val="32"/>
          <w:szCs w:val="32"/>
        </w:rPr>
        <w:t>七、财政拨款“三公”经费支出决算情况说明</w:t>
      </w:r>
      <w:bookmarkEnd w:id="38"/>
      <w:bookmarkEnd w:id="39"/>
    </w:p>
    <w:p>
      <w:pPr>
        <w:spacing w:beforeLines="100" w:afterLines="100" w:line="576" w:lineRule="exact"/>
        <w:ind w:firstLine="642" w:firstLineChars="200"/>
        <w:rPr>
          <w:rFonts w:ascii="仿宋" w:hAnsi="仿宋" w:eastAsia="仿宋"/>
          <w:b/>
          <w:sz w:val="32"/>
          <w:szCs w:val="32"/>
        </w:rPr>
      </w:pPr>
      <w:bookmarkStart w:id="40" w:name="_Toc82429034"/>
      <w:r>
        <w:rPr>
          <w:rFonts w:hint="eastAsia" w:ascii="仿宋" w:hAnsi="仿宋" w:eastAsia="仿宋"/>
          <w:b/>
          <w:sz w:val="32"/>
          <w:szCs w:val="32"/>
        </w:rPr>
        <w:t>（一）“三公”经费财政拨款支出决算总体情况说明</w:t>
      </w:r>
      <w:bookmarkEnd w:id="40"/>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3年“三公”经费财政拨款预算数为1.2万元，</w:t>
      </w:r>
      <w:r>
        <w:rPr>
          <w:rFonts w:ascii="仿宋" w:hAnsi="仿宋" w:eastAsia="仿宋"/>
          <w:sz w:val="32"/>
          <w:szCs w:val="32"/>
        </w:rPr>
        <w:t>202</w:t>
      </w:r>
      <w:r>
        <w:rPr>
          <w:rFonts w:hint="eastAsia" w:ascii="仿宋" w:hAnsi="仿宋" w:eastAsia="仿宋"/>
          <w:sz w:val="32"/>
          <w:szCs w:val="32"/>
        </w:rPr>
        <w:t>3年“三公”经费财政拨款支出决算为0</w:t>
      </w:r>
      <w:r>
        <w:rPr>
          <w:rFonts w:ascii="仿宋" w:hAnsi="仿宋" w:eastAsia="仿宋"/>
          <w:sz w:val="32"/>
          <w:szCs w:val="32"/>
        </w:rPr>
        <w:t>.</w:t>
      </w:r>
      <w:r>
        <w:rPr>
          <w:rFonts w:hint="eastAsia" w:ascii="仿宋" w:hAnsi="仿宋" w:eastAsia="仿宋"/>
          <w:sz w:val="32"/>
          <w:szCs w:val="32"/>
        </w:rPr>
        <w:t>60万元，完成预算50</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较上年减少</w:t>
      </w:r>
      <w:r>
        <w:rPr>
          <w:rFonts w:hint="eastAsia" w:ascii="仿宋" w:hAnsi="仿宋" w:eastAsia="仿宋"/>
          <w:sz w:val="32"/>
          <w:szCs w:val="32"/>
        </w:rPr>
        <w:t>0.05</w:t>
      </w:r>
      <w:r>
        <w:rPr>
          <w:rFonts w:ascii="仿宋" w:hAnsi="仿宋" w:eastAsia="仿宋"/>
          <w:sz w:val="32"/>
          <w:szCs w:val="32"/>
        </w:rPr>
        <w:t>万元，减少</w:t>
      </w:r>
      <w:r>
        <w:rPr>
          <w:rFonts w:hint="eastAsia" w:ascii="仿宋" w:hAnsi="仿宋" w:eastAsia="仿宋"/>
          <w:sz w:val="32"/>
          <w:szCs w:val="32"/>
        </w:rPr>
        <w:t>7.69</w:t>
      </w:r>
      <w:r>
        <w:rPr>
          <w:rFonts w:ascii="仿宋" w:hAnsi="仿宋" w:eastAsia="仿宋"/>
          <w:sz w:val="32"/>
          <w:szCs w:val="32"/>
        </w:rPr>
        <w:t>%；</w:t>
      </w:r>
      <w:r>
        <w:rPr>
          <w:rFonts w:hint="eastAsia" w:ascii="仿宋" w:hAnsi="仿宋" w:eastAsia="仿宋"/>
          <w:sz w:val="32"/>
          <w:szCs w:val="32"/>
        </w:rPr>
        <w:t>决算数小于预算数的主要原因是厉行节约，减少公务接待人次及费用。</w:t>
      </w:r>
    </w:p>
    <w:p>
      <w:pPr>
        <w:spacing w:beforeLines="100" w:afterLines="100" w:line="576" w:lineRule="exact"/>
        <w:ind w:firstLine="640" w:firstLineChars="200"/>
        <w:rPr>
          <w:rFonts w:ascii="黑体" w:hAnsi="黑体" w:eastAsia="黑体"/>
          <w:sz w:val="32"/>
          <w:szCs w:val="32"/>
        </w:rPr>
      </w:pPr>
      <w:bookmarkStart w:id="41" w:name="_Toc82429035"/>
      <w:r>
        <w:rPr>
          <w:rFonts w:hint="eastAsia" w:ascii="黑体" w:hAnsi="黑体" w:eastAsia="黑体"/>
          <w:sz w:val="32"/>
          <w:szCs w:val="32"/>
        </w:rPr>
        <w:t>（二）“三公”经费财政拨款支出决算具体情况说明</w:t>
      </w:r>
      <w:bookmarkEnd w:id="41"/>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万元，占0%；公务用车购置及运行维护费支出决算0万元，占0%；公务接待费支出决算</w:t>
      </w:r>
      <w:r>
        <w:rPr>
          <w:rFonts w:ascii="仿宋" w:hAnsi="仿宋" w:eastAsia="仿宋"/>
          <w:sz w:val="32"/>
          <w:szCs w:val="32"/>
        </w:rPr>
        <w:t>0.</w:t>
      </w:r>
      <w:r>
        <w:rPr>
          <w:rFonts w:hint="eastAsia" w:ascii="仿宋" w:hAnsi="仿宋" w:eastAsia="仿宋"/>
          <w:sz w:val="32"/>
          <w:szCs w:val="32"/>
        </w:rPr>
        <w:t>6万元，占100%。具体情况如下：</w:t>
      </w:r>
    </w:p>
    <w:p>
      <w:pPr>
        <w:pStyle w:val="2"/>
        <w:spacing w:beforeLines="0" w:line="576" w:lineRule="exact"/>
      </w:pPr>
    </w:p>
    <w:p>
      <w:pPr>
        <w:pStyle w:val="2"/>
        <w:spacing w:beforeLines="0"/>
        <w:rPr>
          <w:rFonts w:ascii="仿宋" w:hAnsi="仿宋" w:eastAsia="仿宋"/>
          <w:color w:val="000000"/>
          <w:sz w:val="32"/>
          <w:szCs w:val="32"/>
        </w:rPr>
      </w:pPr>
      <w:r>
        <w:rPr>
          <w:rFonts w:hint="eastAsia" w:ascii="仿宋" w:hAnsi="仿宋" w:eastAsia="仿宋"/>
          <w:color w:val="000000"/>
          <w:sz w:val="32"/>
          <w:szCs w:val="32"/>
        </w:rPr>
        <w:drawing>
          <wp:inline distT="0" distB="0" distL="114300" distR="114300">
            <wp:extent cx="5079365" cy="4066540"/>
            <wp:effectExtent l="0" t="0" r="0" b="0"/>
            <wp:docPr id="7"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576" w:lineRule="exact"/>
        <w:jc w:val="center"/>
      </w:pPr>
      <w:r>
        <w:rPr>
          <w:rFonts w:hint="eastAsia" w:ascii="仿宋_GB2312" w:hAnsi="仿宋" w:eastAsia="仿宋_GB2312" w:cs="仿宋_GB2312"/>
          <w:color w:val="000000"/>
          <w:sz w:val="32"/>
          <w:szCs w:val="32"/>
        </w:rPr>
        <w:t>（图</w:t>
      </w:r>
      <w:r>
        <w:rPr>
          <w:rFonts w:ascii="仿宋_GB2312" w:hAnsi="仿宋" w:eastAsia="仿宋_GB2312" w:cs="仿宋_GB2312"/>
          <w:color w:val="000000"/>
          <w:sz w:val="32"/>
          <w:szCs w:val="32"/>
        </w:rPr>
        <w:t>7</w:t>
      </w:r>
      <w:r>
        <w:rPr>
          <w:rFonts w:hint="eastAsia" w:ascii="仿宋_GB2312" w:hAnsi="仿宋" w:eastAsia="仿宋_GB2312" w:cs="仿宋_GB2312"/>
          <w:color w:val="000000"/>
          <w:sz w:val="32"/>
          <w:szCs w:val="32"/>
        </w:rPr>
        <w:t>：“三公”经费财政拨款支出结构）</w:t>
      </w:r>
    </w:p>
    <w:p>
      <w:pPr>
        <w:pStyle w:val="2"/>
        <w:spacing w:beforeLines="0" w:line="576" w:lineRule="exact"/>
      </w:pPr>
    </w:p>
    <w:p>
      <w:pPr>
        <w:spacing w:line="576"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因公出国（境）经费支出</w:t>
      </w:r>
      <w:r>
        <w:rPr>
          <w:rFonts w:ascii="仿宋" w:hAnsi="仿宋" w:eastAsia="仿宋"/>
          <w:sz w:val="32"/>
          <w:szCs w:val="32"/>
        </w:rPr>
        <w:t>0</w:t>
      </w:r>
      <w:r>
        <w:rPr>
          <w:rFonts w:hint="eastAsia" w:ascii="仿宋" w:hAnsi="仿宋" w:eastAsia="仿宋"/>
          <w:sz w:val="32"/>
          <w:szCs w:val="32"/>
        </w:rPr>
        <w:t>万元，年初未安排预算。因公出国（境）支出决算与</w:t>
      </w:r>
      <w:r>
        <w:rPr>
          <w:rFonts w:ascii="仿宋" w:hAnsi="仿宋" w:eastAsia="仿宋"/>
          <w:sz w:val="32"/>
          <w:szCs w:val="32"/>
        </w:rPr>
        <w:t>202</w:t>
      </w:r>
      <w:r>
        <w:rPr>
          <w:rFonts w:hint="eastAsia" w:ascii="仿宋" w:hAnsi="仿宋" w:eastAsia="仿宋"/>
          <w:sz w:val="32"/>
          <w:szCs w:val="32"/>
        </w:rPr>
        <w:t>2年持平。</w:t>
      </w:r>
    </w:p>
    <w:p>
      <w:pPr>
        <w:spacing w:line="576"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公务用车购置及运行维护费支出0万元，年初未安排预算。因公出国（境）支出决算与</w:t>
      </w:r>
      <w:r>
        <w:rPr>
          <w:rFonts w:ascii="仿宋" w:hAnsi="仿宋" w:eastAsia="仿宋"/>
          <w:sz w:val="32"/>
          <w:szCs w:val="32"/>
        </w:rPr>
        <w:t>202</w:t>
      </w:r>
      <w:r>
        <w:rPr>
          <w:rFonts w:hint="eastAsia" w:ascii="仿宋" w:hAnsi="仿宋" w:eastAsia="仿宋"/>
          <w:sz w:val="32"/>
          <w:szCs w:val="32"/>
        </w:rPr>
        <w:t>2年持平。</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其中：公务用车购置支出</w:t>
      </w:r>
      <w:r>
        <w:rPr>
          <w:rFonts w:ascii="仿宋" w:hAnsi="仿宋" w:eastAsia="仿宋"/>
          <w:sz w:val="32"/>
          <w:szCs w:val="32"/>
        </w:rPr>
        <w:t>0</w:t>
      </w:r>
      <w:r>
        <w:rPr>
          <w:rFonts w:hint="eastAsia" w:ascii="仿宋" w:hAnsi="仿宋" w:eastAsia="仿宋"/>
          <w:sz w:val="32"/>
          <w:szCs w:val="32"/>
        </w:rPr>
        <w:t>万元，年初未安排预算。</w:t>
      </w:r>
    </w:p>
    <w:p>
      <w:pPr>
        <w:spacing w:line="576" w:lineRule="exact"/>
        <w:rPr>
          <w:rFonts w:ascii="仿宋" w:hAnsi="仿宋" w:eastAsia="仿宋"/>
          <w:sz w:val="32"/>
          <w:szCs w:val="32"/>
        </w:rPr>
      </w:pPr>
      <w:r>
        <w:rPr>
          <w:rFonts w:hint="eastAsia" w:ascii="仿宋" w:hAnsi="仿宋" w:eastAsia="仿宋"/>
          <w:sz w:val="32"/>
          <w:szCs w:val="32"/>
        </w:rPr>
        <w:t>公务用车运行维护费支出0万元与2022年持平。</w:t>
      </w:r>
    </w:p>
    <w:p>
      <w:pPr>
        <w:spacing w:line="576" w:lineRule="exact"/>
        <w:rPr>
          <w:rFonts w:ascii="仿宋" w:hAnsi="仿宋" w:eastAsia="仿宋"/>
          <w:sz w:val="32"/>
          <w:szCs w:val="32"/>
        </w:rPr>
      </w:pPr>
      <w:r>
        <w:rPr>
          <w:rFonts w:hint="eastAsia" w:ascii="仿宋" w:hAnsi="仿宋" w:eastAsia="仿宋"/>
          <w:sz w:val="32"/>
          <w:szCs w:val="32"/>
        </w:rPr>
        <w:t xml:space="preserve">    公务用车保有量0辆。</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公务接待费支出</w:t>
      </w:r>
      <w:r>
        <w:rPr>
          <w:rFonts w:ascii="仿宋" w:hAnsi="仿宋" w:eastAsia="仿宋"/>
          <w:sz w:val="32"/>
          <w:szCs w:val="32"/>
        </w:rPr>
        <w:t>0.</w:t>
      </w:r>
      <w:r>
        <w:rPr>
          <w:rFonts w:hint="eastAsia" w:ascii="仿宋" w:hAnsi="仿宋" w:eastAsia="仿宋"/>
          <w:sz w:val="32"/>
          <w:szCs w:val="32"/>
        </w:rPr>
        <w:t>6万元，完成预算50</w:t>
      </w:r>
      <w:r>
        <w:rPr>
          <w:rFonts w:ascii="仿宋" w:hAnsi="仿宋" w:eastAsia="仿宋"/>
          <w:sz w:val="32"/>
          <w:szCs w:val="32"/>
        </w:rPr>
        <w:t>%</w:t>
      </w:r>
      <w:r>
        <w:rPr>
          <w:rFonts w:hint="eastAsia" w:ascii="仿宋" w:hAnsi="仿宋" w:eastAsia="仿宋"/>
          <w:sz w:val="32"/>
          <w:szCs w:val="32"/>
        </w:rPr>
        <w:t>。公务接待费支出决算比</w:t>
      </w:r>
      <w:r>
        <w:rPr>
          <w:rFonts w:ascii="仿宋" w:hAnsi="仿宋" w:eastAsia="仿宋"/>
          <w:sz w:val="32"/>
          <w:szCs w:val="32"/>
        </w:rPr>
        <w:t>202</w:t>
      </w:r>
      <w:r>
        <w:rPr>
          <w:rFonts w:hint="eastAsia" w:ascii="仿宋" w:hAnsi="仿宋" w:eastAsia="仿宋"/>
          <w:sz w:val="32"/>
          <w:szCs w:val="32"/>
        </w:rPr>
        <w:t>2年减少0</w:t>
      </w:r>
      <w:r>
        <w:rPr>
          <w:rFonts w:ascii="仿宋" w:hAnsi="仿宋" w:eastAsia="仿宋"/>
          <w:sz w:val="32"/>
          <w:szCs w:val="32"/>
        </w:rPr>
        <w:t>.</w:t>
      </w:r>
      <w:r>
        <w:rPr>
          <w:rFonts w:hint="eastAsia" w:ascii="仿宋" w:hAnsi="仿宋" w:eastAsia="仿宋"/>
          <w:sz w:val="32"/>
          <w:szCs w:val="32"/>
        </w:rPr>
        <w:t>05万元，减少7.69</w:t>
      </w:r>
      <w:r>
        <w:rPr>
          <w:rFonts w:ascii="仿宋" w:hAnsi="仿宋" w:eastAsia="仿宋"/>
          <w:sz w:val="32"/>
          <w:szCs w:val="32"/>
        </w:rPr>
        <w:t>%</w:t>
      </w:r>
      <w:r>
        <w:rPr>
          <w:rFonts w:hint="eastAsia" w:ascii="仿宋" w:hAnsi="仿宋" w:eastAsia="仿宋"/>
          <w:sz w:val="32"/>
          <w:szCs w:val="32"/>
        </w:rPr>
        <w:t>。主要原因是厉行节约，减少公务接待人次及费用。</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国内公务接待支出</w:t>
      </w:r>
      <w:r>
        <w:rPr>
          <w:rFonts w:ascii="仿宋" w:hAnsi="仿宋" w:eastAsia="仿宋"/>
          <w:sz w:val="32"/>
          <w:szCs w:val="32"/>
        </w:rPr>
        <w:t>0.</w:t>
      </w:r>
      <w:r>
        <w:rPr>
          <w:rFonts w:hint="eastAsia" w:ascii="仿宋" w:hAnsi="仿宋" w:eastAsia="仿宋"/>
          <w:sz w:val="32"/>
          <w:szCs w:val="32"/>
        </w:rPr>
        <w:t>6万元，主要用于开展业务活动开支的接待</w:t>
      </w:r>
      <w:r>
        <w:rPr>
          <w:rFonts w:hint="eastAsia" w:ascii="仿宋" w:hAnsi="仿宋" w:eastAsia="仿宋"/>
          <w:color w:val="000000"/>
          <w:sz w:val="32"/>
          <w:szCs w:val="32"/>
        </w:rPr>
        <w:t>费。接待5批次，共计66人</w:t>
      </w:r>
      <w:r>
        <w:rPr>
          <w:rFonts w:hint="eastAsia" w:ascii="仿宋" w:hAnsi="仿宋" w:eastAsia="仿宋"/>
          <w:sz w:val="32"/>
          <w:szCs w:val="32"/>
        </w:rPr>
        <w:t>（含陪同人员），共计支出</w:t>
      </w:r>
      <w:r>
        <w:rPr>
          <w:rFonts w:ascii="仿宋" w:hAnsi="仿宋" w:eastAsia="仿宋"/>
          <w:sz w:val="32"/>
          <w:szCs w:val="32"/>
        </w:rPr>
        <w:t>0</w:t>
      </w:r>
      <w:r>
        <w:rPr>
          <w:rFonts w:hint="eastAsia" w:ascii="仿宋" w:hAnsi="仿宋" w:eastAsia="仿宋"/>
          <w:sz w:val="32"/>
          <w:szCs w:val="32"/>
        </w:rPr>
        <w:t>.6万元，具体内容包括：四川省摄影家协会相关人员到广元开展考察调研工作接待费580元；嘤鸣蜀道——2023年度广元市美术馆学术邀请展嘉宾、作者接待费1720元；峥嵘崔嵬——蜀道山水画作品专题展嘉宾、参展作者展览研讨会接待费2520元；省摄协关于赴广开展考察调研工作接待费698元；广东工业大学美术系师生来馆开展艺术考察交流学习接待费480元；</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外事接待支出</w:t>
      </w:r>
      <w:r>
        <w:rPr>
          <w:rFonts w:ascii="仿宋" w:hAnsi="仿宋" w:eastAsia="仿宋"/>
          <w:sz w:val="32"/>
          <w:szCs w:val="32"/>
        </w:rPr>
        <w:t>0</w:t>
      </w:r>
      <w:r>
        <w:rPr>
          <w:rFonts w:hint="eastAsia" w:ascii="仿宋" w:hAnsi="仿宋" w:eastAsia="仿宋"/>
          <w:sz w:val="32"/>
          <w:szCs w:val="32"/>
        </w:rPr>
        <w:t>万元与2022年持平。</w:t>
      </w:r>
    </w:p>
    <w:p>
      <w:pPr>
        <w:spacing w:beforeLines="100" w:afterLines="100" w:line="576" w:lineRule="exact"/>
        <w:ind w:firstLine="640" w:firstLineChars="200"/>
        <w:outlineLvl w:val="1"/>
        <w:rPr>
          <w:rFonts w:ascii="黑体" w:hAnsi="黑体" w:eastAsia="黑体"/>
          <w:sz w:val="32"/>
          <w:szCs w:val="32"/>
        </w:rPr>
      </w:pPr>
      <w:bookmarkStart w:id="42" w:name="_Toc24638"/>
      <w:bookmarkStart w:id="43" w:name="_Toc28224"/>
      <w:r>
        <w:rPr>
          <w:rFonts w:hint="eastAsia" w:ascii="黑体" w:hAnsi="黑体" w:eastAsia="黑体"/>
          <w:sz w:val="32"/>
          <w:szCs w:val="32"/>
        </w:rPr>
        <w:t>八、政府性基金预算支出决算情况说明</w:t>
      </w:r>
      <w:bookmarkEnd w:id="42"/>
      <w:bookmarkEnd w:id="43"/>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3年政府性基金预算拨款支出</w:t>
      </w:r>
      <w:r>
        <w:rPr>
          <w:rFonts w:ascii="仿宋" w:hAnsi="仿宋" w:eastAsia="仿宋"/>
          <w:sz w:val="32"/>
          <w:szCs w:val="32"/>
        </w:rPr>
        <w:t>0</w:t>
      </w:r>
      <w:r>
        <w:rPr>
          <w:rFonts w:hint="eastAsia" w:ascii="仿宋" w:hAnsi="仿宋" w:eastAsia="仿宋"/>
          <w:sz w:val="32"/>
          <w:szCs w:val="32"/>
        </w:rPr>
        <w:t>万元，年初未安排预算。2023年本单位未在政府性基金预算拨款安排“三公经费”支出与2022年持平。</w:t>
      </w:r>
    </w:p>
    <w:p>
      <w:pPr>
        <w:spacing w:beforeLines="100" w:afterLines="100" w:line="576" w:lineRule="exact"/>
        <w:ind w:firstLine="640" w:firstLineChars="200"/>
        <w:outlineLvl w:val="1"/>
        <w:rPr>
          <w:rFonts w:ascii="黑体" w:hAnsi="黑体" w:eastAsia="黑体"/>
          <w:sz w:val="32"/>
          <w:szCs w:val="32"/>
        </w:rPr>
      </w:pPr>
      <w:bookmarkStart w:id="44" w:name="_Toc1340"/>
      <w:bookmarkStart w:id="45" w:name="_Toc2750"/>
      <w:r>
        <w:rPr>
          <w:rFonts w:hint="eastAsia" w:ascii="黑体" w:hAnsi="黑体" w:eastAsia="黑体"/>
          <w:sz w:val="32"/>
          <w:szCs w:val="32"/>
        </w:rPr>
        <w:t>九、国有资本经营预算支出决算情况说明</w:t>
      </w:r>
      <w:bookmarkEnd w:id="44"/>
      <w:bookmarkEnd w:id="45"/>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3年政府性基金预算拨款支出</w:t>
      </w:r>
      <w:r>
        <w:rPr>
          <w:rFonts w:ascii="仿宋" w:hAnsi="仿宋" w:eastAsia="仿宋"/>
          <w:sz w:val="32"/>
          <w:szCs w:val="32"/>
        </w:rPr>
        <w:t>0</w:t>
      </w:r>
      <w:r>
        <w:rPr>
          <w:rFonts w:hint="eastAsia" w:ascii="仿宋" w:hAnsi="仿宋" w:eastAsia="仿宋"/>
          <w:sz w:val="32"/>
          <w:szCs w:val="32"/>
        </w:rPr>
        <w:t>万元，年初未安排预算。2023年本单位未在政府性基金预算拨款安排“三公经费”支出与2022年持平。</w:t>
      </w:r>
    </w:p>
    <w:p>
      <w:pPr>
        <w:spacing w:beforeLines="100" w:afterLines="100" w:line="576" w:lineRule="exact"/>
        <w:ind w:firstLine="640" w:firstLineChars="200"/>
        <w:outlineLvl w:val="1"/>
        <w:rPr>
          <w:rFonts w:ascii="黑体" w:hAnsi="黑体" w:eastAsia="黑体"/>
          <w:sz w:val="32"/>
          <w:szCs w:val="32"/>
        </w:rPr>
      </w:pPr>
      <w:bookmarkStart w:id="46" w:name="_Toc19230"/>
      <w:bookmarkStart w:id="47" w:name="_Toc30244"/>
      <w:r>
        <w:rPr>
          <w:rFonts w:hint="eastAsia" w:ascii="黑体" w:hAnsi="黑体" w:eastAsia="黑体"/>
          <w:sz w:val="32"/>
          <w:szCs w:val="32"/>
        </w:rPr>
        <w:t>十、其他重要事项的情况说明</w:t>
      </w:r>
      <w:bookmarkEnd w:id="46"/>
      <w:bookmarkEnd w:id="47"/>
    </w:p>
    <w:p>
      <w:pPr>
        <w:spacing w:beforeLines="100" w:afterLines="100" w:line="576" w:lineRule="exact"/>
        <w:ind w:firstLine="640" w:firstLineChars="200"/>
        <w:rPr>
          <w:rFonts w:ascii="黑体" w:hAnsi="黑体" w:eastAsia="黑体"/>
          <w:sz w:val="32"/>
          <w:szCs w:val="32"/>
        </w:rPr>
      </w:pPr>
      <w:r>
        <w:rPr>
          <w:rFonts w:hint="eastAsia" w:ascii="黑体" w:hAnsi="黑体" w:eastAsia="黑体"/>
          <w:sz w:val="32"/>
          <w:szCs w:val="32"/>
        </w:rPr>
        <w:t>（一）机关运行经费支出情况</w:t>
      </w:r>
    </w:p>
    <w:p>
      <w:pPr>
        <w:spacing w:line="576" w:lineRule="exact"/>
        <w:ind w:firstLine="640" w:firstLineChars="200"/>
        <w:rPr>
          <w:rFonts w:ascii="仿宋" w:hAnsi="仿宋" w:eastAsia="仿宋"/>
          <w:sz w:val="32"/>
          <w:szCs w:val="32"/>
        </w:rPr>
      </w:pPr>
      <w:r>
        <w:rPr>
          <w:rFonts w:ascii="仿宋" w:hAnsi="仿宋" w:eastAsia="仿宋"/>
          <w:sz w:val="32"/>
          <w:szCs w:val="32"/>
        </w:rPr>
        <w:t>本单位为事业单位，按规定未</w:t>
      </w:r>
      <w:r>
        <w:rPr>
          <w:rFonts w:hint="eastAsia" w:ascii="仿宋" w:hAnsi="仿宋" w:eastAsia="仿宋"/>
          <w:sz w:val="32"/>
          <w:szCs w:val="32"/>
          <w:lang w:eastAsia="zh-CN"/>
        </w:rPr>
        <w:t>发送</w:t>
      </w:r>
      <w:r>
        <w:rPr>
          <w:rFonts w:ascii="仿宋" w:hAnsi="仿宋" w:eastAsia="仿宋"/>
          <w:sz w:val="32"/>
          <w:szCs w:val="32"/>
        </w:rPr>
        <w:t>机关运行</w:t>
      </w:r>
      <w:r>
        <w:rPr>
          <w:rFonts w:hint="eastAsia" w:ascii="仿宋" w:hAnsi="仿宋" w:eastAsia="仿宋"/>
          <w:sz w:val="32"/>
          <w:szCs w:val="32"/>
          <w:lang w:eastAsia="zh-CN"/>
        </w:rPr>
        <w:t>经费，较上年无变化</w:t>
      </w:r>
      <w:r>
        <w:rPr>
          <w:rFonts w:hint="eastAsia" w:ascii="仿宋" w:hAnsi="仿宋" w:eastAsia="仿宋"/>
          <w:sz w:val="32"/>
          <w:szCs w:val="32"/>
        </w:rPr>
        <w:t>。</w:t>
      </w:r>
    </w:p>
    <w:p>
      <w:pPr>
        <w:spacing w:beforeLines="100" w:afterLines="100" w:line="576" w:lineRule="exact"/>
        <w:ind w:firstLine="640" w:firstLineChars="200"/>
        <w:rPr>
          <w:rFonts w:ascii="黑体" w:hAnsi="黑体" w:eastAsia="黑体"/>
          <w:sz w:val="32"/>
          <w:szCs w:val="32"/>
        </w:rPr>
      </w:pPr>
      <w:r>
        <w:rPr>
          <w:rFonts w:hint="eastAsia" w:ascii="黑体" w:hAnsi="黑体" w:eastAsia="黑体"/>
          <w:sz w:val="32"/>
          <w:szCs w:val="32"/>
        </w:rPr>
        <w:t>（二）政府采购支出情况</w:t>
      </w:r>
    </w:p>
    <w:p>
      <w:pPr>
        <w:spacing w:line="576"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3年，广元市美术馆政府采购支出总额0万元，年初安排预算0万元。</w:t>
      </w:r>
    </w:p>
    <w:p>
      <w:pPr>
        <w:spacing w:beforeLines="100" w:afterLines="100" w:line="576" w:lineRule="exact"/>
        <w:ind w:firstLine="640" w:firstLineChars="200"/>
        <w:rPr>
          <w:rFonts w:ascii="黑体" w:hAnsi="黑体" w:eastAsia="黑体"/>
          <w:sz w:val="32"/>
          <w:szCs w:val="32"/>
        </w:rPr>
      </w:pPr>
      <w:r>
        <w:rPr>
          <w:rFonts w:hint="eastAsia" w:ascii="黑体" w:hAnsi="黑体" w:eastAsia="黑体"/>
          <w:sz w:val="32"/>
          <w:szCs w:val="32"/>
        </w:rPr>
        <w:t>（三）国有资产占有使用情况</w:t>
      </w:r>
    </w:p>
    <w:p>
      <w:pPr>
        <w:spacing w:line="576" w:lineRule="exact"/>
        <w:ind w:firstLine="640" w:firstLineChars="20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3年共有车辆</w:t>
      </w:r>
      <w:r>
        <w:rPr>
          <w:rFonts w:ascii="仿宋" w:hAnsi="仿宋" w:eastAsia="仿宋"/>
          <w:sz w:val="32"/>
          <w:szCs w:val="32"/>
        </w:rPr>
        <w:t>0</w:t>
      </w:r>
      <w:r>
        <w:rPr>
          <w:rFonts w:hint="eastAsia" w:ascii="仿宋" w:hAnsi="仿宋" w:eastAsia="仿宋"/>
          <w:sz w:val="32"/>
          <w:szCs w:val="32"/>
        </w:rPr>
        <w:t>辆，单价</w:t>
      </w:r>
      <w:r>
        <w:rPr>
          <w:rFonts w:ascii="仿宋" w:hAnsi="仿宋" w:eastAsia="仿宋"/>
          <w:sz w:val="32"/>
          <w:szCs w:val="32"/>
        </w:rPr>
        <w:t>50</w:t>
      </w:r>
      <w:r>
        <w:rPr>
          <w:rFonts w:hint="eastAsia" w:ascii="仿宋" w:hAnsi="仿宋" w:eastAsia="仿宋"/>
          <w:sz w:val="32"/>
          <w:szCs w:val="32"/>
        </w:rPr>
        <w:t>万元以上通用设备</w:t>
      </w:r>
      <w:r>
        <w:rPr>
          <w:rFonts w:ascii="仿宋" w:hAnsi="仿宋" w:eastAsia="仿宋"/>
          <w:sz w:val="32"/>
          <w:szCs w:val="32"/>
        </w:rPr>
        <w:t>0</w:t>
      </w:r>
      <w:r>
        <w:rPr>
          <w:rFonts w:hint="eastAsia" w:ascii="仿宋" w:hAnsi="仿宋" w:eastAsia="仿宋"/>
          <w:sz w:val="32"/>
          <w:szCs w:val="32"/>
        </w:rPr>
        <w:t>台（套），单价</w:t>
      </w:r>
      <w:r>
        <w:rPr>
          <w:rFonts w:ascii="仿宋" w:hAnsi="仿宋" w:eastAsia="仿宋"/>
          <w:sz w:val="32"/>
          <w:szCs w:val="32"/>
        </w:rPr>
        <w:t>100</w:t>
      </w:r>
      <w:r>
        <w:rPr>
          <w:rFonts w:hint="eastAsia" w:ascii="仿宋" w:hAnsi="仿宋" w:eastAsia="仿宋"/>
          <w:sz w:val="32"/>
          <w:szCs w:val="32"/>
        </w:rPr>
        <w:t>万元以上专用设备</w:t>
      </w:r>
      <w:r>
        <w:rPr>
          <w:rFonts w:ascii="仿宋" w:hAnsi="仿宋" w:eastAsia="仿宋"/>
          <w:sz w:val="32"/>
          <w:szCs w:val="32"/>
        </w:rPr>
        <w:t>0</w:t>
      </w:r>
      <w:r>
        <w:rPr>
          <w:rFonts w:hint="eastAsia" w:ascii="仿宋" w:hAnsi="仿宋" w:eastAsia="仿宋"/>
          <w:sz w:val="32"/>
          <w:szCs w:val="32"/>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预算编制阶段，组织对工</w:t>
      </w:r>
      <w:r>
        <w:rPr>
          <w:rFonts w:hint="eastAsia" w:ascii="仿宋_GB2312" w:hAnsi="Times New Roman" w:eastAsia="仿宋_GB2312" w:cs="Times New Roman"/>
          <w:color w:val="auto"/>
          <w:sz w:val="32"/>
          <w:szCs w:val="32"/>
          <w:highlight w:val="none"/>
          <w:lang w:eastAsia="zh-CN"/>
        </w:rPr>
        <w:t>资性支出项目</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10个项目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10</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10</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10个项目开展绩效自评，绩效自评表详见第四部分附件。</w:t>
      </w:r>
    </w:p>
    <w:p>
      <w:pPr>
        <w:pStyle w:val="2"/>
      </w:pPr>
    </w:p>
    <w:p>
      <w:pPr>
        <w:spacing w:line="576" w:lineRule="exact"/>
        <w:rPr>
          <w:rFonts w:ascii="仿宋" w:hAnsi="仿宋" w:eastAsia="仿宋"/>
          <w:sz w:val="32"/>
          <w:szCs w:val="32"/>
        </w:rPr>
      </w:pPr>
    </w:p>
    <w:p>
      <w:pPr>
        <w:pStyle w:val="2"/>
        <w:spacing w:beforeLines="0" w:line="576" w:lineRule="exact"/>
      </w:pPr>
    </w:p>
    <w:p>
      <w:pPr>
        <w:pStyle w:val="2"/>
        <w:spacing w:beforeLines="0" w:line="576" w:lineRule="exact"/>
      </w:pPr>
    </w:p>
    <w:p>
      <w:pPr>
        <w:pStyle w:val="2"/>
        <w:spacing w:beforeLines="0" w:line="576" w:lineRule="exact"/>
      </w:pPr>
    </w:p>
    <w:p>
      <w:pPr>
        <w:pStyle w:val="2"/>
        <w:spacing w:beforeLines="0" w:line="576" w:lineRule="exact"/>
      </w:pPr>
    </w:p>
    <w:p>
      <w:pPr>
        <w:pStyle w:val="2"/>
        <w:spacing w:beforeLines="0" w:line="576" w:lineRule="exact"/>
      </w:pPr>
    </w:p>
    <w:p>
      <w:pPr>
        <w:pStyle w:val="2"/>
        <w:spacing w:beforeLines="0" w:line="576" w:lineRule="exact"/>
      </w:pPr>
    </w:p>
    <w:p>
      <w:pPr>
        <w:spacing w:line="576" w:lineRule="exact"/>
        <w:jc w:val="center"/>
        <w:outlineLvl w:val="0"/>
        <w:rPr>
          <w:rFonts w:hint="eastAsia" w:ascii="黑体" w:hAnsi="黑体" w:eastAsia="黑体"/>
          <w:sz w:val="44"/>
          <w:szCs w:val="44"/>
        </w:rPr>
      </w:pPr>
      <w:bookmarkStart w:id="48" w:name="_Toc5161"/>
      <w:bookmarkStart w:id="49" w:name="_Toc30319"/>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hint="eastAsia" w:ascii="黑体" w:hAnsi="黑体" w:eastAsia="黑体"/>
          <w:sz w:val="44"/>
          <w:szCs w:val="44"/>
        </w:rPr>
      </w:pPr>
    </w:p>
    <w:p>
      <w:pPr>
        <w:spacing w:line="576" w:lineRule="exact"/>
        <w:jc w:val="center"/>
        <w:outlineLvl w:val="0"/>
        <w:rPr>
          <w:rFonts w:ascii="黑体" w:hAnsi="黑体" w:eastAsia="黑体"/>
          <w:sz w:val="44"/>
          <w:szCs w:val="44"/>
        </w:rPr>
      </w:pPr>
      <w:r>
        <w:rPr>
          <w:rFonts w:hint="eastAsia" w:ascii="黑体" w:hAnsi="黑体" w:eastAsia="黑体"/>
          <w:sz w:val="44"/>
          <w:szCs w:val="44"/>
        </w:rPr>
        <w:t>第三部分名词解释</w:t>
      </w:r>
      <w:bookmarkEnd w:id="48"/>
      <w:bookmarkEnd w:id="49"/>
    </w:p>
    <w:p>
      <w:pPr>
        <w:spacing w:line="576" w:lineRule="exact"/>
        <w:rPr>
          <w:rFonts w:ascii="仿宋" w:hAnsi="仿宋" w:eastAsia="仿宋"/>
          <w:sz w:val="32"/>
          <w:szCs w:val="32"/>
        </w:rPr>
      </w:pPr>
    </w:p>
    <w:p>
      <w:pPr>
        <w:numPr>
          <w:ilvl w:val="0"/>
          <w:numId w:val="1"/>
        </w:numPr>
        <w:spacing w:line="576" w:lineRule="exact"/>
        <w:outlineLvl w:val="1"/>
        <w:rPr>
          <w:rFonts w:ascii="仿宋" w:hAnsi="仿宋" w:eastAsia="仿宋"/>
          <w:sz w:val="32"/>
          <w:szCs w:val="32"/>
        </w:rPr>
      </w:pPr>
      <w:bookmarkStart w:id="50" w:name="_Toc27108"/>
      <w:bookmarkStart w:id="51" w:name="_Toc30565"/>
      <w:r>
        <w:rPr>
          <w:rFonts w:hint="eastAsia" w:ascii="仿宋" w:hAnsi="仿宋" w:eastAsia="仿宋"/>
          <w:sz w:val="32"/>
          <w:szCs w:val="32"/>
        </w:rPr>
        <w:t>财政拨款收入：指单位从同级财政部门取得的财政预算资金。</w:t>
      </w:r>
      <w:bookmarkEnd w:id="50"/>
      <w:bookmarkEnd w:id="51"/>
    </w:p>
    <w:p>
      <w:pPr>
        <w:numPr>
          <w:ilvl w:val="0"/>
          <w:numId w:val="1"/>
        </w:numPr>
        <w:spacing w:line="576" w:lineRule="exact"/>
        <w:rPr>
          <w:rFonts w:ascii="仿宋" w:hAnsi="仿宋" w:eastAsia="仿宋"/>
          <w:sz w:val="32"/>
          <w:szCs w:val="32"/>
        </w:rPr>
      </w:pPr>
      <w:r>
        <w:rPr>
          <w:rFonts w:hint="eastAsia" w:ascii="仿宋" w:hAnsi="仿宋" w:eastAsia="仿宋"/>
          <w:sz w:val="32"/>
          <w:szCs w:val="32"/>
        </w:rPr>
        <w:t>其他收入：指单位取得的除上述收入以外的各项收入。主要是公共文化服务体系建设奖励资金、利息收入等</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年初结转和结余：指以前年度尚未完成、结转到本年按有关规定继续使用的资金。</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年末结转和结余：指单位按有关规定结转到下年或以后年度继续使用的资金。</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文化旅游体育与传媒支出（类）文化和旅游（款）文化展示及纪念机构（项）支出：开展美术收藏、研究、教育、创作；举办美术陈列展览、对外交流活动；开发运用及推广美术资源、衍生品。</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社会保障和就业支出（类）行政事业单位养老支出（款）机关事业单位基本养老保险缴费支出（项）：反映机关事业单位实施养老保险制度由单位缴纳的基本养老保险支出。</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社会保障和就业支出（类）其他社会保障和就业支出（款）其他社会保障和就业支出（项）：反映除上述项目以外其他用于社会保障和就业方面的支出。</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住房保障支出（类）住房改革支出（款）住房公积金（项）：反映行政事业单位按人力资源和社会保障部、财政部规定的基本工资和津贴补贴以及规定比例为职工缴纳的住房公积金。</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基本支出：指为保障机构正常运转、完成日常工作任务而发生的人员支出和公用支出。</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项目支出：指在基本支出之外为完成特定行政任务和事业发展目标所发生的支出。</w:t>
      </w:r>
    </w:p>
    <w:p>
      <w:pPr>
        <w:numPr>
          <w:ilvl w:val="0"/>
          <w:numId w:val="1"/>
        </w:numPr>
        <w:spacing w:line="576" w:lineRule="exact"/>
        <w:rPr>
          <w:rFonts w:ascii="仿宋" w:hAnsi="仿宋" w:eastAsia="仿宋"/>
          <w:sz w:val="32"/>
          <w:szCs w:val="32"/>
        </w:rPr>
      </w:pPr>
      <w:r>
        <w:rPr>
          <w:rFonts w:hint="eastAsia" w:ascii="仿宋" w:hAnsi="仿宋" w:eastAsia="仿宋"/>
          <w:sz w:val="32"/>
          <w:szCs w:val="32"/>
        </w:rPr>
        <w:t>“三公”经费：指部门用财政拨款安排的因公出国（境）费、公务用车购置及运行费和公务接待费。其中：公务接待费反映单位按规定开支的各类公务接待支出。其他两项没有列支。</w:t>
      </w:r>
    </w:p>
    <w:p>
      <w:pPr>
        <w:spacing w:line="576" w:lineRule="exact"/>
        <w:rPr>
          <w:rFonts w:ascii="仿宋" w:hAnsi="仿宋" w:eastAsia="仿宋"/>
          <w:sz w:val="32"/>
          <w:szCs w:val="32"/>
        </w:rPr>
      </w:pPr>
    </w:p>
    <w:p>
      <w:pPr>
        <w:spacing w:line="576" w:lineRule="exact"/>
        <w:rPr>
          <w:rFonts w:ascii="仿宋" w:hAnsi="仿宋" w:eastAsia="仿宋"/>
          <w:sz w:val="32"/>
          <w:szCs w:val="32"/>
        </w:rPr>
      </w:pPr>
    </w:p>
    <w:p>
      <w:pPr>
        <w:pStyle w:val="2"/>
        <w:spacing w:beforeLines="0"/>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pStyle w:val="2"/>
        <w:spacing w:beforeLines="0"/>
      </w:pPr>
    </w:p>
    <w:p>
      <w:pPr>
        <w:pStyle w:val="3"/>
        <w:jc w:val="center"/>
      </w:pPr>
      <w:bookmarkStart w:id="52" w:name="_Toc21691"/>
      <w:r>
        <w:rPr>
          <w:rFonts w:hint="eastAsia"/>
        </w:rPr>
        <w:t>第四部分附件</w:t>
      </w:r>
      <w:bookmarkEnd w:id="52"/>
    </w:p>
    <w:tbl>
      <w:tblPr>
        <w:tblStyle w:val="13"/>
        <w:tblW w:w="14746" w:type="dxa"/>
        <w:tblInd w:w="93" w:type="dxa"/>
        <w:tblLayout w:type="autofit"/>
        <w:tblCellMar>
          <w:top w:w="0" w:type="dxa"/>
          <w:left w:w="108" w:type="dxa"/>
          <w:bottom w:w="0" w:type="dxa"/>
          <w:right w:w="108" w:type="dxa"/>
        </w:tblCellMar>
      </w:tblPr>
      <w:tblGrid>
        <w:gridCol w:w="700"/>
        <w:gridCol w:w="2060"/>
        <w:gridCol w:w="1780"/>
        <w:gridCol w:w="2563"/>
        <w:gridCol w:w="520"/>
        <w:gridCol w:w="1680"/>
        <w:gridCol w:w="777"/>
        <w:gridCol w:w="1100"/>
        <w:gridCol w:w="520"/>
        <w:gridCol w:w="486"/>
        <w:gridCol w:w="2560"/>
      </w:tblGrid>
      <w:tr>
        <w:tblPrEx>
          <w:tblCellMar>
            <w:top w:w="0" w:type="dxa"/>
            <w:left w:w="108" w:type="dxa"/>
            <w:bottom w:w="0" w:type="dxa"/>
            <w:right w:w="108" w:type="dxa"/>
          </w:tblCellMar>
        </w:tblPrEx>
        <w:trPr>
          <w:trHeight w:val="270" w:hRule="atLeast"/>
        </w:trPr>
        <w:tc>
          <w:tcPr>
            <w:tcW w:w="4540" w:type="dxa"/>
            <w:gridSpan w:val="3"/>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77"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1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0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7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77"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1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9" w:hRule="atLeast"/>
        </w:trPr>
        <w:tc>
          <w:tcPr>
            <w:tcW w:w="7103" w:type="dxa"/>
            <w:gridSpan w:val="4"/>
            <w:tcBorders>
              <w:top w:val="nil"/>
              <w:left w:val="nil"/>
              <w:bottom w:val="nil"/>
              <w:right w:val="nil"/>
            </w:tcBorders>
            <w:shd w:val="clear" w:color="auto" w:fill="auto"/>
            <w:vAlign w:val="center"/>
          </w:tcPr>
          <w:p>
            <w:pPr>
              <w:widowControl/>
              <w:jc w:val="left"/>
              <w:rPr>
                <w:rFonts w:ascii="宋体" w:hAnsi="宋体" w:cs="宋体"/>
                <w:color w:val="C0C0C0"/>
                <w:kern w:val="0"/>
                <w:sz w:val="20"/>
                <w:szCs w:val="20"/>
              </w:rPr>
            </w:pPr>
            <w:r>
              <w:rPr>
                <w:rFonts w:hint="eastAsia" w:ascii="宋体" w:hAnsi="宋体" w:cs="宋体"/>
                <w:color w:val="C0C0C0"/>
                <w:kern w:val="0"/>
                <w:sz w:val="20"/>
                <w:szCs w:val="20"/>
              </w:rPr>
              <w:t>报表编号：510000_0013zp</w:t>
            </w: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3557" w:type="dxa"/>
            <w:gridSpan w:val="3"/>
            <w:tcBorders>
              <w:top w:val="nil"/>
              <w:left w:val="nil"/>
              <w:bottom w:val="nil"/>
              <w:right w:val="nil"/>
            </w:tcBorders>
            <w:shd w:val="clear" w:color="auto" w:fill="auto"/>
            <w:vAlign w:val="center"/>
          </w:tcPr>
          <w:p>
            <w:pPr>
              <w:widowControl/>
              <w:jc w:val="left"/>
              <w:rPr>
                <w:rFonts w:ascii="宋体" w:hAnsi="宋体" w:cs="宋体"/>
                <w:color w:val="000000"/>
                <w:kern w:val="0"/>
                <w:sz w:val="20"/>
                <w:szCs w:val="20"/>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904"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462"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852"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553"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84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84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623"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58.11</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58.11</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55.15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Cs/>
                <w:color w:val="000000"/>
                <w:kern w:val="0"/>
                <w:sz w:val="18"/>
                <w:szCs w:val="18"/>
              </w:rPr>
            </w:pPr>
            <w:r>
              <w:rPr>
                <w:rFonts w:ascii="Courier New" w:hAnsi="Courier New" w:cs="Courier New"/>
                <w:iCs/>
                <w:color w:val="000000"/>
                <w:kern w:val="0"/>
                <w:sz w:val="18"/>
                <w:szCs w:val="18"/>
              </w:rPr>
              <w:t>罗天文调出本单位</w:t>
            </w:r>
          </w:p>
        </w:tc>
      </w:tr>
      <w:tr>
        <w:tblPrEx>
          <w:tblCellMar>
            <w:top w:w="0" w:type="dxa"/>
            <w:left w:w="108" w:type="dxa"/>
            <w:bottom w:w="0" w:type="dxa"/>
            <w:right w:w="108" w:type="dxa"/>
          </w:tblCellMar>
        </w:tblPrEx>
        <w:trPr>
          <w:trHeight w:val="54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58.11</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58.11</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55.15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7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5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9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142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56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94.90%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罗天文调出本单位</w:t>
            </w:r>
          </w:p>
        </w:tc>
      </w:tr>
      <w:tr>
        <w:tblPrEx>
          <w:tblCellMar>
            <w:top w:w="0" w:type="dxa"/>
            <w:left w:w="108" w:type="dxa"/>
            <w:bottom w:w="0" w:type="dxa"/>
            <w:right w:w="108" w:type="dxa"/>
          </w:tblCellMar>
        </w:tblPrEx>
        <w:trPr>
          <w:trHeight w:val="5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49"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kern w:val="0"/>
                <w:sz w:val="16"/>
                <w:szCs w:val="16"/>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95"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777"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486"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78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22"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829"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649"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8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kern w:val="0"/>
                <w:sz w:val="18"/>
                <w:szCs w:val="18"/>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4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656"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60.54</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61.73</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61.73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663"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60.54</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61.73</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61.73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4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5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1452"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706"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70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85"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8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95"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777"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486"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777"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52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486"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1005"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78"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51080022R000007489234-2022年考核奖</w:t>
            </w:r>
          </w:p>
        </w:tc>
      </w:tr>
      <w:tr>
        <w:tblPrEx>
          <w:tblCellMar>
            <w:top w:w="0" w:type="dxa"/>
            <w:left w:w="108" w:type="dxa"/>
            <w:bottom w:w="0" w:type="dxa"/>
            <w:right w:w="108" w:type="dxa"/>
          </w:tblCellMar>
        </w:tblPrEx>
        <w:trPr>
          <w:trHeight w:val="843"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699"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1403"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988"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54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57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93"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4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7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154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55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53"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61"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510"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144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528"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847"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629"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10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851"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5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68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96"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4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7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1402"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70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63"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5"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85"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85"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85"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适用用户：部门用户、单位用户</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0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7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77"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1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1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37"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831"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911"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98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85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69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63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66"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10"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hAnsi="宋体" w:cs="宋体"/>
                <w:kern w:val="0"/>
                <w:sz w:val="18"/>
                <w:szCs w:val="18"/>
              </w:rPr>
              <w:t>严格执行相关政策，保障工资及时、足额发放，保障了社保及时、足额缴纳，预算编制科学合理，完成率100%。</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70"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适用用户：部门用户、单位用户</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103" w:type="dxa"/>
            <w:gridSpan w:val="4"/>
            <w:tcBorders>
              <w:top w:val="nil"/>
              <w:left w:val="nil"/>
              <w:bottom w:val="nil"/>
              <w:right w:val="nil"/>
            </w:tcBorders>
            <w:shd w:val="clear" w:color="auto" w:fill="auto"/>
            <w:vAlign w:val="center"/>
          </w:tcPr>
          <w:p>
            <w:pPr>
              <w:widowControl/>
              <w:jc w:val="left"/>
              <w:rPr>
                <w:rFonts w:ascii="宋体" w:hAnsi="宋体" w:cs="宋体"/>
                <w:color w:val="C0C0C0"/>
                <w:kern w:val="0"/>
                <w:sz w:val="20"/>
                <w:szCs w:val="20"/>
              </w:rPr>
            </w:pPr>
            <w:r>
              <w:rPr>
                <w:rFonts w:hint="eastAsia" w:ascii="宋体" w:hAnsi="宋体" w:cs="宋体"/>
                <w:color w:val="C0C0C0"/>
                <w:kern w:val="0"/>
                <w:sz w:val="20"/>
                <w:szCs w:val="20"/>
              </w:rPr>
              <w:t>报表编号：510000_0013zp</w:t>
            </w: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3557" w:type="dxa"/>
            <w:gridSpan w:val="3"/>
            <w:tcBorders>
              <w:top w:val="nil"/>
              <w:left w:val="nil"/>
              <w:bottom w:val="nil"/>
              <w:right w:val="nil"/>
            </w:tcBorders>
            <w:shd w:val="clear" w:color="auto" w:fill="auto"/>
            <w:vAlign w:val="center"/>
          </w:tcPr>
          <w:p>
            <w:pPr>
              <w:widowControl/>
              <w:jc w:val="left"/>
              <w:rPr>
                <w:rFonts w:ascii="宋体" w:hAnsi="宋体" w:cs="宋体"/>
                <w:color w:val="000000"/>
                <w:kern w:val="0"/>
                <w:sz w:val="20"/>
                <w:szCs w:val="20"/>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39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28"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848"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691"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842"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提高了预算编制质量，严格执行了预算，保障了单位的正常日常运转。</w:t>
            </w:r>
          </w:p>
        </w:tc>
      </w:tr>
      <w:tr>
        <w:tblPrEx>
          <w:tblCellMar>
            <w:top w:w="0" w:type="dxa"/>
            <w:left w:w="108" w:type="dxa"/>
            <w:bottom w:w="0" w:type="dxa"/>
            <w:right w:w="108" w:type="dxa"/>
          </w:tblCellMar>
        </w:tblPrEx>
        <w:trPr>
          <w:trHeight w:val="84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839"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4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4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6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531"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49"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826"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ascii="Courier New" w:hAnsi="Courier New" w:cs="Courier New"/>
                <w:color w:val="000000"/>
                <w:kern w:val="0"/>
                <w:sz w:val="18"/>
                <w:szCs w:val="18"/>
              </w:rPr>
              <w:t>提高了预算编制质量，严格执行了预算，保障了单位的正常日常运转。完成率</w:t>
            </w:r>
            <w:r>
              <w:rPr>
                <w:rFonts w:hint="eastAsia" w:ascii="Courier New" w:hAnsi="Courier New" w:cs="Courier New"/>
                <w:color w:val="000000"/>
                <w:kern w:val="0"/>
                <w:sz w:val="18"/>
                <w:szCs w:val="18"/>
              </w:rPr>
              <w:t>100%</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70"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0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7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77"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1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0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7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77"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10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9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6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831"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559"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836"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提高了预算编制质量，严格执行了预算，保障了单位日常运转，完成率100%</w:t>
            </w:r>
          </w:p>
        </w:tc>
      </w:tr>
      <w:tr>
        <w:tblPrEx>
          <w:tblCellMar>
            <w:top w:w="0" w:type="dxa"/>
            <w:left w:w="108" w:type="dxa"/>
            <w:bottom w:w="0" w:type="dxa"/>
            <w:right w:w="108" w:type="dxa"/>
          </w:tblCellMar>
        </w:tblPrEx>
        <w:trPr>
          <w:trHeight w:val="4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73"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55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4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hAnsi="宋体" w:cs="宋体"/>
                <w:color w:val="000000"/>
                <w:kern w:val="0"/>
                <w:sz w:val="18"/>
                <w:szCs w:val="18"/>
              </w:rPr>
              <w:t>提高了预算编制质量，严格执行了预算，保障了单位日常运转，完成率100%</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555"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适用用户：部门用户、单位用户</w:t>
            </w:r>
          </w:p>
        </w:tc>
      </w:tr>
      <w:tr>
        <w:tblPrEx>
          <w:tblCellMar>
            <w:top w:w="0" w:type="dxa"/>
            <w:left w:w="108" w:type="dxa"/>
            <w:bottom w:w="0" w:type="dxa"/>
            <w:right w:w="108" w:type="dxa"/>
          </w:tblCellMar>
        </w:tblPrEx>
        <w:trPr>
          <w:trHeight w:val="326"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103" w:type="dxa"/>
            <w:gridSpan w:val="4"/>
            <w:tcBorders>
              <w:top w:val="nil"/>
              <w:left w:val="nil"/>
              <w:bottom w:val="nil"/>
              <w:right w:val="nil"/>
            </w:tcBorders>
            <w:shd w:val="clear" w:color="auto" w:fill="auto"/>
            <w:vAlign w:val="center"/>
          </w:tcPr>
          <w:p>
            <w:pPr>
              <w:widowControl/>
              <w:jc w:val="left"/>
              <w:rPr>
                <w:rFonts w:ascii="宋体" w:hAnsi="宋体" w:cs="宋体"/>
                <w:color w:val="C0C0C0"/>
                <w:kern w:val="0"/>
                <w:sz w:val="20"/>
                <w:szCs w:val="20"/>
              </w:rPr>
            </w:pPr>
            <w:r>
              <w:rPr>
                <w:rFonts w:hint="eastAsia" w:ascii="宋体" w:hAnsi="宋体" w:cs="宋体"/>
                <w:color w:val="C0C0C0"/>
                <w:kern w:val="0"/>
                <w:sz w:val="20"/>
                <w:szCs w:val="20"/>
              </w:rPr>
              <w:t>报表编号：510000_0013zp</w:t>
            </w: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3557" w:type="dxa"/>
            <w:gridSpan w:val="3"/>
            <w:tcBorders>
              <w:top w:val="nil"/>
              <w:left w:val="nil"/>
              <w:bottom w:val="nil"/>
              <w:right w:val="nil"/>
            </w:tcBorders>
            <w:shd w:val="clear" w:color="auto" w:fill="auto"/>
            <w:vAlign w:val="center"/>
          </w:tcPr>
          <w:p>
            <w:pPr>
              <w:widowControl/>
              <w:jc w:val="left"/>
              <w:rPr>
                <w:rFonts w:ascii="宋体" w:hAnsi="宋体" w:cs="宋体"/>
                <w:color w:val="000000"/>
                <w:kern w:val="0"/>
                <w:sz w:val="20"/>
                <w:szCs w:val="20"/>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1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510"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51080021T000000054328-广元市美术馆免费开放配套资金</w:t>
            </w:r>
          </w:p>
        </w:tc>
      </w:tr>
      <w:tr>
        <w:tblPrEx>
          <w:tblCellMar>
            <w:top w:w="0" w:type="dxa"/>
            <w:left w:w="108" w:type="dxa"/>
            <w:bottom w:w="0" w:type="dxa"/>
            <w:right w:w="108" w:type="dxa"/>
          </w:tblCellMar>
        </w:tblPrEx>
        <w:trPr>
          <w:trHeight w:val="510"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51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12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1、举办展览、公共性讲座，开展公共教育和观众体验拓展活动，流动美术服务，业务活动用房小型修缮及零星设备更新等。</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2、开展美术收藏、研究、教育、创作；举办美术陈列展览、对外交流活动；开发运用及推广美术资源、衍生品。</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Cs w:val="21"/>
              </w:rPr>
              <w:t>举办活动按时完成率100%，馆藏作品征集20件，保障设施设备正常运转300余天，吸引观众10000余人次，免费开放300余天，确保劳务派遣人员工资足额发方放，确保物管正常运转，美术馆安全运行率100%，无群众投诉发生，服务满意率达95%。</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1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75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各类活动按时完成率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征集作品</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保障设施设备正常运转天数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276</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276天</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吸引观众人数（含线上线下）</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10000余人次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免费开放天数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276</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300天</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劳务派遣费、临聘人员工资及物管正常运转</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全年免费开放正常运转时间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年度正常开馆率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美术馆安全运行率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作品安全保障率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各类活动按时完成率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群众投诉处理时限</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个工作日</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5个工作日</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保障设施设备正常运转，为观众提供良好的参观环境</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较好</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较好</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美术意识形态保护宣传影响</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较好</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较好</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对促进我市精神文明建设的影响程度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长期有效促进我市精神文明建设</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较好</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参展作者满意度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免费开放地方配套资金</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12.14</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1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结合自评情况，自评得分100分。市美术馆按照资金使用文件，能严格执行文件，并确保项目的顺利推进和质量要求。</w:t>
            </w:r>
          </w:p>
        </w:tc>
      </w:tr>
      <w:tr>
        <w:tblPrEx>
          <w:tblCellMar>
            <w:top w:w="0" w:type="dxa"/>
            <w:left w:w="108" w:type="dxa"/>
            <w:bottom w:w="0" w:type="dxa"/>
            <w:right w:w="108" w:type="dxa"/>
          </w:tblCellMar>
        </w:tblPrEx>
        <w:trPr>
          <w:trHeight w:val="51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资金不足</w:t>
            </w:r>
          </w:p>
        </w:tc>
      </w:tr>
      <w:tr>
        <w:tblPrEx>
          <w:tblCellMar>
            <w:top w:w="0" w:type="dxa"/>
            <w:left w:w="108" w:type="dxa"/>
            <w:bottom w:w="0" w:type="dxa"/>
            <w:right w:w="108" w:type="dxa"/>
          </w:tblCellMar>
        </w:tblPrEx>
        <w:trPr>
          <w:trHeight w:val="7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向上级部门争取资金</w:t>
            </w:r>
          </w:p>
        </w:tc>
      </w:tr>
      <w:tr>
        <w:tblPrEx>
          <w:tblCellMar>
            <w:top w:w="0" w:type="dxa"/>
            <w:left w:w="108" w:type="dxa"/>
            <w:bottom w:w="0" w:type="dxa"/>
            <w:right w:w="108" w:type="dxa"/>
          </w:tblCellMar>
        </w:tblPrEx>
        <w:trPr>
          <w:trHeight w:val="549"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7103" w:type="dxa"/>
            <w:gridSpan w:val="4"/>
            <w:tcBorders>
              <w:top w:val="nil"/>
              <w:left w:val="nil"/>
              <w:bottom w:val="nil"/>
              <w:right w:val="nil"/>
            </w:tcBorders>
            <w:shd w:val="clear" w:color="auto" w:fill="auto"/>
            <w:vAlign w:val="center"/>
          </w:tcPr>
          <w:p>
            <w:pPr>
              <w:widowControl/>
              <w:jc w:val="left"/>
              <w:rPr>
                <w:rFonts w:ascii="宋体" w:hAnsi="宋体" w:cs="宋体"/>
                <w:color w:val="C0C0C0"/>
                <w:kern w:val="0"/>
                <w:sz w:val="20"/>
                <w:szCs w:val="20"/>
              </w:rPr>
            </w:pPr>
            <w:r>
              <w:rPr>
                <w:rFonts w:hint="eastAsia" w:ascii="宋体" w:hAnsi="宋体" w:cs="宋体"/>
                <w:color w:val="C0C0C0"/>
                <w:kern w:val="0"/>
                <w:sz w:val="20"/>
                <w:szCs w:val="20"/>
              </w:rPr>
              <w:t>报表编号：510000_0013zp</w:t>
            </w: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3557" w:type="dxa"/>
            <w:gridSpan w:val="3"/>
            <w:tcBorders>
              <w:top w:val="nil"/>
              <w:left w:val="nil"/>
              <w:bottom w:val="nil"/>
              <w:right w:val="nil"/>
            </w:tcBorders>
            <w:shd w:val="clear" w:color="auto" w:fill="auto"/>
            <w:vAlign w:val="center"/>
          </w:tcPr>
          <w:p>
            <w:pPr>
              <w:widowControl/>
              <w:jc w:val="left"/>
              <w:rPr>
                <w:rFonts w:ascii="宋体" w:hAnsi="宋体" w:cs="宋体"/>
                <w:color w:val="000000"/>
                <w:kern w:val="0"/>
                <w:sz w:val="20"/>
                <w:szCs w:val="20"/>
              </w:rPr>
            </w:pPr>
          </w:p>
        </w:tc>
        <w:tc>
          <w:tcPr>
            <w:tcW w:w="52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915"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67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51080022T000006738002-公共图书馆、美术馆、文化馆（站）免费开放补助资金</w:t>
            </w:r>
          </w:p>
        </w:tc>
      </w:tr>
      <w:tr>
        <w:tblPrEx>
          <w:tblCellMar>
            <w:top w:w="0" w:type="dxa"/>
            <w:left w:w="108" w:type="dxa"/>
            <w:bottom w:w="0" w:type="dxa"/>
            <w:right w:w="108" w:type="dxa"/>
          </w:tblCellMar>
        </w:tblPrEx>
        <w:trPr>
          <w:trHeight w:val="67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67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23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1、举办展览、公共性讲座，开展公共教育和观众体验拓展活动，流动美术服务，业务活动用房小型修缮及零星设备更新等。</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2、开展美术收藏、研究、教育、创作；举办美术陈列展览、对外交流活动；开发运用及推广美术资源、衍生品。</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Cs w:val="21"/>
              </w:rPr>
              <w:t>举办了美术展览（含线上线下）</w:t>
            </w:r>
            <w:r>
              <w:rPr>
                <w:rFonts w:hint="eastAsia" w:ascii="宋体" w:hAnsi="宋体" w:cs="宋体"/>
                <w:kern w:val="0"/>
                <w:szCs w:val="21"/>
              </w:rPr>
              <w:t>15</w:t>
            </w:r>
            <w:r>
              <w:rPr>
                <w:rFonts w:hint="eastAsia" w:ascii="宋体" w:hAnsi="宋体" w:cs="宋体"/>
                <w:color w:val="000000"/>
                <w:kern w:val="0"/>
                <w:szCs w:val="21"/>
              </w:rPr>
              <w:t>场，馆际间交流合作，举办了交流展3场，开展采风写生活动5场，“送文化”惠民活动、志愿者活动9场，完成公教活动（含线上线下）5场，写生创作作品1000余件，服务人次7万余人次；满足公众不同层次的文化需求，丰富人民群众的文化内涵和文化生活，拓展群众文化艺术审美，提升人民群众审美品位，为提高现代城市品位、促进现代城市的和谐、文明发展发挥应有的作用；服务对象满意度达95%。</w:t>
            </w:r>
          </w:p>
        </w:tc>
      </w:tr>
      <w:tr>
        <w:tblPrEx>
          <w:tblCellMar>
            <w:top w:w="0" w:type="dxa"/>
            <w:left w:w="108" w:type="dxa"/>
            <w:bottom w:w="0" w:type="dxa"/>
            <w:right w:w="108" w:type="dxa"/>
          </w:tblCellMar>
        </w:tblPrEx>
        <w:trPr>
          <w:trHeight w:val="5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5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17.15</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60.15</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60.15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5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17.15</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60.15</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60.15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78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5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72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7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举办美术展览（含线上线下）</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馆际间交流合作，举办交流展3场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采风写生活动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“送文化”惠民活动、志愿者活动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公教活动（含线上线下）</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0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写生创作作品</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0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馆藏作品征集</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10万人次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个月</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12个月</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63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满足公众不同层次的文化需求，丰富人民群众的文化内涵和文化生活，拓展群众文化艺术审美，提升人民群众审美品位。为提高现代城市品位、促进现代城市的和谐、文明发展发挥应有的作用。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优良差</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活动成本</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57.15</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60.15万元</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结合自评情况，自评得分100分。市美术馆按照资金使用文件，能严格执行文件，并确保项目的顺利推进和质量要求。</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资金不足</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向上级部门争取资金</w:t>
            </w:r>
          </w:p>
        </w:tc>
      </w:tr>
      <w:tr>
        <w:tblPrEx>
          <w:tblCellMar>
            <w:top w:w="0" w:type="dxa"/>
            <w:left w:w="108" w:type="dxa"/>
            <w:bottom w:w="0" w:type="dxa"/>
            <w:right w:w="108" w:type="dxa"/>
          </w:tblCellMar>
        </w:tblPrEx>
        <w:trPr>
          <w:trHeight w:val="540"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570" w:hRule="atLeast"/>
        </w:trPr>
        <w:tc>
          <w:tcPr>
            <w:tcW w:w="147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70"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51080023T000008622705-公共文化服务体系建设上级补助资金</w:t>
            </w:r>
          </w:p>
        </w:tc>
      </w:tr>
      <w:tr>
        <w:tblPrEx>
          <w:tblCellMar>
            <w:top w:w="0" w:type="dxa"/>
            <w:left w:w="108" w:type="dxa"/>
            <w:bottom w:w="0" w:type="dxa"/>
            <w:right w:w="108" w:type="dxa"/>
          </w:tblCellMar>
        </w:tblPrEx>
        <w:trPr>
          <w:trHeight w:val="450"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00"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广元市美术馆</w:t>
            </w:r>
          </w:p>
        </w:tc>
      </w:tr>
      <w:tr>
        <w:tblPrEx>
          <w:tblCellMar>
            <w:top w:w="0" w:type="dxa"/>
            <w:left w:w="108" w:type="dxa"/>
            <w:bottom w:w="0" w:type="dxa"/>
            <w:right w:w="108" w:type="dxa"/>
          </w:tblCellMar>
        </w:tblPrEx>
        <w:trPr>
          <w:trHeight w:val="27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32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开展美术收藏、研究、教育、创作；举办美术陈列展览、对外交流活动；开发运用及推广美术资源、衍生品。</w:t>
            </w:r>
          </w:p>
        </w:tc>
        <w:tc>
          <w:tcPr>
            <w:tcW w:w="466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Cs w:val="21"/>
              </w:rPr>
              <w:t>完成美术馆数字化服务宣传推广项目1场，福到万家展览1场，服务人数(含线上线下)3万余人次；为提高现代城市品位、促进现代城市的和谐、文明发展发挥应有的作用。服务对象满意度95%以上。</w:t>
            </w:r>
          </w:p>
        </w:tc>
      </w:tr>
      <w:tr>
        <w:tblPrEx>
          <w:tblCellMar>
            <w:top w:w="0" w:type="dxa"/>
            <w:left w:w="108" w:type="dxa"/>
            <w:bottom w:w="0" w:type="dxa"/>
            <w:right w:w="108" w:type="dxa"/>
          </w:tblCellMar>
        </w:tblPrEx>
        <w:trPr>
          <w:trHeight w:val="45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98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美术馆数字化服务宣传推广项目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福到万家展览</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服务人数(含线上线下)</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3万人次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为提高现代城市品位、促进现代城市的和谐、文明发展发挥应有的作用。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优良差</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5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7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7万元</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0" w:hRule="atLeast"/>
        </w:trPr>
        <w:tc>
          <w:tcPr>
            <w:tcW w:w="11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结合自评情况，自评得分100分。市美术馆按照资金使用文件，能严格执行文件，并确保项目的顺利推进和质量要求。</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资金不足</w:t>
            </w:r>
          </w:p>
        </w:tc>
      </w:tr>
      <w:tr>
        <w:tblPrEx>
          <w:tblCellMar>
            <w:top w:w="0" w:type="dxa"/>
            <w:left w:w="108" w:type="dxa"/>
            <w:bottom w:w="0" w:type="dxa"/>
            <w:right w:w="108" w:type="dxa"/>
          </w:tblCellMar>
        </w:tblPrEx>
        <w:trPr>
          <w:trHeight w:val="45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404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向上级部门争取资金</w:t>
            </w:r>
          </w:p>
        </w:tc>
      </w:tr>
      <w:tr>
        <w:tblPrEx>
          <w:tblCellMar>
            <w:top w:w="0" w:type="dxa"/>
            <w:left w:w="108" w:type="dxa"/>
            <w:bottom w:w="0" w:type="dxa"/>
            <w:right w:w="108" w:type="dxa"/>
          </w:tblCellMar>
        </w:tblPrEx>
        <w:trPr>
          <w:trHeight w:val="660" w:hRule="atLeast"/>
        </w:trPr>
        <w:tc>
          <w:tcPr>
            <w:tcW w:w="7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7123"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70" w:hRule="atLeast"/>
        </w:trPr>
        <w:tc>
          <w:tcPr>
            <w:tcW w:w="14746" w:type="dxa"/>
            <w:gridSpan w:val="11"/>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适用用户：部门用户、单位用户</w:t>
            </w:r>
          </w:p>
        </w:tc>
      </w:tr>
      <w:tr>
        <w:tblPrEx>
          <w:tblCellMar>
            <w:top w:w="0" w:type="dxa"/>
            <w:left w:w="108" w:type="dxa"/>
            <w:bottom w:w="0" w:type="dxa"/>
            <w:right w:w="108" w:type="dxa"/>
          </w:tblCellMar>
        </w:tblPrEx>
        <w:trPr>
          <w:trHeight w:val="270" w:hRule="atLeast"/>
        </w:trPr>
        <w:tc>
          <w:tcPr>
            <w:tcW w:w="7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7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3"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68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7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56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bl>
    <w:p/>
    <w:p>
      <w:pPr>
        <w:pStyle w:val="10"/>
        <w:adjustRightInd w:val="0"/>
        <w:snapToGrid w:val="0"/>
        <w:spacing w:before="0" w:line="440" w:lineRule="exact"/>
        <w:jc w:val="left"/>
        <w:rPr>
          <w:sz w:val="24"/>
        </w:rPr>
        <w:sectPr>
          <w:pgSz w:w="16838" w:h="11906" w:orient="landscape"/>
          <w:pgMar w:top="1797" w:right="1440" w:bottom="1797" w:left="1440" w:header="851" w:footer="992" w:gutter="0"/>
          <w:pgNumType w:fmt="numberInDash"/>
          <w:cols w:space="425" w:num="1"/>
          <w:titlePg/>
          <w:docGrid w:type="linesAndChars" w:linePitch="312" w:charSpace="0"/>
        </w:sectPr>
      </w:pPr>
    </w:p>
    <w:p>
      <w:pPr>
        <w:pStyle w:val="3"/>
        <w:jc w:val="center"/>
      </w:pPr>
      <w:bookmarkStart w:id="53" w:name="_Toc9685"/>
      <w:r>
        <w:rPr>
          <w:rFonts w:hint="eastAsia"/>
        </w:rPr>
        <w:t>第五部分  附表</w:t>
      </w:r>
      <w:bookmarkEnd w:id="53"/>
    </w:p>
    <w:p>
      <w:pPr>
        <w:pStyle w:val="4"/>
      </w:pPr>
      <w:bookmarkStart w:id="54" w:name="_Toc14105"/>
      <w:r>
        <w:rPr>
          <w:rFonts w:hint="eastAsia"/>
        </w:rPr>
        <w:t>一、收入支出决算总表</w:t>
      </w:r>
      <w:bookmarkEnd w:id="54"/>
    </w:p>
    <w:p>
      <w:pPr>
        <w:pStyle w:val="4"/>
      </w:pPr>
      <w:bookmarkStart w:id="55" w:name="_Toc2377"/>
      <w:r>
        <w:rPr>
          <w:rFonts w:hint="eastAsia"/>
        </w:rPr>
        <w:t>二、收入决算表</w:t>
      </w:r>
      <w:bookmarkEnd w:id="55"/>
    </w:p>
    <w:p>
      <w:pPr>
        <w:pStyle w:val="4"/>
      </w:pPr>
      <w:bookmarkStart w:id="56" w:name="_Toc1458"/>
      <w:r>
        <w:rPr>
          <w:rFonts w:hint="eastAsia"/>
        </w:rPr>
        <w:t>三、支出决算表</w:t>
      </w:r>
      <w:bookmarkEnd w:id="56"/>
    </w:p>
    <w:p>
      <w:pPr>
        <w:pStyle w:val="4"/>
      </w:pPr>
      <w:bookmarkStart w:id="57" w:name="_Toc26808"/>
      <w:r>
        <w:rPr>
          <w:rFonts w:hint="eastAsia"/>
        </w:rPr>
        <w:t>四、财政拨款收入支出决算总表</w:t>
      </w:r>
      <w:bookmarkEnd w:id="57"/>
    </w:p>
    <w:p>
      <w:pPr>
        <w:pStyle w:val="4"/>
      </w:pPr>
      <w:bookmarkStart w:id="58" w:name="_Toc25430"/>
      <w:r>
        <w:rPr>
          <w:rFonts w:hint="eastAsia"/>
        </w:rPr>
        <w:t>五、财政拨款支出决算明细表</w:t>
      </w:r>
      <w:bookmarkEnd w:id="58"/>
    </w:p>
    <w:p>
      <w:pPr>
        <w:pStyle w:val="4"/>
      </w:pPr>
      <w:bookmarkStart w:id="59" w:name="_Toc17181"/>
      <w:r>
        <w:rPr>
          <w:rFonts w:hint="eastAsia"/>
        </w:rPr>
        <w:t>六、一般公共预算财政拨款支出决算表</w:t>
      </w:r>
      <w:bookmarkEnd w:id="59"/>
    </w:p>
    <w:p>
      <w:pPr>
        <w:pStyle w:val="4"/>
      </w:pPr>
      <w:bookmarkStart w:id="60" w:name="_Toc17614"/>
      <w:r>
        <w:rPr>
          <w:rFonts w:hint="eastAsia"/>
        </w:rPr>
        <w:t>七、一般公共预算财政拨款支出决算明细表</w:t>
      </w:r>
      <w:bookmarkEnd w:id="60"/>
    </w:p>
    <w:p>
      <w:pPr>
        <w:pStyle w:val="4"/>
      </w:pPr>
      <w:bookmarkStart w:id="61" w:name="_Toc27864"/>
      <w:r>
        <w:rPr>
          <w:rFonts w:hint="eastAsia"/>
        </w:rPr>
        <w:t>八、一般公共预算财政拨款基本支出决算明细表</w:t>
      </w:r>
      <w:bookmarkEnd w:id="61"/>
    </w:p>
    <w:p>
      <w:pPr>
        <w:pStyle w:val="4"/>
      </w:pPr>
      <w:bookmarkStart w:id="62" w:name="_Toc31955"/>
      <w:r>
        <w:rPr>
          <w:rFonts w:hint="eastAsia"/>
        </w:rPr>
        <w:t>九、一般公共预算财政拨款项目支出决算表</w:t>
      </w:r>
      <w:bookmarkEnd w:id="62"/>
    </w:p>
    <w:p>
      <w:pPr>
        <w:pStyle w:val="4"/>
      </w:pPr>
      <w:bookmarkStart w:id="63" w:name="_Toc17993"/>
      <w:r>
        <w:rPr>
          <w:rFonts w:hint="eastAsia"/>
        </w:rPr>
        <w:t>十、政府性基金预算财政拨款收入支出决算表</w:t>
      </w:r>
      <w:bookmarkEnd w:id="63"/>
    </w:p>
    <w:p>
      <w:pPr>
        <w:pStyle w:val="4"/>
      </w:pPr>
      <w:bookmarkStart w:id="64" w:name="_Toc2214"/>
      <w:r>
        <w:rPr>
          <w:rFonts w:hint="eastAsia"/>
        </w:rPr>
        <w:t>十一、国有资本经营预算财政拨款收入支出决算表</w:t>
      </w:r>
      <w:bookmarkEnd w:id="64"/>
    </w:p>
    <w:p>
      <w:pPr>
        <w:pStyle w:val="4"/>
      </w:pPr>
      <w:bookmarkStart w:id="65" w:name="_Toc1156"/>
      <w:r>
        <w:rPr>
          <w:rFonts w:hint="eastAsia"/>
        </w:rPr>
        <w:t>十二、国有资本经营预算财政拨款支出决算表</w:t>
      </w:r>
      <w:bookmarkEnd w:id="65"/>
    </w:p>
    <w:p>
      <w:pPr>
        <w:pStyle w:val="4"/>
      </w:pPr>
      <w:bookmarkStart w:id="66" w:name="_Toc10872"/>
      <w:r>
        <w:rPr>
          <w:rFonts w:hint="eastAsia"/>
        </w:rPr>
        <w:t>十三、财政拨款“三公”经费支出决算表</w:t>
      </w:r>
      <w:bookmarkEnd w:id="66"/>
    </w:p>
    <w:p>
      <w:pPr>
        <w:spacing w:line="576" w:lineRule="exact"/>
      </w:pPr>
    </w:p>
    <w:sectPr>
      <w:pgSz w:w="11906" w:h="16838"/>
      <w:pgMar w:top="1440" w:right="1797" w:bottom="1440" w:left="179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61007A87" w:usb1="80000000" w:usb2="00000008" w:usb3="00000000" w:csb0="200101FF" w:csb1="20280000"/>
  </w:font>
  <w:font w:name="方正小标宋简体">
    <w:panose1 w:val="02000000000000000000"/>
    <w:charset w:val="86"/>
    <w:family w:val="auto"/>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仿宋">
    <w:altName w:val="宋体"/>
    <w:panose1 w:val="02010609060101010101"/>
    <w:charset w:val="00"/>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4"/>
        <w:szCs w:val="24"/>
      </w:rPr>
      <w:id w:val="77256474"/>
    </w:sdtPr>
    <w:sdtEndPr>
      <w:rPr>
        <w:sz w:val="24"/>
        <w:szCs w:val="24"/>
      </w:rPr>
    </w:sdtEndPr>
    <w:sdtContent>
      <w:p>
        <w:pPr>
          <w:pStyle w:val="8"/>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9 -</w:t>
        </w:r>
        <w:r>
          <w:rPr>
            <w:sz w:val="24"/>
            <w:szCs w:val="24"/>
            <w:lang w:val="zh-CN"/>
          </w:rP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567329"/>
      <w:docPartObj>
        <w:docPartGallery w:val="autotext"/>
      </w:docPartObj>
    </w:sdtPr>
    <w:sdtEndPr>
      <w:rPr>
        <w:sz w:val="28"/>
        <w:szCs w:val="28"/>
      </w:rPr>
    </w:sdtEndPr>
    <w:sdtContent>
      <w:sdt>
        <w:sdtPr>
          <w:id w:val="171357217"/>
          <w:docPartObj>
            <w:docPartGallery w:val="autotext"/>
          </w:docPartObj>
        </w:sdtPr>
        <w:sdtEndPr>
          <w:rPr>
            <w:sz w:val="28"/>
            <w:szCs w:val="28"/>
          </w:rPr>
        </w:sdtEndPr>
        <w:sdtContent>
          <w:p>
            <w:pPr>
              <w:pStyle w:val="8"/>
              <w:jc w:val="center"/>
              <w:rPr>
                <w:lang w:val="zh-CN"/>
              </w:rPr>
            </w:pPr>
            <w:r>
              <w:rPr>
                <w:b/>
                <w:sz w:val="28"/>
                <w:szCs w:val="28"/>
              </w:rPr>
              <w:fldChar w:fldCharType="begin"/>
            </w:r>
            <w:r>
              <w:rPr>
                <w:b/>
                <w:sz w:val="28"/>
                <w:szCs w:val="28"/>
              </w:rPr>
              <w:instrText xml:space="preserve">PAGE</w:instrText>
            </w:r>
            <w:r>
              <w:rPr>
                <w:b/>
                <w:sz w:val="28"/>
                <w:szCs w:val="28"/>
              </w:rPr>
              <w:fldChar w:fldCharType="separate"/>
            </w:r>
            <w:r>
              <w:rPr>
                <w:b/>
                <w:sz w:val="28"/>
                <w:szCs w:val="28"/>
              </w:rPr>
              <w:t>- 39 -</w:t>
            </w:r>
            <w:r>
              <w:rPr>
                <w:b/>
                <w:sz w:val="28"/>
                <w:szCs w:val="28"/>
              </w:rPr>
              <w:fldChar w:fldCharType="end"/>
            </w:r>
          </w:p>
        </w:sdtContent>
      </w:sdt>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AD8C9"/>
    <w:multiLevelType w:val="singleLevel"/>
    <w:tmpl w:val="A3EAD8C9"/>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AB043B"/>
    <w:rsid w:val="00022249"/>
    <w:rsid w:val="000424B7"/>
    <w:rsid w:val="00063BC7"/>
    <w:rsid w:val="00076F37"/>
    <w:rsid w:val="00080355"/>
    <w:rsid w:val="00091B0D"/>
    <w:rsid w:val="000A19F6"/>
    <w:rsid w:val="000C14E1"/>
    <w:rsid w:val="000E4839"/>
    <w:rsid w:val="000F5AC6"/>
    <w:rsid w:val="00104E20"/>
    <w:rsid w:val="001149B5"/>
    <w:rsid w:val="001156CD"/>
    <w:rsid w:val="00117F8E"/>
    <w:rsid w:val="0012388F"/>
    <w:rsid w:val="0016758F"/>
    <w:rsid w:val="001A0059"/>
    <w:rsid w:val="001A709A"/>
    <w:rsid w:val="001F52D0"/>
    <w:rsid w:val="002247FA"/>
    <w:rsid w:val="00275D0E"/>
    <w:rsid w:val="002863A8"/>
    <w:rsid w:val="002915A3"/>
    <w:rsid w:val="0029669A"/>
    <w:rsid w:val="002A54B5"/>
    <w:rsid w:val="002B3AC2"/>
    <w:rsid w:val="002B652B"/>
    <w:rsid w:val="002C4AD2"/>
    <w:rsid w:val="002D1E95"/>
    <w:rsid w:val="002D3019"/>
    <w:rsid w:val="002E5DD8"/>
    <w:rsid w:val="00314FB7"/>
    <w:rsid w:val="0033589C"/>
    <w:rsid w:val="003358D0"/>
    <w:rsid w:val="003523A6"/>
    <w:rsid w:val="003678AE"/>
    <w:rsid w:val="003828E4"/>
    <w:rsid w:val="00395F14"/>
    <w:rsid w:val="00397D1B"/>
    <w:rsid w:val="003A5886"/>
    <w:rsid w:val="003E4E7A"/>
    <w:rsid w:val="003E5C08"/>
    <w:rsid w:val="003F6127"/>
    <w:rsid w:val="004233E8"/>
    <w:rsid w:val="00437349"/>
    <w:rsid w:val="00451725"/>
    <w:rsid w:val="00476302"/>
    <w:rsid w:val="00482CFF"/>
    <w:rsid w:val="004868B6"/>
    <w:rsid w:val="004A1D45"/>
    <w:rsid w:val="004A315A"/>
    <w:rsid w:val="004B316C"/>
    <w:rsid w:val="004B6292"/>
    <w:rsid w:val="0050038E"/>
    <w:rsid w:val="00570D49"/>
    <w:rsid w:val="005815AB"/>
    <w:rsid w:val="00584E57"/>
    <w:rsid w:val="00590483"/>
    <w:rsid w:val="00593A8F"/>
    <w:rsid w:val="005A401D"/>
    <w:rsid w:val="005B3D9D"/>
    <w:rsid w:val="00602AF6"/>
    <w:rsid w:val="00627010"/>
    <w:rsid w:val="00641A98"/>
    <w:rsid w:val="0064274E"/>
    <w:rsid w:val="00651E28"/>
    <w:rsid w:val="00654B87"/>
    <w:rsid w:val="00685ED4"/>
    <w:rsid w:val="0069348F"/>
    <w:rsid w:val="006979DE"/>
    <w:rsid w:val="006A2525"/>
    <w:rsid w:val="006A5076"/>
    <w:rsid w:val="006C619F"/>
    <w:rsid w:val="007106EB"/>
    <w:rsid w:val="00747523"/>
    <w:rsid w:val="00752D16"/>
    <w:rsid w:val="00755110"/>
    <w:rsid w:val="007746B8"/>
    <w:rsid w:val="007A541D"/>
    <w:rsid w:val="007B25BC"/>
    <w:rsid w:val="007B6696"/>
    <w:rsid w:val="007D610A"/>
    <w:rsid w:val="007E6799"/>
    <w:rsid w:val="00820269"/>
    <w:rsid w:val="00837097"/>
    <w:rsid w:val="00841E39"/>
    <w:rsid w:val="00850A6B"/>
    <w:rsid w:val="00854FB0"/>
    <w:rsid w:val="00892274"/>
    <w:rsid w:val="008F1056"/>
    <w:rsid w:val="009241E5"/>
    <w:rsid w:val="00924A17"/>
    <w:rsid w:val="00940FBF"/>
    <w:rsid w:val="009714DC"/>
    <w:rsid w:val="0099531B"/>
    <w:rsid w:val="009954FE"/>
    <w:rsid w:val="00995CBC"/>
    <w:rsid w:val="009C3CDB"/>
    <w:rsid w:val="009E70F5"/>
    <w:rsid w:val="009F34DE"/>
    <w:rsid w:val="00A026AE"/>
    <w:rsid w:val="00A703D5"/>
    <w:rsid w:val="00A95862"/>
    <w:rsid w:val="00AB043B"/>
    <w:rsid w:val="00AB6376"/>
    <w:rsid w:val="00AE0611"/>
    <w:rsid w:val="00AE6639"/>
    <w:rsid w:val="00AE6BE7"/>
    <w:rsid w:val="00B01E73"/>
    <w:rsid w:val="00B14056"/>
    <w:rsid w:val="00B17E13"/>
    <w:rsid w:val="00B30E60"/>
    <w:rsid w:val="00B353CC"/>
    <w:rsid w:val="00B5105E"/>
    <w:rsid w:val="00B52696"/>
    <w:rsid w:val="00B612BE"/>
    <w:rsid w:val="00B70ADF"/>
    <w:rsid w:val="00B81A76"/>
    <w:rsid w:val="00B85EFD"/>
    <w:rsid w:val="00B86F40"/>
    <w:rsid w:val="00BB2710"/>
    <w:rsid w:val="00BC0CA3"/>
    <w:rsid w:val="00BF7A7B"/>
    <w:rsid w:val="00C1480F"/>
    <w:rsid w:val="00C23ACC"/>
    <w:rsid w:val="00C561D7"/>
    <w:rsid w:val="00C6158B"/>
    <w:rsid w:val="00C7350F"/>
    <w:rsid w:val="00C838DE"/>
    <w:rsid w:val="00C93FB3"/>
    <w:rsid w:val="00CD6D7B"/>
    <w:rsid w:val="00CE0C7C"/>
    <w:rsid w:val="00D017B4"/>
    <w:rsid w:val="00D12D02"/>
    <w:rsid w:val="00D32741"/>
    <w:rsid w:val="00D533EF"/>
    <w:rsid w:val="00D86400"/>
    <w:rsid w:val="00DC1C8A"/>
    <w:rsid w:val="00DD24F6"/>
    <w:rsid w:val="00DE3995"/>
    <w:rsid w:val="00DE71D5"/>
    <w:rsid w:val="00E163D0"/>
    <w:rsid w:val="00E23668"/>
    <w:rsid w:val="00E311D2"/>
    <w:rsid w:val="00E52ED5"/>
    <w:rsid w:val="00EB441D"/>
    <w:rsid w:val="00EE3F7C"/>
    <w:rsid w:val="00EF0330"/>
    <w:rsid w:val="00F15394"/>
    <w:rsid w:val="00F15E97"/>
    <w:rsid w:val="00F21748"/>
    <w:rsid w:val="00F455CD"/>
    <w:rsid w:val="00F523AF"/>
    <w:rsid w:val="00F55CFC"/>
    <w:rsid w:val="00F60BF4"/>
    <w:rsid w:val="00F902A8"/>
    <w:rsid w:val="00FB630D"/>
    <w:rsid w:val="00FB67FE"/>
    <w:rsid w:val="00FC0722"/>
    <w:rsid w:val="00FE12E3"/>
    <w:rsid w:val="01431A4A"/>
    <w:rsid w:val="01D4248E"/>
    <w:rsid w:val="03C50E3C"/>
    <w:rsid w:val="07BB08F2"/>
    <w:rsid w:val="12BB58E4"/>
    <w:rsid w:val="14B9077C"/>
    <w:rsid w:val="1A0E09F0"/>
    <w:rsid w:val="1C512E16"/>
    <w:rsid w:val="1E5C45E3"/>
    <w:rsid w:val="20607ACB"/>
    <w:rsid w:val="21504F95"/>
    <w:rsid w:val="26F86CAF"/>
    <w:rsid w:val="274E4B21"/>
    <w:rsid w:val="28C259A7"/>
    <w:rsid w:val="2A3C5105"/>
    <w:rsid w:val="3C300842"/>
    <w:rsid w:val="3E66054B"/>
    <w:rsid w:val="3F0B2EA0"/>
    <w:rsid w:val="475771FF"/>
    <w:rsid w:val="479B60D5"/>
    <w:rsid w:val="487D6BBD"/>
    <w:rsid w:val="54E83610"/>
    <w:rsid w:val="58ED3402"/>
    <w:rsid w:val="5A9C7376"/>
    <w:rsid w:val="5B7C31FE"/>
    <w:rsid w:val="5F816B3B"/>
    <w:rsid w:val="616404C2"/>
    <w:rsid w:val="69BF098B"/>
    <w:rsid w:val="6B791617"/>
    <w:rsid w:val="734336D9"/>
    <w:rsid w:val="75047B9A"/>
    <w:rsid w:val="77C6382D"/>
    <w:rsid w:val="7D756F62"/>
    <w:rsid w:val="7FBF303C"/>
    <w:rsid w:val="FFEF0F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Cambria" w:hAnsi="Cambria"/>
      <w:b/>
      <w:bCs/>
      <w:sz w:val="32"/>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0"/>
    <w:qFormat/>
    <w:uiPriority w:val="99"/>
    <w:pPr>
      <w:spacing w:beforeLines="30"/>
    </w:pPr>
    <w:rPr>
      <w:rFonts w:ascii="仿宋_GB2312" w:eastAsia="仿宋_GB2312"/>
      <w:kern w:val="0"/>
      <w:sz w:val="30"/>
    </w:rPr>
  </w:style>
  <w:style w:type="paragraph" w:styleId="6">
    <w:name w:val="toc 3"/>
    <w:basedOn w:val="1"/>
    <w:next w:val="1"/>
    <w:qFormat/>
    <w:uiPriority w:val="0"/>
    <w:pPr>
      <w:tabs>
        <w:tab w:val="right" w:leader="dot" w:pos="8296"/>
      </w:tabs>
      <w:ind w:left="400" w:leftChars="400"/>
    </w:pPr>
  </w:style>
  <w:style w:type="paragraph" w:styleId="7">
    <w:name w:val="Balloon Text"/>
    <w:basedOn w:val="1"/>
    <w:qFormat/>
    <w:uiPriority w:val="0"/>
    <w:rPr>
      <w:sz w:val="18"/>
      <w:szCs w:val="18"/>
    </w:rPr>
  </w:style>
  <w:style w:type="paragraph" w:styleId="8">
    <w:name w:val="footer"/>
    <w:basedOn w:val="1"/>
    <w:link w:val="46"/>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11">
    <w:name w:val="toc 2"/>
    <w:basedOn w:val="1"/>
    <w:next w:val="1"/>
    <w:qFormat/>
    <w:uiPriority w:val="0"/>
    <w:pPr>
      <w:tabs>
        <w:tab w:val="right" w:leader="dot" w:pos="8296"/>
      </w:tabs>
      <w:ind w:left="200" w:leftChars="200"/>
    </w:pPr>
  </w:style>
  <w:style w:type="paragraph" w:styleId="12">
    <w:name w:val="Normal (Web)"/>
    <w:basedOn w:val="1"/>
    <w:qFormat/>
    <w:uiPriority w:val="0"/>
    <w:pPr>
      <w:spacing w:before="100" w:beforeAutospacing="1" w:after="100" w:afterAutospacing="1"/>
      <w:jc w:val="left"/>
    </w:pPr>
    <w:rPr>
      <w:rFonts w:ascii="Calibri" w:hAnsi="Calibri"/>
      <w:kern w:val="0"/>
      <w:sz w:val="24"/>
    </w:rPr>
  </w:style>
  <w:style w:type="character" w:styleId="15">
    <w:name w:val="Strong"/>
    <w:basedOn w:val="14"/>
    <w:qFormat/>
    <w:uiPriority w:val="0"/>
    <w:rPr>
      <w:b/>
    </w:rPr>
  </w:style>
  <w:style w:type="character" w:styleId="16">
    <w:name w:val="FollowedHyperlink"/>
    <w:basedOn w:val="14"/>
    <w:qFormat/>
    <w:uiPriority w:val="99"/>
    <w:rPr>
      <w:color w:val="800080"/>
      <w:u w:val="single"/>
    </w:rPr>
  </w:style>
  <w:style w:type="character" w:styleId="17">
    <w:name w:val="Hyperlink"/>
    <w:basedOn w:val="14"/>
    <w:qFormat/>
    <w:uiPriority w:val="99"/>
    <w:rPr>
      <w:color w:val="0000FF"/>
      <w:u w:val="single"/>
    </w:rPr>
  </w:style>
  <w:style w:type="character" w:customStyle="1" w:styleId="18">
    <w:name w:val="Header Char"/>
    <w:basedOn w:val="14"/>
    <w:qFormat/>
    <w:uiPriority w:val="0"/>
    <w:rPr>
      <w:rFonts w:ascii="Times New Roman" w:hAnsi="Times New Roman"/>
      <w:sz w:val="18"/>
      <w:szCs w:val="18"/>
    </w:rPr>
  </w:style>
  <w:style w:type="character" w:customStyle="1" w:styleId="19">
    <w:name w:val="Footer Char"/>
    <w:basedOn w:val="14"/>
    <w:qFormat/>
    <w:uiPriority w:val="0"/>
    <w:rPr>
      <w:rFonts w:ascii="Times New Roman" w:hAnsi="Times New Roman"/>
      <w:sz w:val="18"/>
      <w:szCs w:val="18"/>
    </w:rPr>
  </w:style>
  <w:style w:type="character" w:customStyle="1" w:styleId="20">
    <w:name w:val="Body Text Char"/>
    <w:basedOn w:val="14"/>
    <w:qFormat/>
    <w:uiPriority w:val="0"/>
    <w:rPr>
      <w:rFonts w:ascii="Times New Roman" w:hAnsi="Times New Roman"/>
      <w:szCs w:val="24"/>
    </w:rPr>
  </w:style>
  <w:style w:type="paragraph" w:customStyle="1" w:styleId="21">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2">
    <w:name w:val="List Paragraph"/>
    <w:basedOn w:val="1"/>
    <w:qFormat/>
    <w:uiPriority w:val="0"/>
    <w:pPr>
      <w:ind w:firstLine="200" w:firstLineChars="200"/>
    </w:pPr>
  </w:style>
  <w:style w:type="paragraph" w:customStyle="1" w:styleId="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4">
    <w:name w:val="TOC 标题2"/>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
    <w:name w:val="xl65"/>
    <w:basedOn w:val="1"/>
    <w:qFormat/>
    <w:uiPriority w:val="0"/>
    <w:pPr>
      <w:widowControl/>
      <w:spacing w:before="100" w:beforeAutospacing="1" w:after="100" w:afterAutospacing="1"/>
      <w:jc w:val="left"/>
    </w:pPr>
    <w:rPr>
      <w:rFonts w:ascii="Courier New" w:hAnsi="Courier New" w:cs="宋体"/>
      <w:color w:val="000000"/>
      <w:kern w:val="0"/>
      <w:sz w:val="18"/>
      <w:szCs w:val="18"/>
    </w:rPr>
  </w:style>
  <w:style w:type="paragraph" w:customStyle="1" w:styleId="26">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27">
    <w:name w:val="xl6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28">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29">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30">
    <w:name w:val="xl7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31">
    <w:name w:val="xl7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
    <w:name w:val="xl72"/>
    <w:basedOn w:val="1"/>
    <w:qFormat/>
    <w:uiPriority w:val="0"/>
    <w:pPr>
      <w:widowControl/>
      <w:spacing w:before="100" w:beforeAutospacing="1" w:after="100" w:afterAutospacing="1"/>
      <w:jc w:val="left"/>
    </w:pPr>
    <w:rPr>
      <w:rFonts w:ascii="宋体" w:hAnsi="宋体" w:cs="宋体"/>
      <w:color w:val="C0C0C0"/>
      <w:kern w:val="0"/>
      <w:sz w:val="20"/>
      <w:szCs w:val="20"/>
    </w:rPr>
  </w:style>
  <w:style w:type="paragraph" w:customStyle="1" w:styleId="33">
    <w:name w:val="xl7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34">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30"/>
      <w:szCs w:val="30"/>
    </w:rPr>
  </w:style>
  <w:style w:type="paragraph" w:customStyle="1" w:styleId="35">
    <w:name w:val="xl7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cs="宋体"/>
      <w:color w:val="000000"/>
      <w:kern w:val="0"/>
      <w:sz w:val="18"/>
      <w:szCs w:val="18"/>
    </w:rPr>
  </w:style>
  <w:style w:type="paragraph" w:customStyle="1" w:styleId="36">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宋体"/>
      <w:color w:val="000000"/>
      <w:kern w:val="0"/>
      <w:sz w:val="18"/>
      <w:szCs w:val="18"/>
    </w:rPr>
  </w:style>
  <w:style w:type="paragraph" w:customStyle="1" w:styleId="37">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38">
    <w:name w:val="xl7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宋体"/>
      <w:i/>
      <w:iCs/>
      <w:color w:val="000000"/>
      <w:kern w:val="0"/>
      <w:sz w:val="18"/>
      <w:szCs w:val="18"/>
    </w:rPr>
  </w:style>
  <w:style w:type="paragraph" w:styleId="39">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40">
    <w:name w:val="正文文本 Char"/>
    <w:basedOn w:val="14"/>
    <w:link w:val="2"/>
    <w:qFormat/>
    <w:uiPriority w:val="99"/>
    <w:rPr>
      <w:rFonts w:ascii="仿宋_GB2312" w:eastAsia="仿宋_GB2312" w:cs="Times New Roman"/>
      <w:sz w:val="30"/>
      <w:szCs w:val="24"/>
    </w:rPr>
  </w:style>
  <w:style w:type="paragraph" w:customStyle="1" w:styleId="4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xl63"/>
    <w:basedOn w:val="1"/>
    <w:qFormat/>
    <w:uiPriority w:val="0"/>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43">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44">
    <w:name w:val="xl7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45">
    <w:name w:val="xl8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color w:val="000000"/>
      <w:kern w:val="0"/>
      <w:sz w:val="16"/>
      <w:szCs w:val="16"/>
    </w:rPr>
  </w:style>
  <w:style w:type="character" w:customStyle="1" w:styleId="46">
    <w:name w:val="页脚 Char"/>
    <w:basedOn w:val="14"/>
    <w:link w:val="8"/>
    <w:qFormat/>
    <w:uiPriority w:val="99"/>
    <w:rPr>
      <w:rFonts w:ascii="Calibri" w:hAnsi="Calibri" w:cs="Times New Roman"/>
      <w:sz w:val="18"/>
      <w:szCs w:val="18"/>
    </w:rPr>
  </w:style>
  <w:style w:type="paragraph" w:customStyle="1" w:styleId="47">
    <w:name w:val="WPSOffice手动目录 1"/>
    <w:qFormat/>
    <w:uiPriority w:val="0"/>
    <w:rPr>
      <w:rFonts w:ascii="Times New Roman" w:hAnsi="Times New Roman" w:eastAsia="宋体" w:cs="Arial"/>
      <w:lang w:val="en-US" w:eastAsia="zh-CN" w:bidi="ar-SA"/>
    </w:rPr>
  </w:style>
  <w:style w:type="paragraph" w:customStyle="1" w:styleId="48">
    <w:name w:val="WPSOffice手动目录 2"/>
    <w:qFormat/>
    <w:uiPriority w:val="0"/>
    <w:pPr>
      <w:ind w:left="200" w:leftChars="200"/>
    </w:pPr>
    <w:rPr>
      <w:rFonts w:ascii="Times New Roman" w:hAnsi="Times New Roman" w:eastAsia="宋体" w:cs="Arial"/>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收、支决算总计变动情况</a:t>
            </a:r>
            <a:endParaRPr lang="zh-CN"/>
          </a:p>
        </c:rich>
      </c:tx>
      <c:layout/>
      <c:overlay val="false"/>
      <c:spPr>
        <a:noFill/>
        <a:ln>
          <a:noFill/>
        </a:ln>
      </c:spPr>
    </c:title>
    <c:autoTitleDeleted val="false"/>
    <c:plotArea>
      <c:layout>
        <c:manualLayout>
          <c:layoutTarget val="inner"/>
          <c:xMode val="edge"/>
          <c:yMode val="edge"/>
          <c:x val="0.029375"/>
          <c:y val="0.210833330000001"/>
          <c:w val="0.945000000000002"/>
          <c:h val="0.71596664"/>
        </c:manualLayout>
      </c:layout>
      <c:barChart>
        <c:barDir val="col"/>
        <c:grouping val="clustered"/>
        <c:varyColors val="false"/>
        <c:ser>
          <c:idx val="0"/>
          <c:order val="0"/>
          <c:tx>
            <c:strRef>
              <c:f>Sheet1!$B$1</c:f>
              <c:strCache>
                <c:ptCount val="1"/>
                <c:pt idx="0">
                  <c:v>2022年</c:v>
                </c:pt>
              </c:strCache>
            </c:strRef>
          </c:tx>
          <c:spPr>
            <a:solidFill>
              <a:srgbClr val="4F81B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收入</c:v>
                </c:pt>
              </c:strCache>
            </c:strRef>
          </c:cat>
          <c:val>
            <c:numRef>
              <c:f>Sheet1!$B$2</c:f>
              <c:numCache>
                <c:formatCode>General</c:formatCode>
                <c:ptCount val="1"/>
                <c:pt idx="0">
                  <c:v>232.64</c:v>
                </c:pt>
              </c:numCache>
            </c:numRef>
          </c:val>
        </c:ser>
        <c:ser>
          <c:idx val="1"/>
          <c:order val="1"/>
          <c:tx>
            <c:strRef>
              <c:f>Sheet1!$C$1</c:f>
              <c:strCache>
                <c:ptCount val="1"/>
                <c:pt idx="0">
                  <c:v>2023年</c:v>
                </c:pt>
              </c:strCache>
            </c:strRef>
          </c:tx>
          <c:spPr>
            <a:solidFill>
              <a:srgbClr val="C0504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收入</c:v>
                </c:pt>
              </c:strCache>
            </c:strRef>
          </c:cat>
          <c:val>
            <c:numRef>
              <c:f>Sheet1!$C$2</c:f>
              <c:numCache>
                <c:formatCode>General</c:formatCode>
                <c:ptCount val="1"/>
                <c:pt idx="0">
                  <c:v>227.17</c:v>
                </c:pt>
              </c:numCache>
            </c:numRef>
          </c:val>
        </c:ser>
        <c:dLbls>
          <c:showLegendKey val="false"/>
          <c:showVal val="true"/>
          <c:showCatName val="false"/>
          <c:showSerName val="false"/>
          <c:showPercent val="false"/>
          <c:showBubbleSize val="false"/>
        </c:dLbls>
        <c:gapWidth val="65"/>
        <c:axId val="142644352"/>
        <c:axId val="142659584"/>
      </c:barChart>
      <c:catAx>
        <c:axId val="142644352"/>
        <c:scaling>
          <c:orientation val="minMax"/>
        </c:scaling>
        <c:delete val="false"/>
        <c:axPos val="b"/>
        <c:numFmt formatCode="General" sourceLinked="true"/>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true"/>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42659584"/>
        <c:crosses val="autoZero"/>
        <c:auto val="true"/>
        <c:lblAlgn val="ctr"/>
        <c:lblOffset val="100"/>
        <c:noMultiLvlLbl val="false"/>
      </c:catAx>
      <c:valAx>
        <c:axId val="142659584"/>
        <c:scaling>
          <c:orientation val="minMax"/>
        </c:scaling>
        <c:delete val="false"/>
        <c:axPos val="l"/>
        <c:majorGridlines>
          <c:spPr>
            <a:ln w="6350" cap="flat" cmpd="sng" algn="ctr">
              <a:solidFill>
                <a:srgbClr val="868686"/>
              </a:solidFill>
              <a:prstDash val="solid"/>
              <a:round/>
            </a:ln>
          </c:spPr>
        </c:majorGridlines>
        <c:numFmt formatCode="General" sourceLinked="true"/>
        <c:majorTickMark val="out"/>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142644352"/>
        <c:crossesAt val="1"/>
        <c:crossBetween val="between"/>
      </c:valAx>
      <c:spPr>
        <a:noFill/>
        <a:ln>
          <a:noFill/>
        </a:ln>
      </c:spPr>
    </c:plotArea>
    <c:legend>
      <c:legendPos val="b"/>
      <c:layout>
        <c:manualLayout>
          <c:xMode val="edge"/>
          <c:yMode val="edge"/>
          <c:x val="0.199556834368076"/>
          <c:y val="0.936969287025919"/>
          <c:w val="0.695898010873411"/>
          <c:h val="0.0457346622389989"/>
        </c:manualLayout>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收入决算结构图</a:t>
            </a:r>
            <a:endParaRPr lang="zh-CN"/>
          </a:p>
        </c:rich>
      </c:tx>
      <c:layout/>
      <c:overlay val="false"/>
      <c:spPr>
        <a:noFill/>
        <a:ln>
          <a:noFill/>
        </a:ln>
      </c:spPr>
    </c:title>
    <c:autoTitleDeleted val="false"/>
    <c:plotArea>
      <c:layout/>
      <c:pieChart>
        <c:varyColors val="true"/>
        <c:ser>
          <c:idx val="0"/>
          <c:order val="0"/>
          <c:tx>
            <c:strRef>
              <c:f>'Sheet1 (2)'!$B$1</c:f>
              <c:strCache>
                <c:ptCount val="1"/>
                <c:pt idx="0">
                  <c:v>收入决算结构图</c:v>
                </c:pt>
              </c:strCache>
            </c:strRef>
          </c:tx>
          <c:spPr>
            <a:ln>
              <a:noFill/>
            </a:ln>
          </c:spPr>
          <c:explosion val="0"/>
          <c:dPt>
            <c:idx val="0"/>
            <c:bubble3D val="false"/>
            <c:spPr>
              <a:solidFill>
                <a:srgbClr val="4F81BD"/>
              </a:solidFill>
              <a:ln>
                <a:noFill/>
              </a:ln>
              <a:effectLst>
                <a:outerShdw dist="35921" dir="2700000" algn="br">
                  <a:srgbClr val="000000"/>
                </a:outerShdw>
              </a:effectLst>
            </c:spPr>
          </c:dPt>
          <c:dPt>
            <c:idx val="1"/>
            <c:bubble3D val="false"/>
            <c:spPr>
              <a:solidFill>
                <a:srgbClr val="C0504D"/>
              </a:solidFill>
              <a:ln>
                <a:noFill/>
              </a:ln>
              <a:effectLst>
                <a:outerShdw dist="35921" dir="2700000" algn="br">
                  <a:srgbClr val="000000"/>
                </a:outerShdw>
              </a:effectLst>
            </c:spPr>
          </c:dPt>
          <c:dLbls>
            <c:numFmt formatCode="0.00%" sourceLinked="false"/>
            <c:spPr>
              <a:pattFill prst="pct75">
                <a:fgClr>
                  <a:srgbClr val="404040"/>
                </a:fgClr>
                <a:bgClr>
                  <a:srgbClr val="595959"/>
                </a:bgClr>
              </a:patt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(2)'!$A$2:$A$3</c:f>
              <c:strCache>
                <c:ptCount val="2"/>
                <c:pt idx="0">
                  <c:v>一般公共预算财政拨款收入</c:v>
                </c:pt>
                <c:pt idx="1">
                  <c:v>其他收入</c:v>
                </c:pt>
              </c:strCache>
            </c:strRef>
          </c:cat>
          <c:val>
            <c:numRef>
              <c:f>'Sheet1 (2)'!$B$2:$B$3</c:f>
              <c:numCache>
                <c:formatCode>General</c:formatCode>
                <c:ptCount val="2"/>
                <c:pt idx="0">
                  <c:v>218.07</c:v>
                </c:pt>
                <c:pt idx="1">
                  <c:v>0.01</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r"/>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 (3)'!$B$1</c:f>
              <c:strCache>
                <c:ptCount val="1"/>
                <c:pt idx="0">
                  <c:v>支出决算结构图</c:v>
                </c:pt>
              </c:strCache>
            </c:strRef>
          </c:tx>
          <c:spPr>
            <a:solidFill>
              <a:srgbClr val="4F81BD"/>
            </a:solidFill>
            <a:ln>
              <a:noFill/>
            </a:ln>
          </c:spPr>
          <c:explosion val="0"/>
          <c:dPt>
            <c:idx val="0"/>
            <c:bubble3D val="false"/>
            <c:spPr>
              <a:solidFill>
                <a:srgbClr val="4F81BD"/>
              </a:solidFill>
              <a:ln>
                <a:noFill/>
              </a:ln>
              <a:effectLst>
                <a:outerShdw dist="35921" dir="2700000" algn="br">
                  <a:srgbClr val="000000"/>
                </a:outerShdw>
              </a:effectLst>
            </c:spPr>
          </c:dPt>
          <c:dPt>
            <c:idx val="1"/>
            <c:bubble3D val="false"/>
            <c:spPr>
              <a:solidFill>
                <a:srgbClr val="C0504D"/>
              </a:solidFill>
              <a:ln>
                <a:noFill/>
              </a:ln>
              <a:effectLst>
                <a:outerShdw dist="35921" dir="2700000" algn="br">
                  <a:srgbClr val="000000"/>
                </a:outerShdw>
              </a:effectLst>
            </c:spPr>
          </c:dPt>
          <c:dLbls>
            <c:numFmt formatCode="0.00%" sourceLinked="false"/>
            <c:spPr>
              <a:pattFill prst="pct75">
                <a:fgClr>
                  <a:srgbClr val="404040"/>
                </a:fgClr>
                <a:bgClr>
                  <a:srgbClr val="595959"/>
                </a:bgClr>
              </a:patt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(3)'!$A$2:$A$3</c:f>
              <c:strCache>
                <c:ptCount val="2"/>
                <c:pt idx="0">
                  <c:v>基本支出</c:v>
                </c:pt>
                <c:pt idx="1">
                  <c:v>项目支出</c:v>
                </c:pt>
              </c:strCache>
            </c:strRef>
          </c:cat>
          <c:val>
            <c:numRef>
              <c:f>'Sheet1 (3)'!$B$2:$B$3</c:f>
              <c:numCache>
                <c:formatCode>General</c:formatCode>
                <c:ptCount val="2"/>
                <c:pt idx="0">
                  <c:v>146.68</c:v>
                </c:pt>
                <c:pt idx="1">
                  <c:v>79.29</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r"/>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1800" b="1" i="0" baseline="0"/>
              <a:t>财政拨款收、支决算总计变动情况</a:t>
            </a:r>
            <a:endParaRPr lang="zh-CN"/>
          </a:p>
        </c:rich>
      </c:tx>
      <c:layout/>
      <c:overlay val="false"/>
      <c:spPr>
        <a:noFill/>
        <a:ln>
          <a:noFill/>
        </a:ln>
      </c:spPr>
    </c:title>
    <c:autoTitleDeleted val="false"/>
    <c:plotArea>
      <c:layout>
        <c:manualLayout>
          <c:layoutTarget val="inner"/>
          <c:xMode val="edge"/>
          <c:yMode val="edge"/>
          <c:x val="0.029375"/>
          <c:y val="0.210833330000001"/>
          <c:w val="0.945000000000002"/>
          <c:h val="0.71596664"/>
        </c:manualLayout>
      </c:layout>
      <c:barChart>
        <c:barDir val="col"/>
        <c:grouping val="clustered"/>
        <c:varyColors val="false"/>
        <c:ser>
          <c:idx val="0"/>
          <c:order val="0"/>
          <c:tx>
            <c:strRef>
              <c:f>Sheet1!$B$1</c:f>
              <c:strCache>
                <c:ptCount val="1"/>
                <c:pt idx="0">
                  <c:v>2022年</c:v>
                </c:pt>
              </c:strCache>
            </c:strRef>
          </c:tx>
          <c:spPr>
            <a:solidFill>
              <a:srgbClr val="4F81B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财政拨款收</c:v>
                </c:pt>
              </c:strCache>
            </c:strRef>
          </c:cat>
          <c:val>
            <c:numRef>
              <c:f>Sheet1!$B$2</c:f>
              <c:numCache>
                <c:formatCode>General</c:formatCode>
                <c:ptCount val="1"/>
                <c:pt idx="0">
                  <c:v>232.64</c:v>
                </c:pt>
              </c:numCache>
            </c:numRef>
          </c:val>
        </c:ser>
        <c:ser>
          <c:idx val="1"/>
          <c:order val="1"/>
          <c:tx>
            <c:strRef>
              <c:f>Sheet1!$C$1</c:f>
              <c:strCache>
                <c:ptCount val="1"/>
                <c:pt idx="0">
                  <c:v>2023年</c:v>
                </c:pt>
              </c:strCache>
            </c:strRef>
          </c:tx>
          <c:spPr>
            <a:solidFill>
              <a:srgbClr val="C0504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财政拨款收</c:v>
                </c:pt>
              </c:strCache>
            </c:strRef>
          </c:cat>
          <c:val>
            <c:numRef>
              <c:f>Sheet1!$C$2</c:f>
              <c:numCache>
                <c:formatCode>General</c:formatCode>
                <c:ptCount val="1"/>
                <c:pt idx="0">
                  <c:v>226.66</c:v>
                </c:pt>
              </c:numCache>
            </c:numRef>
          </c:val>
        </c:ser>
        <c:dLbls>
          <c:showLegendKey val="false"/>
          <c:showVal val="true"/>
          <c:showCatName val="false"/>
          <c:showSerName val="false"/>
          <c:showPercent val="false"/>
          <c:showBubbleSize val="false"/>
        </c:dLbls>
        <c:gapWidth val="65"/>
        <c:axId val="115586944"/>
        <c:axId val="115588480"/>
      </c:barChart>
      <c:catAx>
        <c:axId val="115586944"/>
        <c:scaling>
          <c:orientation val="minMax"/>
        </c:scaling>
        <c:delete val="false"/>
        <c:axPos val="b"/>
        <c:numFmt formatCode="General" sourceLinked="true"/>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true"/>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15588480"/>
        <c:crosses val="autoZero"/>
        <c:auto val="true"/>
        <c:lblAlgn val="ctr"/>
        <c:lblOffset val="100"/>
        <c:noMultiLvlLbl val="false"/>
      </c:catAx>
      <c:valAx>
        <c:axId val="115588480"/>
        <c:scaling>
          <c:orientation val="minMax"/>
        </c:scaling>
        <c:delete val="false"/>
        <c:axPos val="l"/>
        <c:majorGridlines>
          <c:spPr>
            <a:ln w="6350" cap="flat" cmpd="sng" algn="ctr">
              <a:solidFill>
                <a:srgbClr val="868686"/>
              </a:solidFill>
              <a:prstDash val="solid"/>
              <a:round/>
            </a:ln>
          </c:spPr>
        </c:majorGridlines>
        <c:numFmt formatCode="General" sourceLinked="true"/>
        <c:majorTickMark val="out"/>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115586944"/>
        <c:crossesAt val="1"/>
        <c:crossBetween val="between"/>
      </c:valAx>
      <c:spPr>
        <a:noFill/>
        <a:ln>
          <a:noFill/>
        </a:ln>
      </c:spPr>
    </c:plotArea>
    <c:legend>
      <c:legendPos val="b"/>
      <c:layout>
        <c:manualLayout>
          <c:xMode val="edge"/>
          <c:yMode val="edge"/>
          <c:x val="0.189555584211806"/>
          <c:y val="0.936969287025919"/>
          <c:w val="0.678395823099938"/>
          <c:h val="0.0457346622389989"/>
        </c:manualLayout>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1800" b="1" i="0" baseline="0"/>
              <a:t>一般公共预算财政拨款支出决算变动</a:t>
            </a:r>
            <a:br>
              <a:rPr lang="zh-CN" sz="1800" b="1" i="0" baseline="0"/>
            </a:br>
            <a:r>
              <a:rPr lang="zh-CN" sz="1800" b="1" i="0" baseline="0"/>
              <a:t>情况</a:t>
            </a:r>
            <a:endParaRPr lang="zh-CN"/>
          </a:p>
        </c:rich>
      </c:tx>
      <c:layout/>
      <c:overlay val="false"/>
      <c:spPr>
        <a:noFill/>
        <a:ln>
          <a:noFill/>
        </a:ln>
      </c:spPr>
    </c:title>
    <c:autoTitleDeleted val="false"/>
    <c:plotArea>
      <c:layout>
        <c:manualLayout>
          <c:layoutTarget val="inner"/>
          <c:xMode val="edge"/>
          <c:yMode val="edge"/>
          <c:x val="0.029375"/>
          <c:y val="0.210833330000001"/>
          <c:w val="0.945000000000002"/>
          <c:h val="0.71596664"/>
        </c:manualLayout>
      </c:layout>
      <c:barChart>
        <c:barDir val="col"/>
        <c:grouping val="clustered"/>
        <c:varyColors val="false"/>
        <c:ser>
          <c:idx val="0"/>
          <c:order val="0"/>
          <c:tx>
            <c:strRef>
              <c:f>Sheet1!$B$1</c:f>
              <c:strCache>
                <c:ptCount val="1"/>
                <c:pt idx="0">
                  <c:v>2022年</c:v>
                </c:pt>
              </c:strCache>
            </c:strRef>
          </c:tx>
          <c:spPr>
            <a:solidFill>
              <a:srgbClr val="4F81B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一般公共预算财政拨款支出</c:v>
                </c:pt>
              </c:strCache>
            </c:strRef>
          </c:cat>
          <c:val>
            <c:numRef>
              <c:f>Sheet1!$B$2</c:f>
              <c:numCache>
                <c:formatCode>General</c:formatCode>
                <c:ptCount val="1"/>
                <c:pt idx="0">
                  <c:v>225.36</c:v>
                </c:pt>
              </c:numCache>
            </c:numRef>
          </c:val>
        </c:ser>
        <c:ser>
          <c:idx val="1"/>
          <c:order val="1"/>
          <c:tx>
            <c:strRef>
              <c:f>Sheet1!$C$1</c:f>
              <c:strCache>
                <c:ptCount val="1"/>
                <c:pt idx="0">
                  <c:v>2023年</c:v>
                </c:pt>
              </c:strCache>
            </c:strRef>
          </c:tx>
          <c:spPr>
            <a:solidFill>
              <a:srgbClr val="C0504D">
                <a:alpha val="85000"/>
              </a:srgbClr>
            </a:solidFill>
            <a:ln w="6350">
              <a:solidFill>
                <a:srgbClr val="FFFFFF"/>
              </a:solidFill>
              <a:prstDash val="solid"/>
            </a:ln>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c:f>
              <c:strCache>
                <c:ptCount val="1"/>
                <c:pt idx="0">
                  <c:v>一般公共预算财政拨款支出</c:v>
                </c:pt>
              </c:strCache>
            </c:strRef>
          </c:cat>
          <c:val>
            <c:numRef>
              <c:f>Sheet1!$C$2</c:f>
              <c:numCache>
                <c:formatCode>General</c:formatCode>
                <c:ptCount val="1"/>
                <c:pt idx="0">
                  <c:v>225.47</c:v>
                </c:pt>
              </c:numCache>
            </c:numRef>
          </c:val>
        </c:ser>
        <c:dLbls>
          <c:showLegendKey val="false"/>
          <c:showVal val="true"/>
          <c:showCatName val="false"/>
          <c:showSerName val="false"/>
          <c:showPercent val="false"/>
          <c:showBubbleSize val="false"/>
        </c:dLbls>
        <c:gapWidth val="65"/>
        <c:axId val="139735808"/>
        <c:axId val="139737344"/>
      </c:barChart>
      <c:catAx>
        <c:axId val="139735808"/>
        <c:scaling>
          <c:orientation val="minMax"/>
        </c:scaling>
        <c:delete val="false"/>
        <c:axPos val="b"/>
        <c:numFmt formatCode="General" sourceLinked="true"/>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true"/>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39737344"/>
        <c:crosses val="autoZero"/>
        <c:auto val="true"/>
        <c:lblAlgn val="ctr"/>
        <c:lblOffset val="100"/>
        <c:noMultiLvlLbl val="false"/>
      </c:catAx>
      <c:valAx>
        <c:axId val="139737344"/>
        <c:scaling>
          <c:orientation val="minMax"/>
        </c:scaling>
        <c:delete val="false"/>
        <c:axPos val="l"/>
        <c:majorGridlines>
          <c:spPr>
            <a:ln w="6350" cap="flat" cmpd="sng" algn="ctr">
              <a:solidFill>
                <a:srgbClr val="868686"/>
              </a:solidFill>
              <a:prstDash val="solid"/>
              <a:round/>
            </a:ln>
          </c:spPr>
        </c:majorGridlines>
        <c:numFmt formatCode="General" sourceLinked="true"/>
        <c:majorTickMark val="out"/>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139735808"/>
        <c:crossesAt val="1"/>
        <c:crossBetween val="between"/>
      </c:valAx>
      <c:spPr>
        <a:noFill/>
        <a:ln>
          <a:noFill/>
        </a:ln>
      </c:spPr>
    </c:plotArea>
    <c:legend>
      <c:legendPos val="b"/>
      <c:layout>
        <c:manualLayout>
          <c:xMode val="edge"/>
          <c:yMode val="edge"/>
          <c:x val="0.0245349566333587"/>
          <c:y val="0.936969287025919"/>
          <c:w val="0.975465043366641"/>
          <c:h val="0.0457346622389989"/>
        </c:manualLayout>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 (6)'!$B$1</c:f>
              <c:strCache>
                <c:ptCount val="1"/>
                <c:pt idx="0">
                  <c:v>一般公共预算财政拨款支出决算结构</c:v>
                </c:pt>
              </c:strCache>
            </c:strRef>
          </c:tx>
          <c:spPr>
            <a:solidFill>
              <a:srgbClr val="4F81BD"/>
            </a:solidFill>
            <a:ln>
              <a:noFill/>
            </a:ln>
          </c:spPr>
          <c:explosion val="0"/>
          <c:dPt>
            <c:idx val="0"/>
            <c:bubble3D val="false"/>
            <c:spPr>
              <a:solidFill>
                <a:srgbClr val="4F81BD"/>
              </a:solidFill>
              <a:ln>
                <a:noFill/>
              </a:ln>
              <a:effectLst>
                <a:outerShdw dist="35921" dir="2700000" algn="br">
                  <a:srgbClr val="000000"/>
                </a:outerShdw>
              </a:effectLst>
            </c:spPr>
          </c:dPt>
          <c:dPt>
            <c:idx val="1"/>
            <c:bubble3D val="false"/>
            <c:spPr>
              <a:solidFill>
                <a:srgbClr val="C0504D"/>
              </a:solidFill>
              <a:ln>
                <a:noFill/>
              </a:ln>
              <a:effectLst>
                <a:outerShdw dist="35921" dir="2700000" algn="br">
                  <a:srgbClr val="000000"/>
                </a:outerShdw>
              </a:effectLst>
            </c:spPr>
          </c:dPt>
          <c:dPt>
            <c:idx val="2"/>
            <c:bubble3D val="false"/>
            <c:spPr>
              <a:solidFill>
                <a:srgbClr val="9BBB59"/>
              </a:solidFill>
              <a:ln>
                <a:noFill/>
              </a:ln>
              <a:effectLst>
                <a:outerShdw dist="35921" dir="2700000" algn="br">
                  <a:srgbClr val="000000"/>
                </a:outerShdw>
              </a:effectLst>
            </c:spPr>
          </c:dPt>
          <c:dPt>
            <c:idx val="3"/>
            <c:bubble3D val="false"/>
            <c:spPr>
              <a:solidFill>
                <a:srgbClr val="8064A2"/>
              </a:solidFill>
              <a:ln>
                <a:noFill/>
              </a:ln>
              <a:effectLst>
                <a:outerShdw dist="35921" dir="2700000" algn="br">
                  <a:srgbClr val="000000"/>
                </a:outerShdw>
              </a:effectLst>
            </c:spPr>
          </c:dPt>
          <c:dLbls>
            <c:dLbl>
              <c:idx val="1"/>
              <c:layout>
                <c:manualLayout>
                  <c:x val="0"/>
                  <c:y val="0.0414193013944498"/>
                </c:manualLayout>
              </c:layout>
              <c:dLblPos val="in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0400050006250781"/>
                  <c:y val="0.0248515808366699"/>
                </c:manualLayout>
              </c:layout>
              <c:dLblPos val="in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 sourceLinked="false"/>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(6)'!$A$2:$A$5</c:f>
              <c:strCache>
                <c:ptCount val="4"/>
                <c:pt idx="0">
                  <c:v>文化旅游体育与传媒支出</c:v>
                </c:pt>
                <c:pt idx="1">
                  <c:v>社会保障和就业</c:v>
                </c:pt>
                <c:pt idx="2">
                  <c:v>卫生健康支出</c:v>
                </c:pt>
                <c:pt idx="3">
                  <c:v>住房保障支出</c:v>
                </c:pt>
              </c:strCache>
            </c:strRef>
          </c:cat>
          <c:val>
            <c:numRef>
              <c:f>'Sheet1 (6)'!$B$2:$B$5</c:f>
              <c:numCache>
                <c:formatCode>General</c:formatCode>
                <c:ptCount val="4"/>
                <c:pt idx="0">
                  <c:v>191.7</c:v>
                </c:pt>
                <c:pt idx="1">
                  <c:v>17.13</c:v>
                </c:pt>
                <c:pt idx="2">
                  <c:v>4.7</c:v>
                </c:pt>
                <c:pt idx="3">
                  <c:v>11.94</c:v>
                </c:pt>
              </c:numCache>
            </c:numRef>
          </c:val>
        </c:ser>
        <c:dLbls>
          <c:showLegendKey val="false"/>
          <c:showVal val="false"/>
          <c:showCatName val="true"/>
          <c:showSerName val="false"/>
          <c:showPercent val="true"/>
          <c:showBubbleSize val="false"/>
          <c:showLeaderLines val="true"/>
        </c:dLbls>
        <c:firstSliceAng val="0"/>
      </c:pieChart>
      <c:spPr>
        <a:noFill/>
        <a:ln>
          <a:noFill/>
        </a:ln>
      </c:spPr>
    </c:plotArea>
    <c:legend>
      <c:legendPos val="b"/>
      <c:layout/>
      <c:overlay val="false"/>
      <c:spPr>
        <a:solidFill>
          <a:srgbClr val="FFFFFF">
            <a:alpha val="78000"/>
          </a:srgbClr>
        </a:solid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pattFill prst="dkDnDiag">
      <a:fgClr>
        <a:srgbClr val="F2F2F2"/>
      </a:fgClr>
      <a:bgClr>
        <a:srgbClr val="FFFFFF"/>
      </a:bgClr>
    </a:patt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 (7)'!$B$1</c:f>
              <c:strCache>
                <c:ptCount val="1"/>
                <c:pt idx="0">
                  <c:v>“三公”经费财政拨款支出结构</c:v>
                </c:pt>
              </c:strCache>
            </c:strRef>
          </c:tx>
          <c:spPr>
            <a:solidFill>
              <a:srgbClr val="4F81BD"/>
            </a:solidFill>
            <a:ln>
              <a:noFill/>
            </a:ln>
          </c:spPr>
          <c:explosion val="0"/>
          <c:dPt>
            <c:idx val="0"/>
            <c:bubble3D val="false"/>
            <c:spPr>
              <a:solidFill>
                <a:srgbClr val="4F81BD"/>
              </a:solidFill>
              <a:ln>
                <a:noFill/>
              </a:ln>
              <a:effectLst>
                <a:outerShdw dist="35921" dir="2700000" algn="br">
                  <a:srgbClr val="000000"/>
                </a:outerShdw>
              </a:effectLst>
            </c:spPr>
          </c:dPt>
          <c:dPt>
            <c:idx val="1"/>
            <c:bubble3D val="false"/>
            <c:spPr>
              <a:solidFill>
                <a:srgbClr val="C0504D"/>
              </a:solidFill>
              <a:ln>
                <a:noFill/>
              </a:ln>
              <a:effectLst>
                <a:outerShdw dist="35921" dir="2700000" algn="br">
                  <a:srgbClr val="000000"/>
                </a:outerShdw>
              </a:effectLst>
            </c:spPr>
          </c:dPt>
          <c:dPt>
            <c:idx val="2"/>
            <c:bubble3D val="false"/>
            <c:spPr>
              <a:solidFill>
                <a:srgbClr val="9BBB59"/>
              </a:solidFill>
              <a:ln>
                <a:noFill/>
              </a:ln>
              <a:effectLst>
                <a:outerShdw dist="35921" dir="2700000" algn="br">
                  <a:srgbClr val="000000"/>
                </a:outerShdw>
              </a:effectLst>
            </c:spPr>
          </c:dPt>
          <c:dLbls>
            <c:numFmt formatCode="0%" sourceLinked="false"/>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(7)'!$A$2:$A$4</c:f>
              <c:strCache>
                <c:ptCount val="3"/>
                <c:pt idx="0">
                  <c:v>公务接待费</c:v>
                </c:pt>
                <c:pt idx="1">
                  <c:v>因公出国（境）费支出</c:v>
                </c:pt>
                <c:pt idx="2">
                  <c:v>公务用车购置及支行维护费</c:v>
                </c:pt>
              </c:strCache>
            </c:strRef>
          </c:cat>
          <c:val>
            <c:numRef>
              <c:f>'Sheet1 (7)'!$B$2:$B$4</c:f>
              <c:numCache>
                <c:formatCode>General</c:formatCode>
                <c:ptCount val="3"/>
                <c:pt idx="0">
                  <c:v>0.600000000000002</c:v>
                </c:pt>
                <c:pt idx="1">
                  <c:v>0</c:v>
                </c:pt>
                <c:pt idx="2">
                  <c:v>0</c:v>
                </c:pt>
              </c:numCache>
            </c:numRef>
          </c:val>
        </c:ser>
        <c:dLbls>
          <c:showLegendKey val="false"/>
          <c:showVal val="false"/>
          <c:showCatName val="true"/>
          <c:showSerName val="false"/>
          <c:showPercent val="true"/>
          <c:showBubbleSize val="false"/>
          <c:showLeaderLines val="true"/>
        </c:dLbls>
        <c:firstSliceAng val="0"/>
      </c:pieChart>
      <c:spPr>
        <a:noFill/>
        <a:ln>
          <a:noFill/>
        </a:ln>
      </c:spPr>
    </c:plotArea>
    <c:legend>
      <c:legendPos val="b"/>
      <c:layout/>
      <c:overlay val="false"/>
      <c:spPr>
        <a:solidFill>
          <a:srgbClr val="FFFFFF">
            <a:alpha val="78000"/>
          </a:srgbClr>
        </a:solid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pattFill prst="dkDnDiag">
      <a:fgClr>
        <a:srgbClr val="F2F2F2"/>
      </a:fgClr>
      <a:bgClr>
        <a:srgbClr val="FFFFFF"/>
      </a:bgClr>
    </a:patt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38</Pages>
  <Words>10120</Words>
  <Characters>11749</Characters>
  <Lines>113</Lines>
  <Paragraphs>31</Paragraphs>
  <TotalTime>1</TotalTime>
  <ScaleCrop>false</ScaleCrop>
  <LinksUpToDate>false</LinksUpToDate>
  <CharactersWithSpaces>12083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2024-10-08T09:20:00Z</dcterms:created>
  <dc:creator>曹颖</dc:creator>
  <cp:lastModifiedBy> </cp:lastModifiedBy>
  <cp:lastPrinted>2024-09-11T08:59:00Z</cp:lastPrinted>
  <dcterms:modified xsi:type="dcterms:W3CDTF">2024-10-11T20:14:40Z</dcterms:modified>
  <dc:title>四川省***</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A96B5544FE5945BF83A7EE251ADE151A_12</vt:lpwstr>
  </property>
</Properties>
</file>