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9"/>
        <w:rPr>
          <w:rFonts w:hint="default" w:ascii="方正小标宋简体" w:hAnsi="宋体" w:eastAsia="方正小标宋简体"/>
          <w:color w:val="auto"/>
          <w:sz w:val="72"/>
          <w:szCs w:val="72"/>
          <w:lang w:val="en-US" w:eastAsia="zh-CN"/>
        </w:rPr>
      </w:pPr>
    </w:p>
    <w:p>
      <w:pPr>
        <w:spacing w:line="600" w:lineRule="exact"/>
        <w:jc w:val="center"/>
        <w:outlineLvl w:val="9"/>
        <w:rPr>
          <w:rFonts w:ascii="方正小标宋简体" w:hAnsi="宋体" w:eastAsia="方正小标宋简体"/>
          <w:color w:val="auto"/>
          <w:sz w:val="72"/>
          <w:szCs w:val="72"/>
        </w:rPr>
      </w:pPr>
    </w:p>
    <w:p>
      <w:pPr>
        <w:spacing w:line="600" w:lineRule="exact"/>
        <w:jc w:val="center"/>
        <w:outlineLvl w:val="9"/>
        <w:rPr>
          <w:rFonts w:ascii="方正小标宋简体" w:hAnsi="宋体" w:eastAsia="方正小标宋简体"/>
          <w:color w:val="auto"/>
          <w:sz w:val="72"/>
          <w:szCs w:val="72"/>
        </w:rPr>
      </w:pPr>
    </w:p>
    <w:p>
      <w:pPr>
        <w:spacing w:line="600" w:lineRule="exact"/>
        <w:jc w:val="center"/>
        <w:outlineLvl w:val="9"/>
        <w:rPr>
          <w:rFonts w:ascii="方正小标宋简体" w:hAnsi="宋体" w:eastAsia="方正小标宋简体"/>
          <w:color w:val="auto"/>
          <w:sz w:val="72"/>
          <w:szCs w:val="72"/>
        </w:rPr>
      </w:pPr>
    </w:p>
    <w:p>
      <w:pPr>
        <w:pStyle w:val="6"/>
        <w:jc w:val="both"/>
        <w:rPr>
          <w:rFonts w:hint="eastAsia" w:ascii="方正小标宋简体" w:hAnsi="宋体" w:eastAsia="方正小标宋简体" w:cs="Times New Roman"/>
          <w:color w:val="auto"/>
          <w:kern w:val="2"/>
          <w:sz w:val="44"/>
          <w:szCs w:val="44"/>
          <w:lang w:val="en-US" w:eastAsia="zh-CN" w:bidi="ar-SA"/>
        </w:rPr>
      </w:pPr>
    </w:p>
    <w:p>
      <w:pPr>
        <w:pStyle w:val="6"/>
        <w:jc w:val="center"/>
        <w:rPr>
          <w:rFonts w:hint="eastAsia" w:ascii="方正小标宋简体" w:hAnsi="宋体" w:eastAsia="方正小标宋简体" w:cs="Times New Roman"/>
          <w:color w:val="auto"/>
          <w:kern w:val="2"/>
          <w:sz w:val="44"/>
          <w:szCs w:val="44"/>
          <w:lang w:val="en-US" w:eastAsia="zh-CN" w:bidi="ar-SA"/>
        </w:rPr>
      </w:pPr>
      <w:r>
        <w:rPr>
          <w:rFonts w:hint="eastAsia" w:ascii="方正小标宋简体" w:hAnsi="宋体" w:eastAsia="方正小标宋简体" w:cs="Times New Roman"/>
          <w:color w:val="auto"/>
          <w:kern w:val="2"/>
          <w:sz w:val="44"/>
          <w:szCs w:val="44"/>
          <w:lang w:val="en-US" w:eastAsia="zh-CN" w:bidi="ar-SA"/>
        </w:rPr>
        <w:t>广元市中医药发展服务中心</w:t>
      </w:r>
    </w:p>
    <w:p>
      <w:pPr>
        <w:pStyle w:val="6"/>
        <w:jc w:val="center"/>
        <w:rPr>
          <w:rFonts w:hint="eastAsia" w:ascii="方正小标宋简体" w:hAnsi="宋体" w:eastAsia="方正小标宋简体" w:cs="Times New Roman"/>
          <w:color w:val="auto"/>
          <w:kern w:val="2"/>
          <w:sz w:val="44"/>
          <w:szCs w:val="44"/>
          <w:lang w:val="en-US" w:eastAsia="zh-CN" w:bidi="ar-SA"/>
        </w:rPr>
      </w:pPr>
      <w:r>
        <w:rPr>
          <w:rFonts w:hint="eastAsia" w:ascii="方正小标宋简体" w:hAnsi="宋体" w:eastAsia="方正小标宋简体" w:cs="Times New Roman"/>
          <w:color w:val="auto"/>
          <w:kern w:val="2"/>
          <w:sz w:val="44"/>
          <w:szCs w:val="44"/>
          <w:lang w:val="en-US" w:eastAsia="zh-CN" w:bidi="ar-SA"/>
        </w:rPr>
        <w:t>（原市计划生育药品器械管理站）</w:t>
      </w:r>
    </w:p>
    <w:p>
      <w:pPr>
        <w:pStyle w:val="6"/>
        <w:jc w:val="center"/>
        <w:rPr>
          <w:rFonts w:hint="eastAsia" w:ascii="方正小标宋简体" w:hAnsi="宋体" w:eastAsia="方正小标宋简体" w:cs="Times New Roman"/>
          <w:color w:val="auto"/>
          <w:kern w:val="2"/>
          <w:sz w:val="44"/>
          <w:szCs w:val="44"/>
          <w:lang w:val="en-US" w:eastAsia="zh-CN" w:bidi="ar-SA"/>
        </w:rPr>
      </w:pPr>
      <w:r>
        <w:rPr>
          <w:rFonts w:hint="eastAsia" w:ascii="方正小标宋简体" w:hAnsi="宋体" w:eastAsia="方正小标宋简体" w:cs="Times New Roman"/>
          <w:color w:val="auto"/>
          <w:kern w:val="2"/>
          <w:sz w:val="44"/>
          <w:szCs w:val="44"/>
          <w:lang w:val="en-US" w:eastAsia="zh-CN" w:bidi="ar-SA"/>
        </w:rPr>
        <w:t>2023年单位决算公开</w:t>
      </w:r>
    </w:p>
    <w:p>
      <w:pPr>
        <w:bidi w:val="0"/>
        <w:jc w:val="center"/>
        <w:rPr>
          <w:rFonts w:ascii="黑体" w:hAnsi="黑体" w:eastAsia="黑体" w:cstheme="minorBidi"/>
          <w:color w:val="auto"/>
          <w:sz w:val="28"/>
          <w:szCs w:val="28"/>
        </w:rPr>
      </w:pPr>
      <w:r>
        <w:rPr>
          <w:rFonts w:ascii="方正小标宋简体" w:hAnsi="宋体" w:eastAsia="方正小标宋简体"/>
          <w:color w:val="auto"/>
          <w:sz w:val="36"/>
          <w:szCs w:val="36"/>
        </w:rPr>
        <w:br w:type="page"/>
      </w:r>
      <w:r>
        <w:rPr>
          <w:rFonts w:hint="eastAsia" w:ascii="黑体" w:hAnsi="黑体" w:eastAsia="黑体"/>
          <w:color w:val="auto"/>
          <w:sz w:val="48"/>
          <w:szCs w:val="48"/>
        </w:rPr>
        <w:t>目录</w:t>
      </w:r>
    </w:p>
    <w:p>
      <w:pPr>
        <w:pStyle w:val="12"/>
        <w:rPr>
          <w:color w:val="auto"/>
        </w:rPr>
      </w:pPr>
      <w:r>
        <w:rPr>
          <w:rFonts w:hint="eastAsia"/>
          <w:color w:val="auto"/>
        </w:rPr>
        <w:t>公开时间：20</w:t>
      </w:r>
      <w:r>
        <w:rPr>
          <w:rFonts w:hint="eastAsia"/>
          <w:color w:val="auto"/>
          <w:lang w:val="en-US" w:eastAsia="zh-CN"/>
        </w:rPr>
        <w:t>24</w:t>
      </w:r>
      <w:r>
        <w:rPr>
          <w:rFonts w:hint="eastAsia"/>
          <w:color w:val="auto"/>
        </w:rPr>
        <w:t>年</w:t>
      </w:r>
      <w:r>
        <w:rPr>
          <w:rFonts w:hint="eastAsia"/>
          <w:color w:val="auto"/>
          <w:lang w:val="en-US" w:eastAsia="zh-CN"/>
        </w:rPr>
        <w:t>10</w:t>
      </w:r>
      <w:r>
        <w:rPr>
          <w:rFonts w:hint="eastAsia"/>
          <w:color w:val="auto"/>
        </w:rPr>
        <w:t>月</w:t>
      </w:r>
      <w:r>
        <w:rPr>
          <w:rFonts w:hint="eastAsia"/>
          <w:color w:val="auto"/>
          <w:lang w:val="en-US" w:eastAsia="zh-CN"/>
        </w:rPr>
        <w:t>14</w:t>
      </w:r>
      <w:r>
        <w:rPr>
          <w:rFonts w:hint="eastAsia"/>
          <w:color w:val="auto"/>
        </w:rPr>
        <w:t>日</w:t>
      </w:r>
    </w:p>
    <w:sdt>
      <w:sdtPr>
        <w:rPr>
          <w:rFonts w:hint="eastAsia" w:ascii="宋体" w:hAnsi="宋体" w:eastAsia="宋体" w:cs="宋体"/>
          <w:kern w:val="2"/>
          <w:sz w:val="32"/>
          <w:szCs w:val="32"/>
          <w:lang w:val="en-US" w:eastAsia="zh-CN" w:bidi="ar-SA"/>
        </w:rPr>
        <w:id w:val="147457293"/>
        <w:docPartObj>
          <w:docPartGallery w:val="Table of Contents"/>
          <w:docPartUnique/>
        </w:docPartObj>
      </w:sdtPr>
      <w:sdtEndPr>
        <w:rPr>
          <w:rFonts w:hint="eastAsia" w:ascii="宋体" w:hAnsi="宋体" w:eastAsia="宋体" w:cs="Times New Roman"/>
          <w:b/>
          <w:kern w:val="2"/>
          <w:sz w:val="21"/>
          <w:szCs w:val="24"/>
          <w:lang w:val="en-US" w:eastAsia="zh-CN" w:bidi="ar-SA"/>
        </w:rPr>
      </w:sdtEndPr>
      <w:sdtContent>
        <w:p>
          <w:pPr>
            <w:keepNext w:val="0"/>
            <w:keepLines w:val="0"/>
            <w:pageBreakBefore w:val="0"/>
            <w:kinsoku/>
            <w:wordWrap/>
            <w:overflowPunct/>
            <w:topLinePunct w:val="0"/>
            <w:autoSpaceDE/>
            <w:autoSpaceDN/>
            <w:bidi w:val="0"/>
            <w:adjustRightInd/>
            <w:snapToGrid/>
            <w:spacing w:before="0" w:beforeLines="0" w:after="0" w:afterLines="0" w:line="440" w:lineRule="exact"/>
            <w:ind w:left="0" w:leftChars="0" w:right="0" w:rightChars="0" w:firstLine="0" w:firstLineChars="0"/>
            <w:jc w:val="both"/>
            <w:rPr>
              <w:rFonts w:hint="eastAsia" w:ascii="宋体" w:hAnsi="宋体" w:eastAsia="宋体" w:cs="宋体"/>
              <w:b/>
              <w:kern w:val="2"/>
              <w:sz w:val="32"/>
              <w:szCs w:val="32"/>
              <w:lang w:val="en-US" w:eastAsia="zh-CN" w:bidi="ar-SA"/>
            </w:rPr>
          </w:pP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TOC \o "1-2" \h \u </w:instrText>
          </w:r>
          <w:r>
            <w:rPr>
              <w:rFonts w:hint="eastAsia" w:ascii="宋体" w:hAnsi="宋体" w:eastAsia="宋体" w:cs="宋体"/>
              <w:sz w:val="32"/>
              <w:szCs w:val="32"/>
            </w:rPr>
            <w:fldChar w:fldCharType="separate"/>
          </w:r>
        </w:p>
        <w:p>
          <w:pPr>
            <w:pStyle w:val="12"/>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_Toc23584 </w:instrText>
          </w:r>
          <w:r>
            <w:rPr>
              <w:rFonts w:hint="eastAsia" w:ascii="宋体" w:hAnsi="宋体" w:eastAsia="宋体" w:cs="宋体"/>
              <w:szCs w:val="32"/>
            </w:rPr>
            <w:fldChar w:fldCharType="separate"/>
          </w:r>
          <w:r>
            <w:rPr>
              <w:rFonts w:hint="eastAsia" w:ascii="黑体" w:hAnsi="黑体" w:eastAsia="黑体" w:cs="Times New Roman"/>
              <w:bCs w:val="0"/>
              <w:kern w:val="44"/>
              <w:szCs w:val="22"/>
              <w:lang w:val="zh-CN"/>
            </w:rPr>
            <w:t xml:space="preserve">第一部分 </w:t>
          </w:r>
          <w:r>
            <w:rPr>
              <w:rFonts w:hint="eastAsia" w:ascii="黑体" w:hAnsi="黑体" w:eastAsia="黑体" w:cs="Times New Roman"/>
              <w:bCs w:val="0"/>
              <w:kern w:val="44"/>
              <w:szCs w:val="22"/>
              <w:lang w:val="zh-CN" w:eastAsia="zh-CN"/>
            </w:rPr>
            <w:t>单位</w:t>
          </w:r>
          <w:r>
            <w:rPr>
              <w:rFonts w:hint="eastAsia" w:ascii="黑体" w:hAnsi="黑体" w:eastAsia="黑体" w:cs="Times New Roman"/>
              <w:bCs w:val="0"/>
              <w:kern w:val="44"/>
              <w:szCs w:val="22"/>
              <w:lang w:val="zh-CN"/>
            </w:rPr>
            <w:t>概况</w:t>
          </w:r>
          <w:r>
            <w:tab/>
          </w:r>
          <w:r>
            <w:fldChar w:fldCharType="begin"/>
          </w:r>
          <w:r>
            <w:instrText xml:space="preserve"> PAGEREF _Toc23584 </w:instrText>
          </w:r>
          <w:r>
            <w:fldChar w:fldCharType="separate"/>
          </w:r>
          <w:r>
            <w:t>1</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_Toc7319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zh-CN" w:eastAsia="zh-CN"/>
            </w:rPr>
            <w:t>一、主要职责</w:t>
          </w:r>
          <w:r>
            <w:tab/>
          </w:r>
          <w:r>
            <w:fldChar w:fldCharType="begin"/>
          </w:r>
          <w:r>
            <w:instrText xml:space="preserve"> PAGEREF _Toc7319 </w:instrText>
          </w:r>
          <w:r>
            <w:fldChar w:fldCharType="separate"/>
          </w:r>
          <w:r>
            <w:t>1</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_Toc17001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rPr>
            <w:t>二、机构设置</w:t>
          </w:r>
          <w:r>
            <w:tab/>
          </w:r>
          <w:r>
            <w:fldChar w:fldCharType="begin"/>
          </w:r>
          <w:r>
            <w:instrText xml:space="preserve"> PAGEREF _Toc17001 </w:instrText>
          </w:r>
          <w:r>
            <w:fldChar w:fldCharType="separate"/>
          </w:r>
          <w:r>
            <w:t>1</w:t>
          </w:r>
          <w:r>
            <w:fldChar w:fldCharType="end"/>
          </w:r>
          <w:r>
            <w:rPr>
              <w:rFonts w:hint="eastAsia" w:ascii="宋体" w:hAnsi="宋体" w:eastAsia="宋体" w:cs="宋体"/>
              <w:szCs w:val="32"/>
            </w:rPr>
            <w:fldChar w:fldCharType="end"/>
          </w:r>
        </w:p>
        <w:p>
          <w:pPr>
            <w:pStyle w:val="12"/>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_Toc5441 </w:instrText>
          </w:r>
          <w:r>
            <w:rPr>
              <w:rFonts w:hint="eastAsia" w:ascii="宋体" w:hAnsi="宋体" w:eastAsia="宋体" w:cs="宋体"/>
              <w:szCs w:val="32"/>
            </w:rPr>
            <w:fldChar w:fldCharType="separate"/>
          </w:r>
          <w:r>
            <w:rPr>
              <w:rFonts w:hint="eastAsia" w:ascii="黑体" w:hAnsi="黑体" w:eastAsia="黑体" w:cs="Times New Roman"/>
              <w:bCs w:val="0"/>
              <w:kern w:val="44"/>
              <w:szCs w:val="22"/>
              <w:lang w:val="zh-CN"/>
            </w:rPr>
            <w:t xml:space="preserve">第二部分 </w:t>
          </w:r>
          <w:r>
            <w:rPr>
              <w:rFonts w:hint="eastAsia" w:ascii="黑体" w:hAnsi="黑体" w:eastAsia="黑体" w:cs="Times New Roman"/>
              <w:bCs w:val="0"/>
              <w:kern w:val="44"/>
              <w:szCs w:val="22"/>
              <w:lang w:val="en-US" w:eastAsia="zh-CN"/>
            </w:rPr>
            <w:t>2023年度</w:t>
          </w:r>
          <w:r>
            <w:rPr>
              <w:rFonts w:hint="eastAsia" w:ascii="黑体" w:hAnsi="黑体" w:eastAsia="黑体" w:cs="Times New Roman"/>
              <w:bCs w:val="0"/>
              <w:kern w:val="44"/>
              <w:szCs w:val="22"/>
              <w:lang w:val="zh-CN" w:eastAsia="zh-CN"/>
            </w:rPr>
            <w:t>单位</w:t>
          </w:r>
          <w:r>
            <w:rPr>
              <w:rFonts w:hint="eastAsia" w:ascii="黑体" w:hAnsi="黑体" w:eastAsia="黑体" w:cs="Times New Roman"/>
              <w:bCs w:val="0"/>
              <w:kern w:val="44"/>
              <w:szCs w:val="22"/>
              <w:lang w:val="zh-CN"/>
            </w:rPr>
            <w:t>决算情况说明</w:t>
          </w:r>
          <w:r>
            <w:tab/>
          </w:r>
          <w:r>
            <w:fldChar w:fldCharType="begin"/>
          </w:r>
          <w:r>
            <w:instrText xml:space="preserve"> PAGEREF _Toc5441 </w:instrText>
          </w:r>
          <w:r>
            <w:fldChar w:fldCharType="separate"/>
          </w:r>
          <w:r>
            <w:t>2</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_Toc8701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rPr>
            <w:t>一、收入支出决算总体情况说明</w:t>
          </w:r>
          <w:r>
            <w:tab/>
          </w:r>
          <w:r>
            <w:fldChar w:fldCharType="begin"/>
          </w:r>
          <w:r>
            <w:instrText xml:space="preserve"> PAGEREF _Toc8701 </w:instrText>
          </w:r>
          <w:r>
            <w:fldChar w:fldCharType="separate"/>
          </w:r>
          <w:r>
            <w:t>2</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_Toc13678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rPr>
            <w:t>二、收入决算情况说明</w:t>
          </w:r>
          <w:r>
            <w:tab/>
          </w:r>
          <w:r>
            <w:fldChar w:fldCharType="begin"/>
          </w:r>
          <w:r>
            <w:instrText xml:space="preserve"> PAGEREF _Toc13678 </w:instrText>
          </w:r>
          <w:r>
            <w:fldChar w:fldCharType="separate"/>
          </w:r>
          <w:r>
            <w:t>3</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_Toc12763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rPr>
            <w:t>三、支出决算情况说明</w:t>
          </w:r>
          <w:r>
            <w:tab/>
          </w:r>
          <w:r>
            <w:fldChar w:fldCharType="begin"/>
          </w:r>
          <w:r>
            <w:instrText xml:space="preserve"> PAGEREF _Toc12763 </w:instrText>
          </w:r>
          <w:r>
            <w:fldChar w:fldCharType="separate"/>
          </w:r>
          <w:r>
            <w:t>3</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_Toc11588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rPr>
            <w:t>四、财政拨款收入支出决算总体情况说明</w:t>
          </w:r>
          <w:r>
            <w:tab/>
          </w:r>
          <w:r>
            <w:fldChar w:fldCharType="begin"/>
          </w:r>
          <w:r>
            <w:instrText xml:space="preserve"> PAGEREF _Toc11588 </w:instrText>
          </w:r>
          <w:r>
            <w:fldChar w:fldCharType="separate"/>
          </w:r>
          <w:r>
            <w:t>4</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_Toc27180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rPr>
            <w:t>五、一般公共预算财政拨款支出决算情况说明</w:t>
          </w:r>
          <w:r>
            <w:tab/>
          </w:r>
          <w:r>
            <w:fldChar w:fldCharType="begin"/>
          </w:r>
          <w:r>
            <w:instrText xml:space="preserve"> PAGEREF _Toc27180 </w:instrText>
          </w:r>
          <w:r>
            <w:fldChar w:fldCharType="separate"/>
          </w:r>
          <w:r>
            <w:t>5</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_Toc25207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bidi="ar-SA"/>
            </w:rPr>
            <w:t>六、一般公共预算财政拨款基本支出决算情况说明</w:t>
          </w:r>
          <w:r>
            <w:tab/>
          </w:r>
          <w:r>
            <w:fldChar w:fldCharType="begin"/>
          </w:r>
          <w:r>
            <w:instrText xml:space="preserve"> PAGEREF _Toc25207 </w:instrText>
          </w:r>
          <w:r>
            <w:fldChar w:fldCharType="separate"/>
          </w:r>
          <w:r>
            <w:t>7</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_Toc30527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rPr>
            <w:t>七、财政拨款“三公”经费支出决算情况说明</w:t>
          </w:r>
          <w:r>
            <w:tab/>
          </w:r>
          <w:r>
            <w:fldChar w:fldCharType="begin"/>
          </w:r>
          <w:r>
            <w:instrText xml:space="preserve"> PAGEREF _Toc30527 </w:instrText>
          </w:r>
          <w:r>
            <w:fldChar w:fldCharType="separate"/>
          </w:r>
          <w:r>
            <w:t>7</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_Toc24545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rPr>
            <w:t>八、政府性基金预算支出决算情况说明</w:t>
          </w:r>
          <w:r>
            <w:tab/>
          </w:r>
          <w:r>
            <w:fldChar w:fldCharType="begin"/>
          </w:r>
          <w:r>
            <w:instrText xml:space="preserve"> PAGEREF _Toc24545 </w:instrText>
          </w:r>
          <w:r>
            <w:fldChar w:fldCharType="separate"/>
          </w:r>
          <w:r>
            <w:t>9</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_Toc4411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rPr>
            <w:t>九、国有资本经营预算支出决算情况说明</w:t>
          </w:r>
          <w:r>
            <w:tab/>
          </w:r>
          <w:r>
            <w:fldChar w:fldCharType="begin"/>
          </w:r>
          <w:r>
            <w:instrText xml:space="preserve"> PAGEREF _Toc4411 </w:instrText>
          </w:r>
          <w:r>
            <w:fldChar w:fldCharType="separate"/>
          </w:r>
          <w:r>
            <w:t>9</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_Toc23257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rPr>
            <w:t>十、其他重要事项的情况说明</w:t>
          </w:r>
          <w:r>
            <w:tab/>
          </w:r>
          <w:r>
            <w:fldChar w:fldCharType="begin"/>
          </w:r>
          <w:r>
            <w:instrText xml:space="preserve"> PAGEREF _Toc23257 </w:instrText>
          </w:r>
          <w:r>
            <w:fldChar w:fldCharType="separate"/>
          </w:r>
          <w:r>
            <w:t>9</w:t>
          </w:r>
          <w:r>
            <w:fldChar w:fldCharType="end"/>
          </w:r>
          <w:r>
            <w:rPr>
              <w:rFonts w:hint="eastAsia" w:ascii="宋体" w:hAnsi="宋体" w:eastAsia="宋体" w:cs="宋体"/>
              <w:szCs w:val="32"/>
            </w:rPr>
            <w:fldChar w:fldCharType="end"/>
          </w:r>
        </w:p>
        <w:p>
          <w:pPr>
            <w:pStyle w:val="12"/>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_Toc18090 </w:instrText>
          </w:r>
          <w:r>
            <w:rPr>
              <w:rFonts w:hint="eastAsia" w:ascii="宋体" w:hAnsi="宋体" w:eastAsia="宋体" w:cs="宋体"/>
              <w:szCs w:val="32"/>
            </w:rPr>
            <w:fldChar w:fldCharType="separate"/>
          </w:r>
          <w:r>
            <w:rPr>
              <w:rFonts w:hint="eastAsia" w:ascii="黑体" w:hAnsi="黑体" w:eastAsia="黑体" w:cs="Times New Roman"/>
              <w:bCs w:val="0"/>
              <w:kern w:val="44"/>
              <w:szCs w:val="22"/>
              <w:lang w:val="zh-CN" w:eastAsia="zh-CN"/>
            </w:rPr>
            <w:t>第三部分</w:t>
          </w:r>
          <w:r>
            <w:rPr>
              <w:rFonts w:hint="eastAsia" w:ascii="黑体" w:hAnsi="黑体" w:eastAsia="黑体" w:cs="Times New Roman"/>
              <w:bCs w:val="0"/>
              <w:kern w:val="44"/>
              <w:szCs w:val="22"/>
              <w:lang w:val="en-US" w:eastAsia="zh-CN"/>
            </w:rPr>
            <w:t xml:space="preserve"> </w:t>
          </w:r>
          <w:r>
            <w:rPr>
              <w:rFonts w:hint="eastAsia" w:ascii="黑体" w:hAnsi="黑体" w:eastAsia="黑体" w:cs="Times New Roman"/>
              <w:bCs w:val="0"/>
              <w:kern w:val="44"/>
              <w:szCs w:val="22"/>
              <w:lang w:val="zh-CN"/>
            </w:rPr>
            <w:t>名词解释</w:t>
          </w:r>
          <w:r>
            <w:tab/>
          </w:r>
          <w:r>
            <w:fldChar w:fldCharType="begin"/>
          </w:r>
          <w:r>
            <w:instrText xml:space="preserve"> PAGEREF _Toc18090 </w:instrText>
          </w:r>
          <w:r>
            <w:fldChar w:fldCharType="separate"/>
          </w:r>
          <w:r>
            <w:t>11</w:t>
          </w:r>
          <w:r>
            <w:fldChar w:fldCharType="end"/>
          </w:r>
          <w:r>
            <w:rPr>
              <w:rFonts w:hint="eastAsia" w:ascii="宋体" w:hAnsi="宋体" w:eastAsia="宋体" w:cs="宋体"/>
              <w:szCs w:val="32"/>
            </w:rPr>
            <w:fldChar w:fldCharType="end"/>
          </w:r>
        </w:p>
        <w:p>
          <w:pPr>
            <w:pStyle w:val="12"/>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_Toc17450 </w:instrText>
          </w:r>
          <w:r>
            <w:rPr>
              <w:rFonts w:hint="eastAsia" w:ascii="宋体" w:hAnsi="宋体" w:eastAsia="宋体" w:cs="宋体"/>
              <w:szCs w:val="32"/>
            </w:rPr>
            <w:fldChar w:fldCharType="separate"/>
          </w:r>
          <w:r>
            <w:rPr>
              <w:rFonts w:hint="eastAsia" w:ascii="黑体" w:hAnsi="黑体" w:eastAsia="黑体" w:cs="Times New Roman"/>
              <w:bCs w:val="0"/>
              <w:kern w:val="44"/>
              <w:szCs w:val="22"/>
              <w:lang w:val="zh-CN"/>
            </w:rPr>
            <w:t>第四部分 附件</w:t>
          </w:r>
          <w:r>
            <w:tab/>
          </w:r>
          <w:r>
            <w:fldChar w:fldCharType="begin"/>
          </w:r>
          <w:r>
            <w:instrText xml:space="preserve"> PAGEREF _Toc17450 </w:instrText>
          </w:r>
          <w:r>
            <w:fldChar w:fldCharType="separate"/>
          </w:r>
          <w:r>
            <w:t>13</w:t>
          </w:r>
          <w:r>
            <w:fldChar w:fldCharType="end"/>
          </w:r>
          <w:r>
            <w:rPr>
              <w:rFonts w:hint="eastAsia" w:ascii="宋体" w:hAnsi="宋体" w:eastAsia="宋体" w:cs="宋体"/>
              <w:szCs w:val="32"/>
            </w:rPr>
            <w:fldChar w:fldCharType="end"/>
          </w:r>
        </w:p>
        <w:p>
          <w:pPr>
            <w:pStyle w:val="12"/>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_Toc30723 </w:instrText>
          </w:r>
          <w:r>
            <w:rPr>
              <w:rFonts w:hint="eastAsia" w:ascii="宋体" w:hAnsi="宋体" w:eastAsia="宋体" w:cs="宋体"/>
              <w:szCs w:val="32"/>
            </w:rPr>
            <w:fldChar w:fldCharType="separate"/>
          </w:r>
          <w:r>
            <w:rPr>
              <w:rFonts w:hint="eastAsia" w:ascii="黑体" w:hAnsi="黑体" w:eastAsia="黑体" w:cs="Times New Roman"/>
              <w:bCs w:val="0"/>
              <w:kern w:val="44"/>
              <w:szCs w:val="22"/>
              <w:lang w:val="zh-CN"/>
            </w:rPr>
            <w:t>第五部分 附表</w:t>
          </w:r>
          <w:r>
            <w:tab/>
          </w:r>
          <w:r>
            <w:fldChar w:fldCharType="begin"/>
          </w:r>
          <w:r>
            <w:instrText xml:space="preserve"> PAGEREF _Toc30723 </w:instrText>
          </w:r>
          <w:r>
            <w:fldChar w:fldCharType="separate"/>
          </w:r>
          <w:r>
            <w:t>22</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_Toc18906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rPr>
            <w:t>一、收入支出决算总表</w:t>
          </w:r>
          <w:r>
            <w:tab/>
          </w:r>
          <w:r>
            <w:fldChar w:fldCharType="begin"/>
          </w:r>
          <w:r>
            <w:instrText xml:space="preserve"> PAGEREF _Toc18906 </w:instrText>
          </w:r>
          <w:r>
            <w:fldChar w:fldCharType="separate"/>
          </w:r>
          <w:r>
            <w:t>22</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_Toc29919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rPr>
            <w:t>二、收入决算表</w:t>
          </w:r>
          <w:r>
            <w:tab/>
          </w:r>
          <w:r>
            <w:fldChar w:fldCharType="begin"/>
          </w:r>
          <w:r>
            <w:instrText xml:space="preserve"> PAGEREF _Toc29919 </w:instrText>
          </w:r>
          <w:r>
            <w:fldChar w:fldCharType="separate"/>
          </w:r>
          <w:r>
            <w:t>22</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_Toc6182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rPr>
            <w:t>三、支出决算表</w:t>
          </w:r>
          <w:r>
            <w:tab/>
          </w:r>
          <w:r>
            <w:fldChar w:fldCharType="begin"/>
          </w:r>
          <w:r>
            <w:instrText xml:space="preserve"> PAGEREF _Toc6182 </w:instrText>
          </w:r>
          <w:r>
            <w:fldChar w:fldCharType="separate"/>
          </w:r>
          <w:r>
            <w:t>22</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_Toc28541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rPr>
            <w:t>四、财政拨款收入支出决算总表</w:t>
          </w:r>
          <w:r>
            <w:tab/>
          </w:r>
          <w:r>
            <w:fldChar w:fldCharType="begin"/>
          </w:r>
          <w:r>
            <w:instrText xml:space="preserve"> PAGEREF _Toc28541 </w:instrText>
          </w:r>
          <w:r>
            <w:fldChar w:fldCharType="separate"/>
          </w:r>
          <w:r>
            <w:t>22</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_Toc23389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rPr>
            <w:t>五、财政拨款支出决算明细表</w:t>
          </w:r>
          <w:r>
            <w:tab/>
          </w:r>
          <w:r>
            <w:fldChar w:fldCharType="begin"/>
          </w:r>
          <w:r>
            <w:instrText xml:space="preserve"> PAGEREF _Toc23389 </w:instrText>
          </w:r>
          <w:r>
            <w:fldChar w:fldCharType="separate"/>
          </w:r>
          <w:r>
            <w:t>22</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_Toc25026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rPr>
            <w:t>六、一般公共预算财政拨款支出决算表</w:t>
          </w:r>
          <w:r>
            <w:tab/>
          </w:r>
          <w:r>
            <w:fldChar w:fldCharType="begin"/>
          </w:r>
          <w:r>
            <w:instrText xml:space="preserve"> PAGEREF _Toc25026 </w:instrText>
          </w:r>
          <w:r>
            <w:fldChar w:fldCharType="separate"/>
          </w:r>
          <w:r>
            <w:t>22</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_Toc20855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rPr>
            <w:t>七、一般公共预算财政拨款支出决算明细表</w:t>
          </w:r>
          <w:r>
            <w:tab/>
          </w:r>
          <w:r>
            <w:fldChar w:fldCharType="begin"/>
          </w:r>
          <w:r>
            <w:instrText xml:space="preserve"> PAGEREF _Toc20855 </w:instrText>
          </w:r>
          <w:r>
            <w:fldChar w:fldCharType="separate"/>
          </w:r>
          <w:r>
            <w:t>22</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_Toc5848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rPr>
            <w:t>八、一般公共预算财政拨款基本支出决算表</w:t>
          </w:r>
          <w:r>
            <w:tab/>
          </w:r>
          <w:r>
            <w:fldChar w:fldCharType="begin"/>
          </w:r>
          <w:r>
            <w:instrText xml:space="preserve"> PAGEREF _Toc5848 </w:instrText>
          </w:r>
          <w:r>
            <w:fldChar w:fldCharType="separate"/>
          </w:r>
          <w:r>
            <w:t>22</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_Toc29096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rPr>
            <w:t>九、一般公共预算财政拨款项目支出决算表</w:t>
          </w:r>
          <w:r>
            <w:tab/>
          </w:r>
          <w:r>
            <w:fldChar w:fldCharType="begin"/>
          </w:r>
          <w:r>
            <w:instrText xml:space="preserve"> PAGEREF _Toc29096 </w:instrText>
          </w:r>
          <w:r>
            <w:fldChar w:fldCharType="separate"/>
          </w:r>
          <w:r>
            <w:t>22</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_Toc26384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rPr>
            <w:t>十、政府性基金预算财政拨款收入支出决算表</w:t>
          </w:r>
          <w:r>
            <w:tab/>
          </w:r>
          <w:r>
            <w:fldChar w:fldCharType="begin"/>
          </w:r>
          <w:r>
            <w:instrText xml:space="preserve"> PAGEREF _Toc26384 </w:instrText>
          </w:r>
          <w:r>
            <w:fldChar w:fldCharType="separate"/>
          </w:r>
          <w:r>
            <w:t>22</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_Toc8506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rPr>
            <w:t>十一、国有资本经营预算财政拨款收入支出决算表</w:t>
          </w:r>
          <w:r>
            <w:tab/>
          </w:r>
          <w:r>
            <w:fldChar w:fldCharType="begin"/>
          </w:r>
          <w:r>
            <w:instrText xml:space="preserve"> PAGEREF _Toc8506 </w:instrText>
          </w:r>
          <w:r>
            <w:fldChar w:fldCharType="separate"/>
          </w:r>
          <w:r>
            <w:t>22</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_Toc24520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rPr>
            <w:t>十二、国有资本经营预算财政拨款支出决算表</w:t>
          </w:r>
          <w:r>
            <w:tab/>
          </w:r>
          <w:r>
            <w:fldChar w:fldCharType="begin"/>
          </w:r>
          <w:r>
            <w:instrText xml:space="preserve"> PAGEREF _Toc24520 </w:instrText>
          </w:r>
          <w:r>
            <w:fldChar w:fldCharType="separate"/>
          </w:r>
          <w:r>
            <w:t>22</w:t>
          </w:r>
          <w:r>
            <w:fldChar w:fldCharType="end"/>
          </w:r>
          <w:r>
            <w:rPr>
              <w:rFonts w:hint="eastAsia" w:ascii="宋体" w:hAnsi="宋体" w:eastAsia="宋体" w:cs="宋体"/>
              <w:szCs w:val="32"/>
            </w:rPr>
            <w:fldChar w:fldCharType="end"/>
          </w:r>
        </w:p>
        <w:p>
          <w:pPr>
            <w:pStyle w:val="13"/>
            <w:tabs>
              <w:tab w:val="right" w:leader="dot" w:pos="8306"/>
              <w:tab w:val="clear" w:pos="8296"/>
            </w:tabs>
          </w:pPr>
          <w:r>
            <w:rPr>
              <w:rFonts w:hint="eastAsia" w:ascii="宋体" w:hAnsi="宋体" w:eastAsia="宋体" w:cs="宋体"/>
              <w:szCs w:val="32"/>
            </w:rPr>
            <w:fldChar w:fldCharType="begin"/>
          </w:r>
          <w:r>
            <w:rPr>
              <w:rFonts w:hint="eastAsia" w:ascii="宋体" w:hAnsi="宋体" w:eastAsia="宋体" w:cs="宋体"/>
              <w:szCs w:val="32"/>
            </w:rPr>
            <w:instrText xml:space="preserve"> HYPERLINK \l _Toc26731 </w:instrText>
          </w:r>
          <w:r>
            <w:rPr>
              <w:rFonts w:hint="eastAsia" w:ascii="宋体" w:hAnsi="宋体" w:eastAsia="宋体" w:cs="宋体"/>
              <w:szCs w:val="32"/>
            </w:rPr>
            <w:fldChar w:fldCharType="separate"/>
          </w:r>
          <w:r>
            <w:rPr>
              <w:rFonts w:hint="eastAsia" w:ascii="黑体" w:hAnsi="黑体" w:eastAsia="黑体" w:cs="Times New Roman"/>
              <w:bCs w:val="0"/>
              <w:kern w:val="2"/>
              <w:szCs w:val="22"/>
              <w:lang w:val="en-US" w:eastAsia="zh-CN"/>
            </w:rPr>
            <w:t>十三、财政拨款“三公”经费支出决算表</w:t>
          </w:r>
          <w:r>
            <w:tab/>
          </w:r>
          <w:r>
            <w:fldChar w:fldCharType="begin"/>
          </w:r>
          <w:r>
            <w:instrText xml:space="preserve"> PAGEREF _Toc26731 </w:instrText>
          </w:r>
          <w:r>
            <w:fldChar w:fldCharType="separate"/>
          </w:r>
          <w:r>
            <w:t>22</w:t>
          </w:r>
          <w:r>
            <w:fldChar w:fldCharType="end"/>
          </w:r>
          <w:r>
            <w:rPr>
              <w:rFonts w:hint="eastAsia" w:ascii="宋体" w:hAnsi="宋体" w:eastAsia="宋体" w:cs="宋体"/>
              <w:szCs w:val="32"/>
            </w:rPr>
            <w:fldChar w:fldCharType="end"/>
          </w:r>
        </w:p>
        <w:p>
          <w:pPr>
            <w:keepNext w:val="0"/>
            <w:keepLines w:val="0"/>
            <w:pageBreakBefore w:val="0"/>
            <w:kinsoku/>
            <w:wordWrap/>
            <w:overflowPunct/>
            <w:topLinePunct w:val="0"/>
            <w:autoSpaceDE/>
            <w:autoSpaceDN/>
            <w:bidi w:val="0"/>
            <w:adjustRightInd/>
            <w:snapToGrid/>
            <w:spacing w:before="0" w:beforeLines="0" w:after="0" w:afterLines="0" w:line="440" w:lineRule="exact"/>
            <w:ind w:left="0" w:leftChars="0" w:right="0" w:rightChars="0" w:firstLine="0" w:firstLineChars="0"/>
            <w:jc w:val="center"/>
            <w:rPr>
              <w:rFonts w:hint="eastAsia" w:ascii="黑体" w:hAnsi="黑体" w:eastAsia="黑体"/>
              <w:b w:val="0"/>
              <w:color w:val="auto"/>
            </w:rPr>
            <w:sectPr>
              <w:footerReference r:id="rId4" w:type="first"/>
              <w:headerReference r:id="rId3" w:type="default"/>
              <w:pgSz w:w="11906" w:h="16838"/>
              <w:pgMar w:top="1440" w:right="1800" w:bottom="1440" w:left="1800" w:header="851" w:footer="992" w:gutter="0"/>
              <w:pgNumType w:fmt="decimal" w:start="1"/>
              <w:cols w:space="425" w:num="1"/>
              <w:docGrid w:type="lines" w:linePitch="312" w:charSpace="0"/>
            </w:sectPr>
          </w:pPr>
          <w:r>
            <w:rPr>
              <w:rFonts w:hint="eastAsia" w:ascii="宋体" w:hAnsi="宋体" w:eastAsia="宋体" w:cs="宋体"/>
              <w:b/>
              <w:sz w:val="32"/>
              <w:szCs w:val="32"/>
            </w:rPr>
            <w:fldChar w:fldCharType="end"/>
          </w:r>
        </w:p>
      </w:sdtContent>
    </w:sdt>
    <w:p>
      <w:pPr>
        <w:pStyle w:val="2"/>
        <w:bidi w:val="0"/>
        <w:jc w:val="center"/>
        <w:rPr>
          <w:rFonts w:hint="eastAsia" w:ascii="黑体" w:hAnsi="黑体" w:eastAsia="黑体" w:cs="Times New Roman"/>
          <w:b w:val="0"/>
          <w:bCs w:val="0"/>
          <w:color w:val="auto"/>
          <w:kern w:val="44"/>
          <w:sz w:val="44"/>
          <w:szCs w:val="22"/>
          <w:lang w:val="zh-CN"/>
        </w:rPr>
      </w:pPr>
      <w:bookmarkStart w:id="0" w:name="_Toc23584"/>
      <w:bookmarkEnd w:id="0"/>
      <w:r>
        <w:rPr>
          <w:rFonts w:hint="eastAsia" w:ascii="黑体" w:hAnsi="黑体" w:eastAsia="黑体" w:cs="Times New Roman"/>
          <w:b w:val="0"/>
          <w:bCs w:val="0"/>
          <w:color w:val="auto"/>
          <w:kern w:val="44"/>
          <w:sz w:val="44"/>
          <w:szCs w:val="22"/>
          <w:lang w:val="zh-CN"/>
        </w:rPr>
        <w:t xml:space="preserve">第一部分 </w:t>
      </w:r>
      <w:r>
        <w:rPr>
          <w:rFonts w:hint="eastAsia" w:ascii="黑体" w:hAnsi="黑体" w:eastAsia="黑体" w:cs="Times New Roman"/>
          <w:b w:val="0"/>
          <w:bCs w:val="0"/>
          <w:color w:val="auto"/>
          <w:kern w:val="44"/>
          <w:sz w:val="44"/>
          <w:szCs w:val="22"/>
          <w:lang w:val="zh-CN" w:eastAsia="zh-CN"/>
        </w:rPr>
        <w:t>单位</w:t>
      </w:r>
      <w:r>
        <w:rPr>
          <w:rFonts w:hint="eastAsia" w:ascii="黑体" w:hAnsi="黑体" w:eastAsia="黑体" w:cs="Times New Roman"/>
          <w:b w:val="0"/>
          <w:bCs w:val="0"/>
          <w:color w:val="auto"/>
          <w:kern w:val="44"/>
          <w:sz w:val="44"/>
          <w:szCs w:val="22"/>
          <w:lang w:val="zh-CN"/>
        </w:rPr>
        <w:t>概况</w:t>
      </w:r>
    </w:p>
    <w:p>
      <w:pPr>
        <w:widowControl/>
        <w:jc w:val="left"/>
        <w:rPr>
          <w:rFonts w:ascii="黑体" w:eastAsia="黑体"/>
          <w:color w:val="auto"/>
          <w:sz w:val="32"/>
          <w:szCs w:val="32"/>
        </w:rPr>
      </w:pP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zh-CN" w:eastAsia="zh-CN"/>
        </w:rPr>
      </w:pPr>
      <w:bookmarkStart w:id="1" w:name="_Toc7319"/>
      <w:bookmarkEnd w:id="1"/>
      <w:r>
        <w:rPr>
          <w:rFonts w:hint="eastAsia" w:ascii="黑体" w:hAnsi="黑体" w:eastAsia="黑体" w:cs="Times New Roman"/>
          <w:b w:val="0"/>
          <w:bCs w:val="0"/>
          <w:color w:val="000000"/>
          <w:kern w:val="2"/>
          <w:sz w:val="32"/>
          <w:szCs w:val="22"/>
          <w:lang w:val="zh-CN" w:eastAsia="zh-CN"/>
        </w:rPr>
        <w:t>一、主要职责</w:t>
      </w:r>
    </w:p>
    <w:p>
      <w:pPr>
        <w:numPr>
          <w:ilvl w:val="0"/>
          <w:numId w:val="0"/>
        </w:numPr>
        <w:autoSpaceDE/>
        <w:autoSpaceDN/>
        <w:adjustRightInd/>
        <w:spacing w:line="576" w:lineRule="exact"/>
        <w:ind w:firstLine="640" w:firstLineChars="200"/>
        <w:rPr>
          <w:rFonts w:hint="eastAsia" w:ascii="黑体" w:hAnsi="黑体" w:eastAsia="黑体"/>
          <w:color w:val="auto"/>
          <w:kern w:val="2"/>
          <w:sz w:val="32"/>
          <w:szCs w:val="24"/>
          <w:lang w:val="zh-CN"/>
        </w:rPr>
      </w:pPr>
      <w:r>
        <w:rPr>
          <w:rFonts w:hint="eastAsia" w:ascii="仿宋" w:hAnsi="仿宋" w:eastAsia="仿宋"/>
          <w:color w:val="000000"/>
          <w:sz w:val="32"/>
          <w:szCs w:val="24"/>
        </w:rPr>
        <w:t>承担全市国家免费避孕药具管理使用、计划统计、仓储调拨、质量管理、发放服务等工作和对下一级计划生育药具管理机构进行业务指导。</w:t>
      </w:r>
    </w:p>
    <w:p>
      <w:pPr>
        <w:rPr>
          <w:rFonts w:hint="eastAsia"/>
          <w:lang w:eastAsia="zh-CN"/>
        </w:rPr>
      </w:pP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2" w:name="_Toc17001"/>
      <w:bookmarkEnd w:id="2"/>
      <w:r>
        <w:rPr>
          <w:rFonts w:hint="eastAsia" w:ascii="黑体" w:hAnsi="黑体" w:eastAsia="黑体" w:cs="Times New Roman"/>
          <w:b w:val="0"/>
          <w:bCs w:val="0"/>
          <w:color w:val="000000"/>
          <w:kern w:val="2"/>
          <w:sz w:val="32"/>
          <w:szCs w:val="22"/>
          <w:lang w:val="en-US" w:eastAsia="zh-CN"/>
        </w:rPr>
        <w:t>二、机构设置</w:t>
      </w:r>
    </w:p>
    <w:p>
      <w:pPr>
        <w:numPr>
          <w:ilvl w:val="0"/>
          <w:numId w:val="0"/>
        </w:numPr>
        <w:autoSpaceDE/>
        <w:autoSpaceDN/>
        <w:adjustRightInd/>
        <w:spacing w:line="576" w:lineRule="exact"/>
        <w:ind w:firstLine="640" w:firstLineChars="200"/>
        <w:rPr>
          <w:rFonts w:hint="eastAsia" w:ascii="仿宋" w:hAnsi="仿宋" w:eastAsia="仿宋"/>
          <w:color w:val="000000"/>
          <w:sz w:val="32"/>
          <w:szCs w:val="24"/>
          <w:lang w:val="en-US" w:eastAsia="zh-CN"/>
        </w:rPr>
      </w:pPr>
      <w:r>
        <w:rPr>
          <w:rFonts w:hint="eastAsia" w:ascii="仿宋" w:hAnsi="仿宋" w:eastAsia="仿宋"/>
          <w:color w:val="000000"/>
          <w:sz w:val="32"/>
          <w:szCs w:val="24"/>
          <w:lang w:val="zh-CN"/>
        </w:rPr>
        <w:t>广元市计划生育药品器械管理站</w:t>
      </w:r>
      <w:r>
        <w:rPr>
          <w:rFonts w:hint="eastAsia" w:ascii="仿宋" w:hAnsi="仿宋" w:eastAsia="仿宋"/>
          <w:color w:val="000000"/>
          <w:sz w:val="32"/>
          <w:szCs w:val="24"/>
          <w:lang w:val="en-US" w:eastAsia="zh-CN"/>
        </w:rPr>
        <w:t>为广元市卫生健康委员会下属二级预算单位，现已更名为广元市中医药发展服务中心，我单位下属机构0个，设有内设机构0个。</w:t>
      </w:r>
    </w:p>
    <w:p>
      <w:pPr>
        <w:numPr>
          <w:ilvl w:val="0"/>
          <w:numId w:val="0"/>
        </w:numPr>
        <w:ind w:leftChars="0"/>
        <w:rPr>
          <w:rFonts w:hint="eastAsia"/>
          <w:lang w:val="en-US" w:eastAsia="zh-CN"/>
        </w:rPr>
      </w:pPr>
    </w:p>
    <w:p>
      <w:pPr>
        <w:widowControl/>
        <w:jc w:val="left"/>
        <w:rPr>
          <w:rFonts w:ascii="仿宋" w:hAnsi="仿宋" w:eastAsia="仿宋"/>
          <w:color w:val="auto"/>
          <w:kern w:val="0"/>
          <w:sz w:val="32"/>
          <w:szCs w:val="32"/>
        </w:rPr>
      </w:pPr>
      <w:r>
        <w:rPr>
          <w:rFonts w:ascii="仿宋" w:hAnsi="仿宋" w:eastAsia="仿宋"/>
          <w:color w:val="auto"/>
          <w:sz w:val="32"/>
          <w:szCs w:val="32"/>
        </w:rPr>
        <w:br w:type="page"/>
      </w:r>
    </w:p>
    <w:p>
      <w:pPr>
        <w:pStyle w:val="2"/>
        <w:bidi w:val="0"/>
        <w:jc w:val="center"/>
        <w:rPr>
          <w:rFonts w:hint="eastAsia" w:ascii="黑体" w:hAnsi="黑体" w:eastAsia="黑体" w:cs="Times New Roman"/>
          <w:b w:val="0"/>
          <w:bCs w:val="0"/>
          <w:color w:val="auto"/>
          <w:kern w:val="44"/>
          <w:sz w:val="44"/>
          <w:szCs w:val="22"/>
          <w:lang w:val="zh-CN"/>
        </w:rPr>
      </w:pPr>
      <w:bookmarkStart w:id="3" w:name="_Toc5441"/>
      <w:bookmarkEnd w:id="3"/>
      <w:r>
        <w:rPr>
          <w:rFonts w:hint="eastAsia" w:ascii="黑体" w:hAnsi="黑体" w:eastAsia="黑体" w:cs="Times New Roman"/>
          <w:b w:val="0"/>
          <w:bCs w:val="0"/>
          <w:color w:val="auto"/>
          <w:kern w:val="44"/>
          <w:sz w:val="44"/>
          <w:szCs w:val="22"/>
          <w:lang w:val="zh-CN"/>
        </w:rPr>
        <w:t xml:space="preserve">第二部分 </w:t>
      </w:r>
      <w:r>
        <w:rPr>
          <w:rFonts w:hint="eastAsia" w:ascii="黑体" w:hAnsi="黑体" w:eastAsia="黑体" w:cs="Times New Roman"/>
          <w:b w:val="0"/>
          <w:bCs w:val="0"/>
          <w:color w:val="auto"/>
          <w:kern w:val="44"/>
          <w:sz w:val="44"/>
          <w:szCs w:val="22"/>
          <w:lang w:val="en-US" w:eastAsia="zh-CN"/>
        </w:rPr>
        <w:t>2023年度</w:t>
      </w:r>
      <w:r>
        <w:rPr>
          <w:rFonts w:hint="eastAsia" w:ascii="黑体" w:hAnsi="黑体" w:eastAsia="黑体" w:cs="Times New Roman"/>
          <w:b w:val="0"/>
          <w:bCs w:val="0"/>
          <w:color w:val="auto"/>
          <w:kern w:val="44"/>
          <w:sz w:val="44"/>
          <w:szCs w:val="22"/>
          <w:lang w:val="zh-CN" w:eastAsia="zh-CN"/>
        </w:rPr>
        <w:t>单位</w:t>
      </w:r>
      <w:r>
        <w:rPr>
          <w:rFonts w:hint="eastAsia" w:ascii="黑体" w:hAnsi="黑体" w:eastAsia="黑体" w:cs="Times New Roman"/>
          <w:b w:val="0"/>
          <w:bCs w:val="0"/>
          <w:color w:val="auto"/>
          <w:kern w:val="44"/>
          <w:sz w:val="44"/>
          <w:szCs w:val="22"/>
          <w:lang w:val="zh-CN"/>
        </w:rPr>
        <w:t>决算情况说明</w:t>
      </w: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4" w:name="_Toc8701"/>
      <w:bookmarkEnd w:id="4"/>
      <w:r>
        <w:rPr>
          <w:rFonts w:hint="eastAsia" w:ascii="黑体" w:hAnsi="黑体" w:eastAsia="黑体" w:cs="Times New Roman"/>
          <w:b w:val="0"/>
          <w:bCs w:val="0"/>
          <w:color w:val="000000"/>
          <w:kern w:val="2"/>
          <w:sz w:val="32"/>
          <w:szCs w:val="22"/>
          <w:lang w:val="en-US" w:eastAsia="zh-CN"/>
        </w:rPr>
        <w:t>一、收入支出决算总体情况说明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2023</w:t>
      </w:r>
      <w:r>
        <w:rPr>
          <w:rFonts w:hint="eastAsia" w:ascii="仿宋_GB2312" w:hAnsi="仿宋_GB2312" w:eastAsia="仿宋_GB2312" w:cs="仿宋_GB2312"/>
          <w:color w:val="auto"/>
          <w:sz w:val="32"/>
          <w:szCs w:val="32"/>
        </w:rPr>
        <w:t>年度收、支总计</w:t>
      </w:r>
      <w:r>
        <w:rPr>
          <w:rFonts w:hint="eastAsia" w:ascii="仿宋_GB2312" w:hAnsi="仿宋_GB2312" w:eastAsia="仿宋_GB2312" w:cs="仿宋_GB2312"/>
          <w:color w:val="auto"/>
          <w:sz w:val="32"/>
          <w:szCs w:val="32"/>
          <w:lang w:eastAsia="zh-CN"/>
        </w:rPr>
        <w:t>均为</w:t>
      </w:r>
      <w:r>
        <w:rPr>
          <w:rFonts w:hint="eastAsia" w:ascii="仿宋_GB2312" w:hAnsi="仿宋_GB2312" w:eastAsia="仿宋_GB2312" w:cs="仿宋_GB2312"/>
          <w:color w:val="auto"/>
          <w:sz w:val="32"/>
          <w:szCs w:val="32"/>
          <w:lang w:val="en-US" w:eastAsia="zh-CN"/>
        </w:rPr>
        <w:t>114.99</w:t>
      </w:r>
      <w:r>
        <w:rPr>
          <w:rFonts w:hint="eastAsia" w:ascii="仿宋_GB2312" w:hAnsi="仿宋_GB2312" w:eastAsia="仿宋_GB2312" w:cs="仿宋_GB2312"/>
          <w:color w:val="auto"/>
          <w:sz w:val="32"/>
          <w:szCs w:val="32"/>
        </w:rPr>
        <w:t>万元。与</w:t>
      </w:r>
      <w:r>
        <w:rPr>
          <w:rFonts w:hint="eastAsia" w:ascii="仿宋_GB2312" w:hAnsi="仿宋_GB2312" w:eastAsia="仿宋_GB2312" w:cs="仿宋_GB2312"/>
          <w:color w:val="auto"/>
          <w:sz w:val="32"/>
          <w:szCs w:val="32"/>
          <w:lang w:eastAsia="zh-CN"/>
        </w:rPr>
        <w:t>2022</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eastAsia="zh-CN"/>
        </w:rPr>
        <w:t>度</w:t>
      </w:r>
      <w:r>
        <w:rPr>
          <w:rFonts w:hint="eastAsia" w:ascii="仿宋_GB2312" w:hAnsi="仿宋_GB2312" w:eastAsia="仿宋_GB2312" w:cs="仿宋_GB2312"/>
          <w:color w:val="auto"/>
          <w:sz w:val="32"/>
          <w:szCs w:val="32"/>
        </w:rPr>
        <w:t>相比，收、支总计各减少</w:t>
      </w:r>
      <w:r>
        <w:rPr>
          <w:rFonts w:hint="eastAsia" w:ascii="仿宋_GB2312" w:hAnsi="仿宋_GB2312" w:eastAsia="仿宋_GB2312" w:cs="仿宋_GB2312"/>
          <w:color w:val="auto"/>
          <w:sz w:val="32"/>
          <w:szCs w:val="32"/>
          <w:lang w:val="en-US" w:eastAsia="zh-CN"/>
        </w:rPr>
        <w:t>8.65</w:t>
      </w:r>
      <w:r>
        <w:rPr>
          <w:rFonts w:hint="eastAsia" w:ascii="仿宋_GB2312" w:hAnsi="仿宋_GB2312" w:eastAsia="仿宋_GB2312" w:cs="仿宋_GB2312"/>
          <w:color w:val="auto"/>
          <w:sz w:val="32"/>
          <w:szCs w:val="32"/>
        </w:rPr>
        <w:t>万元，下降</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%。主要变动原因是</w:t>
      </w:r>
      <w:r>
        <w:rPr>
          <w:rFonts w:hint="eastAsia" w:ascii="仿宋_GB2312" w:hAnsi="仿宋_GB2312" w:eastAsia="仿宋_GB2312" w:cs="仿宋_GB2312"/>
          <w:color w:val="auto"/>
          <w:sz w:val="32"/>
          <w:szCs w:val="32"/>
          <w:lang w:eastAsia="zh-CN"/>
        </w:rPr>
        <w:t>项目资金减少。</w:t>
      </w:r>
    </w:p>
    <w:p>
      <w:pPr>
        <w:pStyle w:val="12"/>
        <w:jc w:val="center"/>
      </w:pPr>
      <w:r>
        <w:rPr>
          <w:rFonts w:hint="eastAsia" w:ascii="仿宋" w:hAnsi="仿宋" w:eastAsia="仿宋"/>
          <w:color w:val="auto"/>
          <w:sz w:val="32"/>
          <w:szCs w:val="32"/>
          <w:lang w:eastAsia="zh-CN"/>
        </w:rPr>
        <w:drawing>
          <wp:inline distT="0" distB="0" distL="114300" distR="114300">
            <wp:extent cx="5039995" cy="5281295"/>
            <wp:effectExtent l="4445" t="4445" r="22860" b="10160"/>
            <wp:docPr id="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1600" w:firstLineChars="500"/>
      </w:pPr>
      <w:r>
        <w:rPr>
          <w:rFonts w:hint="eastAsia" w:ascii="仿宋" w:hAnsi="仿宋" w:eastAsia="仿宋"/>
          <w:color w:val="auto"/>
          <w:sz w:val="32"/>
          <w:szCs w:val="32"/>
        </w:rPr>
        <w:t>（图</w:t>
      </w:r>
      <w:r>
        <w:rPr>
          <w:rFonts w:ascii="仿宋" w:hAnsi="仿宋" w:eastAsia="仿宋"/>
          <w:color w:val="auto"/>
          <w:sz w:val="32"/>
          <w:szCs w:val="32"/>
        </w:rPr>
        <w:t>1</w:t>
      </w:r>
      <w:r>
        <w:rPr>
          <w:rFonts w:hint="eastAsia" w:ascii="仿宋" w:hAnsi="仿宋" w:eastAsia="仿宋"/>
          <w:color w:val="auto"/>
          <w:sz w:val="32"/>
          <w:szCs w:val="32"/>
        </w:rPr>
        <w:t>：收、支决算总计变动情况图）</w:t>
      </w: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5" w:name="_Toc5939"/>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6" w:name="_Toc13678"/>
      <w:bookmarkEnd w:id="6"/>
      <w:r>
        <w:rPr>
          <w:rFonts w:hint="eastAsia" w:ascii="黑体" w:hAnsi="黑体" w:eastAsia="黑体" w:cs="Times New Roman"/>
          <w:b w:val="0"/>
          <w:bCs w:val="0"/>
          <w:color w:val="000000"/>
          <w:kern w:val="2"/>
          <w:sz w:val="32"/>
          <w:szCs w:val="22"/>
          <w:lang w:val="en-US" w:eastAsia="zh-CN"/>
        </w:rPr>
        <w:t>二、收入决算情况说明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drawing>
          <wp:anchor distT="0" distB="0" distL="0" distR="0" simplePos="0" relativeHeight="251659264" behindDoc="0" locked="0" layoutInCell="1" allowOverlap="1">
            <wp:simplePos x="0" y="0"/>
            <wp:positionH relativeFrom="column">
              <wp:posOffset>72390</wp:posOffset>
            </wp:positionH>
            <wp:positionV relativeFrom="page">
              <wp:posOffset>2408555</wp:posOffset>
            </wp:positionV>
            <wp:extent cx="5197475" cy="3408045"/>
            <wp:effectExtent l="4445" t="4445" r="17780" b="16510"/>
            <wp:wrapTopAndBottom/>
            <wp:docPr id="2"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仿宋_GB2312" w:hAnsi="仿宋_GB2312" w:eastAsia="仿宋_GB2312" w:cs="仿宋_GB2312"/>
          <w:color w:val="auto"/>
          <w:sz w:val="32"/>
          <w:szCs w:val="32"/>
          <w:lang w:eastAsia="zh-CN"/>
        </w:rPr>
        <w:t>2023年度本年收入合计</w:t>
      </w:r>
      <w:r>
        <w:rPr>
          <w:rFonts w:hint="eastAsia" w:ascii="仿宋_GB2312" w:hAnsi="仿宋_GB2312" w:eastAsia="仿宋_GB2312" w:cs="仿宋_GB2312"/>
          <w:color w:val="auto"/>
          <w:sz w:val="32"/>
          <w:szCs w:val="32"/>
          <w:lang w:val="en-US" w:eastAsia="zh-CN"/>
        </w:rPr>
        <w:t>114.99</w:t>
      </w:r>
      <w:r>
        <w:rPr>
          <w:rFonts w:hint="eastAsia" w:ascii="仿宋_GB2312" w:hAnsi="仿宋_GB2312" w:eastAsia="仿宋_GB2312" w:cs="仿宋_GB2312"/>
          <w:color w:val="auto"/>
          <w:sz w:val="32"/>
          <w:szCs w:val="32"/>
          <w:lang w:eastAsia="zh-CN"/>
        </w:rPr>
        <w:t>万元，其中：一般公共预算财政拨款收入</w:t>
      </w:r>
      <w:r>
        <w:rPr>
          <w:rFonts w:hint="eastAsia" w:ascii="仿宋_GB2312" w:hAnsi="仿宋_GB2312" w:eastAsia="仿宋_GB2312" w:cs="仿宋_GB2312"/>
          <w:color w:val="auto"/>
          <w:sz w:val="32"/>
          <w:szCs w:val="32"/>
          <w:lang w:val="en-US" w:eastAsia="zh-CN"/>
        </w:rPr>
        <w:t>114.99</w:t>
      </w:r>
      <w:r>
        <w:rPr>
          <w:rFonts w:hint="eastAsia" w:ascii="仿宋_GB2312" w:hAnsi="仿宋_GB2312" w:eastAsia="仿宋_GB2312" w:cs="仿宋_GB2312"/>
          <w:color w:val="auto"/>
          <w:sz w:val="32"/>
          <w:szCs w:val="32"/>
          <w:lang w:eastAsia="zh-CN"/>
        </w:rPr>
        <w:t>万元，占</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bookmarkEnd w:id="5"/>
    <w:p>
      <w:pPr>
        <w:spacing w:line="600" w:lineRule="exact"/>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(（2：收入决算结构图）</w:t>
      </w: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7" w:name="_Toc12763"/>
      <w:bookmarkEnd w:id="7"/>
      <w:r>
        <w:rPr>
          <w:rFonts w:hint="eastAsia" w:ascii="黑体" w:hAnsi="黑体" w:eastAsia="黑体" w:cs="Times New Roman"/>
          <w:b w:val="0"/>
          <w:bCs w:val="0"/>
          <w:color w:val="000000"/>
          <w:kern w:val="2"/>
          <w:sz w:val="32"/>
          <w:szCs w:val="22"/>
          <w:lang w:val="en-US" w:eastAsia="zh-CN"/>
        </w:rPr>
        <w:t>三、支出决算情况说明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2023年度本年支出合计</w:t>
      </w:r>
      <w:r>
        <w:rPr>
          <w:rFonts w:hint="eastAsia" w:ascii="仿宋_GB2312" w:hAnsi="仿宋_GB2312" w:eastAsia="仿宋_GB2312" w:cs="仿宋_GB2312"/>
          <w:color w:val="auto"/>
          <w:sz w:val="32"/>
          <w:szCs w:val="32"/>
          <w:lang w:val="en-US" w:eastAsia="zh-CN"/>
        </w:rPr>
        <w:t>114.99</w:t>
      </w:r>
      <w:r>
        <w:rPr>
          <w:rFonts w:hint="eastAsia" w:ascii="仿宋_GB2312" w:hAnsi="仿宋_GB2312" w:eastAsia="仿宋_GB2312" w:cs="仿宋_GB2312"/>
          <w:color w:val="auto"/>
          <w:sz w:val="32"/>
          <w:szCs w:val="32"/>
          <w:lang w:eastAsia="zh-CN"/>
        </w:rPr>
        <w:t>万元，其中：基本支出</w:t>
      </w:r>
      <w:r>
        <w:rPr>
          <w:rFonts w:hint="eastAsia" w:ascii="仿宋_GB2312" w:hAnsi="仿宋_GB2312" w:eastAsia="仿宋_GB2312" w:cs="仿宋_GB2312"/>
          <w:color w:val="auto"/>
          <w:sz w:val="32"/>
          <w:szCs w:val="32"/>
          <w:lang w:val="en-US" w:eastAsia="zh-CN"/>
        </w:rPr>
        <w:t>112.99</w:t>
      </w:r>
      <w:r>
        <w:rPr>
          <w:rFonts w:hint="eastAsia" w:ascii="仿宋_GB2312" w:hAnsi="仿宋_GB2312" w:eastAsia="仿宋_GB2312" w:cs="仿宋_GB2312"/>
          <w:color w:val="auto"/>
          <w:sz w:val="32"/>
          <w:szCs w:val="32"/>
          <w:lang w:eastAsia="zh-CN"/>
        </w:rPr>
        <w:t>万元，占</w:t>
      </w:r>
      <w:r>
        <w:rPr>
          <w:rFonts w:hint="eastAsia" w:ascii="仿宋_GB2312" w:hAnsi="仿宋_GB2312" w:eastAsia="仿宋_GB2312" w:cs="仿宋_GB2312"/>
          <w:color w:val="auto"/>
          <w:sz w:val="32"/>
          <w:szCs w:val="32"/>
          <w:lang w:val="en-US" w:eastAsia="zh-CN"/>
        </w:rPr>
        <w:t>98.3</w:t>
      </w:r>
      <w:r>
        <w:rPr>
          <w:rFonts w:hint="eastAsia" w:ascii="仿宋_GB2312" w:hAnsi="仿宋_GB2312" w:eastAsia="仿宋_GB2312" w:cs="仿宋_GB2312"/>
          <w:color w:val="auto"/>
          <w:sz w:val="32"/>
          <w:szCs w:val="32"/>
          <w:lang w:eastAsia="zh-CN"/>
        </w:rPr>
        <w:t>%；项目支出</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万元，占</w:t>
      </w:r>
      <w:r>
        <w:rPr>
          <w:rFonts w:hint="eastAsia" w:ascii="仿宋_GB2312" w:hAnsi="仿宋_GB2312" w:eastAsia="仿宋_GB2312" w:cs="仿宋_GB2312"/>
          <w:color w:val="auto"/>
          <w:sz w:val="32"/>
          <w:szCs w:val="32"/>
          <w:lang w:val="en-US" w:eastAsia="zh-CN"/>
        </w:rPr>
        <w:t>1.7</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eastAsia="zh-CN"/>
        </w:rPr>
      </w:pPr>
    </w:p>
    <w:p>
      <w:pPr>
        <w:spacing w:line="600" w:lineRule="exact"/>
        <w:jc w:val="both"/>
        <w:rPr>
          <w:rFonts w:hint="eastAsia" w:ascii="仿宋" w:hAnsi="仿宋" w:eastAsia="仿宋"/>
          <w:color w:val="auto"/>
          <w:sz w:val="32"/>
          <w:szCs w:val="32"/>
        </w:rPr>
      </w:pPr>
    </w:p>
    <w:p>
      <w:pPr>
        <w:spacing w:line="600" w:lineRule="exact"/>
        <w:jc w:val="both"/>
        <w:rPr>
          <w:rFonts w:hint="eastAsia" w:ascii="仿宋" w:hAnsi="仿宋" w:eastAsia="仿宋"/>
          <w:color w:val="auto"/>
          <w:sz w:val="32"/>
          <w:szCs w:val="32"/>
        </w:rPr>
      </w:pPr>
    </w:p>
    <w:p>
      <w:pPr>
        <w:spacing w:line="600" w:lineRule="exact"/>
        <w:jc w:val="center"/>
        <w:rPr>
          <w:rFonts w:ascii="仿宋_GB2312" w:eastAsia="仿宋_GB2312"/>
          <w:color w:val="auto"/>
          <w:sz w:val="32"/>
          <w:szCs w:val="32"/>
        </w:rPr>
      </w:pPr>
      <w:r>
        <w:rPr>
          <w:rFonts w:hint="eastAsia"/>
        </w:rPr>
        <w:drawing>
          <wp:anchor distT="0" distB="0" distL="0" distR="0" simplePos="0" relativeHeight="251663360" behindDoc="0" locked="0" layoutInCell="1" allowOverlap="1">
            <wp:simplePos x="0" y="0"/>
            <wp:positionH relativeFrom="column">
              <wp:posOffset>12065</wp:posOffset>
            </wp:positionH>
            <wp:positionV relativeFrom="page">
              <wp:posOffset>1004570</wp:posOffset>
            </wp:positionV>
            <wp:extent cx="5198745" cy="2305050"/>
            <wp:effectExtent l="4445" t="4445" r="16510" b="14605"/>
            <wp:wrapTopAndBottom/>
            <wp:docPr id="3"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 w:hAnsi="仿宋" w:eastAsia="仿宋"/>
          <w:color w:val="auto"/>
          <w:sz w:val="32"/>
          <w:szCs w:val="32"/>
        </w:rPr>
        <w:t>（图3：支出决算结构图）</w:t>
      </w: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8" w:name="_Toc11588"/>
      <w:bookmarkEnd w:id="8"/>
      <w:r>
        <w:rPr>
          <w:rFonts w:hint="eastAsia" w:ascii="黑体" w:hAnsi="黑体" w:eastAsia="黑体" w:cs="Times New Roman"/>
          <w:b w:val="0"/>
          <w:bCs w:val="0"/>
          <w:color w:val="000000"/>
          <w:kern w:val="2"/>
          <w:sz w:val="32"/>
          <w:szCs w:val="22"/>
          <w:lang w:val="en-US" w:eastAsia="zh-CN"/>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2023年度财政拨款收、支总计均为</w:t>
      </w:r>
      <w:r>
        <w:rPr>
          <w:rFonts w:hint="eastAsia" w:ascii="仿宋_GB2312" w:hAnsi="仿宋_GB2312" w:eastAsia="仿宋_GB2312" w:cs="仿宋_GB2312"/>
          <w:color w:val="auto"/>
          <w:sz w:val="32"/>
          <w:szCs w:val="32"/>
          <w:lang w:val="en-US" w:eastAsia="zh-CN"/>
        </w:rPr>
        <w:t>114.99</w:t>
      </w:r>
      <w:r>
        <w:rPr>
          <w:rFonts w:hint="eastAsia" w:ascii="仿宋_GB2312" w:hAnsi="仿宋_GB2312" w:eastAsia="仿宋_GB2312" w:cs="仿宋_GB2312"/>
          <w:color w:val="auto"/>
          <w:sz w:val="32"/>
          <w:szCs w:val="32"/>
          <w:lang w:eastAsia="zh-CN"/>
        </w:rPr>
        <w:t>万元。与2022年度相比，财政拨款收、支总计各减少</w:t>
      </w:r>
      <w:r>
        <w:rPr>
          <w:rFonts w:hint="eastAsia" w:ascii="仿宋_GB2312" w:hAnsi="仿宋_GB2312" w:eastAsia="仿宋_GB2312" w:cs="仿宋_GB2312"/>
          <w:color w:val="auto"/>
          <w:sz w:val="32"/>
          <w:szCs w:val="32"/>
          <w:lang w:val="en-US" w:eastAsia="zh-CN"/>
        </w:rPr>
        <w:t>8.65</w:t>
      </w:r>
      <w:r>
        <w:rPr>
          <w:rFonts w:hint="eastAsia" w:ascii="仿宋_GB2312" w:hAnsi="仿宋_GB2312" w:eastAsia="仿宋_GB2312" w:cs="仿宋_GB2312"/>
          <w:color w:val="auto"/>
          <w:sz w:val="32"/>
          <w:szCs w:val="32"/>
          <w:lang w:eastAsia="zh-CN"/>
        </w:rPr>
        <w:t>万元，下降</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lang w:eastAsia="zh-CN"/>
        </w:rPr>
        <w:t>%。主要变动原因是项目资金减少。</w:t>
      </w:r>
    </w:p>
    <w:p>
      <w:pPr>
        <w:pStyle w:val="12"/>
        <w:rPr>
          <w:rFonts w:hint="eastAsia" w:ascii="仿宋" w:hAnsi="仿宋" w:eastAsia="仿宋"/>
          <w:color w:val="000000"/>
          <w:sz w:val="32"/>
          <w:szCs w:val="32"/>
          <w:lang w:eastAsia="zh-CN"/>
        </w:rPr>
      </w:pPr>
      <w:r>
        <w:rPr>
          <w:rFonts w:hint="eastAsia"/>
        </w:rPr>
        <w:drawing>
          <wp:inline distT="0" distB="0" distL="0" distR="0">
            <wp:extent cx="5133975" cy="3620770"/>
            <wp:effectExtent l="4445" t="4445" r="5080" b="13335"/>
            <wp:docPr id="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ascii="仿宋" w:hAnsi="仿宋" w:eastAsia="仿宋"/>
          <w:b/>
          <w:color w:val="auto"/>
          <w:sz w:val="32"/>
          <w:szCs w:val="32"/>
        </w:rPr>
      </w:pPr>
      <w:r>
        <w:rPr>
          <w:rFonts w:hint="eastAsia" w:ascii="仿宋" w:hAnsi="仿宋" w:eastAsia="仿宋"/>
          <w:color w:val="auto"/>
          <w:sz w:val="32"/>
          <w:szCs w:val="32"/>
        </w:rPr>
        <w:t>（图4：财政拨款收、支决算总计变动情况</w:t>
      </w:r>
      <w:r>
        <w:rPr>
          <w:rFonts w:hint="eastAsia" w:ascii="仿宋" w:hAnsi="仿宋" w:eastAsia="仿宋"/>
          <w:color w:val="auto"/>
          <w:sz w:val="32"/>
          <w:szCs w:val="32"/>
          <w:lang w:eastAsia="zh-CN"/>
        </w:rPr>
        <w:t>图</w:t>
      </w:r>
      <w:r>
        <w:rPr>
          <w:rFonts w:hint="eastAsia" w:ascii="仿宋" w:hAnsi="仿宋" w:eastAsia="仿宋"/>
          <w:color w:val="auto"/>
          <w:sz w:val="32"/>
          <w:szCs w:val="32"/>
        </w:rPr>
        <w:t>）</w:t>
      </w: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9" w:name="_Toc27180"/>
      <w:bookmarkEnd w:id="9"/>
      <w:r>
        <w:rPr>
          <w:rFonts w:hint="eastAsia" w:ascii="黑体" w:hAnsi="黑体" w:eastAsia="黑体" w:cs="Times New Roman"/>
          <w:b w:val="0"/>
          <w:bCs w:val="0"/>
          <w:color w:val="000000"/>
          <w:kern w:val="2"/>
          <w:sz w:val="32"/>
          <w:szCs w:val="22"/>
          <w:lang w:val="en-US" w:eastAsia="zh-CN"/>
        </w:rPr>
        <w:t>五、一般公共预算财政拨款支出决算情况说明</w:t>
      </w:r>
    </w:p>
    <w:p>
      <w:pPr>
        <w:spacing w:line="600" w:lineRule="exact"/>
        <w:ind w:firstLine="642" w:firstLineChars="200"/>
        <w:outlineLvl w:val="2"/>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2023年度一般公共预算财政拨款支出</w:t>
      </w:r>
      <w:r>
        <w:rPr>
          <w:rFonts w:hint="eastAsia" w:ascii="仿宋_GB2312" w:hAnsi="仿宋_GB2312" w:eastAsia="仿宋_GB2312" w:cs="仿宋_GB2312"/>
          <w:color w:val="auto"/>
          <w:sz w:val="32"/>
          <w:szCs w:val="32"/>
          <w:lang w:val="en-US" w:eastAsia="zh-CN"/>
        </w:rPr>
        <w:t>114.99</w:t>
      </w:r>
      <w:r>
        <w:rPr>
          <w:rFonts w:hint="eastAsia" w:ascii="仿宋_GB2312" w:hAnsi="仿宋_GB2312" w:eastAsia="仿宋_GB2312" w:cs="仿宋_GB2312"/>
          <w:color w:val="auto"/>
          <w:sz w:val="32"/>
          <w:szCs w:val="32"/>
          <w:lang w:eastAsia="zh-CN"/>
        </w:rPr>
        <w:t>万元，占本年支出合计的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%。与2022年度相比，一般公共预算财政拨款支出减少</w:t>
      </w:r>
      <w:r>
        <w:rPr>
          <w:rFonts w:hint="eastAsia" w:ascii="仿宋_GB2312" w:hAnsi="仿宋_GB2312" w:eastAsia="仿宋_GB2312" w:cs="仿宋_GB2312"/>
          <w:color w:val="auto"/>
          <w:sz w:val="32"/>
          <w:szCs w:val="32"/>
          <w:lang w:val="en-US" w:eastAsia="zh-CN"/>
        </w:rPr>
        <w:t>8.65</w:t>
      </w:r>
      <w:r>
        <w:rPr>
          <w:rFonts w:hint="eastAsia" w:ascii="仿宋_GB2312" w:hAnsi="仿宋_GB2312" w:eastAsia="仿宋_GB2312" w:cs="仿宋_GB2312"/>
          <w:color w:val="auto"/>
          <w:sz w:val="32"/>
          <w:szCs w:val="32"/>
          <w:lang w:eastAsia="zh-CN"/>
        </w:rPr>
        <w:t>万元，下降</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lang w:eastAsia="zh-CN"/>
        </w:rPr>
        <w:t>%。主要变动原因是项目资金减少。</w:t>
      </w:r>
    </w:p>
    <w:p>
      <w:pPr>
        <w:pStyle w:val="12"/>
        <w:jc w:val="left"/>
        <w:rPr>
          <w:rFonts w:hint="eastAsia"/>
          <w:lang w:eastAsia="zh-CN"/>
        </w:rPr>
      </w:pPr>
      <w:r>
        <w:rPr>
          <w:rFonts w:hint="eastAsia"/>
        </w:rPr>
        <w:drawing>
          <wp:inline distT="0" distB="0" distL="0" distR="0">
            <wp:extent cx="5349875" cy="5351145"/>
            <wp:effectExtent l="4445" t="4445" r="17780" b="16510"/>
            <wp:docPr id="5"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ascii="仿宋" w:hAnsi="仿宋" w:eastAsia="仿宋"/>
          <w:color w:val="auto"/>
          <w:sz w:val="32"/>
          <w:szCs w:val="32"/>
        </w:rPr>
      </w:pPr>
      <w:r>
        <w:rPr>
          <w:rFonts w:hint="eastAsia" w:ascii="仿宋" w:hAnsi="仿宋" w:eastAsia="仿宋"/>
          <w:color w:val="auto"/>
          <w:sz w:val="32"/>
          <w:szCs w:val="32"/>
        </w:rPr>
        <w:t>（图5：一般公共预算财政拨款支出决算变动情况</w:t>
      </w:r>
      <w:r>
        <w:rPr>
          <w:rFonts w:hint="eastAsia" w:ascii="仿宋" w:hAnsi="仿宋" w:eastAsia="仿宋"/>
          <w:color w:val="auto"/>
          <w:sz w:val="32"/>
          <w:szCs w:val="32"/>
          <w:lang w:eastAsia="zh-CN"/>
        </w:rPr>
        <w:t>图</w:t>
      </w:r>
      <w:r>
        <w:rPr>
          <w:rFonts w:hint="eastAsia" w:ascii="仿宋" w:hAnsi="仿宋" w:eastAsia="仿宋"/>
          <w:color w:val="auto"/>
          <w:sz w:val="32"/>
          <w:szCs w:val="32"/>
        </w:rPr>
        <w:t>）</w:t>
      </w:r>
    </w:p>
    <w:p>
      <w:pPr>
        <w:spacing w:line="600" w:lineRule="exact"/>
        <w:ind w:firstLine="642" w:firstLineChars="200"/>
        <w:outlineLvl w:val="2"/>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（二）一般公共预算财政拨款支出决算结构情况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2023年度一般公共预算财政拨款支出</w:t>
      </w:r>
      <w:r>
        <w:rPr>
          <w:rFonts w:hint="eastAsia" w:ascii="仿宋_GB2312" w:hAnsi="仿宋_GB2312" w:eastAsia="仿宋_GB2312" w:cs="仿宋_GB2312"/>
          <w:color w:val="auto"/>
          <w:sz w:val="32"/>
          <w:szCs w:val="32"/>
          <w:lang w:val="en-US" w:eastAsia="zh-CN"/>
        </w:rPr>
        <w:t>114.99</w:t>
      </w:r>
      <w:r>
        <w:rPr>
          <w:rFonts w:hint="eastAsia" w:ascii="仿宋_GB2312" w:hAnsi="仿宋_GB2312" w:eastAsia="仿宋_GB2312" w:cs="仿宋_GB2312"/>
          <w:color w:val="auto"/>
          <w:sz w:val="32"/>
          <w:szCs w:val="32"/>
          <w:lang w:eastAsia="zh-CN"/>
        </w:rPr>
        <w:t>万元，主要用于以下方面:社会保障和就业支出</w:t>
      </w:r>
      <w:r>
        <w:rPr>
          <w:rFonts w:hint="eastAsia" w:ascii="仿宋_GB2312" w:hAnsi="仿宋_GB2312" w:eastAsia="仿宋_GB2312" w:cs="仿宋_GB2312"/>
          <w:color w:val="auto"/>
          <w:sz w:val="32"/>
          <w:szCs w:val="32"/>
          <w:lang w:val="en-US" w:eastAsia="zh-CN"/>
        </w:rPr>
        <w:t>9.41</w:t>
      </w:r>
      <w:r>
        <w:rPr>
          <w:rFonts w:hint="eastAsia" w:ascii="仿宋_GB2312" w:hAnsi="仿宋_GB2312" w:eastAsia="仿宋_GB2312" w:cs="仿宋_GB2312"/>
          <w:color w:val="auto"/>
          <w:sz w:val="32"/>
          <w:szCs w:val="32"/>
          <w:lang w:eastAsia="zh-CN"/>
        </w:rPr>
        <w:t>万元，占</w:t>
      </w:r>
      <w:r>
        <w:rPr>
          <w:rFonts w:hint="eastAsia" w:ascii="仿宋_GB2312" w:hAnsi="仿宋_GB2312" w:eastAsia="仿宋_GB2312" w:cs="仿宋_GB2312"/>
          <w:color w:val="auto"/>
          <w:sz w:val="32"/>
          <w:szCs w:val="32"/>
          <w:lang w:val="en-US" w:eastAsia="zh-CN"/>
        </w:rPr>
        <w:t>8.2</w:t>
      </w:r>
      <w:r>
        <w:rPr>
          <w:rFonts w:hint="eastAsia" w:ascii="仿宋_GB2312" w:hAnsi="仿宋_GB2312" w:eastAsia="仿宋_GB2312" w:cs="仿宋_GB2312"/>
          <w:color w:val="auto"/>
          <w:sz w:val="32"/>
          <w:szCs w:val="32"/>
          <w:lang w:eastAsia="zh-CN"/>
        </w:rPr>
        <w:t>%；卫生健康支出</w:t>
      </w:r>
      <w:r>
        <w:rPr>
          <w:rFonts w:hint="eastAsia" w:ascii="仿宋_GB2312" w:hAnsi="仿宋_GB2312" w:eastAsia="仿宋_GB2312" w:cs="仿宋_GB2312"/>
          <w:color w:val="auto"/>
          <w:sz w:val="32"/>
          <w:szCs w:val="32"/>
          <w:lang w:val="en-US" w:eastAsia="zh-CN"/>
        </w:rPr>
        <w:t>97.2</w:t>
      </w:r>
      <w:r>
        <w:rPr>
          <w:rFonts w:hint="eastAsia" w:ascii="仿宋_GB2312" w:hAnsi="仿宋_GB2312" w:eastAsia="仿宋_GB2312" w:cs="仿宋_GB2312"/>
          <w:color w:val="auto"/>
          <w:sz w:val="32"/>
          <w:szCs w:val="32"/>
          <w:lang w:eastAsia="zh-CN"/>
        </w:rPr>
        <w:t>万元，占</w:t>
      </w:r>
      <w:r>
        <w:rPr>
          <w:rFonts w:hint="eastAsia" w:ascii="仿宋_GB2312" w:hAnsi="仿宋_GB2312" w:eastAsia="仿宋_GB2312" w:cs="仿宋_GB2312"/>
          <w:color w:val="auto"/>
          <w:sz w:val="32"/>
          <w:szCs w:val="32"/>
          <w:lang w:val="en-US" w:eastAsia="zh-CN"/>
        </w:rPr>
        <w:t>84.5</w:t>
      </w:r>
      <w:r>
        <w:rPr>
          <w:rFonts w:hint="eastAsia" w:ascii="仿宋_GB2312" w:hAnsi="仿宋_GB2312" w:eastAsia="仿宋_GB2312" w:cs="仿宋_GB2312"/>
          <w:color w:val="auto"/>
          <w:sz w:val="32"/>
          <w:szCs w:val="32"/>
          <w:lang w:eastAsia="zh-CN"/>
        </w:rPr>
        <w:t>%；住房保障支出</w:t>
      </w:r>
      <w:r>
        <w:rPr>
          <w:rFonts w:hint="eastAsia" w:ascii="仿宋_GB2312" w:hAnsi="仿宋_GB2312" w:eastAsia="仿宋_GB2312" w:cs="仿宋_GB2312"/>
          <w:color w:val="auto"/>
          <w:sz w:val="32"/>
          <w:szCs w:val="32"/>
          <w:lang w:val="en-US" w:eastAsia="zh-CN"/>
        </w:rPr>
        <w:t>8.38</w:t>
      </w:r>
      <w:r>
        <w:rPr>
          <w:rFonts w:hint="eastAsia" w:ascii="仿宋_GB2312" w:hAnsi="仿宋_GB2312" w:eastAsia="仿宋_GB2312" w:cs="仿宋_GB2312"/>
          <w:color w:val="auto"/>
          <w:sz w:val="32"/>
          <w:szCs w:val="32"/>
          <w:lang w:eastAsia="zh-CN"/>
        </w:rPr>
        <w:t>万元，占</w:t>
      </w:r>
      <w:r>
        <w:rPr>
          <w:rFonts w:hint="eastAsia" w:ascii="仿宋_GB2312" w:hAnsi="仿宋_GB2312" w:eastAsia="仿宋_GB2312" w:cs="仿宋_GB2312"/>
          <w:color w:val="auto"/>
          <w:sz w:val="32"/>
          <w:szCs w:val="32"/>
          <w:lang w:val="en-US" w:eastAsia="zh-CN"/>
        </w:rPr>
        <w:t>7.3</w:t>
      </w:r>
      <w:r>
        <w:rPr>
          <w:rFonts w:hint="eastAsia" w:ascii="仿宋_GB2312" w:hAnsi="仿宋_GB2312" w:eastAsia="仿宋_GB2312" w:cs="仿宋_GB2312"/>
          <w:color w:val="auto"/>
          <w:sz w:val="32"/>
          <w:szCs w:val="32"/>
          <w:lang w:eastAsia="zh-CN"/>
        </w:rPr>
        <w:t>%。</w:t>
      </w:r>
    </w:p>
    <w:p>
      <w:pPr>
        <w:pageBreakBefore w:val="0"/>
        <w:kinsoku/>
        <w:wordWrap/>
        <w:overflowPunct/>
        <w:topLinePunct w:val="0"/>
        <w:autoSpaceDE/>
        <w:autoSpaceDN/>
        <w:bidi w:val="0"/>
        <w:adjustRightInd/>
        <w:snapToGrid/>
        <w:spacing w:line="576" w:lineRule="exact"/>
        <w:ind w:firstLine="642" w:firstLineChars="200"/>
        <w:rPr>
          <w:rFonts w:hint="eastAsia" w:ascii="仿宋" w:hAnsi="仿宋" w:eastAsia="仿宋"/>
          <w:b/>
          <w:bCs/>
          <w:color w:val="auto"/>
          <w:sz w:val="32"/>
          <w:szCs w:val="32"/>
        </w:rPr>
      </w:pPr>
    </w:p>
    <w:p>
      <w:pPr>
        <w:rPr>
          <w:rFonts w:hint="eastAsia"/>
        </w:rPr>
      </w:pPr>
      <w:r>
        <w:rPr>
          <w:rFonts w:hint="eastAsia"/>
          <w:color w:val="000000"/>
          <w:sz w:val="32"/>
          <w:szCs w:val="32"/>
        </w:rPr>
        <w:drawing>
          <wp:anchor distT="0" distB="0" distL="0" distR="0" simplePos="0" relativeHeight="251661312" behindDoc="0" locked="0" layoutInCell="1" allowOverlap="1">
            <wp:simplePos x="0" y="0"/>
            <wp:positionH relativeFrom="column">
              <wp:posOffset>106045</wp:posOffset>
            </wp:positionH>
            <wp:positionV relativeFrom="paragraph">
              <wp:posOffset>90170</wp:posOffset>
            </wp:positionV>
            <wp:extent cx="5179060" cy="3505200"/>
            <wp:effectExtent l="4445" t="4445" r="17145" b="14605"/>
            <wp:wrapTopAndBottom/>
            <wp:docPr id="6"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pageBreakBefore w:val="0"/>
        <w:kinsoku/>
        <w:wordWrap/>
        <w:overflowPunct/>
        <w:topLinePunct w:val="0"/>
        <w:autoSpaceDE/>
        <w:autoSpaceDN/>
        <w:bidi w:val="0"/>
        <w:adjustRightInd/>
        <w:snapToGrid/>
        <w:spacing w:line="576" w:lineRule="exact"/>
        <w:ind w:firstLine="640" w:firstLineChars="200"/>
        <w:rPr>
          <w:rFonts w:hint="eastAsia" w:ascii="仿宋" w:hAnsi="仿宋" w:eastAsia="仿宋"/>
          <w:color w:val="auto"/>
          <w:sz w:val="32"/>
          <w:szCs w:val="32"/>
        </w:rPr>
      </w:pPr>
      <w:r>
        <w:rPr>
          <w:rFonts w:hint="eastAsia" w:ascii="仿宋" w:hAnsi="仿宋" w:eastAsia="仿宋"/>
          <w:color w:val="auto"/>
          <w:sz w:val="32"/>
          <w:szCs w:val="32"/>
        </w:rPr>
        <w:t>（图6：一般公共预算财政拨款支出决算结构</w:t>
      </w:r>
      <w:r>
        <w:rPr>
          <w:rFonts w:hint="eastAsia" w:ascii="仿宋" w:hAnsi="仿宋" w:eastAsia="仿宋"/>
          <w:color w:val="auto"/>
          <w:sz w:val="32"/>
          <w:szCs w:val="32"/>
          <w:lang w:eastAsia="zh-CN"/>
        </w:rPr>
        <w:t>图</w:t>
      </w:r>
      <w:r>
        <w:rPr>
          <w:rFonts w:hint="eastAsia" w:ascii="仿宋" w:hAnsi="仿宋" w:eastAsia="仿宋"/>
          <w:color w:val="auto"/>
          <w:sz w:val="32"/>
          <w:szCs w:val="32"/>
        </w:rPr>
        <w:t>）</w:t>
      </w:r>
    </w:p>
    <w:p>
      <w:pPr>
        <w:spacing w:line="600" w:lineRule="exact"/>
        <w:ind w:firstLine="642" w:firstLineChars="200"/>
        <w:outlineLvl w:val="2"/>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2023年度一般公共预算支出决算数为</w:t>
      </w:r>
      <w:r>
        <w:rPr>
          <w:rFonts w:hint="eastAsia" w:ascii="仿宋_GB2312" w:hAnsi="仿宋_GB2312" w:eastAsia="仿宋_GB2312" w:cs="仿宋_GB2312"/>
          <w:color w:val="auto"/>
          <w:sz w:val="32"/>
          <w:szCs w:val="32"/>
          <w:lang w:val="en-US" w:eastAsia="zh-CN"/>
        </w:rPr>
        <w:t>114.99</w:t>
      </w:r>
      <w:r>
        <w:rPr>
          <w:rFonts w:hint="eastAsia" w:ascii="仿宋_GB2312" w:hAnsi="仿宋_GB2312" w:eastAsia="仿宋_GB2312" w:cs="仿宋_GB2312"/>
          <w:color w:val="auto"/>
          <w:sz w:val="32"/>
          <w:szCs w:val="32"/>
          <w:lang w:eastAsia="zh-CN"/>
        </w:rPr>
        <w:t>万元，完成预算</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1.卫生健康支出决算数为</w:t>
      </w:r>
      <w:r>
        <w:rPr>
          <w:rFonts w:hint="eastAsia" w:ascii="仿宋_GB2312" w:hAnsi="仿宋_GB2312" w:eastAsia="仿宋_GB2312" w:cs="仿宋_GB2312"/>
          <w:color w:val="auto"/>
          <w:sz w:val="32"/>
          <w:szCs w:val="32"/>
          <w:lang w:val="en-US" w:eastAsia="zh-CN"/>
        </w:rPr>
        <w:t>97.2</w:t>
      </w:r>
      <w:r>
        <w:rPr>
          <w:rFonts w:hint="eastAsia" w:ascii="仿宋_GB2312" w:hAnsi="仿宋_GB2312" w:eastAsia="仿宋_GB2312" w:cs="仿宋_GB2312"/>
          <w:color w:val="auto"/>
          <w:sz w:val="32"/>
          <w:szCs w:val="32"/>
          <w:lang w:eastAsia="zh-CN"/>
        </w:rPr>
        <w:t>，完成预算</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）卫生健康支出（类）计划生育事务（款）计划生育结构（项）：支出决算为：</w:t>
      </w:r>
      <w:r>
        <w:rPr>
          <w:rFonts w:hint="eastAsia" w:ascii="仿宋_GB2312" w:hAnsi="仿宋_GB2312" w:eastAsia="仿宋_GB2312" w:cs="仿宋_GB2312"/>
          <w:color w:val="auto"/>
          <w:sz w:val="32"/>
          <w:szCs w:val="32"/>
          <w:lang w:val="en-US" w:eastAsia="zh-CN"/>
        </w:rPr>
        <w:t>4.35</w:t>
      </w:r>
      <w:r>
        <w:rPr>
          <w:rFonts w:hint="eastAsia" w:ascii="仿宋_GB2312" w:hAnsi="仿宋_GB2312" w:eastAsia="仿宋_GB2312" w:cs="仿宋_GB2312"/>
          <w:color w:val="auto"/>
          <w:sz w:val="32"/>
          <w:szCs w:val="32"/>
          <w:lang w:eastAsia="zh-CN"/>
        </w:rPr>
        <w:t>万元，完成预算</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）卫生健康支出（类）计划生育事务（款）计划生育服务（项）：支出决算为：</w:t>
      </w:r>
      <w:r>
        <w:rPr>
          <w:rFonts w:hint="eastAsia" w:ascii="仿宋_GB2312" w:hAnsi="仿宋_GB2312" w:eastAsia="仿宋_GB2312" w:cs="仿宋_GB2312"/>
          <w:color w:val="auto"/>
          <w:sz w:val="32"/>
          <w:szCs w:val="32"/>
          <w:lang w:val="en-US" w:eastAsia="zh-CN"/>
        </w:rPr>
        <w:t>6.2</w:t>
      </w:r>
      <w:r>
        <w:rPr>
          <w:rFonts w:hint="eastAsia" w:ascii="仿宋_GB2312" w:hAnsi="仿宋_GB2312" w:eastAsia="仿宋_GB2312" w:cs="仿宋_GB2312"/>
          <w:color w:val="auto"/>
          <w:sz w:val="32"/>
          <w:szCs w:val="32"/>
          <w:lang w:eastAsia="zh-CN"/>
        </w:rPr>
        <w:t>万元，完成预算</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）卫生健康支出（类）计划生育事务（款）其他计划生育事务支出（项）：支出决算为：</w:t>
      </w:r>
      <w:r>
        <w:rPr>
          <w:rFonts w:hint="eastAsia" w:ascii="仿宋_GB2312" w:hAnsi="仿宋_GB2312" w:eastAsia="仿宋_GB2312" w:cs="仿宋_GB2312"/>
          <w:color w:val="auto"/>
          <w:sz w:val="32"/>
          <w:szCs w:val="32"/>
          <w:lang w:val="en-US" w:eastAsia="zh-CN"/>
        </w:rPr>
        <w:t>83.47</w:t>
      </w:r>
      <w:r>
        <w:rPr>
          <w:rFonts w:hint="eastAsia" w:ascii="仿宋_GB2312" w:hAnsi="仿宋_GB2312" w:eastAsia="仿宋_GB2312" w:cs="仿宋_GB2312"/>
          <w:color w:val="auto"/>
          <w:sz w:val="32"/>
          <w:szCs w:val="32"/>
          <w:lang w:eastAsia="zh-CN"/>
        </w:rPr>
        <w:t>万元，完成预算</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）卫生健康支出（类）行政事业单位医疗（款）事业单位医疗（项）:支出决算为</w:t>
      </w:r>
      <w:r>
        <w:rPr>
          <w:rFonts w:hint="eastAsia" w:ascii="仿宋_GB2312" w:hAnsi="仿宋_GB2312" w:eastAsia="仿宋_GB2312" w:cs="仿宋_GB2312"/>
          <w:color w:val="auto"/>
          <w:sz w:val="32"/>
          <w:szCs w:val="32"/>
          <w:lang w:val="en-US" w:eastAsia="zh-CN"/>
        </w:rPr>
        <w:t>3.18</w:t>
      </w:r>
      <w:r>
        <w:rPr>
          <w:rFonts w:hint="eastAsia" w:ascii="仿宋_GB2312" w:hAnsi="仿宋_GB2312" w:eastAsia="仿宋_GB2312" w:cs="仿宋_GB2312"/>
          <w:color w:val="auto"/>
          <w:sz w:val="32"/>
          <w:szCs w:val="32"/>
          <w:lang w:eastAsia="zh-CN"/>
        </w:rPr>
        <w:t>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.社会保障和就业支出（类）行政事业单位养老支出（款）机关事业单位基本养老保险缴费支出（项）支出决算为</w:t>
      </w:r>
      <w:r>
        <w:rPr>
          <w:rFonts w:hint="eastAsia" w:ascii="仿宋_GB2312" w:hAnsi="仿宋_GB2312" w:eastAsia="仿宋_GB2312" w:cs="仿宋_GB2312"/>
          <w:color w:val="auto"/>
          <w:sz w:val="32"/>
          <w:szCs w:val="32"/>
          <w:lang w:val="en-US" w:eastAsia="zh-CN"/>
        </w:rPr>
        <w:t>9.41</w:t>
      </w:r>
      <w:r>
        <w:rPr>
          <w:rFonts w:hint="eastAsia" w:ascii="仿宋_GB2312" w:hAnsi="仿宋_GB2312" w:eastAsia="仿宋_GB2312" w:cs="仿宋_GB2312"/>
          <w:color w:val="auto"/>
          <w:sz w:val="32"/>
          <w:szCs w:val="32"/>
          <w:lang w:eastAsia="zh-CN"/>
        </w:rPr>
        <w:t>万元，完成预算100%。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3.住房保障支出（类）住房改革支出（款）住房公积金（项）支出决算为</w:t>
      </w:r>
      <w:r>
        <w:rPr>
          <w:rFonts w:hint="eastAsia" w:ascii="仿宋_GB2312" w:hAnsi="仿宋_GB2312" w:eastAsia="仿宋_GB2312" w:cs="仿宋_GB2312"/>
          <w:color w:val="auto"/>
          <w:sz w:val="32"/>
          <w:szCs w:val="32"/>
          <w:lang w:val="en-US" w:eastAsia="zh-CN"/>
        </w:rPr>
        <w:t>8.38</w:t>
      </w:r>
      <w:r>
        <w:rPr>
          <w:rFonts w:hint="eastAsia" w:ascii="仿宋_GB2312" w:hAnsi="仿宋_GB2312" w:eastAsia="仿宋_GB2312" w:cs="仿宋_GB2312"/>
          <w:color w:val="auto"/>
          <w:sz w:val="32"/>
          <w:szCs w:val="32"/>
          <w:lang w:eastAsia="zh-CN"/>
        </w:rPr>
        <w:t>万元，完成预算100%。</w:t>
      </w:r>
    </w:p>
    <w:p>
      <w:pPr>
        <w:tabs>
          <w:tab w:val="right" w:pos="8306"/>
        </w:tabs>
        <w:spacing w:line="600" w:lineRule="exact"/>
        <w:ind w:firstLine="640"/>
        <w:outlineLvl w:val="1"/>
        <w:rPr>
          <w:rStyle w:val="20"/>
          <w:color w:val="auto"/>
        </w:rPr>
      </w:pPr>
      <w:bookmarkStart w:id="10" w:name="_Toc25207"/>
      <w:bookmarkEnd w:id="10"/>
      <w:r>
        <w:rPr>
          <w:rFonts w:hint="eastAsia" w:ascii="黑体" w:hAnsi="黑体" w:eastAsia="黑体" w:cs="Times New Roman"/>
          <w:b w:val="0"/>
          <w:bCs w:val="0"/>
          <w:color w:val="000000"/>
          <w:kern w:val="2"/>
          <w:sz w:val="32"/>
          <w:szCs w:val="22"/>
          <w:lang w:val="en-US" w:eastAsia="zh-CN" w:bidi="ar-SA"/>
        </w:rPr>
        <w:t>六、一般公共预算财政拨款基本支出决算情况说明</w:t>
      </w:r>
      <w:r>
        <w:rPr>
          <w:rStyle w:val="20"/>
          <w:rFonts w:ascii="黑体" w:hAnsi="黑体" w:eastAsia="黑体"/>
          <w:b w:val="0"/>
          <w:color w:val="auto"/>
        </w:rPr>
        <w:tab/>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2023年度一般公共预算财政拨款基本支出</w:t>
      </w:r>
      <w:r>
        <w:rPr>
          <w:rFonts w:hint="eastAsia" w:ascii="仿宋_GB2312" w:hAnsi="仿宋_GB2312" w:eastAsia="仿宋_GB2312" w:cs="仿宋_GB2312"/>
          <w:color w:val="auto"/>
          <w:sz w:val="32"/>
          <w:szCs w:val="32"/>
          <w:lang w:val="en-US" w:eastAsia="zh-CN"/>
        </w:rPr>
        <w:t>114.99</w:t>
      </w:r>
      <w:r>
        <w:rPr>
          <w:rFonts w:hint="eastAsia" w:ascii="仿宋_GB2312" w:hAnsi="仿宋_GB2312" w:eastAsia="仿宋_GB2312" w:cs="仿宋_GB2312"/>
          <w:color w:val="auto"/>
          <w:sz w:val="32"/>
          <w:szCs w:val="32"/>
          <w:lang w:eastAsia="zh-CN"/>
        </w:rPr>
        <w:t>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人员经费</w:t>
      </w:r>
      <w:r>
        <w:rPr>
          <w:rFonts w:hint="eastAsia" w:ascii="仿宋_GB2312" w:hAnsi="仿宋_GB2312" w:eastAsia="仿宋_GB2312" w:cs="仿宋_GB2312"/>
          <w:color w:val="auto"/>
          <w:sz w:val="32"/>
          <w:szCs w:val="32"/>
          <w:lang w:val="en-US" w:eastAsia="zh-CN"/>
        </w:rPr>
        <w:t>103.25</w:t>
      </w:r>
      <w:r>
        <w:rPr>
          <w:rFonts w:hint="eastAsia" w:ascii="仿宋_GB2312" w:hAnsi="仿宋_GB2312" w:eastAsia="仿宋_GB2312" w:cs="仿宋_GB2312"/>
          <w:color w:val="auto"/>
          <w:sz w:val="32"/>
          <w:szCs w:val="32"/>
          <w:lang w:eastAsia="zh-CN"/>
        </w:rPr>
        <w:t>万元，主要包括：基本工资、津贴补贴、奖金、绩效工资、机关事业单位基本养老保险缴费、职工基本医疗保险缴费、其他社会保障缴费、住房公积金、生活补助、其他对个人和家庭的补助支出。</w:t>
      </w:r>
      <w:r>
        <w:rPr>
          <w:rFonts w:hint="eastAsia" w:ascii="仿宋_GB2312" w:hAnsi="仿宋_GB2312" w:eastAsia="仿宋_GB2312" w:cs="仿宋_GB2312"/>
          <w:color w:val="auto"/>
          <w:sz w:val="32"/>
          <w:szCs w:val="32"/>
          <w:lang w:eastAsia="zh-CN"/>
        </w:rPr>
        <w:br w:type="textWrapping"/>
      </w:r>
      <w:r>
        <w:rPr>
          <w:rFonts w:hint="eastAsia" w:ascii="仿宋_GB2312" w:hAnsi="仿宋_GB2312" w:eastAsia="仿宋_GB2312" w:cs="仿宋_GB2312"/>
          <w:color w:val="auto"/>
          <w:sz w:val="32"/>
          <w:szCs w:val="32"/>
          <w:lang w:eastAsia="zh-CN"/>
        </w:rPr>
        <w:t>　　公用经费</w:t>
      </w:r>
      <w:r>
        <w:rPr>
          <w:rFonts w:hint="eastAsia" w:ascii="仿宋_GB2312" w:hAnsi="仿宋_GB2312" w:eastAsia="仿宋_GB2312" w:cs="仿宋_GB2312"/>
          <w:color w:val="auto"/>
          <w:sz w:val="32"/>
          <w:szCs w:val="32"/>
          <w:lang w:val="en-US" w:eastAsia="zh-CN"/>
        </w:rPr>
        <w:t>9.74</w:t>
      </w:r>
      <w:r>
        <w:rPr>
          <w:rFonts w:hint="eastAsia" w:ascii="仿宋_GB2312" w:hAnsi="仿宋_GB2312" w:eastAsia="仿宋_GB2312" w:cs="仿宋_GB2312"/>
          <w:color w:val="auto"/>
          <w:sz w:val="32"/>
          <w:szCs w:val="32"/>
          <w:lang w:eastAsia="zh-CN"/>
        </w:rPr>
        <w:t>万元，主要包括：办公费、邮电费、物业管理费、劳务费、工会经费、福利费、公务用车运行维护费、其他商品和服务支出。</w:t>
      </w: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11" w:name="_Toc30527"/>
      <w:bookmarkEnd w:id="11"/>
      <w:r>
        <w:rPr>
          <w:rFonts w:hint="eastAsia" w:ascii="黑体" w:hAnsi="黑体" w:eastAsia="黑体" w:cs="Times New Roman"/>
          <w:b w:val="0"/>
          <w:bCs w:val="0"/>
          <w:color w:val="000000"/>
          <w:kern w:val="2"/>
          <w:sz w:val="32"/>
          <w:szCs w:val="22"/>
          <w:lang w:val="en-US" w:eastAsia="zh-CN"/>
        </w:rPr>
        <w:t>七、财政拨款“三公”经费支出决算情况说明</w:t>
      </w:r>
    </w:p>
    <w:p>
      <w:pPr>
        <w:spacing w:line="600" w:lineRule="exact"/>
        <w:ind w:firstLine="640"/>
        <w:outlineLvl w:val="2"/>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（一）“三公”经费财政拨款支出决算总体情况说明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2023年度“三公”经费财政拨款支出决算为</w:t>
      </w:r>
      <w:r>
        <w:rPr>
          <w:rFonts w:hint="eastAsia" w:ascii="仿宋_GB2312" w:hAnsi="仿宋_GB2312" w:eastAsia="仿宋_GB2312" w:cs="仿宋_GB2312"/>
          <w:color w:val="auto"/>
          <w:sz w:val="32"/>
          <w:szCs w:val="32"/>
          <w:lang w:val="en-US" w:eastAsia="zh-CN"/>
        </w:rPr>
        <w:t>0.56</w:t>
      </w:r>
      <w:r>
        <w:rPr>
          <w:rFonts w:hint="eastAsia" w:ascii="仿宋_GB2312" w:hAnsi="仿宋_GB2312" w:eastAsia="仿宋_GB2312" w:cs="仿宋_GB2312"/>
          <w:color w:val="auto"/>
          <w:sz w:val="32"/>
          <w:szCs w:val="32"/>
          <w:lang w:eastAsia="zh-CN"/>
        </w:rPr>
        <w:t>万元，完成预算</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%，较上年度增加</w:t>
      </w:r>
      <w:r>
        <w:rPr>
          <w:rFonts w:hint="eastAsia" w:ascii="仿宋_GB2312" w:hAnsi="仿宋_GB2312" w:eastAsia="仿宋_GB2312" w:cs="仿宋_GB2312"/>
          <w:color w:val="auto"/>
          <w:sz w:val="32"/>
          <w:szCs w:val="32"/>
          <w:lang w:val="en-US" w:eastAsia="zh-CN"/>
        </w:rPr>
        <w:t>0.16万元，增长39%。</w:t>
      </w:r>
      <w:r>
        <w:rPr>
          <w:rFonts w:hint="eastAsia" w:ascii="仿宋_GB2312" w:hAnsi="仿宋_GB2312" w:eastAsia="仿宋_GB2312" w:cs="仿宋_GB2312"/>
          <w:color w:val="auto"/>
          <w:sz w:val="32"/>
          <w:szCs w:val="32"/>
          <w:lang w:eastAsia="zh-CN"/>
        </w:rPr>
        <w:t>决算数</w:t>
      </w:r>
      <w:r>
        <w:rPr>
          <w:rFonts w:hint="eastAsia" w:ascii="仿宋_GB2312" w:hAnsi="仿宋_GB2312" w:eastAsia="仿宋_GB2312" w:cs="仿宋_GB2312"/>
          <w:color w:val="auto"/>
          <w:sz w:val="32"/>
          <w:szCs w:val="32"/>
          <w:lang w:val="en-US" w:eastAsia="zh-CN"/>
        </w:rPr>
        <w:t>与</w:t>
      </w:r>
      <w:r>
        <w:rPr>
          <w:rFonts w:hint="eastAsia" w:ascii="仿宋_GB2312" w:hAnsi="仿宋_GB2312" w:eastAsia="仿宋_GB2312" w:cs="仿宋_GB2312"/>
          <w:color w:val="auto"/>
          <w:sz w:val="32"/>
          <w:szCs w:val="32"/>
          <w:lang w:eastAsia="zh-CN"/>
        </w:rPr>
        <w:t>预算数</w:t>
      </w:r>
      <w:r>
        <w:rPr>
          <w:rFonts w:hint="eastAsia" w:ascii="仿宋_GB2312" w:hAnsi="仿宋_GB2312" w:eastAsia="仿宋_GB2312" w:cs="仿宋_GB2312"/>
          <w:color w:val="auto"/>
          <w:sz w:val="32"/>
          <w:szCs w:val="32"/>
          <w:lang w:val="en-US" w:eastAsia="zh-CN"/>
        </w:rPr>
        <w:t>持平</w:t>
      </w:r>
      <w:r>
        <w:rPr>
          <w:rFonts w:hint="eastAsia" w:ascii="仿宋_GB2312" w:hAnsi="仿宋_GB2312" w:eastAsia="仿宋_GB2312" w:cs="仿宋_GB2312"/>
          <w:color w:val="auto"/>
          <w:sz w:val="32"/>
          <w:szCs w:val="32"/>
          <w:lang w:eastAsia="zh-CN"/>
        </w:rPr>
        <w:t>。</w:t>
      </w:r>
    </w:p>
    <w:p>
      <w:pPr>
        <w:spacing w:line="600" w:lineRule="exact"/>
        <w:ind w:firstLine="640"/>
        <w:outlineLvl w:val="2"/>
        <w:rPr>
          <w:rFonts w:hint="eastAsia"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（二）“三公”经费财政拨款支出决算具体情况说明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2023年度“三公”经费财政拨款支出决算中，因公出国（境）费支出决算</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eastAsia="zh-CN"/>
        </w:rPr>
        <w:t>万元，占</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eastAsia="zh-CN"/>
        </w:rPr>
        <w:t>%；公务用车购置及运行维护费支出决算</w:t>
      </w:r>
      <w:r>
        <w:rPr>
          <w:rFonts w:hint="eastAsia" w:ascii="仿宋_GB2312" w:hAnsi="仿宋_GB2312" w:eastAsia="仿宋_GB2312" w:cs="仿宋_GB2312"/>
          <w:color w:val="auto"/>
          <w:sz w:val="32"/>
          <w:szCs w:val="32"/>
          <w:lang w:val="en-US" w:eastAsia="zh-CN"/>
        </w:rPr>
        <w:t>0.56</w:t>
      </w:r>
      <w:r>
        <w:rPr>
          <w:rFonts w:hint="eastAsia" w:ascii="仿宋_GB2312" w:hAnsi="仿宋_GB2312" w:eastAsia="仿宋_GB2312" w:cs="仿宋_GB2312"/>
          <w:color w:val="auto"/>
          <w:sz w:val="32"/>
          <w:szCs w:val="32"/>
          <w:lang w:eastAsia="zh-CN"/>
        </w:rPr>
        <w:t>万元，占</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%；公务接待费支出决算</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eastAsia="zh-CN"/>
        </w:rPr>
        <w:t>万元，占</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eastAsia="zh-CN"/>
        </w:rPr>
        <w:t>%。具体情况如下：</w:t>
      </w:r>
    </w:p>
    <w:p>
      <w:pPr>
        <w:rPr>
          <w:highlight w:val="yellow"/>
        </w:rPr>
      </w:pPr>
      <w:r>
        <w:rPr>
          <w:rFonts w:hint="eastAsia"/>
        </w:rPr>
        <w:drawing>
          <wp:inline distT="0" distB="0" distL="0" distR="0">
            <wp:extent cx="5274310" cy="3876675"/>
            <wp:effectExtent l="4445" t="4445" r="17145" b="5080"/>
            <wp:docPr id="7"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pPr>
        <w:spacing w:line="600" w:lineRule="exact"/>
        <w:ind w:firstLine="1609" w:firstLineChars="503"/>
        <w:rPr>
          <w:rFonts w:ascii="仿宋" w:hAnsi="仿宋" w:eastAsia="仿宋"/>
          <w:color w:val="auto"/>
          <w:sz w:val="32"/>
          <w:szCs w:val="32"/>
        </w:rPr>
      </w:pPr>
      <w:r>
        <w:rPr>
          <w:rFonts w:hint="eastAsia" w:ascii="仿宋" w:hAnsi="仿宋" w:eastAsia="仿宋"/>
          <w:color w:val="auto"/>
          <w:sz w:val="32"/>
          <w:szCs w:val="32"/>
        </w:rPr>
        <w:t>（图7：“三公”经费财政拨款支出结构）</w:t>
      </w:r>
    </w:p>
    <w:p>
      <w:pPr>
        <w:keepNext w:val="0"/>
        <w:keepLines w:val="0"/>
        <w:pageBreakBefore w:val="0"/>
        <w:widowControl w:val="0"/>
        <w:kinsoku/>
        <w:wordWrap/>
        <w:overflowPunct/>
        <w:topLinePunct w:val="0"/>
        <w:bidi w:val="0"/>
        <w:snapToGrid/>
        <w:spacing w:line="576" w:lineRule="atLeast"/>
        <w:ind w:firstLine="640"/>
        <w:rPr>
          <w:rFonts w:hint="eastAsia" w:ascii="仿宋" w:hAnsi="仿宋" w:eastAsia="仿宋"/>
          <w:color w:val="auto"/>
          <w:sz w:val="32"/>
          <w:szCs w:val="32"/>
        </w:rPr>
      </w:pPr>
      <w:r>
        <w:rPr>
          <w:rFonts w:ascii="仿宋_GB2312" w:eastAsia="仿宋_GB2312"/>
          <w:b/>
          <w:color w:val="auto"/>
          <w:sz w:val="32"/>
          <w:szCs w:val="32"/>
        </w:rPr>
        <w:t>1.</w:t>
      </w:r>
      <w:r>
        <w:rPr>
          <w:rFonts w:hint="eastAsia" w:ascii="仿宋_GB2312" w:eastAsia="仿宋_GB2312"/>
          <w:b/>
          <w:color w:val="auto"/>
          <w:sz w:val="32"/>
          <w:szCs w:val="32"/>
        </w:rPr>
        <w:t>因公出国（境）经费支出</w:t>
      </w:r>
      <w:r>
        <w:rPr>
          <w:rFonts w:hint="eastAsia" w:ascii="仿宋" w:hAnsi="仿宋" w:eastAsia="仿宋"/>
          <w:color w:val="auto"/>
          <w:sz w:val="32"/>
          <w:szCs w:val="32"/>
          <w:lang w:val="en-US" w:eastAsia="zh-CN"/>
        </w:rPr>
        <w:t>0</w:t>
      </w:r>
      <w:r>
        <w:rPr>
          <w:rFonts w:hint="eastAsia" w:ascii="仿宋_GB2312" w:hAnsi="仿宋_GB2312" w:eastAsia="仿宋_GB2312" w:cs="仿宋_GB2312"/>
          <w:color w:val="auto"/>
          <w:sz w:val="32"/>
          <w:szCs w:val="32"/>
          <w:lang w:eastAsia="zh-CN"/>
        </w:rPr>
        <w:t>万元，年初未安排预算。因公出国（境）支出决算较202</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年无变化。</w:t>
      </w:r>
    </w:p>
    <w:p>
      <w:pPr>
        <w:spacing w:line="600" w:lineRule="exact"/>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color w:val="auto"/>
          <w:sz w:val="32"/>
          <w:szCs w:val="32"/>
        </w:rPr>
        <w:t>2.公务用车购置及运行维护费支出</w:t>
      </w:r>
      <w:r>
        <w:rPr>
          <w:rFonts w:hint="eastAsia" w:ascii="仿宋_GB2312" w:hAnsi="仿宋_GB2312" w:eastAsia="仿宋_GB2312" w:cs="仿宋_GB2312"/>
          <w:color w:val="auto"/>
          <w:sz w:val="32"/>
          <w:szCs w:val="32"/>
          <w:lang w:val="en-US" w:eastAsia="zh-CN"/>
        </w:rPr>
        <w:t>0.56</w:t>
      </w:r>
      <w:r>
        <w:rPr>
          <w:rFonts w:hint="eastAsia" w:ascii="仿宋_GB2312" w:hAnsi="仿宋_GB2312" w:eastAsia="仿宋_GB2312" w:cs="仿宋_GB2312"/>
          <w:color w:val="auto"/>
          <w:sz w:val="32"/>
          <w:szCs w:val="32"/>
          <w:lang w:eastAsia="zh-CN"/>
        </w:rPr>
        <w:t>万元,完成预算</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%。公务用车购置及运行维护费支出决算比2022年度增加</w:t>
      </w:r>
      <w:r>
        <w:rPr>
          <w:rFonts w:hint="eastAsia" w:ascii="仿宋_GB2312" w:hAnsi="仿宋_GB2312" w:eastAsia="仿宋_GB2312" w:cs="仿宋_GB2312"/>
          <w:color w:val="auto"/>
          <w:sz w:val="32"/>
          <w:szCs w:val="32"/>
          <w:lang w:val="en-US" w:eastAsia="zh-CN"/>
        </w:rPr>
        <w:t>0.16</w:t>
      </w:r>
      <w:r>
        <w:rPr>
          <w:rFonts w:hint="eastAsia" w:ascii="仿宋_GB2312" w:hAnsi="仿宋_GB2312" w:eastAsia="仿宋_GB2312" w:cs="仿宋_GB2312"/>
          <w:color w:val="auto"/>
          <w:sz w:val="32"/>
          <w:szCs w:val="32"/>
          <w:lang w:eastAsia="zh-CN"/>
        </w:rPr>
        <w:t>万元，增长</w:t>
      </w:r>
      <w:r>
        <w:rPr>
          <w:rFonts w:hint="eastAsia" w:ascii="仿宋_GB2312" w:hAnsi="仿宋_GB2312" w:eastAsia="仿宋_GB2312" w:cs="仿宋_GB2312"/>
          <w:color w:val="auto"/>
          <w:sz w:val="32"/>
          <w:szCs w:val="32"/>
          <w:lang w:val="en-US" w:eastAsia="zh-CN"/>
        </w:rPr>
        <w:t>35</w:t>
      </w:r>
      <w:r>
        <w:rPr>
          <w:rFonts w:hint="eastAsia" w:ascii="仿宋_GB2312" w:hAnsi="仿宋_GB2312" w:eastAsia="仿宋_GB2312" w:cs="仿宋_GB2312"/>
          <w:color w:val="auto"/>
          <w:sz w:val="32"/>
          <w:szCs w:val="32"/>
          <w:lang w:eastAsia="zh-CN"/>
        </w:rPr>
        <w:t>%。主要原因是</w:t>
      </w:r>
      <w:r>
        <w:rPr>
          <w:rFonts w:hint="eastAsia" w:ascii="仿宋_GB2312" w:hAnsi="仿宋_GB2312" w:eastAsia="仿宋_GB2312" w:cs="仿宋_GB2312"/>
          <w:color w:val="auto"/>
          <w:sz w:val="32"/>
          <w:szCs w:val="32"/>
          <w:lang w:val="en-US" w:eastAsia="zh-CN"/>
        </w:rPr>
        <w:t>2023年支付以前年度车辆维修费</w:t>
      </w:r>
      <w:r>
        <w:rPr>
          <w:rFonts w:hint="eastAsia" w:ascii="仿宋_GB2312" w:hAnsi="仿宋_GB2312" w:eastAsia="仿宋_GB2312" w:cs="仿宋_GB2312"/>
          <w:color w:val="auto"/>
          <w:sz w:val="32"/>
          <w:szCs w:val="32"/>
          <w:lang w:eastAsia="zh-CN"/>
        </w:rPr>
        <w:t>。</w:t>
      </w:r>
      <w:bookmarkStart w:id="33" w:name="_GoBack"/>
      <w:bookmarkEnd w:id="33"/>
    </w:p>
    <w:p>
      <w:pPr>
        <w:spacing w:line="60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其中：</w:t>
      </w:r>
      <w:r>
        <w:rPr>
          <w:rFonts w:hint="eastAsia" w:ascii="仿宋_GB2312" w:hAnsi="仿宋_GB2312" w:eastAsia="仿宋_GB2312" w:cs="仿宋_GB2312"/>
          <w:b/>
          <w:color w:val="auto"/>
          <w:sz w:val="32"/>
          <w:szCs w:val="32"/>
        </w:rPr>
        <w:t>公务用车购置支出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eastAsia="zh-CN"/>
        </w:rPr>
        <w:t>万元。全年未更新购置公务用车。截至2023年12月</w:t>
      </w:r>
      <w:r>
        <w:rPr>
          <w:rFonts w:hint="eastAsia" w:ascii="仿宋_GB2312" w:hAnsi="仿宋_GB2312" w:eastAsia="仿宋_GB2312" w:cs="仿宋_GB2312"/>
          <w:color w:val="auto"/>
          <w:sz w:val="32"/>
          <w:szCs w:val="32"/>
          <w:lang w:val="en-US" w:eastAsia="zh-CN"/>
        </w:rPr>
        <w:t>31日</w:t>
      </w:r>
      <w:r>
        <w:rPr>
          <w:rFonts w:hint="eastAsia" w:ascii="仿宋_GB2312" w:hAnsi="仿宋_GB2312" w:eastAsia="仿宋_GB2312" w:cs="仿宋_GB2312"/>
          <w:color w:val="auto"/>
          <w:sz w:val="32"/>
          <w:szCs w:val="32"/>
          <w:lang w:eastAsia="zh-CN"/>
        </w:rPr>
        <w:t>，单位共有公务用车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辆，其中：载客汽车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辆。</w:t>
      </w:r>
    </w:p>
    <w:p>
      <w:pPr>
        <w:spacing w:line="600" w:lineRule="exact"/>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color w:val="auto"/>
          <w:sz w:val="32"/>
          <w:szCs w:val="32"/>
        </w:rPr>
        <w:t>公务用车运行维护费支出</w:t>
      </w:r>
      <w:r>
        <w:rPr>
          <w:rFonts w:hint="eastAsia" w:ascii="仿宋_GB2312" w:hAnsi="仿宋_GB2312" w:eastAsia="仿宋_GB2312" w:cs="仿宋_GB2312"/>
          <w:color w:val="auto"/>
          <w:sz w:val="32"/>
          <w:szCs w:val="32"/>
          <w:lang w:val="en-US" w:eastAsia="zh-CN"/>
        </w:rPr>
        <w:t>0.57</w:t>
      </w:r>
      <w:r>
        <w:rPr>
          <w:rFonts w:hint="eastAsia" w:ascii="仿宋_GB2312" w:hAnsi="仿宋_GB2312" w:eastAsia="仿宋_GB2312" w:cs="仿宋_GB2312"/>
          <w:color w:val="auto"/>
          <w:sz w:val="32"/>
          <w:szCs w:val="32"/>
          <w:lang w:eastAsia="zh-CN"/>
        </w:rPr>
        <w:t>万元。主要用于免费避孕药具调拨、分发等所需的公务用车维修费支出。</w:t>
      </w:r>
    </w:p>
    <w:p>
      <w:pPr>
        <w:spacing w:line="600" w:lineRule="exact"/>
        <w:ind w:firstLine="64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color w:val="auto"/>
          <w:sz w:val="32"/>
          <w:szCs w:val="32"/>
        </w:rPr>
        <w:t>3.公务接待费支出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eastAsia="zh-CN"/>
        </w:rPr>
        <w:t>万元，完成预算</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eastAsia="zh-CN"/>
        </w:rPr>
        <w:t>%。公务接待费与2022年度持平。主要原因是响应国家号召，压缩“三公”经费。其中：</w:t>
      </w:r>
    </w:p>
    <w:p>
      <w:pPr>
        <w:spacing w:line="600" w:lineRule="exact"/>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国内公务接待支出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rPr>
        <w:t>。</w:t>
      </w:r>
    </w:p>
    <w:p>
      <w:pPr>
        <w:spacing w:line="600" w:lineRule="exact"/>
        <w:ind w:firstLine="642"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color w:val="auto"/>
          <w:sz w:val="32"/>
          <w:szCs w:val="32"/>
        </w:rPr>
        <w:t>外事接待支出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eastAsia="zh-CN"/>
        </w:rPr>
        <w:t>万元。</w:t>
      </w: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12" w:name="_Toc24545"/>
      <w:bookmarkEnd w:id="12"/>
      <w:r>
        <w:rPr>
          <w:rFonts w:hint="eastAsia" w:ascii="黑体" w:hAnsi="黑体" w:eastAsia="黑体" w:cs="Times New Roman"/>
          <w:b w:val="0"/>
          <w:bCs w:val="0"/>
          <w:color w:val="000000"/>
          <w:kern w:val="2"/>
          <w:sz w:val="32"/>
          <w:szCs w:val="22"/>
          <w:lang w:val="en-US" w:eastAsia="zh-CN"/>
        </w:rPr>
        <w:t>八、政府性基金预算支出决算情况说明</w:t>
      </w:r>
    </w:p>
    <w:p>
      <w:pPr>
        <w:spacing w:line="600" w:lineRule="exact"/>
        <w:ind w:firstLine="640"/>
        <w:rPr>
          <w:rFonts w:ascii="仿宋_GB2312" w:eastAsia="仿宋_GB2312"/>
          <w:color w:val="auto"/>
          <w:sz w:val="32"/>
          <w:szCs w:val="32"/>
        </w:rPr>
      </w:pPr>
      <w:r>
        <w:rPr>
          <w:rFonts w:hint="eastAsia" w:ascii="仿宋_GB2312" w:hAnsi="仿宋_GB2312" w:eastAsia="仿宋_GB2312" w:cs="仿宋_GB2312"/>
          <w:color w:val="auto"/>
          <w:sz w:val="32"/>
          <w:szCs w:val="32"/>
          <w:lang w:eastAsia="zh-CN"/>
        </w:rPr>
        <w:t>2023年度政府性基金预算财政拨款支出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eastAsia="zh-CN"/>
        </w:rPr>
        <w:t>万元。</w:t>
      </w: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13" w:name="_Toc4411"/>
      <w:bookmarkEnd w:id="13"/>
      <w:r>
        <w:rPr>
          <w:rFonts w:hint="eastAsia" w:ascii="黑体" w:hAnsi="黑体" w:eastAsia="黑体" w:cs="Times New Roman"/>
          <w:b w:val="0"/>
          <w:bCs w:val="0"/>
          <w:color w:val="000000"/>
          <w:kern w:val="2"/>
          <w:sz w:val="32"/>
          <w:szCs w:val="22"/>
          <w:lang w:val="en-US" w:eastAsia="zh-CN"/>
        </w:rPr>
        <w:t>九、国有资本经营预算支出决算情况说明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2023年度国有资本经营预算财政拨款支出</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eastAsia="zh-CN"/>
        </w:rPr>
        <w:t>万元。</w:t>
      </w: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14" w:name="_Toc23257"/>
      <w:bookmarkEnd w:id="14"/>
      <w:r>
        <w:rPr>
          <w:rFonts w:hint="eastAsia" w:ascii="黑体" w:hAnsi="黑体" w:eastAsia="黑体" w:cs="Times New Roman"/>
          <w:b w:val="0"/>
          <w:bCs w:val="0"/>
          <w:color w:val="000000"/>
          <w:kern w:val="2"/>
          <w:sz w:val="32"/>
          <w:szCs w:val="22"/>
          <w:lang w:val="en-US" w:eastAsia="zh-CN"/>
        </w:rPr>
        <w:t>十、其他重要事项的情况说明</w:t>
      </w:r>
    </w:p>
    <w:p>
      <w:pPr>
        <w:spacing w:line="600" w:lineRule="exact"/>
        <w:ind w:firstLine="642" w:firstLineChars="200"/>
        <w:outlineLvl w:val="2"/>
        <w:rPr>
          <w:rFonts w:ascii="仿宋" w:hAnsi="仿宋" w:eastAsia="仿宋"/>
          <w:color w:val="auto"/>
          <w:sz w:val="32"/>
          <w:szCs w:val="32"/>
        </w:rPr>
      </w:pPr>
      <w:r>
        <w:rPr>
          <w:rFonts w:hint="eastAsia" w:ascii="仿宋" w:hAnsi="仿宋" w:eastAsia="仿宋"/>
          <w:b/>
          <w:color w:val="auto"/>
          <w:sz w:val="32"/>
          <w:szCs w:val="32"/>
        </w:rPr>
        <w:t>（一）机关运行经费支出情况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2023年</w:t>
      </w:r>
      <w:r>
        <w:rPr>
          <w:rFonts w:hint="eastAsia" w:ascii="仿宋_GB2312" w:hAnsi="仿宋_GB2312" w:eastAsia="仿宋_GB2312" w:cs="仿宋_GB2312"/>
          <w:color w:val="auto"/>
          <w:sz w:val="32"/>
          <w:szCs w:val="32"/>
          <w:lang w:eastAsia="zh-CN"/>
        </w:rPr>
        <w:t>未发生机关运行经费支出，</w:t>
      </w:r>
      <w:r>
        <w:rPr>
          <w:rFonts w:hint="eastAsia" w:ascii="仿宋_GB2312" w:hAnsi="仿宋_GB2312" w:eastAsia="仿宋_GB2312" w:cs="仿宋_GB2312"/>
          <w:color w:val="auto"/>
          <w:sz w:val="32"/>
          <w:szCs w:val="32"/>
          <w:lang w:val="en-US" w:eastAsia="zh-CN"/>
        </w:rPr>
        <w:t>与2022年决算数持平。</w:t>
      </w:r>
    </w:p>
    <w:p>
      <w:pPr>
        <w:autoSpaceDE w:val="0"/>
        <w:autoSpaceDN w:val="0"/>
        <w:adjustRightInd w:val="0"/>
        <w:spacing w:line="600" w:lineRule="exact"/>
        <w:ind w:left="638" w:leftChars="304" w:firstLine="0" w:firstLineChars="0"/>
        <w:jc w:val="left"/>
        <w:outlineLvl w:val="2"/>
        <w:rPr>
          <w:rFonts w:ascii="仿宋" w:hAnsi="仿宋" w:eastAsia="仿宋"/>
          <w:b/>
          <w:color w:val="auto"/>
          <w:sz w:val="32"/>
          <w:szCs w:val="32"/>
        </w:rPr>
      </w:pPr>
      <w:r>
        <w:rPr>
          <w:rFonts w:hint="eastAsia" w:ascii="仿宋" w:hAnsi="仿宋" w:eastAsia="仿宋"/>
          <w:b/>
          <w:color w:val="auto"/>
          <w:sz w:val="32"/>
          <w:szCs w:val="32"/>
        </w:rPr>
        <w:t>（二）政府采购支出情况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2023年度，广元市计划生育药品器械管理站政府采购支出总额0万元。</w:t>
      </w:r>
    </w:p>
    <w:p>
      <w:pPr>
        <w:autoSpaceDE w:val="0"/>
        <w:autoSpaceDN w:val="0"/>
        <w:adjustRightInd w:val="0"/>
        <w:spacing w:line="600" w:lineRule="exact"/>
        <w:ind w:firstLine="642" w:firstLineChars="200"/>
        <w:jc w:val="left"/>
        <w:outlineLvl w:val="2"/>
        <w:rPr>
          <w:rFonts w:ascii="仿宋" w:hAnsi="仿宋" w:eastAsia="仿宋"/>
          <w:b/>
          <w:color w:val="auto"/>
          <w:sz w:val="32"/>
          <w:szCs w:val="32"/>
        </w:rPr>
      </w:pPr>
      <w:r>
        <w:rPr>
          <w:rFonts w:hint="eastAsia" w:ascii="仿宋" w:hAnsi="仿宋" w:eastAsia="仿宋"/>
          <w:b/>
          <w:color w:val="auto"/>
          <w:sz w:val="32"/>
          <w:szCs w:val="32"/>
        </w:rPr>
        <w:t>（三）国有资产占有使用情况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截至2023年12月31日，广元市计划生育药品器械管理站共有车辆1辆，其中：其他用车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辆，其他用车主要是用于国家免费避孕药具业务。单价50万元以上通用设备</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eastAsia="zh-CN"/>
        </w:rPr>
        <w:t>台（套），单价100万元以上专用设备（不含车辆）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lang w:eastAsia="zh-CN"/>
        </w:rPr>
        <w:t>台（套）。</w:t>
      </w:r>
    </w:p>
    <w:p>
      <w:pPr>
        <w:autoSpaceDE w:val="0"/>
        <w:autoSpaceDN w:val="0"/>
        <w:adjustRightInd w:val="0"/>
        <w:spacing w:line="600" w:lineRule="exact"/>
        <w:ind w:firstLine="642" w:firstLineChars="200"/>
        <w:jc w:val="left"/>
        <w:outlineLvl w:val="2"/>
        <w:rPr>
          <w:rFonts w:hint="eastAsia" w:ascii="仿宋" w:hAnsi="仿宋" w:eastAsia="仿宋"/>
          <w:b/>
          <w:color w:val="auto"/>
          <w:sz w:val="32"/>
          <w:szCs w:val="32"/>
          <w:lang w:eastAsia="zh-CN"/>
        </w:rPr>
      </w:pPr>
      <w:r>
        <w:rPr>
          <w:rFonts w:hint="eastAsia" w:ascii="仿宋" w:hAnsi="仿宋" w:eastAsia="仿宋"/>
          <w:b/>
          <w:color w:val="auto"/>
          <w:sz w:val="32"/>
          <w:szCs w:val="32"/>
        </w:rPr>
        <w:t>（四）预算绩效管理情况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根据预算绩效管理要求，本单位在</w:t>
      </w:r>
      <w:r>
        <w:rPr>
          <w:rFonts w:hint="eastAsia" w:ascii="仿宋_GB2312" w:hAnsi="仿宋_GB2312" w:eastAsia="仿宋_GB2312" w:cs="仿宋_GB2312"/>
          <w:color w:val="auto"/>
          <w:sz w:val="32"/>
          <w:szCs w:val="32"/>
          <w:lang w:val="en-US" w:eastAsia="zh-CN"/>
        </w:rPr>
        <w:t>2023年度</w:t>
      </w:r>
      <w:r>
        <w:rPr>
          <w:rFonts w:hint="eastAsia" w:ascii="仿宋_GB2312" w:hAnsi="仿宋_GB2312" w:eastAsia="仿宋_GB2312" w:cs="仿宋_GB2312"/>
          <w:color w:val="auto"/>
          <w:sz w:val="32"/>
          <w:szCs w:val="32"/>
          <w:lang w:eastAsia="zh-CN"/>
        </w:rPr>
        <w:t>预算编制阶段，组织对</w:t>
      </w:r>
      <w:r>
        <w:rPr>
          <w:rFonts w:hint="eastAsia" w:ascii="仿宋_GB2312" w:hAnsi="仿宋_GB2312" w:eastAsia="仿宋_GB2312" w:cs="仿宋_GB2312"/>
          <w:color w:val="auto"/>
          <w:sz w:val="32"/>
          <w:szCs w:val="32"/>
          <w:lang w:val="en-US" w:eastAsia="zh-CN"/>
        </w:rPr>
        <w:t>2022年市级计划生育切块资金项</w:t>
      </w:r>
      <w:r>
        <w:rPr>
          <w:rFonts w:hint="eastAsia" w:ascii="仿宋_GB2312" w:hAnsi="仿宋_GB2312" w:eastAsia="仿宋_GB2312" w:cs="仿宋_GB2312"/>
          <w:color w:val="auto"/>
          <w:sz w:val="32"/>
          <w:szCs w:val="32"/>
          <w:lang w:eastAsia="zh-CN"/>
        </w:rPr>
        <w:t>目</w:t>
      </w:r>
      <w:r>
        <w:rPr>
          <w:rFonts w:hint="eastAsia" w:ascii="仿宋_GB2312" w:hAnsi="仿宋_GB2312" w:eastAsia="仿宋_GB2312" w:cs="仿宋_GB2312"/>
          <w:color w:val="auto"/>
          <w:sz w:val="32"/>
          <w:szCs w:val="32"/>
          <w:lang w:val="en-US" w:eastAsia="zh-CN"/>
        </w:rPr>
        <w:t>1个项目</w:t>
      </w:r>
      <w:r>
        <w:rPr>
          <w:rFonts w:hint="eastAsia" w:ascii="仿宋_GB2312" w:hAnsi="仿宋_GB2312" w:eastAsia="仿宋_GB2312" w:cs="仿宋_GB2312"/>
          <w:color w:val="auto"/>
          <w:sz w:val="32"/>
          <w:szCs w:val="32"/>
          <w:lang w:eastAsia="zh-CN"/>
        </w:rPr>
        <w:t>开展了预算事前绩效评估，对</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个项目编制了绩效目标，预算执行过程中，选取</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个项目开展绩效监控，组织</w:t>
      </w:r>
      <w:r>
        <w:rPr>
          <w:rFonts w:hint="eastAsia" w:ascii="仿宋_GB2312" w:hAnsi="仿宋_GB2312" w:eastAsia="仿宋_GB2312" w:cs="仿宋_GB2312"/>
          <w:color w:val="auto"/>
          <w:sz w:val="32"/>
          <w:szCs w:val="32"/>
          <w:lang w:val="en-US" w:eastAsia="zh-CN"/>
        </w:rPr>
        <w:t>1个项目开展绩效自评，绩效自评表详见第四部分附件。</w:t>
      </w:r>
    </w:p>
    <w:p>
      <w:pPr>
        <w:pStyle w:val="6"/>
        <w:rPr>
          <w:rFonts w:hint="eastAsia" w:ascii="仿宋_GB2312" w:hAnsi="Times New Roman" w:eastAsia="仿宋_GB2312" w:cs="Times New Roman"/>
          <w:color w:val="auto"/>
          <w:sz w:val="32"/>
          <w:szCs w:val="32"/>
          <w:lang w:val="en-US" w:eastAsia="zh-CN"/>
        </w:rPr>
      </w:pPr>
    </w:p>
    <w:p>
      <w:pPr>
        <w:rPr>
          <w:rFonts w:hint="eastAsia" w:ascii="仿宋_GB2312" w:hAnsi="Times New Roman" w:eastAsia="仿宋_GB2312" w:cs="Times New Roman"/>
          <w:color w:val="auto"/>
          <w:sz w:val="32"/>
          <w:szCs w:val="32"/>
          <w:lang w:val="en-US" w:eastAsia="zh-CN"/>
        </w:rPr>
      </w:pPr>
    </w:p>
    <w:p>
      <w:pPr>
        <w:pStyle w:val="6"/>
        <w:rPr>
          <w:rFonts w:hint="eastAsia" w:ascii="仿宋_GB2312" w:hAnsi="Times New Roman" w:eastAsia="仿宋_GB2312" w:cs="Times New Roman"/>
          <w:color w:val="auto"/>
          <w:sz w:val="32"/>
          <w:szCs w:val="32"/>
          <w:lang w:val="en-US" w:eastAsia="zh-CN"/>
        </w:rPr>
      </w:pPr>
    </w:p>
    <w:p>
      <w:pPr>
        <w:rPr>
          <w:rFonts w:hint="eastAsia" w:ascii="仿宋_GB2312" w:hAnsi="Times New Roman" w:eastAsia="仿宋_GB2312" w:cs="Times New Roman"/>
          <w:color w:val="auto"/>
          <w:sz w:val="32"/>
          <w:szCs w:val="32"/>
          <w:lang w:val="en-US" w:eastAsia="zh-CN"/>
        </w:rPr>
      </w:pPr>
    </w:p>
    <w:p>
      <w:pPr>
        <w:pStyle w:val="6"/>
        <w:rPr>
          <w:rFonts w:hint="eastAsia" w:ascii="仿宋_GB2312" w:hAnsi="Times New Roman" w:eastAsia="仿宋_GB2312" w:cs="Times New Roman"/>
          <w:color w:val="auto"/>
          <w:sz w:val="32"/>
          <w:szCs w:val="32"/>
          <w:lang w:val="en-US" w:eastAsia="zh-CN"/>
        </w:rPr>
      </w:pPr>
    </w:p>
    <w:p>
      <w:pPr>
        <w:rPr>
          <w:rFonts w:hint="eastAsia" w:ascii="仿宋_GB2312" w:hAnsi="Times New Roman" w:eastAsia="仿宋_GB2312" w:cs="Times New Roman"/>
          <w:color w:val="auto"/>
          <w:sz w:val="32"/>
          <w:szCs w:val="32"/>
          <w:lang w:val="en-US" w:eastAsia="zh-CN"/>
        </w:rPr>
      </w:pPr>
    </w:p>
    <w:p>
      <w:pPr>
        <w:pStyle w:val="6"/>
        <w:rPr>
          <w:rFonts w:hint="eastAsia" w:ascii="仿宋_GB2312" w:hAnsi="Times New Roman" w:eastAsia="仿宋_GB2312" w:cs="Times New Roman"/>
          <w:color w:val="auto"/>
          <w:sz w:val="32"/>
          <w:szCs w:val="32"/>
          <w:lang w:val="en-US" w:eastAsia="zh-CN"/>
        </w:rPr>
      </w:pPr>
    </w:p>
    <w:p>
      <w:pPr>
        <w:rPr>
          <w:rFonts w:hint="eastAsia" w:ascii="仿宋_GB2312" w:hAnsi="Times New Roman" w:eastAsia="仿宋_GB2312" w:cs="Times New Roman"/>
          <w:color w:val="auto"/>
          <w:sz w:val="32"/>
          <w:szCs w:val="32"/>
          <w:lang w:val="en-US" w:eastAsia="zh-CN"/>
        </w:rPr>
      </w:pPr>
    </w:p>
    <w:p>
      <w:pPr>
        <w:pStyle w:val="2"/>
        <w:bidi w:val="0"/>
        <w:jc w:val="center"/>
        <w:rPr>
          <w:rFonts w:hint="eastAsia" w:ascii="黑体" w:hAnsi="黑体" w:eastAsia="黑体" w:cs="Times New Roman"/>
          <w:b w:val="0"/>
          <w:bCs w:val="0"/>
          <w:color w:val="auto"/>
          <w:kern w:val="44"/>
          <w:sz w:val="44"/>
          <w:szCs w:val="22"/>
          <w:lang w:val="zh-CN"/>
        </w:rPr>
      </w:pPr>
      <w:bookmarkStart w:id="15" w:name="_Toc15377225"/>
      <w:bookmarkEnd w:id="15"/>
      <w:bookmarkStart w:id="16" w:name="_Toc18090"/>
      <w:bookmarkEnd w:id="16"/>
      <w:bookmarkStart w:id="17" w:name="_Toc15396613"/>
      <w:bookmarkEnd w:id="17"/>
      <w:r>
        <w:rPr>
          <w:rFonts w:hint="eastAsia" w:ascii="黑体" w:hAnsi="黑体" w:eastAsia="黑体" w:cs="Times New Roman"/>
          <w:b w:val="0"/>
          <w:bCs w:val="0"/>
          <w:color w:val="auto"/>
          <w:kern w:val="44"/>
          <w:sz w:val="44"/>
          <w:szCs w:val="22"/>
          <w:lang w:val="zh-CN" w:eastAsia="zh-CN"/>
        </w:rPr>
        <w:t>第三部分</w:t>
      </w:r>
      <w:r>
        <w:rPr>
          <w:rFonts w:hint="eastAsia" w:ascii="黑体" w:hAnsi="黑体" w:eastAsia="黑体" w:cs="Times New Roman"/>
          <w:b w:val="0"/>
          <w:bCs w:val="0"/>
          <w:color w:val="auto"/>
          <w:kern w:val="44"/>
          <w:sz w:val="44"/>
          <w:szCs w:val="22"/>
          <w:lang w:val="en-US" w:eastAsia="zh-CN"/>
        </w:rPr>
        <w:t xml:space="preserve"> </w:t>
      </w:r>
      <w:r>
        <w:rPr>
          <w:rFonts w:hint="eastAsia" w:ascii="黑体" w:hAnsi="黑体" w:eastAsia="黑体" w:cs="Times New Roman"/>
          <w:b w:val="0"/>
          <w:bCs w:val="0"/>
          <w:color w:val="auto"/>
          <w:kern w:val="44"/>
          <w:sz w:val="44"/>
          <w:szCs w:val="22"/>
          <w:lang w:val="zh-CN"/>
        </w:rPr>
        <w:t>名词解释</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00" w:firstLineChars="0"/>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zh-CN" w:eastAsia="zh-CN"/>
        </w:rPr>
        <w:t>财政拨款收入：指单位从同级财政部门取得的财政预算资金。</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00" w:firstLineChars="0"/>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zh-CN" w:eastAsia="zh-CN"/>
        </w:rPr>
        <w:t>社会保障和就业支出（类）行政事业单位养老支出（款）机关事业单位基本养老保险缴费支出（项）:反映机关事业单位实施养老保险制度由单位缴纳的基本养老保险支出。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00" w:firstLineChars="0"/>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zh-CN" w:eastAsia="zh-CN"/>
        </w:rPr>
        <w:t>卫生健康支出（类）计划生育事务（款）计划生育结构（项）：反映市计划生育药品器械管理站的部分人员支出。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00" w:firstLineChars="0"/>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zh-CN" w:eastAsia="zh-CN"/>
        </w:rPr>
        <w:t>卫生健康支出（类）计划生育事务（款）计划生育服务（项）：反映市计划生育药品器械管理站的部分人员支出。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00" w:firstLineChars="0"/>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zh-CN" w:eastAsia="zh-CN"/>
        </w:rPr>
        <w:t>卫生健康支出（类）计划生育事务（款）其他计划生育事务支出（项）：反映计划生育药品器械管理站的支出。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00" w:firstLineChars="0"/>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zh-CN" w:eastAsia="zh-CN"/>
        </w:rPr>
        <w:t>卫生健康支出（类）行政事业单位医疗（款）事业单位医疗（项）:反映财政部门安排的事业单位基本医疗保险缴费经费。</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00" w:firstLineChars="0"/>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zh-CN" w:eastAsia="zh-CN"/>
        </w:rPr>
        <w:t>住房保障支出（类）住房改革支出（款）住房公积金（项）:反映行政事业单位按人力资源和社会保障部、财政部规定的基本工资和津贴补贴以及规定比例为职工缴纳的住房公积金。</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00" w:firstLineChars="0"/>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zh-CN" w:eastAsia="zh-CN"/>
        </w:rPr>
        <w:t>基本支出：指为保障机构正常运转、完成日常工作任务而发生的人员支出和公用支出。</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00" w:firstLineChars="0"/>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zh-CN" w:eastAsia="zh-CN"/>
        </w:rPr>
        <w:t>项目支出：指在基本支出之外为完成特定行政任务和事业发展目标所发生的支出。 </w:t>
      </w:r>
    </w:p>
    <w:p>
      <w:pPr>
        <w:keepNext w:val="0"/>
        <w:keepLines w:val="0"/>
        <w:pageBreakBefore w:val="0"/>
        <w:widowControl w:val="0"/>
        <w:numPr>
          <w:ilvl w:val="0"/>
          <w:numId w:val="1"/>
        </w:numPr>
        <w:kinsoku/>
        <w:wordWrap/>
        <w:overflowPunct/>
        <w:topLinePunct w:val="0"/>
        <w:autoSpaceDE/>
        <w:autoSpaceDN/>
        <w:bidi w:val="0"/>
        <w:adjustRightInd/>
        <w:snapToGrid/>
        <w:spacing w:line="576" w:lineRule="exact"/>
        <w:ind w:left="0" w:leftChars="0" w:firstLine="400" w:firstLineChars="0"/>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zh-CN" w:eastAsia="zh-CN"/>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rPr>
          <w:rFonts w:hint="eastAsia" w:ascii="仿宋_GB2312" w:hAnsi="仿宋_GB2312" w:eastAsia="仿宋_GB2312" w:cs="仿宋_GB2312"/>
          <w:color w:val="auto"/>
          <w:sz w:val="32"/>
          <w:szCs w:val="32"/>
          <w:lang w:val="zh-CN" w:eastAsia="zh-CN"/>
        </w:rPr>
      </w:pPr>
      <w:r>
        <w:rPr>
          <w:rFonts w:hint="eastAsia" w:ascii="仿宋_GB2312" w:hAnsi="仿宋_GB2312" w:eastAsia="仿宋_GB2312" w:cs="仿宋_GB2312"/>
          <w:color w:val="auto"/>
          <w:sz w:val="32"/>
          <w:szCs w:val="32"/>
          <w:lang w:val="zh-CN" w:eastAsia="zh-CN"/>
        </w:rPr>
        <w:br w:type="page"/>
      </w:r>
    </w:p>
    <w:p>
      <w:pPr>
        <w:spacing w:line="600" w:lineRule="exact"/>
        <w:jc w:val="both"/>
        <w:outlineLvl w:val="0"/>
        <w:rPr>
          <w:rFonts w:hint="eastAsia" w:ascii="黑体" w:hAnsi="黑体" w:eastAsia="黑体"/>
          <w:color w:val="auto"/>
          <w:sz w:val="44"/>
          <w:szCs w:val="44"/>
        </w:rPr>
      </w:pPr>
    </w:p>
    <w:p>
      <w:pPr>
        <w:pStyle w:val="2"/>
        <w:bidi w:val="0"/>
        <w:jc w:val="center"/>
        <w:rPr>
          <w:rFonts w:hint="eastAsia" w:ascii="黑体" w:hAnsi="黑体" w:eastAsia="黑体" w:cs="Times New Roman"/>
          <w:b w:val="0"/>
          <w:bCs w:val="0"/>
          <w:color w:val="auto"/>
          <w:kern w:val="44"/>
          <w:sz w:val="44"/>
          <w:szCs w:val="22"/>
          <w:lang w:val="zh-CN"/>
        </w:rPr>
      </w:pPr>
      <w:bookmarkStart w:id="18" w:name="_Toc17450"/>
      <w:bookmarkEnd w:id="18"/>
      <w:r>
        <w:rPr>
          <w:rFonts w:hint="eastAsia" w:ascii="黑体" w:hAnsi="黑体" w:eastAsia="黑体" w:cs="Times New Roman"/>
          <w:b w:val="0"/>
          <w:bCs w:val="0"/>
          <w:color w:val="auto"/>
          <w:kern w:val="44"/>
          <w:sz w:val="44"/>
          <w:szCs w:val="22"/>
          <w:lang w:val="zh-CN"/>
        </w:rPr>
        <w:t>第四部分 附件</w:t>
      </w:r>
    </w:p>
    <w:p>
      <w:pPr>
        <w:bidi w:val="0"/>
        <w:jc w:val="center"/>
        <w:rPr>
          <w:rFonts w:hint="eastAsia" w:ascii="宋体" w:hAnsi="宋体" w:eastAsia="宋体" w:cs="宋体"/>
          <w:sz w:val="32"/>
          <w:szCs w:val="32"/>
        </w:rPr>
      </w:pPr>
      <w:r>
        <w:rPr>
          <w:rFonts w:hint="eastAsia" w:ascii="宋体" w:hAnsi="宋体" w:eastAsia="宋体" w:cs="宋体"/>
          <w:sz w:val="32"/>
          <w:szCs w:val="32"/>
          <w:lang w:val="en-US" w:eastAsia="zh-CN"/>
        </w:rPr>
        <w:t>部门预算项目支出绩效自评表（2023年度）</w:t>
      </w:r>
    </w:p>
    <w:tbl>
      <w:tblPr>
        <w:tblStyle w:val="15"/>
        <w:tblW w:w="6744" w:type="pct"/>
        <w:tblInd w:w="-1426" w:type="dxa"/>
        <w:shd w:val="clear" w:color="auto" w:fill="auto"/>
        <w:tblLayout w:type="fixed"/>
        <w:tblCellMar>
          <w:top w:w="0" w:type="dxa"/>
          <w:left w:w="0" w:type="dxa"/>
          <w:bottom w:w="0" w:type="dxa"/>
          <w:right w:w="0" w:type="dxa"/>
        </w:tblCellMar>
      </w:tblPr>
      <w:tblGrid>
        <w:gridCol w:w="838"/>
        <w:gridCol w:w="525"/>
        <w:gridCol w:w="137"/>
        <w:gridCol w:w="725"/>
        <w:gridCol w:w="805"/>
        <w:gridCol w:w="209"/>
        <w:gridCol w:w="87"/>
        <w:gridCol w:w="425"/>
        <w:gridCol w:w="320"/>
        <w:gridCol w:w="355"/>
        <w:gridCol w:w="550"/>
        <w:gridCol w:w="275"/>
        <w:gridCol w:w="63"/>
        <w:gridCol w:w="88"/>
        <w:gridCol w:w="12"/>
        <w:gridCol w:w="150"/>
        <w:gridCol w:w="236"/>
        <w:gridCol w:w="6"/>
        <w:gridCol w:w="283"/>
        <w:gridCol w:w="175"/>
        <w:gridCol w:w="112"/>
        <w:gridCol w:w="125"/>
        <w:gridCol w:w="24"/>
        <w:gridCol w:w="51"/>
        <w:gridCol w:w="125"/>
        <w:gridCol w:w="88"/>
        <w:gridCol w:w="219"/>
        <w:gridCol w:w="56"/>
        <w:gridCol w:w="92"/>
        <w:gridCol w:w="133"/>
        <w:gridCol w:w="31"/>
        <w:gridCol w:w="181"/>
        <w:gridCol w:w="250"/>
        <w:gridCol w:w="24"/>
        <w:gridCol w:w="92"/>
        <w:gridCol w:w="209"/>
        <w:gridCol w:w="7"/>
        <w:gridCol w:w="150"/>
        <w:gridCol w:w="6"/>
        <w:gridCol w:w="26"/>
        <w:gridCol w:w="20"/>
        <w:gridCol w:w="46"/>
        <w:gridCol w:w="272"/>
        <w:gridCol w:w="42"/>
        <w:gridCol w:w="14"/>
        <w:gridCol w:w="2553"/>
        <w:gridCol w:w="6"/>
        <w:gridCol w:w="26"/>
      </w:tblGrid>
      <w:tr>
        <w:tblPrEx>
          <w:tblCellMar>
            <w:top w:w="0" w:type="dxa"/>
            <w:left w:w="0" w:type="dxa"/>
            <w:bottom w:w="0" w:type="dxa"/>
            <w:right w:w="0" w:type="dxa"/>
          </w:tblCellMar>
        </w:tblPrEx>
        <w:trPr>
          <w:gridAfter w:val="2"/>
          <w:wAfter w:w="14" w:type="pct"/>
          <w:trHeight w:val="904" w:hRule="atLeast"/>
        </w:trPr>
        <w:tc>
          <w:tcPr>
            <w:tcW w:w="4985" w:type="pct"/>
            <w:gridSpan w:val="4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tblPrEx>
          <w:shd w:val="clear" w:color="auto" w:fill="auto"/>
          <w:tblCellMar>
            <w:top w:w="0" w:type="dxa"/>
            <w:left w:w="0" w:type="dxa"/>
            <w:bottom w:w="0" w:type="dxa"/>
            <w:right w:w="0" w:type="dxa"/>
          </w:tblCellMar>
        </w:tblPrEx>
        <w:trPr>
          <w:gridAfter w:val="2"/>
          <w:wAfter w:w="14" w:type="pct"/>
          <w:trHeight w:val="286" w:hRule="atLeast"/>
        </w:trPr>
        <w:tc>
          <w:tcPr>
            <w:tcW w:w="134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3638" w:type="pct"/>
            <w:gridSpan w:val="4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51000021R000000019951-工资性支出</w:t>
            </w:r>
          </w:p>
        </w:tc>
      </w:tr>
      <w:tr>
        <w:tblPrEx>
          <w:tblCellMar>
            <w:top w:w="0" w:type="dxa"/>
            <w:left w:w="0" w:type="dxa"/>
            <w:bottom w:w="0" w:type="dxa"/>
            <w:right w:w="0" w:type="dxa"/>
          </w:tblCellMar>
        </w:tblPrEx>
        <w:trPr>
          <w:gridAfter w:val="2"/>
          <w:wAfter w:w="14" w:type="pct"/>
          <w:trHeight w:val="512" w:hRule="atLeast"/>
        </w:trPr>
        <w:tc>
          <w:tcPr>
            <w:tcW w:w="134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1768" w:type="pct"/>
            <w:gridSpan w:val="2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广元市卫生健康委员会部门</w:t>
            </w:r>
          </w:p>
        </w:tc>
        <w:tc>
          <w:tcPr>
            <w:tcW w:w="341" w:type="pct"/>
            <w:gridSpan w:val="7"/>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rPr>
                <w:rFonts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1528"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广元市计划生育药品器械管理站</w:t>
            </w:r>
          </w:p>
        </w:tc>
      </w:tr>
      <w:tr>
        <w:tblPrEx>
          <w:tblCellMar>
            <w:top w:w="0" w:type="dxa"/>
            <w:left w:w="0" w:type="dxa"/>
            <w:bottom w:w="0" w:type="dxa"/>
            <w:right w:w="0" w:type="dxa"/>
          </w:tblCellMar>
        </w:tblPrEx>
        <w:trPr>
          <w:gridAfter w:val="2"/>
          <w:wAfter w:w="14" w:type="pct"/>
          <w:trHeight w:val="286"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974" w:type="pct"/>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1768" w:type="pct"/>
            <w:gridSpan w:val="2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1869" w:type="pct"/>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gridAfter w:val="2"/>
          <w:wAfter w:w="14" w:type="pct"/>
          <w:trHeight w:val="708"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974"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768" w:type="pct"/>
            <w:gridSpan w:val="2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1869" w:type="pct"/>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严格执行了相关政策，保障了工资及时发放、足额发放，预算编制科学合理，</w:t>
            </w:r>
            <w:r>
              <w:rPr>
                <w:rFonts w:hint="eastAsia" w:ascii="宋体" w:hAnsi="宋体" w:cs="宋体"/>
                <w:i w:val="0"/>
                <w:color w:val="000000"/>
                <w:kern w:val="0"/>
                <w:sz w:val="18"/>
                <w:szCs w:val="18"/>
                <w:u w:val="none"/>
                <w:lang w:val="en-US" w:eastAsia="zh-CN" w:bidi="ar"/>
              </w:rPr>
              <w:t>无</w:t>
            </w:r>
            <w:r>
              <w:rPr>
                <w:rFonts w:hint="eastAsia" w:ascii="宋体" w:hAnsi="宋体" w:eastAsia="宋体" w:cs="宋体"/>
                <w:i w:val="0"/>
                <w:color w:val="000000"/>
                <w:kern w:val="0"/>
                <w:sz w:val="18"/>
                <w:szCs w:val="18"/>
                <w:u w:val="none"/>
                <w:lang w:val="en-US" w:eastAsia="zh-CN" w:bidi="ar"/>
              </w:rPr>
              <w:t>结余资金</w:t>
            </w:r>
            <w:r>
              <w:rPr>
                <w:rFonts w:hint="eastAsia" w:ascii="宋体" w:hAnsi="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gridAfter w:val="2"/>
          <w:wAfter w:w="14" w:type="pct"/>
          <w:trHeight w:val="548"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3638" w:type="pct"/>
            <w:gridSpan w:val="4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lang w:eastAsia="zh-CN"/>
              </w:rPr>
            </w:pPr>
            <w:r>
              <w:rPr>
                <w:rFonts w:hint="eastAsia" w:ascii="宋体" w:hAnsi="宋体" w:eastAsia="宋体" w:cs="宋体"/>
                <w:i w:val="0"/>
                <w:color w:val="000000"/>
                <w:sz w:val="18"/>
                <w:szCs w:val="18"/>
                <w:u w:val="none"/>
              </w:rPr>
              <w:t>严格执行了相关政策，保障了工资及时发放、足额发放，预算编制科学合理，减少了结余资金</w:t>
            </w:r>
            <w:r>
              <w:rPr>
                <w:rFonts w:hint="eastAsia" w:ascii="宋体" w:hAnsi="宋体" w:eastAsia="宋体" w:cs="宋体"/>
                <w:i w:val="0"/>
                <w:color w:val="000000"/>
                <w:sz w:val="18"/>
                <w:szCs w:val="18"/>
                <w:u w:val="none"/>
                <w:lang w:eastAsia="zh-CN"/>
              </w:rPr>
              <w:t>。</w:t>
            </w:r>
          </w:p>
        </w:tc>
      </w:tr>
      <w:tr>
        <w:tblPrEx>
          <w:tblCellMar>
            <w:top w:w="0" w:type="dxa"/>
            <w:left w:w="0" w:type="dxa"/>
            <w:bottom w:w="0" w:type="dxa"/>
            <w:right w:w="0" w:type="dxa"/>
          </w:tblCellMar>
        </w:tblPrEx>
        <w:trPr>
          <w:gridAfter w:val="2"/>
          <w:wAfter w:w="14" w:type="pct"/>
          <w:trHeight w:val="361"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CellMar>
            <w:top w:w="0" w:type="dxa"/>
            <w:left w:w="0" w:type="dxa"/>
            <w:bottom w:w="0" w:type="dxa"/>
            <w:right w:w="0" w:type="dxa"/>
          </w:tblCellMar>
        </w:tblPrEx>
        <w:trPr>
          <w:gridAfter w:val="2"/>
          <w:wAfter w:w="14" w:type="pct"/>
          <w:trHeight w:val="346"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40.72</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40.72</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40.72</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113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color w:val="000000"/>
                <w:sz w:val="18"/>
                <w:szCs w:val="18"/>
                <w:u w:val="none"/>
              </w:rPr>
            </w:pPr>
            <w:r>
              <w:rPr>
                <w:rFonts w:hint="eastAsia" w:ascii="宋体" w:hAnsi="宋体" w:eastAsia="宋体" w:cs="宋体"/>
                <w:i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gridAfter w:val="2"/>
          <w:wAfter w:w="14" w:type="pct"/>
          <w:trHeight w:val="391"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40.72</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40.72</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40.72</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407"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361"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452"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17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322"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21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gridAfter w:val="2"/>
          <w:wAfter w:w="14"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17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22"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1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宋体" w:hAnsi="宋体" w:eastAsia="宋体" w:cs="宋体"/>
                <w:i w:val="0"/>
                <w:color w:val="000000"/>
                <w:kern w:val="0"/>
                <w:sz w:val="18"/>
                <w:szCs w:val="18"/>
                <w:u w:val="none"/>
                <w:lang w:val="en-US" w:eastAsia="zh-CN" w:bidi="ar"/>
              </w:rPr>
              <w:t>100%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60</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gridAfter w:val="2"/>
          <w:wAfter w:w="14"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17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22"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1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微软雅黑" w:hAnsi="微软雅黑" w:eastAsia="微软雅黑" w:cs="微软雅黑"/>
                <w:i/>
                <w:color w:val="000000"/>
                <w:sz w:val="16"/>
                <w:szCs w:val="16"/>
                <w:u w:val="none"/>
                <w:lang w:val="en-US" w:eastAsia="zh-CN"/>
              </w:rPr>
            </w:pPr>
            <w:r>
              <w:rPr>
                <w:rFonts w:hint="eastAsia" w:ascii="宋体" w:hAnsi="宋体" w:eastAsia="宋体" w:cs="宋体"/>
                <w:i w:val="0"/>
                <w:color w:val="000000"/>
                <w:kern w:val="0"/>
                <w:sz w:val="18"/>
                <w:szCs w:val="18"/>
                <w:u w:val="none"/>
                <w:lang w:val="en-US" w:eastAsia="zh-CN" w:bidi="ar"/>
              </w:rPr>
              <w:t>100%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gridAfter w:val="2"/>
          <w:wAfter w:w="14" w:type="pct"/>
          <w:trHeight w:val="286" w:hRule="atLeast"/>
        </w:trPr>
        <w:tc>
          <w:tcPr>
            <w:tcW w:w="3457" w:type="pct"/>
            <w:gridSpan w:val="3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After w:val="2"/>
          <w:wAfter w:w="14" w:type="pct"/>
          <w:trHeight w:val="520"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微软雅黑" w:hAnsi="微软雅黑" w:eastAsia="微软雅黑" w:cs="微软雅黑"/>
                <w:i/>
                <w:color w:val="000000"/>
                <w:sz w:val="16"/>
                <w:szCs w:val="16"/>
                <w:u w:val="none"/>
              </w:rPr>
            </w:pPr>
            <w:r>
              <w:rPr>
                <w:rFonts w:hint="eastAsia" w:ascii="宋体" w:hAnsi="宋体" w:eastAsia="宋体" w:cs="宋体"/>
                <w:i w:val="0"/>
                <w:color w:val="000000"/>
                <w:kern w:val="0"/>
                <w:sz w:val="18"/>
                <w:szCs w:val="18"/>
                <w:u w:val="none"/>
                <w:lang w:val="en-US" w:eastAsia="zh-CN" w:bidi="ar"/>
              </w:rPr>
              <w:t>严格执</w:t>
            </w:r>
            <w:r>
              <w:rPr>
                <w:rFonts w:hint="eastAsia" w:ascii="宋体" w:hAnsi="宋体" w:cs="宋体"/>
                <w:i w:val="0"/>
                <w:color w:val="000000"/>
                <w:kern w:val="0"/>
                <w:sz w:val="18"/>
                <w:szCs w:val="18"/>
                <w:u w:val="none"/>
                <w:lang w:val="en-US" w:eastAsia="zh-CN" w:bidi="ar"/>
              </w:rPr>
              <w:t>了</w:t>
            </w:r>
            <w:r>
              <w:rPr>
                <w:rFonts w:hint="eastAsia" w:ascii="宋体" w:hAnsi="宋体" w:eastAsia="宋体" w:cs="宋体"/>
                <w:i w:val="0"/>
                <w:color w:val="000000"/>
                <w:kern w:val="0"/>
                <w:sz w:val="18"/>
                <w:szCs w:val="18"/>
                <w:u w:val="none"/>
                <w:lang w:val="en-US" w:eastAsia="zh-CN" w:bidi="ar"/>
              </w:rPr>
              <w:t>行相关政策，保障</w:t>
            </w:r>
            <w:r>
              <w:rPr>
                <w:rFonts w:hint="eastAsia" w:ascii="宋体" w:hAnsi="宋体" w:cs="宋体"/>
                <w:i w:val="0"/>
                <w:color w:val="000000"/>
                <w:kern w:val="0"/>
                <w:sz w:val="18"/>
                <w:szCs w:val="18"/>
                <w:u w:val="none"/>
                <w:lang w:val="en-US" w:eastAsia="zh-CN" w:bidi="ar"/>
              </w:rPr>
              <w:t>了</w:t>
            </w:r>
            <w:r>
              <w:rPr>
                <w:rFonts w:hint="eastAsia" w:ascii="宋体" w:hAnsi="宋体" w:eastAsia="宋体" w:cs="宋体"/>
                <w:i w:val="0"/>
                <w:color w:val="000000"/>
                <w:kern w:val="0"/>
                <w:sz w:val="18"/>
                <w:szCs w:val="18"/>
                <w:u w:val="none"/>
                <w:lang w:val="en-US" w:eastAsia="zh-CN" w:bidi="ar"/>
              </w:rPr>
              <w:t>工资及时发放、足额发放，预算编制科学合理，减少</w:t>
            </w:r>
            <w:r>
              <w:rPr>
                <w:rFonts w:hint="eastAsia" w:ascii="宋体" w:hAnsi="宋体" w:cs="宋体"/>
                <w:i w:val="0"/>
                <w:color w:val="000000"/>
                <w:kern w:val="0"/>
                <w:sz w:val="18"/>
                <w:szCs w:val="18"/>
                <w:u w:val="none"/>
                <w:lang w:val="en-US" w:eastAsia="zh-CN" w:bidi="ar"/>
              </w:rPr>
              <w:t>了</w:t>
            </w:r>
            <w:r>
              <w:rPr>
                <w:rFonts w:hint="eastAsia" w:ascii="宋体" w:hAnsi="宋体" w:eastAsia="宋体" w:cs="宋体"/>
                <w:i w:val="0"/>
                <w:color w:val="000000"/>
                <w:kern w:val="0"/>
                <w:sz w:val="18"/>
                <w:szCs w:val="18"/>
                <w:u w:val="none"/>
                <w:lang w:val="en-US" w:eastAsia="zh-CN" w:bidi="ar"/>
              </w:rPr>
              <w:t>结余资金</w:t>
            </w:r>
            <w:r>
              <w:rPr>
                <w:rFonts w:hint="eastAsia" w:ascii="宋体" w:hAnsi="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gridAfter w:val="2"/>
          <w:wAfter w:w="14" w:type="pct"/>
          <w:trHeight w:val="427"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微软雅黑" w:hAnsi="微软雅黑" w:eastAsia="微软雅黑" w:cs="微软雅黑"/>
                <w:i/>
                <w:color w:val="000000"/>
                <w:sz w:val="16"/>
                <w:szCs w:val="16"/>
                <w:u w:val="none"/>
              </w:rPr>
            </w:pPr>
            <w:r>
              <w:rPr>
                <w:rFonts w:hint="eastAsia" w:ascii="宋体" w:hAnsi="宋体" w:eastAsia="宋体" w:cs="宋体"/>
                <w:i w:val="0"/>
                <w:color w:val="000000"/>
                <w:kern w:val="0"/>
                <w:sz w:val="18"/>
                <w:szCs w:val="18"/>
                <w:u w:val="none"/>
                <w:lang w:val="en-US" w:eastAsia="zh-CN" w:bidi="ar"/>
              </w:rPr>
              <w:t>无</w:t>
            </w:r>
            <w:r>
              <w:rPr>
                <w:rFonts w:hint="eastAsia" w:ascii="宋体" w:hAnsi="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gridAfter w:val="2"/>
          <w:wAfter w:w="14" w:type="pct"/>
          <w:trHeight w:val="526"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微软雅黑" w:hAnsi="微软雅黑" w:eastAsia="微软雅黑" w:cs="微软雅黑"/>
                <w:i/>
                <w:color w:val="000000"/>
                <w:sz w:val="16"/>
                <w:szCs w:val="16"/>
                <w:u w:val="none"/>
              </w:rPr>
            </w:pPr>
            <w:r>
              <w:rPr>
                <w:rFonts w:hint="eastAsia" w:ascii="宋体" w:hAnsi="宋体" w:cs="宋体"/>
                <w:i w:val="0"/>
                <w:color w:val="000000"/>
                <w:kern w:val="0"/>
                <w:sz w:val="18"/>
                <w:szCs w:val="18"/>
                <w:u w:val="none"/>
                <w:lang w:val="en-US" w:eastAsia="zh-CN" w:bidi="ar"/>
              </w:rPr>
              <w:t>无。</w:t>
            </w:r>
          </w:p>
        </w:tc>
      </w:tr>
      <w:tr>
        <w:tblPrEx>
          <w:tblCellMar>
            <w:top w:w="0" w:type="dxa"/>
            <w:left w:w="0" w:type="dxa"/>
            <w:bottom w:w="0" w:type="dxa"/>
            <w:right w:w="0" w:type="dxa"/>
          </w:tblCellMar>
        </w:tblPrEx>
        <w:trPr>
          <w:gridAfter w:val="2"/>
          <w:wAfter w:w="14" w:type="pct"/>
          <w:trHeight w:val="286" w:hRule="atLeast"/>
        </w:trPr>
        <w:tc>
          <w:tcPr>
            <w:tcW w:w="2579" w:type="pct"/>
            <w:gridSpan w:val="1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项目负责人：王炯棵</w:t>
            </w:r>
          </w:p>
        </w:tc>
        <w:tc>
          <w:tcPr>
            <w:tcW w:w="2406" w:type="pct"/>
            <w:gridSpan w:val="2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财务负责人：马慧玉</w:t>
            </w:r>
          </w:p>
        </w:tc>
      </w:tr>
      <w:tr>
        <w:tblPrEx>
          <w:tblCellMar>
            <w:top w:w="0" w:type="dxa"/>
            <w:left w:w="0" w:type="dxa"/>
            <w:bottom w:w="0" w:type="dxa"/>
            <w:right w:w="0" w:type="dxa"/>
          </w:tblCellMar>
        </w:tblPrEx>
        <w:trPr>
          <w:gridAfter w:val="2"/>
          <w:wAfter w:w="14" w:type="pct"/>
          <w:trHeight w:val="286" w:hRule="atLeast"/>
        </w:trPr>
        <w:tc>
          <w:tcPr>
            <w:tcW w:w="372" w:type="pct"/>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974" w:type="pct"/>
            <w:gridSpan w:val="4"/>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62" w:type="pct"/>
            <w:gridSpan w:val="4"/>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p>
            <w:pPr>
              <w:rPr>
                <w:rFonts w:hint="eastAsia" w:ascii="宋体" w:hAnsi="宋体" w:eastAsia="宋体" w:cs="宋体"/>
                <w:i w:val="0"/>
                <w:color w:val="000000"/>
                <w:sz w:val="18"/>
                <w:szCs w:val="18"/>
                <w:u w:val="none"/>
              </w:rPr>
            </w:pPr>
          </w:p>
          <w:p>
            <w:pPr>
              <w:rPr>
                <w:rFonts w:hint="eastAsia" w:ascii="宋体" w:hAnsi="宋体" w:eastAsia="宋体" w:cs="宋体"/>
                <w:i w:val="0"/>
                <w:color w:val="000000"/>
                <w:sz w:val="18"/>
                <w:szCs w:val="18"/>
                <w:u w:val="none"/>
              </w:rPr>
            </w:pPr>
          </w:p>
        </w:tc>
        <w:tc>
          <w:tcPr>
            <w:tcW w:w="591" w:type="pct"/>
            <w:gridSpan w:val="5"/>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76" w:type="pct"/>
            <w:gridSpan w:val="3"/>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22" w:type="pct"/>
            <w:gridSpan w:val="6"/>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14" w:type="pct"/>
            <w:gridSpan w:val="4"/>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1" w:type="pct"/>
            <w:gridSpan w:val="7"/>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36" w:type="pct"/>
            <w:gridSpan w:val="3"/>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56" w:type="pct"/>
            <w:gridSpan w:val="8"/>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135" w:type="pct"/>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After w:val="2"/>
          <w:wAfter w:w="14" w:type="pct"/>
          <w:trHeight w:val="904" w:hRule="atLeast"/>
        </w:trPr>
        <w:tc>
          <w:tcPr>
            <w:tcW w:w="4985" w:type="pct"/>
            <w:gridSpan w:val="4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tblPrEx>
          <w:shd w:val="clear" w:color="auto" w:fill="auto"/>
          <w:tblCellMar>
            <w:top w:w="0" w:type="dxa"/>
            <w:left w:w="0" w:type="dxa"/>
            <w:bottom w:w="0" w:type="dxa"/>
            <w:right w:w="0" w:type="dxa"/>
          </w:tblCellMar>
        </w:tblPrEx>
        <w:trPr>
          <w:gridAfter w:val="2"/>
          <w:wAfter w:w="14" w:type="pct"/>
          <w:trHeight w:val="286" w:hRule="atLeast"/>
        </w:trPr>
        <w:tc>
          <w:tcPr>
            <w:tcW w:w="134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3638" w:type="pct"/>
            <w:gridSpan w:val="4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51000021R000000019956-离退休费支出</w:t>
            </w:r>
          </w:p>
        </w:tc>
      </w:tr>
      <w:tr>
        <w:tblPrEx>
          <w:tblCellMar>
            <w:top w:w="0" w:type="dxa"/>
            <w:left w:w="0" w:type="dxa"/>
            <w:bottom w:w="0" w:type="dxa"/>
            <w:right w:w="0" w:type="dxa"/>
          </w:tblCellMar>
        </w:tblPrEx>
        <w:trPr>
          <w:gridAfter w:val="2"/>
          <w:wAfter w:w="14" w:type="pct"/>
          <w:trHeight w:val="512" w:hRule="atLeast"/>
        </w:trPr>
        <w:tc>
          <w:tcPr>
            <w:tcW w:w="134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1768" w:type="pct"/>
            <w:gridSpan w:val="2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广元市卫生健康委员会部门</w:t>
            </w:r>
          </w:p>
        </w:tc>
        <w:tc>
          <w:tcPr>
            <w:tcW w:w="341" w:type="pct"/>
            <w:gridSpan w:val="7"/>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1528"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广元市计划生育药品器械管理站</w:t>
            </w:r>
          </w:p>
        </w:tc>
      </w:tr>
      <w:tr>
        <w:tblPrEx>
          <w:tblCellMar>
            <w:top w:w="0" w:type="dxa"/>
            <w:left w:w="0" w:type="dxa"/>
            <w:bottom w:w="0" w:type="dxa"/>
            <w:right w:w="0" w:type="dxa"/>
          </w:tblCellMar>
        </w:tblPrEx>
        <w:trPr>
          <w:gridAfter w:val="2"/>
          <w:wAfter w:w="14" w:type="pct"/>
          <w:trHeight w:val="286"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974" w:type="pct"/>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1768" w:type="pct"/>
            <w:gridSpan w:val="2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1869" w:type="pct"/>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gridAfter w:val="2"/>
          <w:wAfter w:w="14" w:type="pct"/>
          <w:trHeight w:val="708"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974"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768" w:type="pct"/>
            <w:gridSpan w:val="2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1869" w:type="pct"/>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宋体" w:hAnsi="宋体" w:eastAsia="宋体"/>
                <w:color w:val="000000"/>
                <w:sz w:val="18"/>
                <w:lang w:val="en-US" w:eastAsia="zh-CN"/>
              </w:rPr>
              <w:t>严格执行了相关政策，保障了工资及时发放、足额发放，预算编制科学合理，无结余资金。</w:t>
            </w:r>
          </w:p>
        </w:tc>
      </w:tr>
      <w:tr>
        <w:tblPrEx>
          <w:tblCellMar>
            <w:top w:w="0" w:type="dxa"/>
            <w:left w:w="0" w:type="dxa"/>
            <w:bottom w:w="0" w:type="dxa"/>
            <w:right w:w="0" w:type="dxa"/>
          </w:tblCellMar>
        </w:tblPrEx>
        <w:trPr>
          <w:gridAfter w:val="2"/>
          <w:wAfter w:w="14" w:type="pct"/>
          <w:trHeight w:val="693"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3638" w:type="pct"/>
            <w:gridSpan w:val="4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r>
      <w:tr>
        <w:tblPrEx>
          <w:tblCellMar>
            <w:top w:w="0" w:type="dxa"/>
            <w:left w:w="0" w:type="dxa"/>
            <w:bottom w:w="0" w:type="dxa"/>
            <w:right w:w="0" w:type="dxa"/>
          </w:tblCellMar>
        </w:tblPrEx>
        <w:trPr>
          <w:gridAfter w:val="2"/>
          <w:wAfter w:w="14" w:type="pct"/>
          <w:trHeight w:val="361"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CellMar>
            <w:top w:w="0" w:type="dxa"/>
            <w:left w:w="0" w:type="dxa"/>
            <w:bottom w:w="0" w:type="dxa"/>
            <w:right w:w="0" w:type="dxa"/>
          </w:tblCellMar>
        </w:tblPrEx>
        <w:trPr>
          <w:gridAfter w:val="2"/>
          <w:wAfter w:w="14" w:type="pct"/>
          <w:trHeight w:val="346"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113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color w:val="000000"/>
                <w:sz w:val="18"/>
                <w:szCs w:val="18"/>
                <w:u w:val="none"/>
              </w:rPr>
            </w:pPr>
            <w:r>
              <w:rPr>
                <w:rFonts w:hint="eastAsia" w:ascii="宋体" w:hAnsi="宋体" w:eastAsia="宋体" w:cs="宋体"/>
                <w:i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gridAfter w:val="2"/>
          <w:wAfter w:w="14" w:type="pct"/>
          <w:trHeight w:val="391"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15.12</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407"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361"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452"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17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322"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21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gridAfter w:val="2"/>
          <w:wAfter w:w="14"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17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22"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1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kern w:val="0"/>
                <w:sz w:val="18"/>
                <w:szCs w:val="18"/>
                <w:u w:val="none"/>
                <w:lang w:val="en-US" w:eastAsia="zh-CN" w:bidi="ar"/>
              </w:rPr>
            </w:pPr>
            <w:r>
              <w:rPr>
                <w:rFonts w:ascii="宋体" w:hAnsi="宋体" w:eastAsia="宋体" w:cs="宋体"/>
                <w:i w:val="0"/>
                <w:color w:val="000000"/>
                <w:kern w:val="0"/>
                <w:sz w:val="18"/>
                <w:szCs w:val="18"/>
                <w:u w:val="none"/>
                <w:lang w:val="en-US" w:eastAsia="zh-CN" w:bidi="ar"/>
              </w:rPr>
              <w:t>60</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60</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gridAfter w:val="2"/>
          <w:wAfter w:w="14"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17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22"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1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kern w:val="0"/>
                <w:sz w:val="18"/>
                <w:szCs w:val="18"/>
                <w:u w:val="none"/>
                <w:lang w:val="en-US" w:eastAsia="zh-CN" w:bidi="ar"/>
              </w:rPr>
            </w:pPr>
            <w:r>
              <w:rPr>
                <w:rFonts w:ascii="宋体" w:hAnsi="宋体" w:eastAsia="宋体" w:cs="宋体"/>
                <w:i w:val="0"/>
                <w:color w:val="000000"/>
                <w:kern w:val="0"/>
                <w:sz w:val="18"/>
                <w:szCs w:val="18"/>
                <w:u w:val="none"/>
                <w:lang w:val="en-US" w:eastAsia="zh-CN" w:bidi="ar"/>
              </w:rPr>
              <w:t>30</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gridAfter w:val="2"/>
          <w:wAfter w:w="14" w:type="pct"/>
          <w:trHeight w:val="286" w:hRule="atLeast"/>
        </w:trPr>
        <w:tc>
          <w:tcPr>
            <w:tcW w:w="3457" w:type="pct"/>
            <w:gridSpan w:val="3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180" w:firstLineChars="100"/>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After w:val="2"/>
          <w:wAfter w:w="14" w:type="pct"/>
          <w:trHeight w:val="603"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微软雅黑" w:hAnsi="微软雅黑" w:eastAsia="微软雅黑" w:cs="微软雅黑"/>
                <w:i/>
                <w:color w:val="000000"/>
                <w:sz w:val="16"/>
                <w:szCs w:val="16"/>
                <w:u w:val="none"/>
              </w:rPr>
            </w:pPr>
            <w:r>
              <w:rPr>
                <w:rFonts w:hint="eastAsia" w:ascii="宋体" w:hAnsi="宋体" w:eastAsia="宋体"/>
                <w:color w:val="000000"/>
                <w:sz w:val="18"/>
                <w:lang w:val="en-US" w:eastAsia="zh-CN"/>
              </w:rPr>
              <w:t>严格执行了相关政策，保障了工资及时发放、足额发放，预算编制科学合理，无结余资金</w:t>
            </w:r>
            <w:r>
              <w:rPr>
                <w:rFonts w:hint="eastAsia" w:ascii="宋体" w:hAnsi="宋体"/>
                <w:color w:val="000000"/>
                <w:sz w:val="18"/>
                <w:lang w:val="en-US" w:eastAsia="zh-CN"/>
              </w:rPr>
              <w:t>。</w:t>
            </w:r>
          </w:p>
        </w:tc>
      </w:tr>
      <w:tr>
        <w:tblPrEx>
          <w:tblCellMar>
            <w:top w:w="0" w:type="dxa"/>
            <w:left w:w="0" w:type="dxa"/>
            <w:bottom w:w="0" w:type="dxa"/>
            <w:right w:w="0" w:type="dxa"/>
          </w:tblCellMar>
        </w:tblPrEx>
        <w:trPr>
          <w:gridAfter w:val="2"/>
          <w:wAfter w:w="14" w:type="pct"/>
          <w:trHeight w:val="572"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宋体" w:hAnsi="宋体" w:eastAsia="宋体"/>
                <w:color w:val="000000"/>
                <w:sz w:val="18"/>
                <w:lang w:val="en-US" w:eastAsia="zh-CN"/>
              </w:rPr>
            </w:pPr>
            <w:r>
              <w:rPr>
                <w:rFonts w:hint="eastAsia" w:ascii="宋体" w:hAnsi="宋体" w:eastAsia="宋体"/>
                <w:color w:val="000000"/>
                <w:sz w:val="18"/>
                <w:lang w:val="en-US" w:eastAsia="zh-CN"/>
              </w:rPr>
              <w:t>无</w:t>
            </w:r>
            <w:r>
              <w:rPr>
                <w:rFonts w:hint="eastAsia" w:ascii="宋体" w:hAnsi="宋体"/>
                <w:color w:val="000000"/>
                <w:sz w:val="18"/>
                <w:lang w:val="en-US" w:eastAsia="zh-CN"/>
              </w:rPr>
              <w:t>。</w:t>
            </w:r>
          </w:p>
        </w:tc>
      </w:tr>
      <w:tr>
        <w:tblPrEx>
          <w:tblCellMar>
            <w:top w:w="0" w:type="dxa"/>
            <w:left w:w="0" w:type="dxa"/>
            <w:bottom w:w="0" w:type="dxa"/>
            <w:right w:w="0" w:type="dxa"/>
          </w:tblCellMar>
        </w:tblPrEx>
        <w:trPr>
          <w:gridAfter w:val="2"/>
          <w:wAfter w:w="14" w:type="pct"/>
          <w:trHeight w:val="633"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宋体" w:hAnsi="宋体" w:eastAsia="宋体"/>
                <w:color w:val="000000"/>
                <w:sz w:val="18"/>
                <w:lang w:val="en-US" w:eastAsia="zh-CN"/>
              </w:rPr>
            </w:pPr>
            <w:r>
              <w:rPr>
                <w:rFonts w:hint="eastAsia" w:ascii="宋体" w:hAnsi="宋体"/>
                <w:color w:val="000000"/>
                <w:sz w:val="18"/>
                <w:lang w:val="en-US" w:eastAsia="zh-CN"/>
              </w:rPr>
              <w:t>无。</w:t>
            </w:r>
          </w:p>
        </w:tc>
      </w:tr>
      <w:tr>
        <w:tblPrEx>
          <w:tblCellMar>
            <w:top w:w="0" w:type="dxa"/>
            <w:left w:w="0" w:type="dxa"/>
            <w:bottom w:w="0" w:type="dxa"/>
            <w:right w:w="0" w:type="dxa"/>
          </w:tblCellMar>
        </w:tblPrEx>
        <w:trPr>
          <w:gridAfter w:val="2"/>
          <w:wAfter w:w="14" w:type="pct"/>
          <w:trHeight w:val="286" w:hRule="atLeast"/>
        </w:trPr>
        <w:tc>
          <w:tcPr>
            <w:tcW w:w="2579" w:type="pct"/>
            <w:gridSpan w:val="1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项目负责人：王炯棵</w:t>
            </w:r>
          </w:p>
        </w:tc>
        <w:tc>
          <w:tcPr>
            <w:tcW w:w="2406" w:type="pct"/>
            <w:gridSpan w:val="2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财务负责人：马慧玉</w:t>
            </w:r>
          </w:p>
        </w:tc>
      </w:tr>
      <w:tr>
        <w:tblPrEx>
          <w:tblCellMar>
            <w:top w:w="0" w:type="dxa"/>
            <w:left w:w="0" w:type="dxa"/>
            <w:bottom w:w="0" w:type="dxa"/>
            <w:right w:w="0" w:type="dxa"/>
          </w:tblCellMar>
        </w:tblPrEx>
        <w:trPr>
          <w:gridAfter w:val="2"/>
          <w:wAfter w:w="14" w:type="pct"/>
          <w:trHeight w:val="286" w:hRule="atLeast"/>
        </w:trPr>
        <w:tc>
          <w:tcPr>
            <w:tcW w:w="372" w:type="pct"/>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974" w:type="pct"/>
            <w:gridSpan w:val="4"/>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62" w:type="pct"/>
            <w:gridSpan w:val="4"/>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591" w:type="pct"/>
            <w:gridSpan w:val="5"/>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p>
            <w:pPr>
              <w:rPr>
                <w:rFonts w:hint="eastAsia" w:ascii="宋体" w:hAnsi="宋体" w:eastAsia="宋体" w:cs="宋体"/>
                <w:i w:val="0"/>
                <w:color w:val="000000"/>
                <w:sz w:val="18"/>
                <w:szCs w:val="18"/>
                <w:u w:val="none"/>
              </w:rPr>
            </w:pPr>
          </w:p>
          <w:p>
            <w:pPr>
              <w:rPr>
                <w:rFonts w:hint="eastAsia" w:ascii="宋体" w:hAnsi="宋体" w:eastAsia="宋体" w:cs="宋体"/>
                <w:i w:val="0"/>
                <w:color w:val="000000"/>
                <w:sz w:val="18"/>
                <w:szCs w:val="18"/>
                <w:u w:val="none"/>
              </w:rPr>
            </w:pPr>
          </w:p>
          <w:p>
            <w:pPr>
              <w:rPr>
                <w:rFonts w:hint="eastAsia" w:ascii="宋体" w:hAnsi="宋体" w:eastAsia="宋体" w:cs="宋体"/>
                <w:i w:val="0"/>
                <w:color w:val="000000"/>
                <w:sz w:val="18"/>
                <w:szCs w:val="18"/>
                <w:u w:val="none"/>
              </w:rPr>
            </w:pPr>
          </w:p>
          <w:p>
            <w:pPr>
              <w:rPr>
                <w:rFonts w:hint="eastAsia" w:ascii="宋体" w:hAnsi="宋体" w:eastAsia="宋体" w:cs="宋体"/>
                <w:i w:val="0"/>
                <w:color w:val="000000"/>
                <w:sz w:val="18"/>
                <w:szCs w:val="18"/>
                <w:u w:val="none"/>
              </w:rPr>
            </w:pPr>
          </w:p>
          <w:p>
            <w:pPr>
              <w:rPr>
                <w:rFonts w:hint="eastAsia" w:ascii="宋体" w:hAnsi="宋体" w:eastAsia="宋体" w:cs="宋体"/>
                <w:i w:val="0"/>
                <w:color w:val="000000"/>
                <w:sz w:val="18"/>
                <w:szCs w:val="18"/>
                <w:u w:val="none"/>
              </w:rPr>
            </w:pPr>
          </w:p>
        </w:tc>
        <w:tc>
          <w:tcPr>
            <w:tcW w:w="176" w:type="pct"/>
            <w:gridSpan w:val="3"/>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22" w:type="pct"/>
            <w:gridSpan w:val="6"/>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14" w:type="pct"/>
            <w:gridSpan w:val="4"/>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1" w:type="pct"/>
            <w:gridSpan w:val="7"/>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36" w:type="pct"/>
            <w:gridSpan w:val="3"/>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56" w:type="pct"/>
            <w:gridSpan w:val="8"/>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135" w:type="pct"/>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After w:val="2"/>
          <w:wAfter w:w="14" w:type="pct"/>
          <w:trHeight w:val="904" w:hRule="atLeast"/>
        </w:trPr>
        <w:tc>
          <w:tcPr>
            <w:tcW w:w="4985" w:type="pct"/>
            <w:gridSpan w:val="4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tblPrEx>
          <w:shd w:val="clear" w:color="auto" w:fill="auto"/>
          <w:tblCellMar>
            <w:top w:w="0" w:type="dxa"/>
            <w:left w:w="0" w:type="dxa"/>
            <w:bottom w:w="0" w:type="dxa"/>
            <w:right w:w="0" w:type="dxa"/>
          </w:tblCellMar>
        </w:tblPrEx>
        <w:trPr>
          <w:gridAfter w:val="2"/>
          <w:wAfter w:w="14" w:type="pct"/>
          <w:trHeight w:val="286" w:hRule="atLeast"/>
        </w:trPr>
        <w:tc>
          <w:tcPr>
            <w:tcW w:w="134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3638" w:type="pct"/>
            <w:gridSpan w:val="4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51080021Y000000176770-其他公用经费（福利、工会、公车补贴、党建、退休活动）</w:t>
            </w:r>
          </w:p>
        </w:tc>
      </w:tr>
      <w:tr>
        <w:tblPrEx>
          <w:tblCellMar>
            <w:top w:w="0" w:type="dxa"/>
            <w:left w:w="0" w:type="dxa"/>
            <w:bottom w:w="0" w:type="dxa"/>
            <w:right w:w="0" w:type="dxa"/>
          </w:tblCellMar>
        </w:tblPrEx>
        <w:trPr>
          <w:gridAfter w:val="2"/>
          <w:wAfter w:w="14" w:type="pct"/>
          <w:trHeight w:val="512" w:hRule="atLeast"/>
        </w:trPr>
        <w:tc>
          <w:tcPr>
            <w:tcW w:w="134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1768" w:type="pct"/>
            <w:gridSpan w:val="2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广元市卫生健康委员会部门</w:t>
            </w:r>
          </w:p>
        </w:tc>
        <w:tc>
          <w:tcPr>
            <w:tcW w:w="341" w:type="pct"/>
            <w:gridSpan w:val="7"/>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1528"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广元市计划生育药品器械管理站</w:t>
            </w:r>
          </w:p>
        </w:tc>
      </w:tr>
      <w:tr>
        <w:tblPrEx>
          <w:tblCellMar>
            <w:top w:w="0" w:type="dxa"/>
            <w:left w:w="0" w:type="dxa"/>
            <w:bottom w:w="0" w:type="dxa"/>
            <w:right w:w="0" w:type="dxa"/>
          </w:tblCellMar>
        </w:tblPrEx>
        <w:trPr>
          <w:gridAfter w:val="2"/>
          <w:wAfter w:w="14" w:type="pct"/>
          <w:trHeight w:val="286"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974" w:type="pct"/>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1768" w:type="pct"/>
            <w:gridSpan w:val="2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1869" w:type="pct"/>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gridAfter w:val="2"/>
          <w:wAfter w:w="14" w:type="pct"/>
          <w:trHeight w:val="708"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974"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768" w:type="pct"/>
            <w:gridSpan w:val="2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c>
          <w:tcPr>
            <w:tcW w:w="1869" w:type="pct"/>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提高</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预算编制质量，严格执行预算，保障</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单位日常运转。</w:t>
            </w:r>
          </w:p>
        </w:tc>
      </w:tr>
      <w:tr>
        <w:tblPrEx>
          <w:tblCellMar>
            <w:top w:w="0" w:type="dxa"/>
            <w:left w:w="0" w:type="dxa"/>
            <w:bottom w:w="0" w:type="dxa"/>
            <w:right w:w="0" w:type="dxa"/>
          </w:tblCellMar>
        </w:tblPrEx>
        <w:trPr>
          <w:gridAfter w:val="2"/>
          <w:wAfter w:w="14" w:type="pct"/>
          <w:trHeight w:val="693"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3638" w:type="pct"/>
            <w:gridSpan w:val="4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r>
      <w:tr>
        <w:tblPrEx>
          <w:tblCellMar>
            <w:top w:w="0" w:type="dxa"/>
            <w:left w:w="0" w:type="dxa"/>
            <w:bottom w:w="0" w:type="dxa"/>
            <w:right w:w="0" w:type="dxa"/>
          </w:tblCellMar>
        </w:tblPrEx>
        <w:trPr>
          <w:gridAfter w:val="2"/>
          <w:wAfter w:w="14" w:type="pct"/>
          <w:trHeight w:val="361"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CellMar>
            <w:top w:w="0" w:type="dxa"/>
            <w:left w:w="0" w:type="dxa"/>
            <w:bottom w:w="0" w:type="dxa"/>
            <w:right w:w="0" w:type="dxa"/>
          </w:tblCellMar>
        </w:tblPrEx>
        <w:trPr>
          <w:gridAfter w:val="2"/>
          <w:wAfter w:w="14" w:type="pct"/>
          <w:trHeight w:val="346"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2.87</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2.87</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2.87</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113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color w:val="000000"/>
                <w:sz w:val="18"/>
                <w:szCs w:val="18"/>
                <w:u w:val="none"/>
              </w:rPr>
            </w:pPr>
            <w:r>
              <w:rPr>
                <w:rFonts w:hint="eastAsia" w:ascii="宋体" w:hAnsi="宋体" w:eastAsia="宋体" w:cs="宋体"/>
                <w:i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gridAfter w:val="2"/>
          <w:wAfter w:w="14" w:type="pct"/>
          <w:trHeight w:val="391"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2.87</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2.87</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2.87</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407"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361"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452"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17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322"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21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gridAfter w:val="2"/>
          <w:wAfter w:w="14"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17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22"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21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0次</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kern w:val="0"/>
                <w:sz w:val="18"/>
                <w:szCs w:val="18"/>
                <w:u w:val="none"/>
                <w:lang w:val="en-US" w:eastAsia="zh-CN" w:bidi="ar"/>
              </w:rPr>
            </w:pPr>
            <w:r>
              <w:rPr>
                <w:rFonts w:ascii="宋体" w:hAnsi="宋体" w:eastAsia="宋体" w:cs="宋体"/>
                <w:i w:val="0"/>
                <w:color w:val="000000"/>
                <w:kern w:val="0"/>
                <w:sz w:val="18"/>
                <w:szCs w:val="18"/>
                <w:u w:val="none"/>
                <w:lang w:val="en-US" w:eastAsia="zh-CN" w:bidi="ar"/>
              </w:rPr>
              <w:t>20</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20</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gridAfter w:val="2"/>
          <w:wAfter w:w="14" w:type="pct"/>
          <w:trHeight w:val="678"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17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22"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21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kern w:val="0"/>
                <w:sz w:val="18"/>
                <w:szCs w:val="18"/>
                <w:u w:val="none"/>
                <w:lang w:val="en-US" w:eastAsia="zh-CN" w:bidi="ar"/>
              </w:rPr>
            </w:pPr>
            <w:r>
              <w:rPr>
                <w:rFonts w:ascii="宋体" w:hAnsi="宋体" w:eastAsia="宋体" w:cs="宋体"/>
                <w:i w:val="0"/>
                <w:color w:val="000000"/>
                <w:kern w:val="0"/>
                <w:sz w:val="18"/>
                <w:szCs w:val="18"/>
                <w:u w:val="none"/>
                <w:lang w:val="en-US" w:eastAsia="zh-CN" w:bidi="ar"/>
              </w:rPr>
              <w:t>30</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30</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gridAfter w:val="2"/>
          <w:wAfter w:w="14" w:type="pct"/>
          <w:trHeight w:val="904"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17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22"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1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r>
              <w:rPr>
                <w:rFonts w:hint="eastAsia" w:ascii="宋体" w:hAnsi="宋体" w:cs="宋体"/>
                <w:i w:val="0"/>
                <w:color w:val="000000"/>
                <w:kern w:val="0"/>
                <w:sz w:val="18"/>
                <w:szCs w:val="18"/>
                <w:u w:val="none"/>
                <w:lang w:val="en-US" w:eastAsia="zh-CN" w:bidi="ar"/>
              </w:rPr>
              <w:t>%</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kern w:val="0"/>
                <w:sz w:val="18"/>
                <w:szCs w:val="18"/>
                <w:u w:val="none"/>
                <w:lang w:val="en-US" w:eastAsia="zh-CN" w:bidi="ar"/>
              </w:rPr>
            </w:pPr>
            <w:r>
              <w:rPr>
                <w:rFonts w:ascii="宋体" w:hAnsi="宋体" w:eastAsia="宋体" w:cs="宋体"/>
                <w:i w:val="0"/>
                <w:color w:val="000000"/>
                <w:kern w:val="0"/>
                <w:sz w:val="18"/>
                <w:szCs w:val="18"/>
                <w:u w:val="none"/>
                <w:lang w:val="en-US" w:eastAsia="zh-CN" w:bidi="ar"/>
              </w:rPr>
              <w:t>20</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20</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gridAfter w:val="2"/>
          <w:wAfter w:w="14"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17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22"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1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r>
              <w:rPr>
                <w:rFonts w:hint="eastAsia" w:ascii="宋体" w:hAnsi="宋体" w:cs="宋体"/>
                <w:i w:val="0"/>
                <w:color w:val="000000"/>
                <w:kern w:val="0"/>
                <w:sz w:val="18"/>
                <w:szCs w:val="18"/>
                <w:u w:val="none"/>
                <w:lang w:val="en-US" w:eastAsia="zh-CN" w:bidi="ar"/>
              </w:rPr>
              <w:t>%</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kern w:val="0"/>
                <w:sz w:val="18"/>
                <w:szCs w:val="18"/>
                <w:u w:val="none"/>
                <w:lang w:val="en-US" w:eastAsia="zh-CN" w:bidi="ar"/>
              </w:rPr>
            </w:pPr>
            <w:r>
              <w:rPr>
                <w:rFonts w:ascii="宋体" w:hAnsi="宋体" w:eastAsia="宋体" w:cs="宋体"/>
                <w:i w:val="0"/>
                <w:color w:val="000000"/>
                <w:kern w:val="0"/>
                <w:sz w:val="18"/>
                <w:szCs w:val="18"/>
                <w:u w:val="none"/>
                <w:lang w:val="en-US" w:eastAsia="zh-CN" w:bidi="ar"/>
              </w:rPr>
              <w:t>20</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20</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gridAfter w:val="2"/>
          <w:wAfter w:w="14" w:type="pct"/>
          <w:trHeight w:val="286" w:hRule="atLeast"/>
        </w:trPr>
        <w:tc>
          <w:tcPr>
            <w:tcW w:w="3457" w:type="pct"/>
            <w:gridSpan w:val="3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ind w:firstLine="180" w:firstLineChars="100"/>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After w:val="2"/>
          <w:wAfter w:w="14" w:type="pct"/>
          <w:trHeight w:val="603"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微软雅黑" w:hAnsi="微软雅黑" w:eastAsia="微软雅黑" w:cs="微软雅黑"/>
                <w:i/>
                <w:color w:val="000000"/>
                <w:sz w:val="16"/>
                <w:szCs w:val="16"/>
                <w:u w:val="none"/>
              </w:rPr>
            </w:pPr>
            <w:r>
              <w:rPr>
                <w:rFonts w:ascii="宋体" w:hAnsi="宋体" w:eastAsia="宋体" w:cs="宋体"/>
                <w:i w:val="0"/>
                <w:color w:val="000000"/>
                <w:kern w:val="0"/>
                <w:sz w:val="18"/>
                <w:szCs w:val="18"/>
                <w:u w:val="none"/>
                <w:lang w:val="en-US" w:eastAsia="zh-CN" w:bidi="ar"/>
              </w:rPr>
              <w:t>提高</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预算编制质量，严格执行预算，保障</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单位日常运转。</w:t>
            </w:r>
          </w:p>
        </w:tc>
      </w:tr>
      <w:tr>
        <w:tblPrEx>
          <w:tblCellMar>
            <w:top w:w="0" w:type="dxa"/>
            <w:left w:w="0" w:type="dxa"/>
            <w:bottom w:w="0" w:type="dxa"/>
            <w:right w:w="0" w:type="dxa"/>
          </w:tblCellMar>
        </w:tblPrEx>
        <w:trPr>
          <w:gridAfter w:val="2"/>
          <w:wAfter w:w="14" w:type="pct"/>
          <w:trHeight w:val="90"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无</w:t>
            </w:r>
          </w:p>
        </w:tc>
      </w:tr>
      <w:tr>
        <w:tblPrEx>
          <w:tblCellMar>
            <w:top w:w="0" w:type="dxa"/>
            <w:left w:w="0" w:type="dxa"/>
            <w:bottom w:w="0" w:type="dxa"/>
            <w:right w:w="0" w:type="dxa"/>
          </w:tblCellMar>
        </w:tblPrEx>
        <w:trPr>
          <w:gridAfter w:val="2"/>
          <w:wAfter w:w="14" w:type="pct"/>
          <w:trHeight w:val="356"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无</w:t>
            </w:r>
          </w:p>
        </w:tc>
      </w:tr>
      <w:tr>
        <w:tblPrEx>
          <w:tblCellMar>
            <w:top w:w="0" w:type="dxa"/>
            <w:left w:w="0" w:type="dxa"/>
            <w:bottom w:w="0" w:type="dxa"/>
            <w:right w:w="0" w:type="dxa"/>
          </w:tblCellMar>
        </w:tblPrEx>
        <w:trPr>
          <w:gridAfter w:val="2"/>
          <w:wAfter w:w="14" w:type="pct"/>
          <w:trHeight w:val="667" w:hRule="atLeast"/>
        </w:trPr>
        <w:tc>
          <w:tcPr>
            <w:tcW w:w="2579" w:type="pct"/>
            <w:gridSpan w:val="1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项目负责人：王炯棵</w:t>
            </w:r>
          </w:p>
        </w:tc>
        <w:tc>
          <w:tcPr>
            <w:tcW w:w="2406" w:type="pct"/>
            <w:gridSpan w:val="2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财务负责人：马慧玉</w:t>
            </w:r>
          </w:p>
        </w:tc>
      </w:tr>
      <w:tr>
        <w:tblPrEx>
          <w:tblCellMar>
            <w:top w:w="0" w:type="dxa"/>
            <w:left w:w="0" w:type="dxa"/>
            <w:bottom w:w="0" w:type="dxa"/>
            <w:right w:w="0" w:type="dxa"/>
          </w:tblCellMar>
        </w:tblPrEx>
        <w:trPr>
          <w:gridAfter w:val="2"/>
          <w:wAfter w:w="14" w:type="pct"/>
          <w:trHeight w:val="904" w:hRule="atLeast"/>
        </w:trPr>
        <w:tc>
          <w:tcPr>
            <w:tcW w:w="4985" w:type="pct"/>
            <w:gridSpan w:val="4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tblPrEx>
          <w:shd w:val="clear" w:color="auto" w:fill="auto"/>
          <w:tblCellMar>
            <w:top w:w="0" w:type="dxa"/>
            <w:left w:w="0" w:type="dxa"/>
            <w:bottom w:w="0" w:type="dxa"/>
            <w:right w:w="0" w:type="dxa"/>
          </w:tblCellMar>
        </w:tblPrEx>
        <w:trPr>
          <w:gridAfter w:val="2"/>
          <w:wAfter w:w="14" w:type="pct"/>
          <w:trHeight w:val="286" w:hRule="atLeast"/>
        </w:trPr>
        <w:tc>
          <w:tcPr>
            <w:tcW w:w="134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3638" w:type="pct"/>
            <w:gridSpan w:val="4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51080022R000000267546-工资性支出（事业）</w:t>
            </w:r>
          </w:p>
        </w:tc>
      </w:tr>
      <w:tr>
        <w:tblPrEx>
          <w:tblCellMar>
            <w:top w:w="0" w:type="dxa"/>
            <w:left w:w="0" w:type="dxa"/>
            <w:bottom w:w="0" w:type="dxa"/>
            <w:right w:w="0" w:type="dxa"/>
          </w:tblCellMar>
        </w:tblPrEx>
        <w:trPr>
          <w:gridAfter w:val="2"/>
          <w:wAfter w:w="14" w:type="pct"/>
          <w:trHeight w:val="512" w:hRule="atLeast"/>
        </w:trPr>
        <w:tc>
          <w:tcPr>
            <w:tcW w:w="134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1768" w:type="pct"/>
            <w:gridSpan w:val="2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广元市卫生健康委员会部门</w:t>
            </w:r>
          </w:p>
        </w:tc>
        <w:tc>
          <w:tcPr>
            <w:tcW w:w="341" w:type="pct"/>
            <w:gridSpan w:val="7"/>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1528"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广元市计划生育药品器械管理站</w:t>
            </w:r>
          </w:p>
        </w:tc>
      </w:tr>
      <w:tr>
        <w:tblPrEx>
          <w:tblCellMar>
            <w:top w:w="0" w:type="dxa"/>
            <w:left w:w="0" w:type="dxa"/>
            <w:bottom w:w="0" w:type="dxa"/>
            <w:right w:w="0" w:type="dxa"/>
          </w:tblCellMar>
        </w:tblPrEx>
        <w:trPr>
          <w:gridAfter w:val="2"/>
          <w:wAfter w:w="14" w:type="pct"/>
          <w:trHeight w:val="286"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974" w:type="pct"/>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1768" w:type="pct"/>
            <w:gridSpan w:val="2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1869" w:type="pct"/>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gridAfter w:val="2"/>
          <w:wAfter w:w="14" w:type="pct"/>
          <w:trHeight w:val="708"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974"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768" w:type="pct"/>
            <w:gridSpan w:val="2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c>
          <w:tcPr>
            <w:tcW w:w="1869" w:type="pct"/>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严格执行</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相关政策，保障</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工资及时、足额发放或社保及时、足额缴纳，预算编制科学合理，</w:t>
            </w:r>
            <w:r>
              <w:rPr>
                <w:rFonts w:hint="eastAsia" w:ascii="宋体" w:hAnsi="宋体" w:cs="宋体"/>
                <w:i w:val="0"/>
                <w:color w:val="000000"/>
                <w:kern w:val="0"/>
                <w:sz w:val="18"/>
                <w:szCs w:val="18"/>
                <w:u w:val="none"/>
                <w:lang w:val="en-US" w:eastAsia="zh-CN" w:bidi="ar"/>
              </w:rPr>
              <w:t>减少了</w:t>
            </w:r>
            <w:r>
              <w:rPr>
                <w:rFonts w:ascii="宋体" w:hAnsi="宋体" w:eastAsia="宋体" w:cs="宋体"/>
                <w:i w:val="0"/>
                <w:color w:val="000000"/>
                <w:kern w:val="0"/>
                <w:sz w:val="18"/>
                <w:szCs w:val="18"/>
                <w:u w:val="none"/>
                <w:lang w:val="en-US" w:eastAsia="zh-CN" w:bidi="ar"/>
              </w:rPr>
              <w:t>结余资金。</w:t>
            </w:r>
          </w:p>
        </w:tc>
      </w:tr>
      <w:tr>
        <w:tblPrEx>
          <w:tblCellMar>
            <w:top w:w="0" w:type="dxa"/>
            <w:left w:w="0" w:type="dxa"/>
            <w:bottom w:w="0" w:type="dxa"/>
            <w:right w:w="0" w:type="dxa"/>
          </w:tblCellMar>
        </w:tblPrEx>
        <w:trPr>
          <w:gridAfter w:val="2"/>
          <w:wAfter w:w="14" w:type="pct"/>
          <w:trHeight w:val="693"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3638" w:type="pct"/>
            <w:gridSpan w:val="4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p>
        </w:tc>
      </w:tr>
      <w:tr>
        <w:tblPrEx>
          <w:tblCellMar>
            <w:top w:w="0" w:type="dxa"/>
            <w:left w:w="0" w:type="dxa"/>
            <w:bottom w:w="0" w:type="dxa"/>
            <w:right w:w="0" w:type="dxa"/>
          </w:tblCellMar>
        </w:tblPrEx>
        <w:trPr>
          <w:gridAfter w:val="2"/>
          <w:wAfter w:w="14" w:type="pct"/>
          <w:trHeight w:val="361"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CellMar>
            <w:top w:w="0" w:type="dxa"/>
            <w:left w:w="0" w:type="dxa"/>
            <w:bottom w:w="0" w:type="dxa"/>
            <w:right w:w="0" w:type="dxa"/>
          </w:tblCellMar>
        </w:tblPrEx>
        <w:trPr>
          <w:gridAfter w:val="2"/>
          <w:wAfter w:w="14" w:type="pct"/>
          <w:trHeight w:val="346"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39.80</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39.80</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38.67</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97.16%</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9.72</w:t>
            </w:r>
          </w:p>
        </w:tc>
        <w:tc>
          <w:tcPr>
            <w:tcW w:w="113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color w:val="000000"/>
                <w:sz w:val="18"/>
                <w:szCs w:val="18"/>
                <w:u w:val="none"/>
              </w:rPr>
            </w:pPr>
            <w:r>
              <w:rPr>
                <w:rFonts w:hint="eastAsia" w:ascii="宋体" w:hAnsi="宋体" w:eastAsia="宋体" w:cs="宋体"/>
                <w:i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gridAfter w:val="2"/>
          <w:wAfter w:w="14" w:type="pct"/>
          <w:trHeight w:val="391"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39.80</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39.80</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38.67</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97.16%</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407"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361"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452"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17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322"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21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gridAfter w:val="2"/>
          <w:wAfter w:w="14"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17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22"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1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60</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gridAfter w:val="2"/>
          <w:wAfter w:w="14"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17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22"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1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gridAfter w:val="2"/>
          <w:wAfter w:w="14" w:type="pct"/>
          <w:trHeight w:val="286" w:hRule="atLeast"/>
        </w:trPr>
        <w:tc>
          <w:tcPr>
            <w:tcW w:w="3457" w:type="pct"/>
            <w:gridSpan w:val="3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99.72</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After w:val="2"/>
          <w:wAfter w:w="14" w:type="pct"/>
          <w:trHeight w:val="603"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微软雅黑" w:hAnsi="微软雅黑" w:eastAsia="微软雅黑" w:cs="微软雅黑"/>
                <w:i/>
                <w:color w:val="000000"/>
                <w:sz w:val="16"/>
                <w:szCs w:val="16"/>
                <w:u w:val="none"/>
              </w:rPr>
            </w:pPr>
            <w:r>
              <w:rPr>
                <w:rFonts w:ascii="宋体" w:hAnsi="宋体" w:eastAsia="宋体" w:cs="宋体"/>
                <w:i w:val="0"/>
                <w:color w:val="000000"/>
                <w:kern w:val="0"/>
                <w:sz w:val="18"/>
                <w:szCs w:val="18"/>
                <w:u w:val="none"/>
                <w:lang w:val="en-US" w:eastAsia="zh-CN" w:bidi="ar"/>
              </w:rPr>
              <w:t>严格执行</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相关政策，保障</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工资及时、足额发放或社保及时、足额缴纳，预算编制科学合理，</w:t>
            </w:r>
            <w:r>
              <w:rPr>
                <w:rFonts w:hint="eastAsia" w:ascii="宋体" w:hAnsi="宋体" w:cs="宋体"/>
                <w:i w:val="0"/>
                <w:color w:val="000000"/>
                <w:kern w:val="0"/>
                <w:sz w:val="18"/>
                <w:szCs w:val="18"/>
                <w:u w:val="none"/>
                <w:lang w:val="en-US" w:eastAsia="zh-CN" w:bidi="ar"/>
              </w:rPr>
              <w:t>减少了</w:t>
            </w:r>
            <w:r>
              <w:rPr>
                <w:rFonts w:ascii="宋体" w:hAnsi="宋体" w:eastAsia="宋体" w:cs="宋体"/>
                <w:i w:val="0"/>
                <w:color w:val="000000"/>
                <w:kern w:val="0"/>
                <w:sz w:val="18"/>
                <w:szCs w:val="18"/>
                <w:u w:val="none"/>
                <w:lang w:val="en-US" w:eastAsia="zh-CN" w:bidi="ar"/>
              </w:rPr>
              <w:t>结余资金。</w:t>
            </w:r>
          </w:p>
        </w:tc>
      </w:tr>
      <w:tr>
        <w:tblPrEx>
          <w:tblCellMar>
            <w:top w:w="0" w:type="dxa"/>
            <w:left w:w="0" w:type="dxa"/>
            <w:bottom w:w="0" w:type="dxa"/>
            <w:right w:w="0" w:type="dxa"/>
          </w:tblCellMar>
        </w:tblPrEx>
        <w:trPr>
          <w:gridAfter w:val="2"/>
          <w:wAfter w:w="14" w:type="pct"/>
          <w:trHeight w:val="572"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微软雅黑" w:hAnsi="微软雅黑" w:eastAsia="微软雅黑" w:cs="微软雅黑"/>
                <w:i/>
                <w:color w:val="000000"/>
                <w:sz w:val="16"/>
                <w:szCs w:val="16"/>
                <w:u w:val="none"/>
              </w:rPr>
            </w:pPr>
            <w:r>
              <w:rPr>
                <w:rFonts w:hint="eastAsia" w:ascii="宋体" w:hAnsi="宋体" w:eastAsia="宋体" w:cs="宋体"/>
                <w:i w:val="0"/>
                <w:color w:val="000000"/>
                <w:kern w:val="0"/>
                <w:sz w:val="18"/>
                <w:szCs w:val="18"/>
                <w:u w:val="none"/>
                <w:lang w:val="en-US" w:eastAsia="zh-CN" w:bidi="ar"/>
              </w:rPr>
              <w:t>无</w:t>
            </w:r>
          </w:p>
        </w:tc>
      </w:tr>
      <w:tr>
        <w:tblPrEx>
          <w:tblCellMar>
            <w:top w:w="0" w:type="dxa"/>
            <w:left w:w="0" w:type="dxa"/>
            <w:bottom w:w="0" w:type="dxa"/>
            <w:right w:w="0" w:type="dxa"/>
          </w:tblCellMar>
        </w:tblPrEx>
        <w:trPr>
          <w:gridAfter w:val="2"/>
          <w:wAfter w:w="14" w:type="pct"/>
          <w:trHeight w:val="633"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微软雅黑" w:hAnsi="微软雅黑" w:eastAsia="微软雅黑" w:cs="微软雅黑"/>
                <w:i/>
                <w:color w:val="000000"/>
                <w:sz w:val="16"/>
                <w:szCs w:val="16"/>
                <w:u w:val="none"/>
              </w:rPr>
            </w:pPr>
            <w:r>
              <w:rPr>
                <w:rFonts w:hint="eastAsia" w:ascii="宋体" w:hAnsi="宋体" w:eastAsia="宋体" w:cs="宋体"/>
                <w:i w:val="0"/>
                <w:color w:val="000000"/>
                <w:kern w:val="0"/>
                <w:sz w:val="18"/>
                <w:szCs w:val="18"/>
                <w:u w:val="none"/>
                <w:lang w:val="en-US" w:eastAsia="zh-CN" w:bidi="ar"/>
              </w:rPr>
              <w:t>无</w:t>
            </w:r>
          </w:p>
        </w:tc>
      </w:tr>
      <w:tr>
        <w:tblPrEx>
          <w:tblCellMar>
            <w:top w:w="0" w:type="dxa"/>
            <w:left w:w="0" w:type="dxa"/>
            <w:bottom w:w="0" w:type="dxa"/>
            <w:right w:w="0" w:type="dxa"/>
          </w:tblCellMar>
        </w:tblPrEx>
        <w:trPr>
          <w:gridAfter w:val="2"/>
          <w:wAfter w:w="14" w:type="pct"/>
          <w:trHeight w:val="286" w:hRule="atLeast"/>
        </w:trPr>
        <w:tc>
          <w:tcPr>
            <w:tcW w:w="2579" w:type="pct"/>
            <w:gridSpan w:val="17"/>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项目负责人：王炯棵</w:t>
            </w:r>
          </w:p>
        </w:tc>
        <w:tc>
          <w:tcPr>
            <w:tcW w:w="2406" w:type="pct"/>
            <w:gridSpan w:val="29"/>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财务负责人：马慧玉</w:t>
            </w:r>
          </w:p>
        </w:tc>
      </w:tr>
      <w:tr>
        <w:tblPrEx>
          <w:tblCellMar>
            <w:top w:w="0" w:type="dxa"/>
            <w:left w:w="0" w:type="dxa"/>
            <w:bottom w:w="0" w:type="dxa"/>
            <w:right w:w="0" w:type="dxa"/>
          </w:tblCellMar>
        </w:tblPrEx>
        <w:trPr>
          <w:gridAfter w:val="2"/>
          <w:wAfter w:w="14" w:type="pct"/>
          <w:trHeight w:val="904" w:hRule="atLeast"/>
        </w:trPr>
        <w:tc>
          <w:tcPr>
            <w:tcW w:w="4985" w:type="pct"/>
            <w:gridSpan w:val="46"/>
            <w:tcBorders>
              <w:top w:val="single" w:color="auto" w:sz="4" w:space="0"/>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rPr>
                <w:rFonts w:hint="eastAsia"/>
                <w:lang w:val="en-US" w:eastAsia="zh-CN"/>
              </w:rPr>
            </w:pPr>
          </w:p>
          <w:p>
            <w:pPr>
              <w:pStyle w:val="6"/>
              <w:rPr>
                <w:rFonts w:hint="eastAsia"/>
                <w:lang w:val="en-US" w:eastAsia="zh-CN"/>
              </w:rPr>
            </w:pPr>
          </w:p>
          <w:p>
            <w:pPr>
              <w:rPr>
                <w:rFonts w:hint="eastAsia"/>
                <w:lang w:val="en-US" w:eastAsia="zh-CN"/>
              </w:rPr>
            </w:pPr>
          </w:p>
          <w:p>
            <w:pPr>
              <w:rPr>
                <w:rFonts w:hint="eastAsia"/>
                <w:lang w:val="en-US" w:eastAsia="zh-CN"/>
              </w:rPr>
            </w:pPr>
          </w:p>
          <w:p>
            <w:pPr>
              <w:pStyle w:val="6"/>
              <w:rPr>
                <w:rFonts w:hint="eastAsia"/>
                <w:lang w:val="en-US" w:eastAsia="zh-CN"/>
              </w:rPr>
            </w:pPr>
          </w:p>
        </w:tc>
      </w:tr>
      <w:tr>
        <w:tblPrEx>
          <w:tblCellMar>
            <w:top w:w="0" w:type="dxa"/>
            <w:left w:w="0" w:type="dxa"/>
            <w:bottom w:w="0" w:type="dxa"/>
            <w:right w:w="0" w:type="dxa"/>
          </w:tblCellMar>
        </w:tblPrEx>
        <w:trPr>
          <w:gridAfter w:val="2"/>
          <w:wAfter w:w="14" w:type="pct"/>
          <w:trHeight w:val="90" w:hRule="atLeast"/>
        </w:trPr>
        <w:tc>
          <w:tcPr>
            <w:tcW w:w="4985" w:type="pct"/>
            <w:gridSpan w:val="46"/>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tblPrEx>
          <w:shd w:val="clear" w:color="auto" w:fill="auto"/>
          <w:tblCellMar>
            <w:top w:w="0" w:type="dxa"/>
            <w:left w:w="0" w:type="dxa"/>
            <w:bottom w:w="0" w:type="dxa"/>
            <w:right w:w="0" w:type="dxa"/>
          </w:tblCellMar>
        </w:tblPrEx>
        <w:trPr>
          <w:gridAfter w:val="2"/>
          <w:wAfter w:w="14" w:type="pct"/>
          <w:trHeight w:val="286" w:hRule="atLeast"/>
        </w:trPr>
        <w:tc>
          <w:tcPr>
            <w:tcW w:w="134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3638" w:type="pct"/>
            <w:gridSpan w:val="4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51080022R000007489234-2022年考核奖</w:t>
            </w:r>
          </w:p>
        </w:tc>
      </w:tr>
      <w:tr>
        <w:tblPrEx>
          <w:tblCellMar>
            <w:top w:w="0" w:type="dxa"/>
            <w:left w:w="0" w:type="dxa"/>
            <w:bottom w:w="0" w:type="dxa"/>
            <w:right w:w="0" w:type="dxa"/>
          </w:tblCellMar>
        </w:tblPrEx>
        <w:trPr>
          <w:gridAfter w:val="2"/>
          <w:wAfter w:w="14" w:type="pct"/>
          <w:trHeight w:val="512" w:hRule="atLeast"/>
        </w:trPr>
        <w:tc>
          <w:tcPr>
            <w:tcW w:w="134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1768" w:type="pct"/>
            <w:gridSpan w:val="2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广元市卫生健康委员会部门</w:t>
            </w:r>
          </w:p>
        </w:tc>
        <w:tc>
          <w:tcPr>
            <w:tcW w:w="341" w:type="pct"/>
            <w:gridSpan w:val="7"/>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1528"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广元市计划生育药品器械管理站</w:t>
            </w:r>
          </w:p>
        </w:tc>
      </w:tr>
      <w:tr>
        <w:tblPrEx>
          <w:tblCellMar>
            <w:top w:w="0" w:type="dxa"/>
            <w:left w:w="0" w:type="dxa"/>
            <w:bottom w:w="0" w:type="dxa"/>
            <w:right w:w="0" w:type="dxa"/>
          </w:tblCellMar>
        </w:tblPrEx>
        <w:trPr>
          <w:gridAfter w:val="2"/>
          <w:wAfter w:w="14" w:type="pct"/>
          <w:trHeight w:val="286"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974" w:type="pct"/>
            <w:gridSpan w:val="4"/>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1768" w:type="pct"/>
            <w:gridSpan w:val="2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1869" w:type="pct"/>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gridAfter w:val="2"/>
          <w:wAfter w:w="14" w:type="pct"/>
          <w:trHeight w:val="708"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974" w:type="pct"/>
            <w:gridSpan w:val="4"/>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768" w:type="pct"/>
            <w:gridSpan w:val="2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r>
              <w:rPr>
                <w:rFonts w:hint="eastAsia" w:ascii="宋体" w:hAnsi="宋体" w:eastAsia="宋体" w:cs="宋体"/>
                <w:i w:val="0"/>
                <w:color w:val="000000"/>
                <w:kern w:val="0"/>
                <w:sz w:val="18"/>
                <w:szCs w:val="18"/>
                <w:u w:val="none"/>
                <w:lang w:val="en-US" w:eastAsia="zh-CN" w:bidi="ar"/>
              </w:rPr>
              <w:t>。</w:t>
            </w:r>
          </w:p>
        </w:tc>
        <w:tc>
          <w:tcPr>
            <w:tcW w:w="1869" w:type="pct"/>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严格执行</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相关政策，保障</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工资及时、足额发放或社保及时、足额缴纳，预算编制科学合理，</w:t>
            </w:r>
            <w:r>
              <w:rPr>
                <w:rFonts w:hint="eastAsia" w:ascii="宋体" w:hAnsi="宋体" w:cs="宋体"/>
                <w:i w:val="0"/>
                <w:color w:val="000000"/>
                <w:kern w:val="0"/>
                <w:sz w:val="18"/>
                <w:szCs w:val="18"/>
                <w:u w:val="none"/>
                <w:lang w:val="en-US" w:eastAsia="zh-CN" w:bidi="ar"/>
              </w:rPr>
              <w:t>无</w:t>
            </w:r>
            <w:r>
              <w:rPr>
                <w:rFonts w:ascii="宋体" w:hAnsi="宋体" w:eastAsia="宋体" w:cs="宋体"/>
                <w:i w:val="0"/>
                <w:color w:val="000000"/>
                <w:kern w:val="0"/>
                <w:sz w:val="18"/>
                <w:szCs w:val="18"/>
                <w:u w:val="none"/>
                <w:lang w:val="en-US" w:eastAsia="zh-CN" w:bidi="ar"/>
              </w:rPr>
              <w:t>结余资金</w:t>
            </w:r>
            <w:r>
              <w:rPr>
                <w:rFonts w:hint="eastAsia" w:ascii="宋体" w:hAnsi="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gridAfter w:val="2"/>
          <w:wAfter w:w="14" w:type="pct"/>
          <w:trHeight w:val="693"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3638" w:type="pct"/>
            <w:gridSpan w:val="4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r>
              <w:rPr>
                <w:rFonts w:hint="eastAsia" w:ascii="宋体" w:hAnsi="宋体" w:eastAsia="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gridAfter w:val="2"/>
          <w:wAfter w:w="14" w:type="pct"/>
          <w:trHeight w:val="361"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CellMar>
            <w:top w:w="0" w:type="dxa"/>
            <w:left w:w="0" w:type="dxa"/>
            <w:bottom w:w="0" w:type="dxa"/>
            <w:right w:w="0" w:type="dxa"/>
          </w:tblCellMar>
        </w:tblPrEx>
        <w:trPr>
          <w:gridAfter w:val="2"/>
          <w:wAfter w:w="14" w:type="pct"/>
          <w:trHeight w:val="346"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2.55</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2.55</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113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color w:val="000000"/>
                <w:sz w:val="18"/>
                <w:szCs w:val="18"/>
                <w:u w:val="none"/>
              </w:rPr>
            </w:pPr>
            <w:r>
              <w:rPr>
                <w:rFonts w:hint="eastAsia" w:ascii="宋体" w:hAnsi="宋体" w:eastAsia="宋体" w:cs="宋体"/>
                <w:i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gridAfter w:val="2"/>
          <w:wAfter w:w="14" w:type="pct"/>
          <w:trHeight w:val="391"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2.55</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2.55</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407"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361"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714" w:type="pct"/>
            <w:gridSpan w:val="1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3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452"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17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322"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21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gridAfter w:val="2"/>
          <w:wAfter w:w="14"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17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22"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1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60</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60</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gridAfter w:val="2"/>
          <w:wAfter w:w="14"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7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4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59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17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22"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14"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41"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gridAfter w:val="2"/>
          <w:wAfter w:w="14" w:type="pct"/>
          <w:trHeight w:val="286" w:hRule="atLeast"/>
        </w:trPr>
        <w:tc>
          <w:tcPr>
            <w:tcW w:w="3457" w:type="pct"/>
            <w:gridSpan w:val="3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13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kern w:val="0"/>
                <w:sz w:val="18"/>
                <w:szCs w:val="18"/>
                <w:u w:val="none"/>
                <w:lang w:val="en-US" w:eastAsia="zh-CN" w:bidi="ar"/>
              </w:rPr>
            </w:pPr>
            <w:r>
              <w:rPr>
                <w:rFonts w:ascii="宋体" w:hAnsi="宋体" w:eastAsia="宋体" w:cs="宋体"/>
                <w:i w:val="0"/>
                <w:color w:val="000000"/>
                <w:kern w:val="0"/>
                <w:sz w:val="18"/>
                <w:szCs w:val="18"/>
                <w:u w:val="none"/>
                <w:lang w:val="en-US" w:eastAsia="zh-CN" w:bidi="ar"/>
              </w:rPr>
              <w:t>100</w:t>
            </w:r>
          </w:p>
        </w:tc>
        <w:tc>
          <w:tcPr>
            <w:tcW w:w="256"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113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eastAsia" w:ascii="宋体" w:hAnsi="宋体" w:eastAsia="宋体" w:cs="宋体"/>
                <w:i w:val="0"/>
                <w:color w:val="000000"/>
                <w:kern w:val="0"/>
                <w:sz w:val="18"/>
                <w:szCs w:val="18"/>
                <w:u w:val="none"/>
                <w:lang w:val="en-US" w:eastAsia="zh-CN" w:bidi="ar"/>
              </w:rPr>
            </w:pPr>
          </w:p>
        </w:tc>
      </w:tr>
      <w:tr>
        <w:tblPrEx>
          <w:tblCellMar>
            <w:top w:w="0" w:type="dxa"/>
            <w:left w:w="0" w:type="dxa"/>
            <w:bottom w:w="0" w:type="dxa"/>
            <w:right w:w="0" w:type="dxa"/>
          </w:tblCellMar>
        </w:tblPrEx>
        <w:trPr>
          <w:gridAfter w:val="2"/>
          <w:wAfter w:w="14" w:type="pct"/>
          <w:trHeight w:val="603"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微软雅黑" w:hAnsi="微软雅黑" w:eastAsia="微软雅黑" w:cs="微软雅黑"/>
                <w:i/>
                <w:color w:val="000000"/>
                <w:sz w:val="16"/>
                <w:szCs w:val="16"/>
                <w:u w:val="none"/>
              </w:rPr>
            </w:pPr>
            <w:r>
              <w:rPr>
                <w:rFonts w:ascii="宋体" w:hAnsi="宋体" w:eastAsia="宋体" w:cs="宋体"/>
                <w:i w:val="0"/>
                <w:color w:val="000000"/>
                <w:kern w:val="0"/>
                <w:sz w:val="18"/>
                <w:szCs w:val="18"/>
                <w:u w:val="none"/>
                <w:lang w:val="en-US" w:eastAsia="zh-CN" w:bidi="ar"/>
              </w:rPr>
              <w:t>严格执行</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相关政策，保障</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工资及时、足额发放或社保及时、足额缴纳，预算编制科学合理，</w:t>
            </w:r>
            <w:r>
              <w:rPr>
                <w:rFonts w:hint="eastAsia" w:ascii="宋体" w:hAnsi="宋体" w:cs="宋体"/>
                <w:i w:val="0"/>
                <w:color w:val="000000"/>
                <w:kern w:val="0"/>
                <w:sz w:val="18"/>
                <w:szCs w:val="18"/>
                <w:u w:val="none"/>
                <w:lang w:val="en-US" w:eastAsia="zh-CN" w:bidi="ar"/>
              </w:rPr>
              <w:t>无</w:t>
            </w:r>
            <w:r>
              <w:rPr>
                <w:rFonts w:ascii="宋体" w:hAnsi="宋体" w:eastAsia="宋体" w:cs="宋体"/>
                <w:i w:val="0"/>
                <w:color w:val="000000"/>
                <w:kern w:val="0"/>
                <w:sz w:val="18"/>
                <w:szCs w:val="18"/>
                <w:u w:val="none"/>
                <w:lang w:val="en-US" w:eastAsia="zh-CN" w:bidi="ar"/>
              </w:rPr>
              <w:t>结余资金</w:t>
            </w:r>
            <w:r>
              <w:rPr>
                <w:rFonts w:hint="eastAsia" w:ascii="宋体" w:hAnsi="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gridAfter w:val="2"/>
          <w:wAfter w:w="14" w:type="pct"/>
          <w:trHeight w:val="572"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微软雅黑" w:hAnsi="微软雅黑" w:eastAsia="微软雅黑" w:cs="微软雅黑"/>
                <w:i/>
                <w:color w:val="000000"/>
                <w:sz w:val="16"/>
                <w:szCs w:val="16"/>
                <w:u w:val="none"/>
              </w:rPr>
            </w:pPr>
            <w:r>
              <w:rPr>
                <w:rFonts w:hint="eastAsia" w:ascii="宋体" w:hAnsi="宋体" w:cs="宋体"/>
                <w:i w:val="0"/>
                <w:color w:val="000000"/>
                <w:kern w:val="0"/>
                <w:sz w:val="18"/>
                <w:szCs w:val="18"/>
                <w:u w:val="none"/>
                <w:lang w:val="en-US" w:eastAsia="zh-CN" w:bidi="ar"/>
              </w:rPr>
              <w:t>无。</w:t>
            </w:r>
          </w:p>
        </w:tc>
      </w:tr>
      <w:tr>
        <w:tblPrEx>
          <w:tblCellMar>
            <w:top w:w="0" w:type="dxa"/>
            <w:left w:w="0" w:type="dxa"/>
            <w:bottom w:w="0" w:type="dxa"/>
            <w:right w:w="0" w:type="dxa"/>
          </w:tblCellMar>
        </w:tblPrEx>
        <w:trPr>
          <w:gridAfter w:val="2"/>
          <w:wAfter w:w="14" w:type="pct"/>
          <w:trHeight w:val="633"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微软雅黑" w:hAnsi="微软雅黑" w:eastAsia="微软雅黑" w:cs="微软雅黑"/>
                <w:i/>
                <w:color w:val="000000"/>
                <w:sz w:val="16"/>
                <w:szCs w:val="16"/>
                <w:u w:val="none"/>
              </w:rPr>
            </w:pPr>
            <w:r>
              <w:rPr>
                <w:rFonts w:hint="eastAsia" w:ascii="宋体" w:hAnsi="宋体" w:cs="宋体"/>
                <w:i w:val="0"/>
                <w:color w:val="000000"/>
                <w:kern w:val="0"/>
                <w:sz w:val="18"/>
                <w:szCs w:val="18"/>
                <w:u w:val="none"/>
                <w:lang w:val="en-US" w:eastAsia="zh-CN" w:bidi="ar"/>
              </w:rPr>
              <w:t>无。</w:t>
            </w:r>
          </w:p>
        </w:tc>
      </w:tr>
      <w:tr>
        <w:tblPrEx>
          <w:tblCellMar>
            <w:top w:w="0" w:type="dxa"/>
            <w:left w:w="0" w:type="dxa"/>
            <w:bottom w:w="0" w:type="dxa"/>
            <w:right w:w="0" w:type="dxa"/>
          </w:tblCellMar>
        </w:tblPrEx>
        <w:trPr>
          <w:gridAfter w:val="2"/>
          <w:wAfter w:w="14" w:type="pct"/>
          <w:trHeight w:val="286" w:hRule="atLeast"/>
        </w:trPr>
        <w:tc>
          <w:tcPr>
            <w:tcW w:w="2579" w:type="pct"/>
            <w:gridSpan w:val="1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项目负责人：王炯棵</w:t>
            </w:r>
          </w:p>
        </w:tc>
        <w:tc>
          <w:tcPr>
            <w:tcW w:w="2406" w:type="pct"/>
            <w:gridSpan w:val="2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财务负责人：马慧玉</w:t>
            </w:r>
          </w:p>
        </w:tc>
      </w:tr>
      <w:tr>
        <w:tblPrEx>
          <w:tblCellMar>
            <w:top w:w="0" w:type="dxa"/>
            <w:left w:w="0" w:type="dxa"/>
            <w:bottom w:w="0" w:type="dxa"/>
            <w:right w:w="0" w:type="dxa"/>
          </w:tblCellMar>
        </w:tblPrEx>
        <w:trPr>
          <w:gridAfter w:val="2"/>
          <w:wAfter w:w="14" w:type="pct"/>
          <w:trHeight w:val="286" w:hRule="atLeast"/>
        </w:trPr>
        <w:tc>
          <w:tcPr>
            <w:tcW w:w="372" w:type="pct"/>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974" w:type="pct"/>
            <w:gridSpan w:val="4"/>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62" w:type="pct"/>
            <w:gridSpan w:val="4"/>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p>
            <w:pPr>
              <w:rPr>
                <w:rFonts w:hint="eastAsia" w:ascii="宋体" w:hAnsi="宋体" w:eastAsia="宋体" w:cs="宋体"/>
                <w:i w:val="0"/>
                <w:color w:val="000000"/>
                <w:sz w:val="18"/>
                <w:szCs w:val="18"/>
                <w:u w:val="none"/>
              </w:rPr>
            </w:pPr>
          </w:p>
          <w:p>
            <w:pPr>
              <w:rPr>
                <w:rFonts w:hint="eastAsia" w:ascii="宋体" w:hAnsi="宋体" w:eastAsia="宋体" w:cs="宋体"/>
                <w:i w:val="0"/>
                <w:color w:val="000000"/>
                <w:sz w:val="18"/>
                <w:szCs w:val="18"/>
                <w:u w:val="none"/>
              </w:rPr>
            </w:pPr>
          </w:p>
          <w:p>
            <w:pPr>
              <w:rPr>
                <w:rFonts w:hint="eastAsia" w:ascii="宋体" w:hAnsi="宋体" w:eastAsia="宋体" w:cs="宋体"/>
                <w:i w:val="0"/>
                <w:color w:val="000000"/>
                <w:sz w:val="18"/>
                <w:szCs w:val="18"/>
                <w:u w:val="none"/>
              </w:rPr>
            </w:pPr>
          </w:p>
          <w:p>
            <w:pPr>
              <w:rPr>
                <w:rFonts w:hint="eastAsia" w:ascii="宋体" w:hAnsi="宋体" w:eastAsia="宋体" w:cs="宋体"/>
                <w:i w:val="0"/>
                <w:color w:val="000000"/>
                <w:sz w:val="18"/>
                <w:szCs w:val="18"/>
                <w:u w:val="none"/>
              </w:rPr>
            </w:pPr>
          </w:p>
          <w:p>
            <w:pPr>
              <w:rPr>
                <w:rFonts w:hint="eastAsia" w:ascii="宋体" w:hAnsi="宋体" w:eastAsia="宋体" w:cs="宋体"/>
                <w:i w:val="0"/>
                <w:color w:val="000000"/>
                <w:sz w:val="18"/>
                <w:szCs w:val="18"/>
                <w:u w:val="none"/>
              </w:rPr>
            </w:pPr>
          </w:p>
        </w:tc>
        <w:tc>
          <w:tcPr>
            <w:tcW w:w="591" w:type="pct"/>
            <w:gridSpan w:val="5"/>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p>
            <w:pPr>
              <w:rPr>
                <w:rFonts w:hint="eastAsia" w:ascii="宋体" w:hAnsi="宋体" w:eastAsia="宋体" w:cs="宋体"/>
                <w:i w:val="0"/>
                <w:color w:val="000000"/>
                <w:sz w:val="18"/>
                <w:szCs w:val="18"/>
                <w:u w:val="none"/>
              </w:rPr>
            </w:pPr>
          </w:p>
          <w:p>
            <w:pPr>
              <w:rPr>
                <w:rFonts w:hint="eastAsia" w:ascii="宋体" w:hAnsi="宋体" w:eastAsia="宋体" w:cs="宋体"/>
                <w:i w:val="0"/>
                <w:color w:val="000000"/>
                <w:sz w:val="18"/>
                <w:szCs w:val="18"/>
                <w:u w:val="none"/>
              </w:rPr>
            </w:pPr>
          </w:p>
          <w:p>
            <w:pPr>
              <w:rPr>
                <w:rFonts w:hint="eastAsia" w:ascii="宋体" w:hAnsi="宋体" w:eastAsia="宋体" w:cs="宋体"/>
                <w:i w:val="0"/>
                <w:color w:val="000000"/>
                <w:sz w:val="18"/>
                <w:szCs w:val="18"/>
                <w:u w:val="none"/>
              </w:rPr>
            </w:pPr>
          </w:p>
        </w:tc>
        <w:tc>
          <w:tcPr>
            <w:tcW w:w="176" w:type="pct"/>
            <w:gridSpan w:val="3"/>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22" w:type="pct"/>
            <w:gridSpan w:val="6"/>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14" w:type="pct"/>
            <w:gridSpan w:val="4"/>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1" w:type="pct"/>
            <w:gridSpan w:val="7"/>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36" w:type="pct"/>
            <w:gridSpan w:val="3"/>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56" w:type="pct"/>
            <w:gridSpan w:val="8"/>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135" w:type="pct"/>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After w:val="2"/>
          <w:wAfter w:w="14" w:type="pct"/>
          <w:trHeight w:val="904" w:hRule="atLeast"/>
        </w:trPr>
        <w:tc>
          <w:tcPr>
            <w:tcW w:w="4985" w:type="pct"/>
            <w:gridSpan w:val="4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tblPrEx>
          <w:shd w:val="clear" w:color="auto" w:fill="auto"/>
          <w:tblCellMar>
            <w:top w:w="0" w:type="dxa"/>
            <w:left w:w="0" w:type="dxa"/>
            <w:bottom w:w="0" w:type="dxa"/>
            <w:right w:w="0" w:type="dxa"/>
          </w:tblCellMar>
        </w:tblPrEx>
        <w:trPr>
          <w:gridAfter w:val="2"/>
          <w:wAfter w:w="14" w:type="pct"/>
          <w:trHeight w:val="286" w:hRule="atLeast"/>
        </w:trPr>
        <w:tc>
          <w:tcPr>
            <w:tcW w:w="134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3638" w:type="pct"/>
            <w:gridSpan w:val="4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51080022Y000000267568-定额公用经费（事业）</w:t>
            </w:r>
          </w:p>
        </w:tc>
      </w:tr>
      <w:tr>
        <w:tblPrEx>
          <w:tblCellMar>
            <w:top w:w="0" w:type="dxa"/>
            <w:left w:w="0" w:type="dxa"/>
            <w:bottom w:w="0" w:type="dxa"/>
            <w:right w:w="0" w:type="dxa"/>
          </w:tblCellMar>
        </w:tblPrEx>
        <w:trPr>
          <w:gridAfter w:val="2"/>
          <w:wAfter w:w="14" w:type="pct"/>
          <w:trHeight w:val="512"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2962" w:type="pct"/>
            <w:gridSpan w:val="3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广元市卫生健康委员会部门</w:t>
            </w:r>
          </w:p>
        </w:tc>
        <w:tc>
          <w:tcPr>
            <w:tcW w:w="348" w:type="pct"/>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实施单位（盖章）</w:t>
            </w:r>
          </w:p>
        </w:tc>
        <w:tc>
          <w:tcPr>
            <w:tcW w:w="130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广元市计划生育药品器械管理站</w:t>
            </w:r>
          </w:p>
        </w:tc>
      </w:tr>
      <w:tr>
        <w:tblPrEx>
          <w:tblCellMar>
            <w:top w:w="0" w:type="dxa"/>
            <w:left w:w="0" w:type="dxa"/>
            <w:bottom w:w="0" w:type="dxa"/>
            <w:right w:w="0" w:type="dxa"/>
          </w:tblCellMar>
        </w:tblPrEx>
        <w:trPr>
          <w:gridAfter w:val="2"/>
          <w:wAfter w:w="14" w:type="pct"/>
          <w:trHeight w:val="286"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616"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2265" w:type="pct"/>
            <w:gridSpan w:val="2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1730" w:type="pct"/>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gridAfter w:val="2"/>
          <w:wAfter w:w="14" w:type="pct"/>
          <w:trHeight w:val="708"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1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265" w:type="pct"/>
            <w:gridSpan w:val="2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c>
          <w:tcPr>
            <w:tcW w:w="1730" w:type="pct"/>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提高</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预算编制质量，严格执行</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预算，保障</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单位日常运转。</w:t>
            </w:r>
          </w:p>
        </w:tc>
      </w:tr>
      <w:tr>
        <w:tblPrEx>
          <w:tblCellMar>
            <w:top w:w="0" w:type="dxa"/>
            <w:left w:w="0" w:type="dxa"/>
            <w:bottom w:w="0" w:type="dxa"/>
            <w:right w:w="0" w:type="dxa"/>
          </w:tblCellMar>
        </w:tblPrEx>
        <w:trPr>
          <w:gridAfter w:val="2"/>
          <w:wAfter w:w="14" w:type="pct"/>
          <w:trHeight w:val="693"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6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3545" w:type="pct"/>
            <w:gridSpan w:val="4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提高预算编制质量，严格执行预算，保障单位日常运转。</w:t>
            </w:r>
          </w:p>
        </w:tc>
      </w:tr>
      <w:tr>
        <w:tblPrEx>
          <w:tblCellMar>
            <w:top w:w="0" w:type="dxa"/>
            <w:left w:w="0" w:type="dxa"/>
            <w:bottom w:w="0" w:type="dxa"/>
            <w:right w:w="0" w:type="dxa"/>
          </w:tblCellMar>
        </w:tblPrEx>
        <w:trPr>
          <w:gridAfter w:val="2"/>
          <w:wAfter w:w="14" w:type="pct"/>
          <w:trHeight w:val="361"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678"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69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778" w:type="pct"/>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30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14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34"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160"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CellMar>
            <w:top w:w="0" w:type="dxa"/>
            <w:left w:w="0" w:type="dxa"/>
            <w:bottom w:w="0" w:type="dxa"/>
            <w:right w:w="0" w:type="dxa"/>
          </w:tblCellMar>
        </w:tblPrEx>
        <w:trPr>
          <w:gridAfter w:val="2"/>
          <w:wAfter w:w="14" w:type="pct"/>
          <w:trHeight w:val="346" w:hRule="atLeast"/>
        </w:trPr>
        <w:tc>
          <w:tcPr>
            <w:tcW w:w="372" w:type="pct"/>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678"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7.20</w:t>
            </w:r>
          </w:p>
        </w:tc>
        <w:tc>
          <w:tcPr>
            <w:tcW w:w="69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7.20</w:t>
            </w:r>
          </w:p>
        </w:tc>
        <w:tc>
          <w:tcPr>
            <w:tcW w:w="778" w:type="pct"/>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7.05</w:t>
            </w:r>
          </w:p>
        </w:tc>
        <w:tc>
          <w:tcPr>
            <w:tcW w:w="30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97.92%</w:t>
            </w:r>
          </w:p>
        </w:tc>
        <w:tc>
          <w:tcPr>
            <w:tcW w:w="14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34"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9.79</w:t>
            </w:r>
          </w:p>
        </w:tc>
        <w:tc>
          <w:tcPr>
            <w:tcW w:w="1160"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color w:val="000000"/>
                <w:sz w:val="18"/>
                <w:szCs w:val="18"/>
                <w:u w:val="none"/>
              </w:rPr>
            </w:pPr>
            <w:r>
              <w:rPr>
                <w:rFonts w:hint="eastAsia" w:ascii="宋体" w:hAnsi="宋体" w:eastAsia="宋体" w:cs="宋体"/>
                <w:i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gridAfter w:val="2"/>
          <w:wAfter w:w="14" w:type="pct"/>
          <w:trHeight w:val="391"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678"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7.20</w:t>
            </w:r>
          </w:p>
        </w:tc>
        <w:tc>
          <w:tcPr>
            <w:tcW w:w="69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7.20</w:t>
            </w:r>
          </w:p>
        </w:tc>
        <w:tc>
          <w:tcPr>
            <w:tcW w:w="778" w:type="pct"/>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7.05</w:t>
            </w:r>
          </w:p>
        </w:tc>
        <w:tc>
          <w:tcPr>
            <w:tcW w:w="30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97.92%</w:t>
            </w:r>
          </w:p>
        </w:tc>
        <w:tc>
          <w:tcPr>
            <w:tcW w:w="14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34"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60" w:type="pct"/>
            <w:gridSpan w:val="3"/>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407"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678"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9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78" w:type="pct"/>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4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34"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6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361"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678"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9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778" w:type="pct"/>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0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4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34"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6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678"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69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778" w:type="pct"/>
            <w:gridSpan w:val="1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30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14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34"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6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654"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678"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69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11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36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305"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30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14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34"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160"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gridAfter w:val="2"/>
          <w:wAfter w:w="14"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678"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69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科目调整次数</w:t>
            </w:r>
          </w:p>
        </w:tc>
        <w:tc>
          <w:tcPr>
            <w:tcW w:w="11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6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05"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次</w:t>
            </w:r>
          </w:p>
        </w:tc>
        <w:tc>
          <w:tcPr>
            <w:tcW w:w="30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0次</w:t>
            </w:r>
          </w:p>
        </w:tc>
        <w:tc>
          <w:tcPr>
            <w:tcW w:w="14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20</w:t>
            </w:r>
          </w:p>
        </w:tc>
        <w:tc>
          <w:tcPr>
            <w:tcW w:w="234"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1160"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gridAfter w:val="2"/>
          <w:wAfter w:w="14" w:type="pct"/>
          <w:trHeight w:val="678"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78"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69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预算编制准确率（计算方法为：∣（执行数-预算数）/预算数∣）</w:t>
            </w:r>
          </w:p>
        </w:tc>
        <w:tc>
          <w:tcPr>
            <w:tcW w:w="11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6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w:t>
            </w:r>
          </w:p>
        </w:tc>
        <w:tc>
          <w:tcPr>
            <w:tcW w:w="305"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0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w:t>
            </w:r>
          </w:p>
        </w:tc>
        <w:tc>
          <w:tcPr>
            <w:tcW w:w="14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30</w:t>
            </w:r>
          </w:p>
        </w:tc>
        <w:tc>
          <w:tcPr>
            <w:tcW w:w="234"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30</w:t>
            </w:r>
          </w:p>
        </w:tc>
        <w:tc>
          <w:tcPr>
            <w:tcW w:w="1160"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gridAfter w:val="2"/>
          <w:wAfter w:w="14" w:type="pct"/>
          <w:trHeight w:val="904"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678"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经济效益指标</w:t>
            </w:r>
          </w:p>
        </w:tc>
        <w:tc>
          <w:tcPr>
            <w:tcW w:w="69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“三公经费”控制率[计算方法为：（三公经费实际支出数/预算安排数]×100%）</w:t>
            </w:r>
          </w:p>
        </w:tc>
        <w:tc>
          <w:tcPr>
            <w:tcW w:w="11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6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05"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0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14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234"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1160"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gridAfter w:val="1"/>
          <w:wAfter w:w="11"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78"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69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运转保障率</w:t>
            </w:r>
          </w:p>
        </w:tc>
        <w:tc>
          <w:tcPr>
            <w:tcW w:w="111"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61"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05"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05"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14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234"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20</w:t>
            </w:r>
          </w:p>
        </w:tc>
        <w:tc>
          <w:tcPr>
            <w:tcW w:w="11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gridAfter w:val="2"/>
          <w:wAfter w:w="14" w:type="pct"/>
          <w:trHeight w:val="286" w:hRule="atLeast"/>
        </w:trPr>
        <w:tc>
          <w:tcPr>
            <w:tcW w:w="3446" w:type="pct"/>
            <w:gridSpan w:val="3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144"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34"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99.79</w:t>
            </w:r>
          </w:p>
        </w:tc>
        <w:tc>
          <w:tcPr>
            <w:tcW w:w="1160"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After w:val="2"/>
          <w:wAfter w:w="14" w:type="pct"/>
          <w:trHeight w:val="603"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微软雅黑" w:hAnsi="微软雅黑" w:eastAsia="微软雅黑" w:cs="微软雅黑"/>
                <w:i/>
                <w:color w:val="000000"/>
                <w:sz w:val="16"/>
                <w:szCs w:val="16"/>
                <w:u w:val="none"/>
              </w:rPr>
            </w:pPr>
            <w:r>
              <w:rPr>
                <w:rFonts w:ascii="宋体" w:hAnsi="宋体" w:eastAsia="宋体" w:cs="宋体"/>
                <w:i w:val="0"/>
                <w:color w:val="000000"/>
                <w:kern w:val="0"/>
                <w:sz w:val="18"/>
                <w:szCs w:val="18"/>
                <w:u w:val="none"/>
                <w:lang w:val="en-US" w:eastAsia="zh-CN" w:bidi="ar"/>
              </w:rPr>
              <w:t>提高</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预算编制质量，严格执行</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预算，保障</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单位日常运转。</w:t>
            </w:r>
          </w:p>
        </w:tc>
      </w:tr>
      <w:tr>
        <w:tblPrEx>
          <w:tblCellMar>
            <w:top w:w="0" w:type="dxa"/>
            <w:left w:w="0" w:type="dxa"/>
            <w:bottom w:w="0" w:type="dxa"/>
            <w:right w:w="0" w:type="dxa"/>
          </w:tblCellMar>
        </w:tblPrEx>
        <w:trPr>
          <w:gridAfter w:val="2"/>
          <w:wAfter w:w="14" w:type="pct"/>
          <w:trHeight w:val="572"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宋体" w:hAnsi="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无</w:t>
            </w:r>
          </w:p>
        </w:tc>
      </w:tr>
      <w:tr>
        <w:tblPrEx>
          <w:tblCellMar>
            <w:top w:w="0" w:type="dxa"/>
            <w:left w:w="0" w:type="dxa"/>
            <w:bottom w:w="0" w:type="dxa"/>
            <w:right w:w="0" w:type="dxa"/>
          </w:tblCellMar>
        </w:tblPrEx>
        <w:trPr>
          <w:gridAfter w:val="2"/>
          <w:wAfter w:w="14" w:type="pct"/>
          <w:trHeight w:val="538"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宋体" w:hAnsi="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无</w:t>
            </w:r>
          </w:p>
        </w:tc>
      </w:tr>
      <w:tr>
        <w:tblPrEx>
          <w:tblCellMar>
            <w:top w:w="0" w:type="dxa"/>
            <w:left w:w="0" w:type="dxa"/>
            <w:bottom w:w="0" w:type="dxa"/>
            <w:right w:w="0" w:type="dxa"/>
          </w:tblCellMar>
        </w:tblPrEx>
        <w:trPr>
          <w:gridAfter w:val="2"/>
          <w:wAfter w:w="14" w:type="pct"/>
          <w:trHeight w:val="286" w:hRule="atLeast"/>
        </w:trPr>
        <w:tc>
          <w:tcPr>
            <w:tcW w:w="2474" w:type="pct"/>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项目负责人：马慧玉</w:t>
            </w:r>
          </w:p>
        </w:tc>
        <w:tc>
          <w:tcPr>
            <w:tcW w:w="2511" w:type="pct"/>
            <w:gridSpan w:val="3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财务负责人：王炯棵</w:t>
            </w:r>
          </w:p>
        </w:tc>
      </w:tr>
      <w:tr>
        <w:tblPrEx>
          <w:tblCellMar>
            <w:top w:w="0" w:type="dxa"/>
            <w:left w:w="0" w:type="dxa"/>
            <w:bottom w:w="0" w:type="dxa"/>
            <w:right w:w="0" w:type="dxa"/>
          </w:tblCellMar>
        </w:tblPrEx>
        <w:trPr>
          <w:gridAfter w:val="1"/>
          <w:wAfter w:w="11" w:type="pct"/>
          <w:trHeight w:val="286" w:hRule="atLeast"/>
        </w:trPr>
        <w:tc>
          <w:tcPr>
            <w:tcW w:w="372" w:type="pct"/>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16" w:type="pct"/>
            <w:gridSpan w:val="3"/>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820" w:type="pct"/>
            <w:gridSpan w:val="5"/>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63" w:type="pct"/>
            <w:gridSpan w:val="7"/>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7" w:type="pct"/>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53" w:type="pct"/>
            <w:gridSpan w:val="3"/>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05" w:type="pct"/>
            <w:gridSpan w:val="7"/>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6" w:type="pct"/>
            <w:gridSpan w:val="6"/>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06" w:type="pct"/>
            <w:gridSpan w:val="5"/>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61" w:type="pct"/>
            <w:gridSpan w:val="4"/>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162" w:type="pct"/>
            <w:gridSpan w:val="4"/>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After w:val="2"/>
          <w:wAfter w:w="14" w:type="pct"/>
          <w:trHeight w:val="904" w:hRule="atLeast"/>
        </w:trPr>
        <w:tc>
          <w:tcPr>
            <w:tcW w:w="4985" w:type="pct"/>
            <w:gridSpan w:val="4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tblPrEx>
          <w:shd w:val="clear" w:color="auto" w:fill="auto"/>
          <w:tblCellMar>
            <w:top w:w="0" w:type="dxa"/>
            <w:left w:w="0" w:type="dxa"/>
            <w:bottom w:w="0" w:type="dxa"/>
            <w:right w:w="0" w:type="dxa"/>
          </w:tblCellMar>
        </w:tblPrEx>
        <w:trPr>
          <w:gridAfter w:val="2"/>
          <w:wAfter w:w="14" w:type="pct"/>
          <w:trHeight w:val="286" w:hRule="atLeast"/>
        </w:trPr>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4379" w:type="pct"/>
            <w:gridSpan w:val="4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51080023R000009698970-单位年度考核奖</w:t>
            </w:r>
          </w:p>
        </w:tc>
      </w:tr>
      <w:tr>
        <w:tblPrEx>
          <w:tblCellMar>
            <w:top w:w="0" w:type="dxa"/>
            <w:left w:w="0" w:type="dxa"/>
            <w:bottom w:w="0" w:type="dxa"/>
            <w:right w:w="0" w:type="dxa"/>
          </w:tblCellMar>
        </w:tblPrEx>
        <w:trPr>
          <w:gridAfter w:val="2"/>
          <w:wAfter w:w="14" w:type="pct"/>
          <w:trHeight w:val="512" w:hRule="atLeast"/>
        </w:trPr>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2229" w:type="pct"/>
            <w:gridSpan w:val="1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广元市卫生健康委员会部门</w:t>
            </w:r>
          </w:p>
        </w:tc>
        <w:tc>
          <w:tcPr>
            <w:tcW w:w="622" w:type="pct"/>
            <w:gridSpan w:val="13"/>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1528"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广元市计划生育药品器械管理站</w:t>
            </w:r>
          </w:p>
        </w:tc>
      </w:tr>
      <w:tr>
        <w:tblPrEx>
          <w:tblCellMar>
            <w:top w:w="0" w:type="dxa"/>
            <w:left w:w="0" w:type="dxa"/>
            <w:bottom w:w="0" w:type="dxa"/>
            <w:right w:w="0" w:type="dxa"/>
          </w:tblCellMar>
        </w:tblPrEx>
        <w:trPr>
          <w:gridAfter w:val="2"/>
          <w:wAfter w:w="14" w:type="pct"/>
          <w:trHeight w:val="286"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616"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2151" w:type="pct"/>
            <w:gridSpan w:val="2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1844" w:type="pct"/>
            <w:gridSpan w:val="1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gridAfter w:val="2"/>
          <w:wAfter w:w="14" w:type="pct"/>
          <w:trHeight w:val="708"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1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151" w:type="pct"/>
            <w:gridSpan w:val="2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r>
              <w:rPr>
                <w:rFonts w:hint="eastAsia" w:ascii="宋体" w:hAnsi="宋体" w:eastAsia="宋体" w:cs="宋体"/>
                <w:i w:val="0"/>
                <w:color w:val="000000"/>
                <w:kern w:val="0"/>
                <w:sz w:val="18"/>
                <w:szCs w:val="18"/>
                <w:u w:val="none"/>
                <w:lang w:val="en-US" w:eastAsia="zh-CN" w:bidi="ar"/>
              </w:rPr>
              <w:t>。</w:t>
            </w:r>
          </w:p>
        </w:tc>
        <w:tc>
          <w:tcPr>
            <w:tcW w:w="1844" w:type="pct"/>
            <w:gridSpan w:val="1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严格</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执行相关政策，保障</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工资及时、足额发放或社保及时、足额缴纳，预算编制科学合理，</w:t>
            </w:r>
            <w:r>
              <w:rPr>
                <w:rFonts w:hint="eastAsia" w:ascii="宋体" w:hAnsi="宋体" w:cs="宋体"/>
                <w:i w:val="0"/>
                <w:color w:val="000000"/>
                <w:kern w:val="0"/>
                <w:sz w:val="18"/>
                <w:szCs w:val="18"/>
                <w:u w:val="none"/>
                <w:lang w:val="en-US" w:eastAsia="zh-CN" w:bidi="ar"/>
              </w:rPr>
              <w:t>无</w:t>
            </w:r>
            <w:r>
              <w:rPr>
                <w:rFonts w:ascii="宋体" w:hAnsi="宋体" w:eastAsia="宋体" w:cs="宋体"/>
                <w:i w:val="0"/>
                <w:color w:val="000000"/>
                <w:kern w:val="0"/>
                <w:sz w:val="18"/>
                <w:szCs w:val="18"/>
                <w:u w:val="none"/>
                <w:lang w:val="en-US" w:eastAsia="zh-CN" w:bidi="ar"/>
              </w:rPr>
              <w:t>结余资金</w:t>
            </w:r>
            <w:r>
              <w:rPr>
                <w:rFonts w:hint="eastAsia" w:ascii="宋体" w:hAnsi="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gridAfter w:val="2"/>
          <w:wAfter w:w="14" w:type="pct"/>
          <w:trHeight w:val="693"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3996" w:type="pct"/>
            <w:gridSpan w:val="4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r>
              <w:rPr>
                <w:rFonts w:hint="eastAsia" w:ascii="宋体" w:hAnsi="宋体" w:eastAsia="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gridAfter w:val="2"/>
          <w:wAfter w:w="14" w:type="pct"/>
          <w:trHeight w:val="361"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820"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66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667"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316"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20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6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160"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CellMar>
            <w:top w:w="0" w:type="dxa"/>
            <w:left w:w="0" w:type="dxa"/>
            <w:bottom w:w="0" w:type="dxa"/>
            <w:right w:w="0" w:type="dxa"/>
          </w:tblCellMar>
        </w:tblPrEx>
        <w:trPr>
          <w:gridAfter w:val="2"/>
          <w:wAfter w:w="14" w:type="pct"/>
          <w:trHeight w:val="346"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820"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1.80</w:t>
            </w:r>
          </w:p>
        </w:tc>
        <w:tc>
          <w:tcPr>
            <w:tcW w:w="667"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1.80</w:t>
            </w:r>
          </w:p>
        </w:tc>
        <w:tc>
          <w:tcPr>
            <w:tcW w:w="316"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20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6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1160"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color w:val="000000"/>
                <w:sz w:val="18"/>
                <w:szCs w:val="18"/>
                <w:u w:val="none"/>
              </w:rPr>
            </w:pPr>
            <w:r>
              <w:rPr>
                <w:rFonts w:hint="eastAsia" w:ascii="宋体" w:hAnsi="宋体" w:eastAsia="宋体" w:cs="宋体"/>
                <w:i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gridAfter w:val="2"/>
          <w:wAfter w:w="14" w:type="pct"/>
          <w:trHeight w:val="391"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820"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1.80</w:t>
            </w:r>
          </w:p>
        </w:tc>
        <w:tc>
          <w:tcPr>
            <w:tcW w:w="667"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1.80</w:t>
            </w:r>
          </w:p>
        </w:tc>
        <w:tc>
          <w:tcPr>
            <w:tcW w:w="316"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20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6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407"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820"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7"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16"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6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361"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820"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667"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16"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6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820"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66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667"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316"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20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6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1"/>
          <w:wAfter w:w="11" w:type="pct"/>
          <w:trHeight w:val="452"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820"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66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23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216"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217"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316"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206"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61"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1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gridAfter w:val="1"/>
          <w:wAfter w:w="11"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820"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66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23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16"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17"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16"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r>
              <w:rPr>
                <w:rFonts w:hint="eastAsia" w:ascii="宋体" w:hAnsi="宋体" w:cs="宋体"/>
                <w:i w:val="0"/>
                <w:color w:val="000000"/>
                <w:kern w:val="0"/>
                <w:sz w:val="18"/>
                <w:szCs w:val="18"/>
                <w:u w:val="none"/>
                <w:lang w:val="en-US" w:eastAsia="zh-CN" w:bidi="ar"/>
              </w:rPr>
              <w:t>%</w:t>
            </w:r>
          </w:p>
        </w:tc>
        <w:tc>
          <w:tcPr>
            <w:tcW w:w="206"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kern w:val="0"/>
                <w:sz w:val="18"/>
                <w:szCs w:val="18"/>
                <w:u w:val="none"/>
                <w:lang w:val="en-US" w:eastAsia="zh-CN" w:bidi="ar"/>
              </w:rPr>
            </w:pPr>
            <w:r>
              <w:rPr>
                <w:rFonts w:ascii="宋体" w:hAnsi="宋体" w:eastAsia="宋体" w:cs="宋体"/>
                <w:i w:val="0"/>
                <w:color w:val="000000"/>
                <w:kern w:val="0"/>
                <w:sz w:val="18"/>
                <w:szCs w:val="18"/>
                <w:u w:val="none"/>
                <w:lang w:val="en-US" w:eastAsia="zh-CN" w:bidi="ar"/>
              </w:rPr>
              <w:t>60</w:t>
            </w:r>
          </w:p>
        </w:tc>
        <w:tc>
          <w:tcPr>
            <w:tcW w:w="161"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60</w:t>
            </w:r>
          </w:p>
        </w:tc>
        <w:tc>
          <w:tcPr>
            <w:tcW w:w="11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eastAsia" w:ascii="宋体" w:hAnsi="宋体" w:eastAsia="宋体" w:cs="宋体"/>
                <w:i w:val="0"/>
                <w:color w:val="000000"/>
                <w:kern w:val="0"/>
                <w:sz w:val="18"/>
                <w:szCs w:val="18"/>
                <w:u w:val="none"/>
                <w:lang w:val="en-US" w:eastAsia="zh-CN" w:bidi="ar"/>
              </w:rPr>
            </w:pPr>
          </w:p>
        </w:tc>
      </w:tr>
      <w:tr>
        <w:tblPrEx>
          <w:tblCellMar>
            <w:top w:w="0" w:type="dxa"/>
            <w:left w:w="0" w:type="dxa"/>
            <w:bottom w:w="0" w:type="dxa"/>
            <w:right w:w="0" w:type="dxa"/>
          </w:tblCellMar>
        </w:tblPrEx>
        <w:trPr>
          <w:gridAfter w:val="1"/>
          <w:wAfter w:w="11"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820"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66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233"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16"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17"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16"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r>
              <w:rPr>
                <w:rFonts w:hint="eastAsia" w:ascii="宋体" w:hAnsi="宋体" w:cs="宋体"/>
                <w:i w:val="0"/>
                <w:color w:val="000000"/>
                <w:kern w:val="0"/>
                <w:sz w:val="18"/>
                <w:szCs w:val="18"/>
                <w:u w:val="none"/>
                <w:lang w:val="en-US" w:eastAsia="zh-CN" w:bidi="ar"/>
              </w:rPr>
              <w:t>%</w:t>
            </w:r>
          </w:p>
        </w:tc>
        <w:tc>
          <w:tcPr>
            <w:tcW w:w="206"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kern w:val="0"/>
                <w:sz w:val="18"/>
                <w:szCs w:val="18"/>
                <w:u w:val="none"/>
                <w:lang w:val="en-US" w:eastAsia="zh-CN" w:bidi="ar"/>
              </w:rPr>
            </w:pPr>
            <w:r>
              <w:rPr>
                <w:rFonts w:ascii="宋体" w:hAnsi="宋体" w:eastAsia="宋体" w:cs="宋体"/>
                <w:i w:val="0"/>
                <w:color w:val="000000"/>
                <w:kern w:val="0"/>
                <w:sz w:val="18"/>
                <w:szCs w:val="18"/>
                <w:u w:val="none"/>
                <w:lang w:val="en-US" w:eastAsia="zh-CN" w:bidi="ar"/>
              </w:rPr>
              <w:t>30</w:t>
            </w:r>
          </w:p>
        </w:tc>
        <w:tc>
          <w:tcPr>
            <w:tcW w:w="161"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30</w:t>
            </w:r>
          </w:p>
        </w:tc>
        <w:tc>
          <w:tcPr>
            <w:tcW w:w="1162"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eastAsia" w:ascii="宋体" w:hAnsi="宋体" w:eastAsia="宋体" w:cs="宋体"/>
                <w:i w:val="0"/>
                <w:color w:val="000000"/>
                <w:kern w:val="0"/>
                <w:sz w:val="18"/>
                <w:szCs w:val="18"/>
                <w:u w:val="none"/>
                <w:lang w:val="en-US" w:eastAsia="zh-CN" w:bidi="ar"/>
              </w:rPr>
            </w:pPr>
          </w:p>
        </w:tc>
      </w:tr>
      <w:tr>
        <w:tblPrEx>
          <w:tblCellMar>
            <w:top w:w="0" w:type="dxa"/>
            <w:left w:w="0" w:type="dxa"/>
            <w:bottom w:w="0" w:type="dxa"/>
            <w:right w:w="0" w:type="dxa"/>
          </w:tblCellMar>
        </w:tblPrEx>
        <w:trPr>
          <w:gridAfter w:val="2"/>
          <w:wAfter w:w="14" w:type="pct"/>
          <w:trHeight w:val="286" w:hRule="atLeast"/>
        </w:trPr>
        <w:tc>
          <w:tcPr>
            <w:tcW w:w="3457" w:type="pct"/>
            <w:gridSpan w:val="3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20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6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100</w:t>
            </w:r>
          </w:p>
        </w:tc>
        <w:tc>
          <w:tcPr>
            <w:tcW w:w="1160"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After w:val="2"/>
          <w:wAfter w:w="14" w:type="pct"/>
          <w:trHeight w:val="603"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微软雅黑" w:hAnsi="微软雅黑" w:eastAsia="微软雅黑" w:cs="微软雅黑"/>
                <w:i/>
                <w:color w:val="000000"/>
                <w:sz w:val="16"/>
                <w:szCs w:val="16"/>
                <w:u w:val="none"/>
              </w:rPr>
            </w:pPr>
            <w:r>
              <w:rPr>
                <w:rFonts w:ascii="宋体" w:hAnsi="宋体" w:eastAsia="宋体" w:cs="宋体"/>
                <w:i w:val="0"/>
                <w:color w:val="000000"/>
                <w:kern w:val="0"/>
                <w:sz w:val="18"/>
                <w:szCs w:val="18"/>
                <w:u w:val="none"/>
                <w:lang w:val="en-US" w:eastAsia="zh-CN" w:bidi="ar"/>
              </w:rPr>
              <w:t>严格</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执行相关政策，保障</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工资及时、足额发放或社保及时、足额缴纳，预算编制科学合理，</w:t>
            </w:r>
            <w:r>
              <w:rPr>
                <w:rFonts w:hint="eastAsia" w:ascii="宋体" w:hAnsi="宋体" w:cs="宋体"/>
                <w:i w:val="0"/>
                <w:color w:val="000000"/>
                <w:kern w:val="0"/>
                <w:sz w:val="18"/>
                <w:szCs w:val="18"/>
                <w:u w:val="none"/>
                <w:lang w:val="en-US" w:eastAsia="zh-CN" w:bidi="ar"/>
              </w:rPr>
              <w:t>无</w:t>
            </w:r>
            <w:r>
              <w:rPr>
                <w:rFonts w:ascii="宋体" w:hAnsi="宋体" w:eastAsia="宋体" w:cs="宋体"/>
                <w:i w:val="0"/>
                <w:color w:val="000000"/>
                <w:kern w:val="0"/>
                <w:sz w:val="18"/>
                <w:szCs w:val="18"/>
                <w:u w:val="none"/>
                <w:lang w:val="en-US" w:eastAsia="zh-CN" w:bidi="ar"/>
              </w:rPr>
              <w:t>结余资金</w:t>
            </w:r>
            <w:r>
              <w:rPr>
                <w:rFonts w:hint="eastAsia" w:ascii="宋体" w:hAnsi="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gridAfter w:val="2"/>
          <w:wAfter w:w="14" w:type="pct"/>
          <w:trHeight w:val="572"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宋体" w:hAnsi="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无。</w:t>
            </w:r>
          </w:p>
        </w:tc>
      </w:tr>
      <w:tr>
        <w:tblPrEx>
          <w:tblCellMar>
            <w:top w:w="0" w:type="dxa"/>
            <w:left w:w="0" w:type="dxa"/>
            <w:bottom w:w="0" w:type="dxa"/>
            <w:right w:w="0" w:type="dxa"/>
          </w:tblCellMar>
        </w:tblPrEx>
        <w:trPr>
          <w:gridAfter w:val="2"/>
          <w:wAfter w:w="14" w:type="pct"/>
          <w:trHeight w:val="633"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宋体" w:hAnsi="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无。</w:t>
            </w:r>
          </w:p>
        </w:tc>
      </w:tr>
      <w:tr>
        <w:tblPrEx>
          <w:tblCellMar>
            <w:top w:w="0" w:type="dxa"/>
            <w:left w:w="0" w:type="dxa"/>
            <w:bottom w:w="0" w:type="dxa"/>
            <w:right w:w="0" w:type="dxa"/>
          </w:tblCellMar>
        </w:tblPrEx>
        <w:trPr>
          <w:gridAfter w:val="2"/>
          <w:wAfter w:w="14" w:type="pct"/>
          <w:trHeight w:val="286" w:hRule="atLeast"/>
        </w:trPr>
        <w:tc>
          <w:tcPr>
            <w:tcW w:w="2474" w:type="pct"/>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项目负责人：王炯棵</w:t>
            </w:r>
          </w:p>
        </w:tc>
        <w:tc>
          <w:tcPr>
            <w:tcW w:w="2511" w:type="pct"/>
            <w:gridSpan w:val="3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财务负责人：马慧玉</w:t>
            </w:r>
          </w:p>
        </w:tc>
      </w:tr>
      <w:tr>
        <w:tblPrEx>
          <w:tblCellMar>
            <w:top w:w="0" w:type="dxa"/>
            <w:left w:w="0" w:type="dxa"/>
            <w:bottom w:w="0" w:type="dxa"/>
            <w:right w:w="0" w:type="dxa"/>
          </w:tblCellMar>
        </w:tblPrEx>
        <w:trPr>
          <w:gridAfter w:val="2"/>
          <w:wAfter w:w="14" w:type="pct"/>
          <w:trHeight w:val="286" w:hRule="atLeast"/>
        </w:trPr>
        <w:tc>
          <w:tcPr>
            <w:tcW w:w="372" w:type="pct"/>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16" w:type="pct"/>
            <w:gridSpan w:val="3"/>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820" w:type="pct"/>
            <w:gridSpan w:val="5"/>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63" w:type="pct"/>
            <w:gridSpan w:val="7"/>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07" w:type="pct"/>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53" w:type="pct"/>
            <w:gridSpan w:val="3"/>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46" w:type="pct"/>
            <w:gridSpan w:val="8"/>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16" w:type="pct"/>
            <w:gridSpan w:val="6"/>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06" w:type="pct"/>
            <w:gridSpan w:val="7"/>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39" w:type="pct"/>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141" w:type="pct"/>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After w:val="2"/>
          <w:wAfter w:w="14" w:type="pct"/>
          <w:trHeight w:val="584" w:hRule="atLeast"/>
        </w:trPr>
        <w:tc>
          <w:tcPr>
            <w:tcW w:w="4985" w:type="pct"/>
            <w:gridSpan w:val="4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tblPrEx>
          <w:shd w:val="clear" w:color="auto" w:fill="auto"/>
          <w:tblCellMar>
            <w:top w:w="0" w:type="dxa"/>
            <w:left w:w="0" w:type="dxa"/>
            <w:bottom w:w="0" w:type="dxa"/>
            <w:right w:w="0" w:type="dxa"/>
          </w:tblCellMar>
        </w:tblPrEx>
        <w:trPr>
          <w:gridAfter w:val="2"/>
          <w:wAfter w:w="14" w:type="pct"/>
          <w:trHeight w:val="286" w:hRule="atLeast"/>
        </w:trPr>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4379" w:type="pct"/>
            <w:gridSpan w:val="4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51080023T000008613072-2022年市级计划生育切块资金</w:t>
            </w:r>
          </w:p>
        </w:tc>
      </w:tr>
      <w:tr>
        <w:tblPrEx>
          <w:tblCellMar>
            <w:top w:w="0" w:type="dxa"/>
            <w:left w:w="0" w:type="dxa"/>
            <w:bottom w:w="0" w:type="dxa"/>
            <w:right w:w="0" w:type="dxa"/>
          </w:tblCellMar>
        </w:tblPrEx>
        <w:trPr>
          <w:gridAfter w:val="2"/>
          <w:wAfter w:w="14" w:type="pct"/>
          <w:trHeight w:val="537" w:hRule="atLeast"/>
        </w:trPr>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2373" w:type="pct"/>
            <w:gridSpan w:val="2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广元市卫生健康委员会部门</w:t>
            </w:r>
          </w:p>
        </w:tc>
        <w:tc>
          <w:tcPr>
            <w:tcW w:w="477" w:type="pct"/>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1528"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广元市计划生育药品器械管理站</w:t>
            </w:r>
          </w:p>
        </w:tc>
      </w:tr>
      <w:tr>
        <w:tblPrEx>
          <w:tblCellMar>
            <w:top w:w="0" w:type="dxa"/>
            <w:left w:w="0" w:type="dxa"/>
            <w:bottom w:w="0" w:type="dxa"/>
            <w:right w:w="0" w:type="dxa"/>
          </w:tblCellMar>
        </w:tblPrEx>
        <w:trPr>
          <w:gridAfter w:val="2"/>
          <w:wAfter w:w="14" w:type="pct"/>
          <w:trHeight w:val="286"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616"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122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2773" w:type="pct"/>
            <w:gridSpan w:val="3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gridAfter w:val="2"/>
          <w:wAfter w:w="14" w:type="pct"/>
          <w:trHeight w:val="476"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1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22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提高避孕药具能力建设</w:t>
            </w:r>
          </w:p>
        </w:tc>
        <w:tc>
          <w:tcPr>
            <w:tcW w:w="2773" w:type="pct"/>
            <w:gridSpan w:val="3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宋体" w:hAnsi="宋体" w:eastAsia="宋体"/>
                <w:color w:val="000000"/>
                <w:sz w:val="18"/>
                <w:lang w:val="en-US" w:eastAsia="zh-CN"/>
              </w:rPr>
              <w:t>全面完成2022年避孕药具调拨计划、入库、调拨等任务，打造多元化药具发放渠道，提升优质服务。</w:t>
            </w:r>
          </w:p>
        </w:tc>
      </w:tr>
      <w:tr>
        <w:tblPrEx>
          <w:tblCellMar>
            <w:top w:w="0" w:type="dxa"/>
            <w:left w:w="0" w:type="dxa"/>
            <w:bottom w:w="0" w:type="dxa"/>
            <w:right w:w="0" w:type="dxa"/>
          </w:tblCellMar>
        </w:tblPrEx>
        <w:trPr>
          <w:gridAfter w:val="2"/>
          <w:wAfter w:w="14" w:type="pct"/>
          <w:trHeight w:val="693"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3996" w:type="pct"/>
            <w:gridSpan w:val="4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lang w:eastAsia="zh-CN"/>
              </w:rPr>
            </w:pPr>
            <w:r>
              <w:rPr>
                <w:rFonts w:hint="eastAsia" w:ascii="宋体" w:hAnsi="宋体" w:eastAsia="宋体" w:cs="宋体"/>
                <w:i w:val="0"/>
                <w:color w:val="000000"/>
                <w:sz w:val="18"/>
                <w:szCs w:val="18"/>
                <w:u w:val="none"/>
                <w:lang w:eastAsia="zh-CN"/>
              </w:rPr>
              <w:t>2023年省上下达基本避孕药具调拨计划为62.80万元，由省妇幼保健院统一安排调拨，截止</w:t>
            </w:r>
            <w:r>
              <w:rPr>
                <w:rFonts w:hint="eastAsia" w:ascii="宋体" w:hAnsi="宋体" w:eastAsia="宋体" w:cs="宋体"/>
                <w:i w:val="0"/>
                <w:color w:val="000000"/>
                <w:sz w:val="18"/>
                <w:szCs w:val="18"/>
                <w:u w:val="none"/>
                <w:lang w:val="en-US" w:eastAsia="zh-CN"/>
              </w:rPr>
              <w:t>2023年</w:t>
            </w:r>
            <w:r>
              <w:rPr>
                <w:rFonts w:hint="eastAsia" w:ascii="宋体" w:hAnsi="宋体" w:eastAsia="宋体" w:cs="宋体"/>
                <w:i w:val="0"/>
                <w:color w:val="000000"/>
                <w:sz w:val="18"/>
                <w:szCs w:val="18"/>
                <w:u w:val="none"/>
                <w:lang w:eastAsia="zh-CN"/>
              </w:rPr>
              <w:t>12月31日，实现入库率100%，同时，完成下拨避孕套已调拨72.5万盒，同时做好了药具管理。</w:t>
            </w:r>
          </w:p>
        </w:tc>
      </w:tr>
      <w:tr>
        <w:tblPrEx>
          <w:tblCellMar>
            <w:top w:w="0" w:type="dxa"/>
            <w:left w:w="0" w:type="dxa"/>
            <w:bottom w:w="0" w:type="dxa"/>
            <w:right w:w="0" w:type="dxa"/>
          </w:tblCellMar>
        </w:tblPrEx>
        <w:trPr>
          <w:gridAfter w:val="2"/>
          <w:wAfter w:w="14" w:type="pct"/>
          <w:trHeight w:val="466"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1050" w:type="pct"/>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438"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20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6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160"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CellMar>
            <w:top w:w="0" w:type="dxa"/>
            <w:left w:w="0" w:type="dxa"/>
            <w:bottom w:w="0" w:type="dxa"/>
            <w:right w:w="0" w:type="dxa"/>
          </w:tblCellMar>
        </w:tblPrEx>
        <w:trPr>
          <w:gridAfter w:val="2"/>
          <w:wAfter w:w="14" w:type="pct"/>
          <w:trHeight w:val="346"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w:t>
            </w:r>
          </w:p>
        </w:tc>
        <w:tc>
          <w:tcPr>
            <w:tcW w:w="1050" w:type="pct"/>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w:t>
            </w:r>
          </w:p>
        </w:tc>
        <w:tc>
          <w:tcPr>
            <w:tcW w:w="438"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20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16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10</w:t>
            </w:r>
          </w:p>
        </w:tc>
        <w:tc>
          <w:tcPr>
            <w:tcW w:w="1160"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color w:val="000000"/>
                <w:sz w:val="18"/>
                <w:szCs w:val="18"/>
                <w:u w:val="none"/>
              </w:rPr>
            </w:pPr>
            <w:r>
              <w:rPr>
                <w:rFonts w:hint="eastAsia" w:ascii="宋体" w:hAnsi="宋体" w:eastAsia="宋体"/>
                <w:color w:val="000000"/>
                <w:sz w:val="18"/>
                <w:lang w:val="en-US" w:eastAsia="zh-CN"/>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olor w:val="000000"/>
                <w:sz w:val="18"/>
                <w:lang w:val="en-US" w:eastAsia="zh-CN"/>
              </w:rPr>
              <w:t>。</w:t>
            </w:r>
          </w:p>
        </w:tc>
      </w:tr>
      <w:tr>
        <w:tblPrEx>
          <w:tblCellMar>
            <w:top w:w="0" w:type="dxa"/>
            <w:left w:w="0" w:type="dxa"/>
            <w:bottom w:w="0" w:type="dxa"/>
            <w:right w:w="0" w:type="dxa"/>
          </w:tblCellMar>
        </w:tblPrEx>
        <w:trPr>
          <w:gridAfter w:val="2"/>
          <w:wAfter w:w="14" w:type="pct"/>
          <w:trHeight w:val="391"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w:t>
            </w:r>
          </w:p>
        </w:tc>
        <w:tc>
          <w:tcPr>
            <w:tcW w:w="1050" w:type="pct"/>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2.00</w:t>
            </w:r>
          </w:p>
        </w:tc>
        <w:tc>
          <w:tcPr>
            <w:tcW w:w="438"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20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6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407"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50" w:type="pct"/>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8"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6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361"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50" w:type="pct"/>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38"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0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6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1050" w:type="pct"/>
            <w:gridSpan w:val="1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438"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20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6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452"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439"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37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233"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438"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20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16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160"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gridAfter w:val="2"/>
          <w:wAfter w:w="14"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完成时间</w:t>
            </w:r>
          </w:p>
        </w:tc>
        <w:tc>
          <w:tcPr>
            <w:tcW w:w="439"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7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2023</w:t>
            </w:r>
          </w:p>
        </w:tc>
        <w:tc>
          <w:tcPr>
            <w:tcW w:w="233"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w:t>
            </w:r>
          </w:p>
        </w:tc>
        <w:tc>
          <w:tcPr>
            <w:tcW w:w="438"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2023年</w:t>
            </w:r>
          </w:p>
        </w:tc>
        <w:tc>
          <w:tcPr>
            <w:tcW w:w="20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40</w:t>
            </w:r>
          </w:p>
        </w:tc>
        <w:tc>
          <w:tcPr>
            <w:tcW w:w="16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40</w:t>
            </w:r>
          </w:p>
        </w:tc>
        <w:tc>
          <w:tcPr>
            <w:tcW w:w="1160"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gridAfter w:val="2"/>
          <w:wAfter w:w="14" w:type="pct"/>
          <w:trHeight w:val="678"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可持续发展指标</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w:t>
            </w:r>
          </w:p>
        </w:tc>
        <w:tc>
          <w:tcPr>
            <w:tcW w:w="439"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37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加大避孕药具宣传，预防多种传染性疾病</w:t>
            </w:r>
          </w:p>
        </w:tc>
        <w:tc>
          <w:tcPr>
            <w:tcW w:w="233"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r>
              <w:rPr>
                <w:rFonts w:hint="eastAsia" w:ascii="宋体" w:hAnsi="宋体" w:eastAsia="宋体" w:cs="宋体"/>
                <w:i w:val="0"/>
                <w:color w:val="000000"/>
                <w:sz w:val="18"/>
                <w:szCs w:val="18"/>
                <w:u w:val="none"/>
              </w:rPr>
              <w:t>－</w:t>
            </w:r>
          </w:p>
        </w:tc>
        <w:tc>
          <w:tcPr>
            <w:tcW w:w="438"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维护了自助发放机的日常管理，发放机在药具发放工作中发挥了重要作用，获得基层机构和群众好评</w:t>
            </w:r>
          </w:p>
        </w:tc>
        <w:tc>
          <w:tcPr>
            <w:tcW w:w="20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30</w:t>
            </w:r>
          </w:p>
        </w:tc>
        <w:tc>
          <w:tcPr>
            <w:tcW w:w="16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30</w:t>
            </w:r>
          </w:p>
        </w:tc>
        <w:tc>
          <w:tcPr>
            <w:tcW w:w="1160"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gridAfter w:val="2"/>
          <w:wAfter w:w="14"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w:t>
            </w:r>
          </w:p>
        </w:tc>
        <w:tc>
          <w:tcPr>
            <w:tcW w:w="439"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7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233"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38"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95%</w:t>
            </w:r>
          </w:p>
        </w:tc>
        <w:tc>
          <w:tcPr>
            <w:tcW w:w="20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w:t>
            </w:r>
          </w:p>
        </w:tc>
        <w:tc>
          <w:tcPr>
            <w:tcW w:w="16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w:t>
            </w:r>
          </w:p>
        </w:tc>
        <w:tc>
          <w:tcPr>
            <w:tcW w:w="1160"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gridAfter w:val="2"/>
          <w:wAfter w:w="14" w:type="pct"/>
          <w:trHeight w:val="452"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成本指标</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社会成本指标</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避孕药具宣传广告制作，差旅费等</w:t>
            </w:r>
          </w:p>
        </w:tc>
        <w:tc>
          <w:tcPr>
            <w:tcW w:w="439"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77"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w:t>
            </w:r>
          </w:p>
        </w:tc>
        <w:tc>
          <w:tcPr>
            <w:tcW w:w="233"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万元</w:t>
            </w:r>
          </w:p>
        </w:tc>
        <w:tc>
          <w:tcPr>
            <w:tcW w:w="438"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2万元</w:t>
            </w:r>
          </w:p>
        </w:tc>
        <w:tc>
          <w:tcPr>
            <w:tcW w:w="20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w:t>
            </w:r>
          </w:p>
        </w:tc>
        <w:tc>
          <w:tcPr>
            <w:tcW w:w="16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w:t>
            </w:r>
          </w:p>
        </w:tc>
        <w:tc>
          <w:tcPr>
            <w:tcW w:w="1160"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gridAfter w:val="2"/>
          <w:wAfter w:w="14" w:type="pct"/>
          <w:trHeight w:val="286" w:hRule="atLeast"/>
        </w:trPr>
        <w:tc>
          <w:tcPr>
            <w:tcW w:w="3457" w:type="pct"/>
            <w:gridSpan w:val="3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kern w:val="0"/>
                <w:sz w:val="18"/>
                <w:szCs w:val="18"/>
                <w:u w:val="none"/>
                <w:lang w:val="en-US" w:eastAsia="zh-CN" w:bidi="ar"/>
              </w:rPr>
            </w:pPr>
            <w:r>
              <w:rPr>
                <w:rFonts w:ascii="宋体" w:hAnsi="宋体" w:eastAsia="宋体" w:cs="宋体"/>
                <w:i w:val="0"/>
                <w:color w:val="000000"/>
                <w:kern w:val="0"/>
                <w:sz w:val="18"/>
                <w:szCs w:val="18"/>
                <w:u w:val="none"/>
                <w:lang w:val="en-US" w:eastAsia="zh-CN" w:bidi="ar"/>
              </w:rPr>
              <w:t>合计</w:t>
            </w:r>
          </w:p>
        </w:tc>
        <w:tc>
          <w:tcPr>
            <w:tcW w:w="203"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16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default"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100</w:t>
            </w:r>
          </w:p>
        </w:tc>
        <w:tc>
          <w:tcPr>
            <w:tcW w:w="1160"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After w:val="2"/>
          <w:wAfter w:w="14" w:type="pct"/>
          <w:trHeight w:val="483" w:hRule="atLeast"/>
        </w:trPr>
        <w:tc>
          <w:tcPr>
            <w:tcW w:w="667"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4318" w:type="pct"/>
            <w:gridSpan w:val="4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微软雅黑" w:hAnsi="微软雅黑" w:eastAsia="微软雅黑" w:cs="微软雅黑"/>
                <w:i/>
                <w:color w:val="000000"/>
                <w:sz w:val="16"/>
                <w:szCs w:val="16"/>
                <w:u w:val="none"/>
              </w:rPr>
            </w:pPr>
            <w:r>
              <w:rPr>
                <w:rFonts w:hint="eastAsia" w:ascii="宋体" w:hAnsi="宋体" w:eastAsia="宋体"/>
                <w:color w:val="000000"/>
                <w:sz w:val="18"/>
                <w:lang w:val="en-US" w:eastAsia="zh-CN"/>
              </w:rPr>
              <w:t>全面完成2023年避孕药具调拨计划、入库、调拨等任务，打造多元化药具发放渠道，提升优质服务。</w:t>
            </w:r>
          </w:p>
        </w:tc>
      </w:tr>
      <w:tr>
        <w:tblPrEx>
          <w:tblCellMar>
            <w:top w:w="0" w:type="dxa"/>
            <w:left w:w="0" w:type="dxa"/>
            <w:bottom w:w="0" w:type="dxa"/>
            <w:right w:w="0" w:type="dxa"/>
          </w:tblCellMar>
        </w:tblPrEx>
        <w:trPr>
          <w:gridAfter w:val="2"/>
          <w:wAfter w:w="14" w:type="pct"/>
          <w:trHeight w:val="402" w:hRule="atLeast"/>
        </w:trPr>
        <w:tc>
          <w:tcPr>
            <w:tcW w:w="667"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4318" w:type="pct"/>
            <w:gridSpan w:val="4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宋体" w:hAnsi="宋体" w:eastAsia="宋体"/>
                <w:color w:val="000000"/>
                <w:sz w:val="18"/>
                <w:lang w:val="en-US" w:eastAsia="zh-CN"/>
              </w:rPr>
            </w:pPr>
            <w:r>
              <w:rPr>
                <w:rFonts w:hint="eastAsia" w:ascii="宋体" w:hAnsi="宋体" w:eastAsia="宋体"/>
                <w:color w:val="000000"/>
                <w:sz w:val="18"/>
                <w:lang w:val="en-US" w:eastAsia="zh-CN"/>
              </w:rPr>
              <w:t>无</w:t>
            </w:r>
            <w:r>
              <w:rPr>
                <w:rFonts w:hint="eastAsia" w:ascii="宋体" w:hAnsi="宋体"/>
                <w:color w:val="000000"/>
                <w:sz w:val="18"/>
                <w:lang w:val="en-US" w:eastAsia="zh-CN"/>
              </w:rPr>
              <w:t>。</w:t>
            </w:r>
          </w:p>
        </w:tc>
      </w:tr>
      <w:tr>
        <w:tblPrEx>
          <w:tblCellMar>
            <w:top w:w="0" w:type="dxa"/>
            <w:left w:w="0" w:type="dxa"/>
            <w:bottom w:w="0" w:type="dxa"/>
            <w:right w:w="0" w:type="dxa"/>
          </w:tblCellMar>
        </w:tblPrEx>
        <w:trPr>
          <w:gridAfter w:val="2"/>
          <w:wAfter w:w="14" w:type="pct"/>
          <w:trHeight w:val="488" w:hRule="atLeast"/>
        </w:trPr>
        <w:tc>
          <w:tcPr>
            <w:tcW w:w="667"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4318" w:type="pct"/>
            <w:gridSpan w:val="4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宋体" w:hAnsi="宋体" w:eastAsia="宋体"/>
                <w:color w:val="000000"/>
                <w:sz w:val="18"/>
                <w:lang w:val="en-US" w:eastAsia="zh-CN"/>
              </w:rPr>
            </w:pPr>
            <w:r>
              <w:rPr>
                <w:rFonts w:hint="eastAsia" w:ascii="宋体" w:hAnsi="宋体" w:eastAsia="宋体"/>
                <w:color w:val="000000"/>
                <w:sz w:val="18"/>
                <w:lang w:val="en-US" w:eastAsia="zh-CN"/>
              </w:rPr>
              <w:t>无</w:t>
            </w:r>
            <w:r>
              <w:rPr>
                <w:rFonts w:hint="eastAsia" w:ascii="宋体" w:hAnsi="宋体"/>
                <w:color w:val="000000"/>
                <w:sz w:val="18"/>
                <w:lang w:val="en-US" w:eastAsia="zh-CN"/>
              </w:rPr>
              <w:t>。</w:t>
            </w:r>
          </w:p>
        </w:tc>
      </w:tr>
      <w:tr>
        <w:tblPrEx>
          <w:tblCellMar>
            <w:top w:w="0" w:type="dxa"/>
            <w:left w:w="0" w:type="dxa"/>
            <w:bottom w:w="0" w:type="dxa"/>
            <w:right w:w="0" w:type="dxa"/>
          </w:tblCellMar>
        </w:tblPrEx>
        <w:trPr>
          <w:gridAfter w:val="2"/>
          <w:wAfter w:w="14" w:type="pct"/>
          <w:trHeight w:val="286" w:hRule="atLeast"/>
        </w:trPr>
        <w:tc>
          <w:tcPr>
            <w:tcW w:w="1968" w:type="pct"/>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项目负责人：王炯棵</w:t>
            </w:r>
          </w:p>
        </w:tc>
        <w:tc>
          <w:tcPr>
            <w:tcW w:w="3017" w:type="pct"/>
            <w:gridSpan w:val="3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财务负责人：马慧玉</w:t>
            </w:r>
          </w:p>
        </w:tc>
      </w:tr>
      <w:tr>
        <w:tblPrEx>
          <w:tblCellMar>
            <w:top w:w="0" w:type="dxa"/>
            <w:left w:w="0" w:type="dxa"/>
            <w:bottom w:w="0" w:type="dxa"/>
            <w:right w:w="0" w:type="dxa"/>
          </w:tblCellMar>
        </w:tblPrEx>
        <w:trPr>
          <w:trHeight w:val="286" w:hRule="atLeast"/>
        </w:trPr>
        <w:tc>
          <w:tcPr>
            <w:tcW w:w="667" w:type="pct"/>
            <w:gridSpan w:val="3"/>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322" w:type="pct"/>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89" w:type="pct"/>
            <w:gridSpan w:val="3"/>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89" w:type="pct"/>
            <w:gridSpan w:val="3"/>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13" w:type="pct"/>
            <w:gridSpan w:val="8"/>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03" w:type="pct"/>
            <w:gridSpan w:val="2"/>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33" w:type="pct"/>
            <w:gridSpan w:val="6"/>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438" w:type="pct"/>
            <w:gridSpan w:val="8"/>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17" w:type="pct"/>
            <w:gridSpan w:val="6"/>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50" w:type="pct"/>
            <w:gridSpan w:val="3"/>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1174" w:type="pct"/>
            <w:gridSpan w:val="5"/>
            <w:tcBorders>
              <w:top w:val="nil"/>
              <w:left w:val="nil"/>
              <w:bottom w:val="nil"/>
              <w:right w:val="nil"/>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After w:val="2"/>
          <w:wAfter w:w="14" w:type="pct"/>
          <w:trHeight w:val="904" w:hRule="atLeast"/>
        </w:trPr>
        <w:tc>
          <w:tcPr>
            <w:tcW w:w="4985" w:type="pct"/>
            <w:gridSpan w:val="4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tblPrEx>
          <w:shd w:val="clear" w:color="auto" w:fill="auto"/>
          <w:tblCellMar>
            <w:top w:w="0" w:type="dxa"/>
            <w:left w:w="0" w:type="dxa"/>
            <w:bottom w:w="0" w:type="dxa"/>
            <w:right w:w="0" w:type="dxa"/>
          </w:tblCellMar>
        </w:tblPrEx>
        <w:trPr>
          <w:gridAfter w:val="2"/>
          <w:wAfter w:w="14" w:type="pct"/>
          <w:trHeight w:val="286" w:hRule="atLeast"/>
        </w:trPr>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4379" w:type="pct"/>
            <w:gridSpan w:val="4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51080023T000008949296-年度考核奖</w:t>
            </w:r>
          </w:p>
        </w:tc>
      </w:tr>
      <w:tr>
        <w:tblPrEx>
          <w:tblCellMar>
            <w:top w:w="0" w:type="dxa"/>
            <w:left w:w="0" w:type="dxa"/>
            <w:bottom w:w="0" w:type="dxa"/>
            <w:right w:w="0" w:type="dxa"/>
          </w:tblCellMar>
        </w:tblPrEx>
        <w:trPr>
          <w:gridAfter w:val="2"/>
          <w:wAfter w:w="14" w:type="pct"/>
          <w:trHeight w:val="512"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2607" w:type="pct"/>
            <w:gridSpan w:val="2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广元市卫生健康委员会部门</w:t>
            </w:r>
          </w:p>
        </w:tc>
        <w:tc>
          <w:tcPr>
            <w:tcW w:w="614" w:type="pct"/>
            <w:gridSpan w:val="12"/>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1391" w:type="pct"/>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广元市计划生育药品器械管理站</w:t>
            </w:r>
          </w:p>
        </w:tc>
      </w:tr>
      <w:tr>
        <w:tblPrEx>
          <w:tblCellMar>
            <w:top w:w="0" w:type="dxa"/>
            <w:left w:w="0" w:type="dxa"/>
            <w:bottom w:w="0" w:type="dxa"/>
            <w:right w:w="0" w:type="dxa"/>
          </w:tblCellMar>
        </w:tblPrEx>
        <w:trPr>
          <w:gridAfter w:val="2"/>
          <w:wAfter w:w="14" w:type="pct"/>
          <w:trHeight w:val="286"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616"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2029" w:type="pct"/>
            <w:gridSpan w:val="2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1966" w:type="pct"/>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tblPrEx>
          <w:tblCellMar>
            <w:top w:w="0" w:type="dxa"/>
            <w:left w:w="0" w:type="dxa"/>
            <w:bottom w:w="0" w:type="dxa"/>
            <w:right w:w="0" w:type="dxa"/>
          </w:tblCellMar>
        </w:tblPrEx>
        <w:trPr>
          <w:gridAfter w:val="2"/>
          <w:wAfter w:w="14" w:type="pct"/>
          <w:trHeight w:val="708"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16"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2029" w:type="pct"/>
            <w:gridSpan w:val="2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r>
              <w:rPr>
                <w:rFonts w:hint="eastAsia" w:ascii="宋体" w:hAnsi="宋体" w:eastAsia="宋体" w:cs="宋体"/>
                <w:i w:val="0"/>
                <w:color w:val="000000"/>
                <w:kern w:val="0"/>
                <w:sz w:val="18"/>
                <w:szCs w:val="18"/>
                <w:u w:val="none"/>
                <w:lang w:val="en-US" w:eastAsia="zh-CN" w:bidi="ar"/>
              </w:rPr>
              <w:t>。</w:t>
            </w:r>
          </w:p>
        </w:tc>
        <w:tc>
          <w:tcPr>
            <w:tcW w:w="1966" w:type="pct"/>
            <w:gridSpan w:val="2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ascii="宋体" w:hAnsi="宋体" w:eastAsia="宋体" w:cs="宋体"/>
                <w:i w:val="0"/>
                <w:color w:val="000000"/>
                <w:kern w:val="0"/>
                <w:sz w:val="18"/>
                <w:szCs w:val="18"/>
                <w:u w:val="none"/>
                <w:lang w:val="en-US" w:eastAsia="zh-CN" w:bidi="ar"/>
              </w:rPr>
              <w:t>严格执行</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相关政策，保障</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工资及时、足额发放或社保及时、足额缴纳，预算编制科学合理，</w:t>
            </w:r>
            <w:r>
              <w:rPr>
                <w:rFonts w:hint="eastAsia" w:ascii="宋体" w:hAnsi="宋体" w:cs="宋体"/>
                <w:i w:val="0"/>
                <w:color w:val="000000"/>
                <w:kern w:val="0"/>
                <w:sz w:val="18"/>
                <w:szCs w:val="18"/>
                <w:u w:val="none"/>
                <w:lang w:val="en-US" w:eastAsia="zh-CN" w:bidi="ar"/>
              </w:rPr>
              <w:t>无</w:t>
            </w:r>
            <w:r>
              <w:rPr>
                <w:rFonts w:ascii="宋体" w:hAnsi="宋体" w:eastAsia="宋体" w:cs="宋体"/>
                <w:i w:val="0"/>
                <w:color w:val="000000"/>
                <w:kern w:val="0"/>
                <w:sz w:val="18"/>
                <w:szCs w:val="18"/>
                <w:u w:val="none"/>
                <w:lang w:val="en-US" w:eastAsia="zh-CN" w:bidi="ar"/>
              </w:rPr>
              <w:t>结余资金</w:t>
            </w:r>
            <w:r>
              <w:rPr>
                <w:rFonts w:hint="eastAsia" w:ascii="宋体" w:hAnsi="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gridAfter w:val="2"/>
          <w:wAfter w:w="14" w:type="pct"/>
          <w:trHeight w:val="648"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3996" w:type="pct"/>
            <w:gridSpan w:val="4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严格执行相关政策，保障工资及时、足额发放或社保及时、足额缴纳，预算编制科学合理，减少结余资金</w:t>
            </w:r>
            <w:r>
              <w:rPr>
                <w:rFonts w:hint="eastAsia" w:ascii="宋体" w:hAnsi="宋体" w:eastAsia="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gridAfter w:val="2"/>
          <w:wAfter w:w="14" w:type="pct"/>
          <w:trHeight w:val="361"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922"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350"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35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31"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160"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tblPrEx>
          <w:tblCellMar>
            <w:top w:w="0" w:type="dxa"/>
            <w:left w:w="0" w:type="dxa"/>
            <w:bottom w:w="0" w:type="dxa"/>
            <w:right w:w="0" w:type="dxa"/>
          </w:tblCellMar>
        </w:tblPrEx>
        <w:trPr>
          <w:gridAfter w:val="2"/>
          <w:wAfter w:w="14" w:type="pct"/>
          <w:trHeight w:val="346"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4.20</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4.20</w:t>
            </w:r>
          </w:p>
        </w:tc>
        <w:tc>
          <w:tcPr>
            <w:tcW w:w="922"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4.20</w:t>
            </w:r>
          </w:p>
        </w:tc>
        <w:tc>
          <w:tcPr>
            <w:tcW w:w="350"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5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31"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w:t>
            </w:r>
          </w:p>
        </w:tc>
        <w:tc>
          <w:tcPr>
            <w:tcW w:w="1160" w:type="pct"/>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r>
              <w:rPr>
                <w:rFonts w:hint="eastAsia" w:ascii="宋体" w:hAnsi="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gridAfter w:val="2"/>
          <w:wAfter w:w="14" w:type="pct"/>
          <w:trHeight w:val="391"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4.20</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4.20</w:t>
            </w:r>
          </w:p>
        </w:tc>
        <w:tc>
          <w:tcPr>
            <w:tcW w:w="922"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4.20</w:t>
            </w:r>
          </w:p>
        </w:tc>
        <w:tc>
          <w:tcPr>
            <w:tcW w:w="350"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35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31"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6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407"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922"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50"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5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31"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6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361"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922"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50"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35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31"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6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gridAfter w:val="2"/>
          <w:wAfter w:w="14" w:type="pct"/>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922" w:type="pct"/>
            <w:gridSpan w:val="1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350"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c>
          <w:tcPr>
            <w:tcW w:w="35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31"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160"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黑体" w:hAnsi="黑体" w:eastAsia="黑体" w:cs="黑体"/>
                <w:i/>
                <w:color w:val="000000"/>
                <w:sz w:val="18"/>
                <w:szCs w:val="18"/>
                <w:u w:val="none"/>
              </w:rPr>
            </w:pPr>
          </w:p>
        </w:tc>
      </w:tr>
      <w:tr>
        <w:tblPrEx>
          <w:tblCellMar>
            <w:top w:w="0" w:type="dxa"/>
            <w:left w:w="0" w:type="dxa"/>
            <w:bottom w:w="0" w:type="dxa"/>
            <w:right w:w="0" w:type="dxa"/>
          </w:tblCellMar>
        </w:tblPrEx>
        <w:trPr>
          <w:trHeight w:val="452" w:hRule="atLeast"/>
        </w:trPr>
        <w:tc>
          <w:tcPr>
            <w:tcW w:w="372"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36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246"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309"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350"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35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231"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117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tblPrEx>
          <w:tblCellMar>
            <w:top w:w="0" w:type="dxa"/>
            <w:left w:w="0" w:type="dxa"/>
            <w:bottom w:w="0" w:type="dxa"/>
            <w:right w:w="0" w:type="dxa"/>
          </w:tblCellMar>
        </w:tblPrEx>
        <w:trPr>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发放（缴纳）覆盖率</w:t>
            </w:r>
          </w:p>
        </w:tc>
        <w:tc>
          <w:tcPr>
            <w:tcW w:w="36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46"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09"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50"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35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kern w:val="0"/>
                <w:sz w:val="18"/>
                <w:szCs w:val="18"/>
                <w:u w:val="none"/>
                <w:lang w:val="en-US" w:eastAsia="zh-CN" w:bidi="ar"/>
              </w:rPr>
            </w:pPr>
            <w:r>
              <w:rPr>
                <w:rFonts w:ascii="宋体" w:hAnsi="宋体" w:eastAsia="宋体" w:cs="宋体"/>
                <w:i w:val="0"/>
                <w:color w:val="000000"/>
                <w:kern w:val="0"/>
                <w:sz w:val="18"/>
                <w:szCs w:val="18"/>
                <w:u w:val="none"/>
                <w:lang w:val="en-US" w:eastAsia="zh-CN" w:bidi="ar"/>
              </w:rPr>
              <w:t>60</w:t>
            </w:r>
          </w:p>
        </w:tc>
        <w:tc>
          <w:tcPr>
            <w:tcW w:w="231"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60</w:t>
            </w:r>
          </w:p>
        </w:tc>
        <w:tc>
          <w:tcPr>
            <w:tcW w:w="117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trHeight w:val="339" w:hRule="atLeast"/>
        </w:trPr>
        <w:tc>
          <w:tcPr>
            <w:tcW w:w="372"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616"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489"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足额保障率（参保率）</w:t>
            </w:r>
          </w:p>
        </w:tc>
        <w:tc>
          <w:tcPr>
            <w:tcW w:w="366"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46"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309" w:type="pct"/>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350" w:type="pct"/>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35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kern w:val="0"/>
                <w:sz w:val="18"/>
                <w:szCs w:val="18"/>
                <w:u w:val="none"/>
                <w:lang w:val="en-US" w:eastAsia="zh-CN" w:bidi="ar"/>
              </w:rPr>
            </w:pPr>
            <w:r>
              <w:rPr>
                <w:rFonts w:ascii="宋体" w:hAnsi="宋体" w:eastAsia="宋体" w:cs="宋体"/>
                <w:i w:val="0"/>
                <w:color w:val="000000"/>
                <w:kern w:val="0"/>
                <w:sz w:val="18"/>
                <w:szCs w:val="18"/>
                <w:u w:val="none"/>
                <w:lang w:val="en-US" w:eastAsia="zh-CN" w:bidi="ar"/>
              </w:rPr>
              <w:t>30</w:t>
            </w:r>
          </w:p>
        </w:tc>
        <w:tc>
          <w:tcPr>
            <w:tcW w:w="231"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30</w:t>
            </w:r>
          </w:p>
        </w:tc>
        <w:tc>
          <w:tcPr>
            <w:tcW w:w="1174"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微软雅黑" w:hAnsi="微软雅黑" w:eastAsia="微软雅黑" w:cs="微软雅黑"/>
                <w:i/>
                <w:color w:val="000000"/>
                <w:sz w:val="16"/>
                <w:szCs w:val="16"/>
                <w:u w:val="none"/>
              </w:rPr>
            </w:pPr>
          </w:p>
        </w:tc>
      </w:tr>
      <w:tr>
        <w:tblPrEx>
          <w:tblCellMar>
            <w:top w:w="0" w:type="dxa"/>
            <w:left w:w="0" w:type="dxa"/>
            <w:bottom w:w="0" w:type="dxa"/>
            <w:right w:w="0" w:type="dxa"/>
          </w:tblCellMar>
        </w:tblPrEx>
        <w:trPr>
          <w:gridAfter w:val="2"/>
          <w:wAfter w:w="14" w:type="pct"/>
          <w:trHeight w:val="286" w:hRule="atLeast"/>
        </w:trPr>
        <w:tc>
          <w:tcPr>
            <w:tcW w:w="3241" w:type="pct"/>
            <w:gridSpan w:val="3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kern w:val="0"/>
                <w:sz w:val="18"/>
                <w:szCs w:val="18"/>
                <w:u w:val="none"/>
                <w:lang w:val="en-US" w:eastAsia="zh-CN" w:bidi="ar"/>
              </w:rPr>
            </w:pPr>
            <w:r>
              <w:rPr>
                <w:rFonts w:ascii="宋体" w:hAnsi="宋体" w:eastAsia="宋体" w:cs="宋体"/>
                <w:i w:val="0"/>
                <w:color w:val="000000"/>
                <w:kern w:val="0"/>
                <w:sz w:val="18"/>
                <w:szCs w:val="18"/>
                <w:u w:val="none"/>
                <w:lang w:val="en-US" w:eastAsia="zh-CN" w:bidi="ar"/>
              </w:rPr>
              <w:t>合计</w:t>
            </w:r>
          </w:p>
        </w:tc>
        <w:tc>
          <w:tcPr>
            <w:tcW w:w="353"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kern w:val="0"/>
                <w:sz w:val="18"/>
                <w:szCs w:val="18"/>
                <w:u w:val="none"/>
                <w:lang w:val="en-US" w:eastAsia="zh-CN" w:bidi="ar"/>
              </w:rPr>
            </w:pPr>
            <w:r>
              <w:rPr>
                <w:rFonts w:ascii="宋体" w:hAnsi="宋体" w:eastAsia="宋体" w:cs="宋体"/>
                <w:i w:val="0"/>
                <w:color w:val="000000"/>
                <w:kern w:val="0"/>
                <w:sz w:val="18"/>
                <w:szCs w:val="18"/>
                <w:u w:val="none"/>
                <w:lang w:val="en-US" w:eastAsia="zh-CN" w:bidi="ar"/>
              </w:rPr>
              <w:t>100</w:t>
            </w:r>
          </w:p>
        </w:tc>
        <w:tc>
          <w:tcPr>
            <w:tcW w:w="231"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w:t>
            </w:r>
          </w:p>
        </w:tc>
        <w:tc>
          <w:tcPr>
            <w:tcW w:w="1160"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gridAfter w:val="2"/>
          <w:wAfter w:w="14" w:type="pct"/>
          <w:trHeight w:val="603"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微软雅黑" w:hAnsi="微软雅黑" w:eastAsia="微软雅黑" w:cs="微软雅黑"/>
                <w:i/>
                <w:color w:val="000000"/>
                <w:sz w:val="16"/>
                <w:szCs w:val="16"/>
                <w:u w:val="none"/>
              </w:rPr>
            </w:pPr>
            <w:r>
              <w:rPr>
                <w:rFonts w:ascii="宋体" w:hAnsi="宋体" w:eastAsia="宋体" w:cs="宋体"/>
                <w:i w:val="0"/>
                <w:color w:val="000000"/>
                <w:kern w:val="0"/>
                <w:sz w:val="18"/>
                <w:szCs w:val="18"/>
                <w:u w:val="none"/>
                <w:lang w:val="en-US" w:eastAsia="zh-CN" w:bidi="ar"/>
              </w:rPr>
              <w:t>严格执行</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相关政策，保障</w:t>
            </w:r>
            <w:r>
              <w:rPr>
                <w:rFonts w:hint="eastAsia" w:ascii="宋体" w:hAnsi="宋体" w:cs="宋体"/>
                <w:i w:val="0"/>
                <w:color w:val="000000"/>
                <w:kern w:val="0"/>
                <w:sz w:val="18"/>
                <w:szCs w:val="18"/>
                <w:u w:val="none"/>
                <w:lang w:val="en-US" w:eastAsia="zh-CN" w:bidi="ar"/>
              </w:rPr>
              <w:t>了</w:t>
            </w:r>
            <w:r>
              <w:rPr>
                <w:rFonts w:ascii="宋体" w:hAnsi="宋体" w:eastAsia="宋体" w:cs="宋体"/>
                <w:i w:val="0"/>
                <w:color w:val="000000"/>
                <w:kern w:val="0"/>
                <w:sz w:val="18"/>
                <w:szCs w:val="18"/>
                <w:u w:val="none"/>
                <w:lang w:val="en-US" w:eastAsia="zh-CN" w:bidi="ar"/>
              </w:rPr>
              <w:t>工资及时、足额发放或社保及时、足额缴纳，预算编制科学合理，</w:t>
            </w:r>
            <w:r>
              <w:rPr>
                <w:rFonts w:hint="eastAsia" w:ascii="宋体" w:hAnsi="宋体" w:cs="宋体"/>
                <w:i w:val="0"/>
                <w:color w:val="000000"/>
                <w:kern w:val="0"/>
                <w:sz w:val="18"/>
                <w:szCs w:val="18"/>
                <w:u w:val="none"/>
                <w:lang w:val="en-US" w:eastAsia="zh-CN" w:bidi="ar"/>
              </w:rPr>
              <w:t>无</w:t>
            </w:r>
            <w:r>
              <w:rPr>
                <w:rFonts w:ascii="宋体" w:hAnsi="宋体" w:eastAsia="宋体" w:cs="宋体"/>
                <w:i w:val="0"/>
                <w:color w:val="000000"/>
                <w:kern w:val="0"/>
                <w:sz w:val="18"/>
                <w:szCs w:val="18"/>
                <w:u w:val="none"/>
                <w:lang w:val="en-US" w:eastAsia="zh-CN" w:bidi="ar"/>
              </w:rPr>
              <w:t>结余资金</w:t>
            </w:r>
            <w:r>
              <w:rPr>
                <w:rFonts w:hint="eastAsia" w:ascii="宋体" w:hAnsi="宋体" w:cs="宋体"/>
                <w:i w:val="0"/>
                <w:color w:val="000000"/>
                <w:kern w:val="0"/>
                <w:sz w:val="18"/>
                <w:szCs w:val="18"/>
                <w:u w:val="none"/>
                <w:lang w:val="en-US" w:eastAsia="zh-CN" w:bidi="ar"/>
              </w:rPr>
              <w:t>。</w:t>
            </w:r>
          </w:p>
        </w:tc>
      </w:tr>
      <w:tr>
        <w:tblPrEx>
          <w:tblCellMar>
            <w:top w:w="0" w:type="dxa"/>
            <w:left w:w="0" w:type="dxa"/>
            <w:bottom w:w="0" w:type="dxa"/>
            <w:right w:w="0" w:type="dxa"/>
          </w:tblCellMar>
        </w:tblPrEx>
        <w:trPr>
          <w:gridAfter w:val="2"/>
          <w:wAfter w:w="14" w:type="pct"/>
          <w:trHeight w:val="572"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无。</w:t>
            </w:r>
          </w:p>
        </w:tc>
      </w:tr>
      <w:tr>
        <w:tblPrEx>
          <w:tblCellMar>
            <w:top w:w="0" w:type="dxa"/>
            <w:left w:w="0" w:type="dxa"/>
            <w:bottom w:w="0" w:type="dxa"/>
            <w:right w:w="0" w:type="dxa"/>
          </w:tblCellMar>
        </w:tblPrEx>
        <w:trPr>
          <w:gridAfter w:val="2"/>
          <w:wAfter w:w="14" w:type="pct"/>
          <w:trHeight w:val="633" w:hRule="atLeast"/>
        </w:trPr>
        <w:tc>
          <w:tcPr>
            <w:tcW w:w="372"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4613" w:type="pct"/>
            <w:gridSpan w:val="4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宋体" w:hAnsi="宋体" w:eastAsia="宋体" w:cs="宋体"/>
                <w:i w:val="0"/>
                <w:color w:val="000000"/>
                <w:kern w:val="0"/>
                <w:sz w:val="18"/>
                <w:szCs w:val="18"/>
                <w:u w:val="none"/>
                <w:lang w:val="en-US" w:eastAsia="zh-CN" w:bidi="ar"/>
              </w:rPr>
            </w:pPr>
            <w:r>
              <w:rPr>
                <w:rFonts w:hint="eastAsia" w:ascii="宋体" w:hAnsi="宋体" w:cs="宋体"/>
                <w:i w:val="0"/>
                <w:color w:val="000000"/>
                <w:kern w:val="0"/>
                <w:sz w:val="18"/>
                <w:szCs w:val="18"/>
                <w:u w:val="none"/>
                <w:lang w:val="en-US" w:eastAsia="zh-CN" w:bidi="ar"/>
              </w:rPr>
              <w:t>无。</w:t>
            </w:r>
          </w:p>
        </w:tc>
      </w:tr>
      <w:tr>
        <w:tblPrEx>
          <w:tblCellMar>
            <w:top w:w="0" w:type="dxa"/>
            <w:left w:w="0" w:type="dxa"/>
            <w:bottom w:w="0" w:type="dxa"/>
            <w:right w:w="0" w:type="dxa"/>
          </w:tblCellMar>
        </w:tblPrEx>
        <w:trPr>
          <w:gridAfter w:val="2"/>
          <w:wAfter w:w="14" w:type="pct"/>
          <w:trHeight w:val="286" w:hRule="atLeast"/>
        </w:trPr>
        <w:tc>
          <w:tcPr>
            <w:tcW w:w="1968" w:type="pct"/>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项目负责人：王炯棵</w:t>
            </w:r>
          </w:p>
        </w:tc>
        <w:tc>
          <w:tcPr>
            <w:tcW w:w="3017" w:type="pct"/>
            <w:gridSpan w:val="3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财务负责人：马慧玉</w:t>
            </w:r>
          </w:p>
        </w:tc>
      </w:tr>
    </w:tbl>
    <w:p>
      <w:pPr>
        <w:spacing w:line="600" w:lineRule="exact"/>
        <w:jc w:val="left"/>
        <w:outlineLvl w:val="0"/>
        <w:rPr>
          <w:rFonts w:hint="eastAsia" w:ascii="黑体" w:hAnsi="黑体" w:eastAsia="黑体"/>
          <w:color w:val="auto"/>
          <w:sz w:val="44"/>
          <w:szCs w:val="44"/>
        </w:rPr>
      </w:pPr>
    </w:p>
    <w:p>
      <w:pPr>
        <w:spacing w:line="600" w:lineRule="exact"/>
        <w:ind w:left="-1260" w:leftChars="-600" w:firstLine="0" w:firstLineChars="0"/>
        <w:jc w:val="left"/>
        <w:outlineLvl w:val="0"/>
        <w:rPr>
          <w:rFonts w:hint="eastAsia" w:ascii="黑体" w:hAnsi="黑体" w:eastAsia="黑体"/>
          <w:color w:val="auto"/>
          <w:sz w:val="44"/>
          <w:szCs w:val="44"/>
        </w:rPr>
      </w:pPr>
    </w:p>
    <w:p>
      <w:pPr>
        <w:spacing w:line="600" w:lineRule="exact"/>
        <w:jc w:val="center"/>
        <w:outlineLvl w:val="0"/>
        <w:rPr>
          <w:rFonts w:hint="eastAsia" w:ascii="黑体" w:hAnsi="黑体" w:eastAsia="黑体"/>
          <w:color w:val="auto"/>
          <w:sz w:val="44"/>
          <w:szCs w:val="44"/>
        </w:rPr>
      </w:pPr>
    </w:p>
    <w:p>
      <w:pPr>
        <w:spacing w:line="600" w:lineRule="exact"/>
        <w:jc w:val="center"/>
        <w:outlineLvl w:val="0"/>
        <w:rPr>
          <w:rFonts w:hint="eastAsia" w:ascii="黑体" w:hAnsi="黑体" w:eastAsia="黑体"/>
          <w:color w:val="auto"/>
          <w:sz w:val="44"/>
          <w:szCs w:val="44"/>
        </w:rPr>
      </w:pPr>
    </w:p>
    <w:p>
      <w:pPr>
        <w:pStyle w:val="2"/>
        <w:bidi w:val="0"/>
        <w:jc w:val="center"/>
        <w:rPr>
          <w:rFonts w:hint="eastAsia" w:ascii="黑体" w:hAnsi="黑体" w:eastAsia="黑体" w:cs="Times New Roman"/>
          <w:b w:val="0"/>
          <w:bCs w:val="0"/>
          <w:color w:val="auto"/>
          <w:kern w:val="44"/>
          <w:sz w:val="44"/>
          <w:szCs w:val="22"/>
          <w:lang w:val="zh-CN"/>
        </w:rPr>
      </w:pPr>
      <w:bookmarkStart w:id="19" w:name="_Toc30723"/>
      <w:bookmarkEnd w:id="19"/>
      <w:r>
        <w:rPr>
          <w:rFonts w:hint="eastAsia" w:ascii="黑体" w:hAnsi="黑体" w:eastAsia="黑体" w:cs="Times New Roman"/>
          <w:b w:val="0"/>
          <w:bCs w:val="0"/>
          <w:color w:val="auto"/>
          <w:kern w:val="44"/>
          <w:sz w:val="44"/>
          <w:szCs w:val="22"/>
          <w:lang w:val="zh-CN"/>
        </w:rPr>
        <w:t>第五部分 附表</w:t>
      </w: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20" w:name="_Toc18906"/>
      <w:bookmarkEnd w:id="20"/>
      <w:r>
        <w:rPr>
          <w:rFonts w:hint="eastAsia" w:ascii="黑体" w:hAnsi="黑体" w:eastAsia="黑体" w:cs="Times New Roman"/>
          <w:b w:val="0"/>
          <w:bCs w:val="0"/>
          <w:color w:val="000000"/>
          <w:kern w:val="2"/>
          <w:sz w:val="32"/>
          <w:szCs w:val="22"/>
          <w:lang w:val="en-US" w:eastAsia="zh-CN"/>
        </w:rPr>
        <w:t>一、收入支出决算总表</w:t>
      </w: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21" w:name="_Toc29919"/>
      <w:bookmarkEnd w:id="21"/>
      <w:r>
        <w:rPr>
          <w:rFonts w:hint="eastAsia" w:ascii="黑体" w:hAnsi="黑体" w:eastAsia="黑体" w:cs="Times New Roman"/>
          <w:b w:val="0"/>
          <w:bCs w:val="0"/>
          <w:color w:val="000000"/>
          <w:kern w:val="2"/>
          <w:sz w:val="32"/>
          <w:szCs w:val="22"/>
          <w:lang w:val="en-US" w:eastAsia="zh-CN"/>
        </w:rPr>
        <w:t>二、收入决算表</w:t>
      </w: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22" w:name="_Toc6182"/>
      <w:bookmarkEnd w:id="22"/>
      <w:r>
        <w:rPr>
          <w:rFonts w:hint="eastAsia" w:ascii="黑体" w:hAnsi="黑体" w:eastAsia="黑体" w:cs="Times New Roman"/>
          <w:b w:val="0"/>
          <w:bCs w:val="0"/>
          <w:color w:val="000000"/>
          <w:kern w:val="2"/>
          <w:sz w:val="32"/>
          <w:szCs w:val="22"/>
          <w:lang w:val="en-US" w:eastAsia="zh-CN"/>
        </w:rPr>
        <w:t>三、支出决算表</w:t>
      </w: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23" w:name="_Toc28541"/>
      <w:bookmarkEnd w:id="23"/>
      <w:r>
        <w:rPr>
          <w:rFonts w:hint="eastAsia" w:ascii="黑体" w:hAnsi="黑体" w:eastAsia="黑体" w:cs="Times New Roman"/>
          <w:b w:val="0"/>
          <w:bCs w:val="0"/>
          <w:color w:val="000000"/>
          <w:kern w:val="2"/>
          <w:sz w:val="32"/>
          <w:szCs w:val="22"/>
          <w:lang w:val="en-US" w:eastAsia="zh-CN"/>
        </w:rPr>
        <w:t>四、财政拨款收入支出决算总表</w:t>
      </w: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24" w:name="_Toc23389"/>
      <w:bookmarkEnd w:id="24"/>
      <w:r>
        <w:rPr>
          <w:rFonts w:hint="eastAsia" w:ascii="黑体" w:hAnsi="黑体" w:eastAsia="黑体" w:cs="Times New Roman"/>
          <w:b w:val="0"/>
          <w:bCs w:val="0"/>
          <w:color w:val="000000"/>
          <w:kern w:val="2"/>
          <w:sz w:val="32"/>
          <w:szCs w:val="22"/>
          <w:lang w:val="en-US" w:eastAsia="zh-CN"/>
        </w:rPr>
        <w:t>五、财政拨款支出决算明细表</w:t>
      </w: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25" w:name="_Toc25026"/>
      <w:bookmarkEnd w:id="25"/>
      <w:r>
        <w:rPr>
          <w:rFonts w:hint="eastAsia" w:ascii="黑体" w:hAnsi="黑体" w:eastAsia="黑体" w:cs="Times New Roman"/>
          <w:b w:val="0"/>
          <w:bCs w:val="0"/>
          <w:color w:val="000000"/>
          <w:kern w:val="2"/>
          <w:sz w:val="32"/>
          <w:szCs w:val="22"/>
          <w:lang w:val="en-US" w:eastAsia="zh-CN"/>
        </w:rPr>
        <w:t>六、一般公共预算财政拨款支出决算表</w:t>
      </w: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26" w:name="_Toc20855"/>
      <w:bookmarkEnd w:id="26"/>
      <w:r>
        <w:rPr>
          <w:rFonts w:hint="eastAsia" w:ascii="黑体" w:hAnsi="黑体" w:eastAsia="黑体" w:cs="Times New Roman"/>
          <w:b w:val="0"/>
          <w:bCs w:val="0"/>
          <w:color w:val="000000"/>
          <w:kern w:val="2"/>
          <w:sz w:val="32"/>
          <w:szCs w:val="22"/>
          <w:lang w:val="en-US" w:eastAsia="zh-CN"/>
        </w:rPr>
        <w:t>七、一般公共预算财政拨款支出决算明细表</w:t>
      </w: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27" w:name="_Toc5848"/>
      <w:bookmarkEnd w:id="27"/>
      <w:r>
        <w:rPr>
          <w:rFonts w:hint="eastAsia" w:ascii="黑体" w:hAnsi="黑体" w:eastAsia="黑体" w:cs="Times New Roman"/>
          <w:b w:val="0"/>
          <w:bCs w:val="0"/>
          <w:color w:val="000000"/>
          <w:kern w:val="2"/>
          <w:sz w:val="32"/>
          <w:szCs w:val="22"/>
          <w:lang w:val="en-US" w:eastAsia="zh-CN"/>
        </w:rPr>
        <w:t>八、一般公共预算财政拨款基本支出决算表</w:t>
      </w: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28" w:name="_Toc29096"/>
      <w:bookmarkEnd w:id="28"/>
      <w:r>
        <w:rPr>
          <w:rFonts w:hint="eastAsia" w:ascii="黑体" w:hAnsi="黑体" w:eastAsia="黑体" w:cs="Times New Roman"/>
          <w:b w:val="0"/>
          <w:bCs w:val="0"/>
          <w:color w:val="000000"/>
          <w:kern w:val="2"/>
          <w:sz w:val="32"/>
          <w:szCs w:val="22"/>
          <w:lang w:val="en-US" w:eastAsia="zh-CN"/>
        </w:rPr>
        <w:t>九、一般公共预算财政拨款项目支出决算表</w:t>
      </w: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29" w:name="_Toc26384"/>
      <w:bookmarkEnd w:id="29"/>
      <w:r>
        <w:rPr>
          <w:rFonts w:hint="eastAsia" w:ascii="黑体" w:hAnsi="黑体" w:eastAsia="黑体" w:cs="Times New Roman"/>
          <w:b w:val="0"/>
          <w:bCs w:val="0"/>
          <w:color w:val="000000"/>
          <w:kern w:val="2"/>
          <w:sz w:val="32"/>
          <w:szCs w:val="22"/>
          <w:lang w:val="en-US" w:eastAsia="zh-CN"/>
        </w:rPr>
        <w:t>十、政府性基金预算财政拨款收入支出决算表</w:t>
      </w: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30" w:name="_Toc8506"/>
      <w:bookmarkEnd w:id="30"/>
      <w:r>
        <w:rPr>
          <w:rFonts w:hint="eastAsia" w:ascii="黑体" w:hAnsi="黑体" w:eastAsia="黑体" w:cs="Times New Roman"/>
          <w:b w:val="0"/>
          <w:bCs w:val="0"/>
          <w:color w:val="000000"/>
          <w:kern w:val="2"/>
          <w:sz w:val="32"/>
          <w:szCs w:val="22"/>
          <w:lang w:val="en-US" w:eastAsia="zh-CN"/>
        </w:rPr>
        <w:t>十一、国有资本经营预算财政拨款收入支出决算表</w:t>
      </w: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31" w:name="_Toc24520"/>
      <w:bookmarkEnd w:id="31"/>
      <w:r>
        <w:rPr>
          <w:rFonts w:hint="eastAsia" w:ascii="黑体" w:hAnsi="黑体" w:eastAsia="黑体" w:cs="Times New Roman"/>
          <w:b w:val="0"/>
          <w:bCs w:val="0"/>
          <w:color w:val="000000"/>
          <w:kern w:val="2"/>
          <w:sz w:val="32"/>
          <w:szCs w:val="22"/>
          <w:lang w:val="en-US" w:eastAsia="zh-CN"/>
        </w:rPr>
        <w:t>十二、国有资本经营预算财政拨款支出决算表</w:t>
      </w: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bookmarkStart w:id="32" w:name="_Toc26731"/>
      <w:bookmarkEnd w:id="32"/>
      <w:r>
        <w:rPr>
          <w:rFonts w:hint="eastAsia" w:ascii="黑体" w:hAnsi="黑体" w:eastAsia="黑体" w:cs="Times New Roman"/>
          <w:b w:val="0"/>
          <w:bCs w:val="0"/>
          <w:color w:val="000000"/>
          <w:kern w:val="2"/>
          <w:sz w:val="32"/>
          <w:szCs w:val="22"/>
          <w:lang w:val="en-US" w:eastAsia="zh-CN"/>
        </w:rPr>
        <w:t>十三、财政拨款“三公”经费支出决算表</w:t>
      </w:r>
    </w:p>
    <w:p>
      <w:pPr>
        <w:pStyle w:val="3"/>
        <w:keepNext w:val="0"/>
        <w:keepLines w:val="0"/>
        <w:widowControl w:val="0"/>
        <w:autoSpaceDE w:val="0"/>
        <w:autoSpaceDN w:val="0"/>
        <w:adjustRightInd w:val="0"/>
        <w:spacing w:before="260" w:after="260" w:line="576" w:lineRule="exact"/>
        <w:ind w:firstLine="640"/>
        <w:jc w:val="both"/>
        <w:outlineLvl w:val="9"/>
        <w:rPr>
          <w:rFonts w:hint="eastAsia" w:ascii="黑体" w:hAnsi="黑体" w:eastAsia="黑体" w:cs="Times New Roman"/>
          <w:b w:val="0"/>
          <w:bCs w:val="0"/>
          <w:color w:val="000000"/>
          <w:kern w:val="2"/>
          <w:sz w:val="32"/>
          <w:szCs w:val="22"/>
          <w:lang w:val="en-US" w:eastAsia="zh-CN"/>
        </w:rPr>
      </w:pPr>
    </w:p>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xMgtGFA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FgAAAGRycy9QSwECFAAUAAAACACHTuJAs0lY&#10;7tAAAAAFAQAADwAAAAAAAAABACAAAAA4AAAAZHJzL2Rvd25yZXYueG1sUEsBAhQAFAAAAAgAh07i&#10;QLEyC0YUAgAAGQQAAA4AAAAAAAAAAQAgAAAANQEAAGRycy9lMm9Eb2MueG1sUEsFBgAAAAAGAAYA&#10;WQEAALsFAAAAAA==&#10;">
              <v:fill on="f" focussize="0,0"/>
              <v:stroke on="f" weight="0.5pt"/>
              <v:imagedata o:title=""/>
              <o:lock v:ext="edit" aspectratio="f"/>
              <v:textbox inset="0mm,0mm,0mm,0mm" style="mso-fit-shape-to-text:t;">
                <w:txbxContent>
                  <w:p>
                    <w:pPr>
                      <w:pStyle w:val="10"/>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color w:val="000000"/>
                              <w:sz w:val="24"/>
                              <w:szCs w:val="24"/>
                            </w:rPr>
                          </w:pPr>
                          <w:r>
                            <w:rPr>
                              <w:color w:val="000000"/>
                              <w:sz w:val="24"/>
                              <w:szCs w:val="24"/>
                            </w:rPr>
                            <w:t xml:space="preserve">— </w:t>
                          </w:r>
                          <w:r>
                            <w:rPr>
                              <w:color w:val="000000"/>
                              <w:sz w:val="24"/>
                              <w:szCs w:val="24"/>
                            </w:rPr>
                            <w:fldChar w:fldCharType="begin"/>
                          </w:r>
                          <w:r>
                            <w:rPr>
                              <w:color w:val="000000"/>
                              <w:sz w:val="24"/>
                              <w:szCs w:val="24"/>
                            </w:rPr>
                            <w:instrText xml:space="preserve"> PAGE  \* MERGEFORMAT </w:instrText>
                          </w:r>
                          <w:r>
                            <w:rPr>
                              <w:color w:val="000000"/>
                              <w:sz w:val="24"/>
                              <w:szCs w:val="24"/>
                            </w:rPr>
                            <w:fldChar w:fldCharType="separate"/>
                          </w:r>
                          <w:r>
                            <w:rPr>
                              <w:color w:val="000000"/>
                              <w:sz w:val="24"/>
                              <w:szCs w:val="24"/>
                            </w:rPr>
                            <w:t>2</w:t>
                          </w:r>
                          <w:r>
                            <w:rPr>
                              <w:color w:val="000000"/>
                              <w:sz w:val="24"/>
                              <w:szCs w:val="24"/>
                            </w:rPr>
                            <w:fldChar w:fldCharType="end"/>
                          </w:r>
                          <w:r>
                            <w:rPr>
                              <w:color w:val="000000"/>
                              <w:sz w:val="24"/>
                              <w:szCs w:val="24"/>
                            </w:rPr>
                            <w:t xml:space="preserve"> —</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文本框 1"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Dk/PKNFQIAABkEAAAOAAAAAAAAAAEAIAAAADUBAABkcnMvZTJvRG9jLnhtbFBLBQYAAAAABgAG&#10;AFkBAAC8BQAAAAA=&#10;">
              <v:fill on="f" focussize="0,0"/>
              <v:stroke on="f" weight="0.5pt"/>
              <v:imagedata o:title=""/>
              <o:lock v:ext="edit" aspectratio="f"/>
              <v:textbox inset="0mm,0mm,0mm,0mm" style="mso-fit-shape-to-text:t;">
                <w:txbxContent>
                  <w:p>
                    <w:pPr>
                      <w:pStyle w:val="10"/>
                      <w:rPr>
                        <w:color w:val="000000"/>
                        <w:sz w:val="24"/>
                        <w:szCs w:val="24"/>
                      </w:rPr>
                    </w:pPr>
                    <w:r>
                      <w:rPr>
                        <w:color w:val="000000"/>
                        <w:sz w:val="24"/>
                        <w:szCs w:val="24"/>
                      </w:rPr>
                      <w:t xml:space="preserve">— </w:t>
                    </w:r>
                    <w:r>
                      <w:rPr>
                        <w:color w:val="000000"/>
                        <w:sz w:val="24"/>
                        <w:szCs w:val="24"/>
                      </w:rPr>
                      <w:fldChar w:fldCharType="begin"/>
                    </w:r>
                    <w:r>
                      <w:rPr>
                        <w:color w:val="000000"/>
                        <w:sz w:val="24"/>
                        <w:szCs w:val="24"/>
                      </w:rPr>
                      <w:instrText xml:space="preserve"> PAGE  \* MERGEFORMAT </w:instrText>
                    </w:r>
                    <w:r>
                      <w:rPr>
                        <w:color w:val="000000"/>
                        <w:sz w:val="24"/>
                        <w:szCs w:val="24"/>
                      </w:rPr>
                      <w:fldChar w:fldCharType="separate"/>
                    </w:r>
                    <w:r>
                      <w:rPr>
                        <w:color w:val="000000"/>
                        <w:sz w:val="24"/>
                        <w:szCs w:val="24"/>
                      </w:rPr>
                      <w:t>2</w:t>
                    </w:r>
                    <w:r>
                      <w:rPr>
                        <w:color w:val="000000"/>
                        <w:sz w:val="24"/>
                        <w:szCs w:val="24"/>
                      </w:rPr>
                      <w:fldChar w:fldCharType="end"/>
                    </w:r>
                    <w:r>
                      <w:rPr>
                        <w:color w:val="000000"/>
                        <w:sz w:val="24"/>
                        <w:szCs w:val="24"/>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DAE1A9"/>
    <w:multiLevelType w:val="singleLevel"/>
    <w:tmpl w:val="62DAE1A9"/>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HorizontalSpacing w:val="105"/>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B223C"/>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8F2000"/>
    <w:rsid w:val="008F2CE1"/>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577E6F"/>
    <w:rsid w:val="033425B1"/>
    <w:rsid w:val="0517475E"/>
    <w:rsid w:val="051775AA"/>
    <w:rsid w:val="051E4730"/>
    <w:rsid w:val="05DD66EA"/>
    <w:rsid w:val="06344057"/>
    <w:rsid w:val="0718748E"/>
    <w:rsid w:val="07BB058C"/>
    <w:rsid w:val="099A25C5"/>
    <w:rsid w:val="0A2032A3"/>
    <w:rsid w:val="0A280B6B"/>
    <w:rsid w:val="0B8A37D8"/>
    <w:rsid w:val="0D187EE2"/>
    <w:rsid w:val="0F927A63"/>
    <w:rsid w:val="10A4461C"/>
    <w:rsid w:val="10C055FF"/>
    <w:rsid w:val="115B693C"/>
    <w:rsid w:val="118107EC"/>
    <w:rsid w:val="11DD6519"/>
    <w:rsid w:val="127A7296"/>
    <w:rsid w:val="12A07FBB"/>
    <w:rsid w:val="13132269"/>
    <w:rsid w:val="13D50C28"/>
    <w:rsid w:val="149D6875"/>
    <w:rsid w:val="16691AFB"/>
    <w:rsid w:val="16BB723D"/>
    <w:rsid w:val="18015F3F"/>
    <w:rsid w:val="18307243"/>
    <w:rsid w:val="18C37DA2"/>
    <w:rsid w:val="19324427"/>
    <w:rsid w:val="1A9E76B7"/>
    <w:rsid w:val="1B201176"/>
    <w:rsid w:val="1B4F7830"/>
    <w:rsid w:val="1BE8440E"/>
    <w:rsid w:val="1BF537FE"/>
    <w:rsid w:val="1C56042C"/>
    <w:rsid w:val="1C6B037B"/>
    <w:rsid w:val="1CAD19C4"/>
    <w:rsid w:val="1CFA16FF"/>
    <w:rsid w:val="1D155CEE"/>
    <w:rsid w:val="1E2307E2"/>
    <w:rsid w:val="1F9A2D26"/>
    <w:rsid w:val="1FEB41AE"/>
    <w:rsid w:val="20F57F95"/>
    <w:rsid w:val="22E42C35"/>
    <w:rsid w:val="240371BF"/>
    <w:rsid w:val="24851C54"/>
    <w:rsid w:val="253D662D"/>
    <w:rsid w:val="254774AC"/>
    <w:rsid w:val="25C741E6"/>
    <w:rsid w:val="25E91C3A"/>
    <w:rsid w:val="272525F3"/>
    <w:rsid w:val="27632228"/>
    <w:rsid w:val="27842671"/>
    <w:rsid w:val="285A2AAD"/>
    <w:rsid w:val="292A50B8"/>
    <w:rsid w:val="294E0E09"/>
    <w:rsid w:val="29723D84"/>
    <w:rsid w:val="29FD04D3"/>
    <w:rsid w:val="2ABE7A3E"/>
    <w:rsid w:val="2B7B1C5D"/>
    <w:rsid w:val="2C1017DD"/>
    <w:rsid w:val="2D471198"/>
    <w:rsid w:val="2E2A546B"/>
    <w:rsid w:val="2EFA178C"/>
    <w:rsid w:val="2F625404"/>
    <w:rsid w:val="2F8F3F29"/>
    <w:rsid w:val="30B46D73"/>
    <w:rsid w:val="3112044A"/>
    <w:rsid w:val="313C3C3D"/>
    <w:rsid w:val="314A4F88"/>
    <w:rsid w:val="319F7F4E"/>
    <w:rsid w:val="33AD1ACC"/>
    <w:rsid w:val="378B147A"/>
    <w:rsid w:val="379C5435"/>
    <w:rsid w:val="389425B0"/>
    <w:rsid w:val="38B81E0D"/>
    <w:rsid w:val="38CF7943"/>
    <w:rsid w:val="39AE70AB"/>
    <w:rsid w:val="3C0C0783"/>
    <w:rsid w:val="3E632329"/>
    <w:rsid w:val="3EAD4513"/>
    <w:rsid w:val="3F4E08C2"/>
    <w:rsid w:val="3F567636"/>
    <w:rsid w:val="3F772054"/>
    <w:rsid w:val="3F795B0E"/>
    <w:rsid w:val="3F9F3A96"/>
    <w:rsid w:val="40350D30"/>
    <w:rsid w:val="40B25CC9"/>
    <w:rsid w:val="41C45C22"/>
    <w:rsid w:val="42206E0A"/>
    <w:rsid w:val="435C1E4F"/>
    <w:rsid w:val="445A645C"/>
    <w:rsid w:val="46146ADE"/>
    <w:rsid w:val="48254EA1"/>
    <w:rsid w:val="48BD37BC"/>
    <w:rsid w:val="491B5B5A"/>
    <w:rsid w:val="493C27E9"/>
    <w:rsid w:val="496F39ED"/>
    <w:rsid w:val="49FF41D3"/>
    <w:rsid w:val="4A0965AB"/>
    <w:rsid w:val="4A185DC8"/>
    <w:rsid w:val="4A25128A"/>
    <w:rsid w:val="4A2C2648"/>
    <w:rsid w:val="4B991F60"/>
    <w:rsid w:val="4BE068DB"/>
    <w:rsid w:val="4BF6002B"/>
    <w:rsid w:val="4E061402"/>
    <w:rsid w:val="4EA62FE2"/>
    <w:rsid w:val="4ECE2238"/>
    <w:rsid w:val="4F6F4D85"/>
    <w:rsid w:val="50FD6AED"/>
    <w:rsid w:val="51DB4B86"/>
    <w:rsid w:val="526F57C8"/>
    <w:rsid w:val="534D7144"/>
    <w:rsid w:val="55333C3E"/>
    <w:rsid w:val="56457F21"/>
    <w:rsid w:val="57420547"/>
    <w:rsid w:val="57521214"/>
    <w:rsid w:val="582B2191"/>
    <w:rsid w:val="5A094754"/>
    <w:rsid w:val="5AE825BC"/>
    <w:rsid w:val="5DA33DE2"/>
    <w:rsid w:val="5E674BC2"/>
    <w:rsid w:val="5E7B2585"/>
    <w:rsid w:val="5E8E0B78"/>
    <w:rsid w:val="5EDA751F"/>
    <w:rsid w:val="5F463D55"/>
    <w:rsid w:val="5FC37153"/>
    <w:rsid w:val="63E652F2"/>
    <w:rsid w:val="64C51278"/>
    <w:rsid w:val="64CA39A1"/>
    <w:rsid w:val="65077AE2"/>
    <w:rsid w:val="655820EC"/>
    <w:rsid w:val="65850596"/>
    <w:rsid w:val="668147BB"/>
    <w:rsid w:val="69D11354"/>
    <w:rsid w:val="6A641533"/>
    <w:rsid w:val="6BC0695E"/>
    <w:rsid w:val="6C4A05C8"/>
    <w:rsid w:val="6CBC7DE2"/>
    <w:rsid w:val="6E05302D"/>
    <w:rsid w:val="712612F0"/>
    <w:rsid w:val="71A26137"/>
    <w:rsid w:val="721B5235"/>
    <w:rsid w:val="72734D90"/>
    <w:rsid w:val="73FC458A"/>
    <w:rsid w:val="74B80EAA"/>
    <w:rsid w:val="7577036C"/>
    <w:rsid w:val="75F11D89"/>
    <w:rsid w:val="76E23F0B"/>
    <w:rsid w:val="773D55E5"/>
    <w:rsid w:val="775427FE"/>
    <w:rsid w:val="789142C7"/>
    <w:rsid w:val="79E7B28D"/>
    <w:rsid w:val="7B932FE9"/>
    <w:rsid w:val="7C775BAB"/>
    <w:rsid w:val="7CDB38D7"/>
    <w:rsid w:val="7D3B4375"/>
    <w:rsid w:val="7DA737B9"/>
    <w:rsid w:val="7DC4356D"/>
    <w:rsid w:val="7F262137"/>
    <w:rsid w:val="7F50381C"/>
    <w:rsid w:val="7F9F20EE"/>
    <w:rsid w:val="9E3A10E2"/>
    <w:rsid w:val="AFEE0DA6"/>
    <w:rsid w:val="F2E1F9D4"/>
    <w:rsid w:val="F78808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qFormat="1" w:unhideWhenUsed="0" w:uiPriority="0" w:semiHidden="0"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uiPriority="99"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index 6"/>
    <w:basedOn w:val="1"/>
    <w:next w:val="1"/>
    <w:qFormat/>
    <w:uiPriority w:val="0"/>
    <w:pPr>
      <w:ind w:left="2100"/>
      <w:jc w:val="center"/>
    </w:pPr>
  </w:style>
  <w:style w:type="paragraph" w:styleId="6">
    <w:name w:val="Body Text"/>
    <w:basedOn w:val="1"/>
    <w:link w:val="27"/>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5"/>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3"/>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Body Text First Indent 2"/>
    <w:basedOn w:val="7"/>
    <w:unhideWhenUsed/>
    <w:qFormat/>
    <w:uiPriority w:val="99"/>
    <w:pPr>
      <w:ind w:firstLine="420" w:firstLine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标题 1 Char"/>
    <w:basedOn w:val="16"/>
    <w:link w:val="2"/>
    <w:qFormat/>
    <w:uiPriority w:val="9"/>
    <w:rPr>
      <w:rFonts w:ascii="Times New Roman" w:hAnsi="Times New Roman"/>
      <w:b/>
      <w:bCs/>
      <w:kern w:val="44"/>
      <w:sz w:val="44"/>
      <w:szCs w:val="44"/>
    </w:rPr>
  </w:style>
  <w:style w:type="character" w:customStyle="1" w:styleId="20">
    <w:name w:val="标题 2 Char"/>
    <w:basedOn w:val="16"/>
    <w:link w:val="3"/>
    <w:qFormat/>
    <w:uiPriority w:val="9"/>
    <w:rPr>
      <w:rFonts w:asciiTheme="majorHAnsi" w:hAnsiTheme="majorHAnsi" w:eastAsiaTheme="majorEastAsia" w:cstheme="majorBidi"/>
      <w:b/>
      <w:bCs/>
      <w:kern w:val="2"/>
      <w:sz w:val="32"/>
      <w:szCs w:val="32"/>
    </w:rPr>
  </w:style>
  <w:style w:type="character" w:customStyle="1" w:styleId="21">
    <w:name w:val="标题 3 Char"/>
    <w:basedOn w:val="16"/>
    <w:link w:val="4"/>
    <w:qFormat/>
    <w:uiPriority w:val="9"/>
    <w:rPr>
      <w:rFonts w:ascii="Times New Roman" w:hAnsi="Times New Roman"/>
      <w:b/>
      <w:bCs/>
      <w:kern w:val="2"/>
      <w:sz w:val="32"/>
      <w:szCs w:val="32"/>
    </w:rPr>
  </w:style>
  <w:style w:type="character" w:customStyle="1" w:styleId="22">
    <w:name w:val="Header Char"/>
    <w:basedOn w:val="16"/>
    <w:semiHidden/>
    <w:qFormat/>
    <w:uiPriority w:val="99"/>
    <w:rPr>
      <w:rFonts w:ascii="Times New Roman" w:hAnsi="Times New Roman"/>
      <w:sz w:val="18"/>
      <w:szCs w:val="18"/>
    </w:rPr>
  </w:style>
  <w:style w:type="character" w:customStyle="1" w:styleId="23">
    <w:name w:val="页眉 Char"/>
    <w:link w:val="11"/>
    <w:semiHidden/>
    <w:qFormat/>
    <w:uiPriority w:val="99"/>
    <w:rPr>
      <w:sz w:val="18"/>
    </w:rPr>
  </w:style>
  <w:style w:type="character" w:customStyle="1" w:styleId="24">
    <w:name w:val="Footer Char"/>
    <w:basedOn w:val="16"/>
    <w:semiHidden/>
    <w:qFormat/>
    <w:uiPriority w:val="99"/>
    <w:rPr>
      <w:rFonts w:ascii="Times New Roman" w:hAnsi="Times New Roman"/>
      <w:sz w:val="18"/>
      <w:szCs w:val="18"/>
    </w:rPr>
  </w:style>
  <w:style w:type="character" w:customStyle="1" w:styleId="25">
    <w:name w:val="页脚 Char"/>
    <w:link w:val="10"/>
    <w:qFormat/>
    <w:uiPriority w:val="99"/>
    <w:rPr>
      <w:sz w:val="18"/>
    </w:rPr>
  </w:style>
  <w:style w:type="character" w:customStyle="1" w:styleId="26">
    <w:name w:val="Body Text Char"/>
    <w:basedOn w:val="16"/>
    <w:semiHidden/>
    <w:qFormat/>
    <w:uiPriority w:val="99"/>
    <w:rPr>
      <w:rFonts w:ascii="Times New Roman" w:hAnsi="Times New Roman"/>
      <w:szCs w:val="24"/>
    </w:rPr>
  </w:style>
  <w:style w:type="character" w:customStyle="1" w:styleId="27">
    <w:name w:val="正文文本 Char"/>
    <w:link w:val="6"/>
    <w:qFormat/>
    <w:uiPriority w:val="99"/>
    <w:rPr>
      <w:rFonts w:ascii="仿宋_GB2312" w:hAnsi="Times New Roman" w:eastAsia="仿宋_GB2312"/>
      <w:sz w:val="24"/>
    </w:rPr>
  </w:style>
  <w:style w:type="paragraph" w:customStyle="1" w:styleId="28">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9">
    <w:name w:val="List Paragraph"/>
    <w:basedOn w:val="1"/>
    <w:qFormat/>
    <w:uiPriority w:val="34"/>
    <w:pPr>
      <w:ind w:firstLine="420" w:firstLineChars="200"/>
    </w:pPr>
  </w:style>
  <w:style w:type="paragraph" w:customStyle="1" w:styleId="30">
    <w:name w:val="TOC 标题1"/>
    <w:basedOn w:val="2"/>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6"/>
    <w:link w:val="9"/>
    <w:semiHidden/>
    <w:qFormat/>
    <w:uiPriority w:val="99"/>
    <w:rPr>
      <w:rFonts w:ascii="Times New Roman" w:hAnsi="Times New Roman"/>
      <w:kern w:val="2"/>
      <w:sz w:val="18"/>
      <w:szCs w:val="18"/>
    </w:rPr>
  </w:style>
  <w:style w:type="paragraph" w:customStyle="1" w:styleId="32">
    <w:name w:val="TOC Heading"/>
    <w:basedOn w:val="2"/>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3">
    <w:name w:val="WPSOffice手动目录 1"/>
    <w:qFormat/>
    <w:uiPriority w:val="0"/>
    <w:pPr>
      <w:ind w:leftChars="0"/>
    </w:pPr>
    <w:rPr>
      <w:rFonts w:asciiTheme="minorHAnsi" w:hAnsiTheme="minorHAnsi" w:eastAsiaTheme="minorEastAsia" w:cstheme="minorBidi"/>
      <w:sz w:val="20"/>
      <w:szCs w:val="20"/>
    </w:rPr>
  </w:style>
  <w:style w:type="paragraph" w:customStyle="1" w:styleId="34">
    <w:name w:val="WPSOffice手动目录 2"/>
    <w:qFormat/>
    <w:uiPriority w:val="0"/>
    <w:pPr>
      <w:ind w:leftChars="200"/>
    </w:pPr>
    <w:rPr>
      <w:rFonts w:asciiTheme="minorHAnsi" w:hAnsiTheme="minorHAnsi" w:eastAsiaTheme="minorEastAsia" w:cstheme="minorBidi"/>
      <w:sz w:val="20"/>
      <w:szCs w:val="20"/>
    </w:rPr>
  </w:style>
  <w:style w:type="character" w:customStyle="1" w:styleId="35">
    <w:name w:val="font41"/>
    <w:basedOn w:val="16"/>
    <w:qFormat/>
    <w:uiPriority w:val="0"/>
    <w:rPr>
      <w:rFonts w:hint="eastAsia" w:ascii="宋体" w:hAnsi="宋体" w:eastAsia="宋体" w:cs="宋体"/>
      <w:color w:val="000000"/>
      <w:sz w:val="24"/>
      <w:szCs w:val="24"/>
      <w:u w:val="none"/>
    </w:rPr>
  </w:style>
  <w:style w:type="character" w:customStyle="1" w:styleId="36">
    <w:name w:val="font81"/>
    <w:basedOn w:val="16"/>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oleObject" Target="../embeddings/oleObject1.bin"/></Relationships>
</file>

<file path=word/charts/_rels/chart3.xml.rels><?xml version="1.0" encoding="UTF-8" standalone="yes"?>
<Relationships xmlns="http://schemas.openxmlformats.org/package/2006/relationships"><Relationship Id="rId1" Type="http://schemas.openxmlformats.org/officeDocument/2006/relationships/oleObject" Target="../embeddings/oleObject3.bin"/></Relationships>
</file>

<file path=word/charts/_rels/chart4.xml.rels><?xml version="1.0" encoding="UTF-8" standalone="yes"?>
<Relationships xmlns="http://schemas.openxmlformats.org/package/2006/relationships"><Relationship Id="rId1" Type="http://schemas.openxmlformats.org/officeDocument/2006/relationships/oleObject" Target="../embeddings/oleObject2.bin"/></Relationships>
</file>

<file path=word/charts/_rels/chart5.xml.rels><?xml version="1.0" encoding="UTF-8" standalone="yes"?>
<Relationships xmlns="http://schemas.openxmlformats.org/package/2006/relationships"><Relationship Id="rId1" Type="http://schemas.openxmlformats.org/officeDocument/2006/relationships/oleObject" Target="../embeddings/oleObject6.bin"/></Relationships>
</file>

<file path=word/charts/_rels/chart6.xml.rels><?xml version="1.0" encoding="UTF-8" standalone="yes"?>
<Relationships xmlns="http://schemas.openxmlformats.org/package/2006/relationships"><Relationship Id="rId1" Type="http://schemas.openxmlformats.org/officeDocument/2006/relationships/oleObject" Target="../embeddings/oleObject4.bin"/></Relationships>
</file>

<file path=word/charts/_rels/chart7.xml.rels><?xml version="1.0" encoding="UTF-8" standalone="yes"?>
<Relationships xmlns="http://schemas.openxmlformats.org/package/2006/relationships"><Relationship Id="rId1" Type="http://schemas.openxmlformats.org/officeDocument/2006/relationships/oleObject" Target="../embeddings/oleObject5.bin"/></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spc="0" baseline="0">
                <a:solidFill>
                  <a:schemeClr val="tx1">
                    <a:lumMod val="65000"/>
                    <a:lumOff val="35000"/>
                  </a:schemeClr>
                </a:solidFill>
                <a:latin typeface="+mn-lt"/>
                <a:ea typeface="+mn-ea"/>
                <a:cs typeface="+mn-cs"/>
              </a:defRPr>
            </a:pPr>
            <a:r>
              <a:t>收、支决算总计变动情况图</a:t>
            </a:r>
            <a:endParaRPr lang="en-US" altLang="zh-CN"/>
          </a:p>
        </c:rich>
      </c:tx>
      <c:layout/>
      <c:overlay val="false"/>
      <c:spPr>
        <a:noFill/>
        <a:ln>
          <a:noFill/>
        </a:ln>
        <a:effectLst/>
      </c:spPr>
    </c:title>
    <c:autoTitleDeleted val="false"/>
    <c:plotArea>
      <c:layout/>
      <c:barChart>
        <c:barDir val="col"/>
        <c:grouping val="clustered"/>
        <c:varyColors val="false"/>
        <c:ser>
          <c:idx val="0"/>
          <c:order val="0"/>
          <c:tx>
            <c:strRef>
              <c:f>Sheet1!$B$1</c:f>
              <c:strCache>
                <c:ptCount val="1"/>
                <c:pt idx="0">
                  <c:v>2022年</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Sheet1!$B$2</c:f>
              <c:numCache>
                <c:formatCode>General</c:formatCode>
                <c:ptCount val="1"/>
                <c:pt idx="0">
                  <c:v>123.64</c:v>
                </c:pt>
              </c:numCache>
            </c:numRef>
          </c:val>
        </c:ser>
        <c:ser>
          <c:idx val="1"/>
          <c:order val="1"/>
          <c:tx>
            <c:strRef>
              <c:f>Sheet1!$C$1</c:f>
              <c:strCache>
                <c:ptCount val="1"/>
                <c:pt idx="0">
                  <c:v>2023年</c:v>
                </c:pt>
              </c:strCache>
            </c:strRef>
          </c:tx>
          <c:spPr>
            <a:solidFill>
              <a:schemeClr val="accent2"/>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round/>
                    </a:ln>
                    <a:effectLst/>
                  </c:spPr>
                </c15:leaderLines>
              </c:ext>
            </c:extLst>
          </c:dLbls>
          <c:cat>
            <c:numRef>
              <c:f>Sheet1!$A$2</c:f>
              <c:numCache>
                <c:formatCode>General</c:formatCode>
                <c:ptCount val="1"/>
              </c:numCache>
            </c:numRef>
          </c:cat>
          <c:val>
            <c:numRef>
              <c:f>Sheet1!$C$2</c:f>
              <c:numCache>
                <c:formatCode>General</c:formatCode>
                <c:ptCount val="1"/>
                <c:pt idx="0">
                  <c:v>114.99</c:v>
                </c:pt>
              </c:numCache>
            </c:numRef>
          </c:val>
        </c:ser>
        <c:dLbls>
          <c:showLegendKey val="false"/>
          <c:showVal val="true"/>
          <c:showCatName val="false"/>
          <c:showSerName val="false"/>
          <c:showPercent val="false"/>
          <c:showBubbleSize val="false"/>
        </c:dLbls>
        <c:gapWidth val="219"/>
        <c:overlap val="-27"/>
        <c:axId val="282734039"/>
        <c:axId val="265804679"/>
      </c:barChart>
      <c:catAx>
        <c:axId val="282734039"/>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65804679"/>
        <c:crosses val="autoZero"/>
        <c:auto val="true"/>
        <c:lblAlgn val="ctr"/>
        <c:lblOffset val="100"/>
        <c:noMultiLvlLbl val="false"/>
      </c:catAx>
      <c:valAx>
        <c:axId val="265804679"/>
        <c:scaling>
          <c:orientation val="minMax"/>
        </c:scaling>
        <c:delete val="false"/>
        <c:axPos val="l"/>
        <c:majorGridlines>
          <c:spPr>
            <a:ln w="9525" cap="flat" cmpd="sng" algn="ctr">
              <a:solidFill>
                <a:schemeClr val="tx1">
                  <a:lumMod val="15000"/>
                  <a:lumOff val="850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82734039"/>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p>
      </c:txPr>
    </c:title>
    <c:autoTitleDeleted val="false"/>
    <c:plotArea>
      <c:layout/>
      <c:pieChart>
        <c:varyColors val="true"/>
        <c:ser>
          <c:idx val="0"/>
          <c:order val="0"/>
          <c:tx>
            <c:strRef>
              <c:f>Sheet1!$B$1</c:f>
              <c:strCache>
                <c:ptCount val="1"/>
                <c:pt idx="0">
                  <c:v>收入决算结构图</c:v>
                </c:pt>
              </c:strCache>
            </c:strRef>
          </c:tx>
          <c:explosion val="0"/>
          <c:dPt>
            <c:idx val="0"/>
            <c:bubble3D val="false"/>
          </c:dPt>
          <c:dLbls>
            <c:dLbl>
              <c:idx val="0"/>
              <c:layout/>
              <c:dLblPos val="bestFit"/>
              <c:showLegendKey val="false"/>
              <c:showVal val="true"/>
              <c:showCatName val="false"/>
              <c:showSerName val="false"/>
              <c:showPercent val="false"/>
              <c:showBubbleSize val="false"/>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fals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Sheet1!$A$2</c:f>
              <c:strCache>
                <c:ptCount val="1"/>
                <c:pt idx="0">
                  <c:v>一般公共预算财政拨款收入</c:v>
                </c:pt>
              </c:strCache>
            </c:strRef>
          </c:cat>
          <c:val>
            <c:numRef>
              <c:f>Sheet1!$B$2</c:f>
              <c:numCache>
                <c:formatCode>0.00%</c:formatCode>
                <c:ptCount val="1"/>
                <c:pt idx="0">
                  <c:v>1</c:v>
                </c:pt>
              </c:numCache>
            </c:numRef>
          </c:val>
        </c:ser>
        <c:dLbls>
          <c:showLegendKey val="false"/>
          <c:showVal val="fals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r>
              <a:rPr lang="zh-CN" altLang="en-US" sz="1400" b="0">
                <a:latin typeface="+mn-ea"/>
                <a:ea typeface="+mn-ea"/>
              </a:rPr>
              <a:t>支出决算结构图</a:t>
            </a:r>
            <a:endParaRPr lang="zh-CN" altLang="en-US" sz="1400" b="0">
              <a:latin typeface="+mn-ea"/>
              <a:ea typeface="+mn-ea"/>
            </a:endParaRPr>
          </a:p>
        </c:rich>
      </c:tx>
      <c:layout>
        <c:manualLayout>
          <c:xMode val="edge"/>
          <c:yMode val="edge"/>
          <c:x val="0.365884939538292"/>
          <c:y val="0.01093693036821"/>
        </c:manualLayout>
      </c:layout>
      <c:overlay val="false"/>
    </c:title>
    <c:autoTitleDeleted val="false"/>
    <c:plotArea>
      <c:layout/>
      <c:pieChart>
        <c:varyColors val="true"/>
        <c:ser>
          <c:idx val="0"/>
          <c:order val="0"/>
          <c:tx>
            <c:strRef>
              <c:f>Sheet1!$B$1</c:f>
              <c:strCache>
                <c:ptCount val="1"/>
                <c:pt idx="0">
                  <c:v>2023年支出决算结构图</c:v>
                </c:pt>
              </c:strCache>
            </c:strRef>
          </c:tx>
          <c:explosion val="0"/>
          <c:dPt>
            <c:idx val="0"/>
            <c:bubble3D val="false"/>
          </c:dPt>
          <c:dPt>
            <c:idx val="1"/>
            <c:bubble3D val="false"/>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Sheet1!$A$2:$A$3</c:f>
              <c:strCache>
                <c:ptCount val="2"/>
                <c:pt idx="0">
                  <c:v>基本支出</c:v>
                </c:pt>
                <c:pt idx="1">
                  <c:v>项目支出</c:v>
                </c:pt>
              </c:strCache>
            </c:strRef>
          </c:cat>
          <c:val>
            <c:numRef>
              <c:f>Sheet1!$B$2:$B$3</c:f>
              <c:numCache>
                <c:formatCode>0.00%</c:formatCode>
                <c:ptCount val="2"/>
                <c:pt idx="0">
                  <c:v>0.983</c:v>
                </c:pt>
                <c:pt idx="1">
                  <c:v>0.017</c:v>
                </c:pt>
              </c:numCache>
            </c:numRef>
          </c:val>
        </c:ser>
        <c:dLbls>
          <c:showLegendKey val="false"/>
          <c:showVal val="tru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800" b="1" i="0" u="none" strike="noStrike" kern="1200" baseline="0">
                <a:solidFill>
                  <a:schemeClr val="tx1"/>
                </a:solidFill>
                <a:latin typeface="+mn-lt"/>
                <a:ea typeface="+mn-ea"/>
                <a:cs typeface="+mn-cs"/>
              </a:defRPr>
            </a:pPr>
            <a:r>
              <a:t>财政拨款收、支决算总计变动情况图</a:t>
            </a:r>
          </a:p>
        </c:rich>
      </c:tx>
      <c:layout>
        <c:manualLayout>
          <c:xMode val="edge"/>
          <c:yMode val="edge"/>
          <c:x val="0.151144094001237"/>
          <c:y val="0.0176135611177328"/>
        </c:manualLayout>
      </c:layout>
      <c:overlay val="false"/>
    </c:title>
    <c:autoTitleDeleted val="false"/>
    <c:plotArea>
      <c:layout/>
      <c:barChart>
        <c:barDir val="col"/>
        <c:grouping val="clustered"/>
        <c:varyColors val="false"/>
        <c:ser>
          <c:idx val="0"/>
          <c:order val="0"/>
          <c:tx>
            <c:strRef>
              <c:f>Sheet1!$B$1</c:f>
              <c:strCache>
                <c:ptCount val="1"/>
                <c:pt idx="0">
                  <c:v>财政拨款收、支决算总计变动情况图</c:v>
                </c:pt>
              </c:strCache>
            </c:strRef>
          </c:tx>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ext>
            </c:extLst>
          </c:dLbls>
          <c:cat>
            <c:strRef>
              <c:f>Sheet1!$A$2:$A$3</c:f>
              <c:strCache>
                <c:ptCount val="2"/>
                <c:pt idx="0">
                  <c:v>2022年</c:v>
                </c:pt>
                <c:pt idx="1">
                  <c:v>2023年</c:v>
                </c:pt>
              </c:strCache>
            </c:strRef>
          </c:cat>
          <c:val>
            <c:numRef>
              <c:f>Sheet1!$B$2:$B$3</c:f>
              <c:numCache>
                <c:formatCode>General</c:formatCode>
                <c:ptCount val="2"/>
                <c:pt idx="0">
                  <c:v>123.64</c:v>
                </c:pt>
                <c:pt idx="1">
                  <c:v>114.99</c:v>
                </c:pt>
              </c:numCache>
            </c:numRef>
          </c:val>
        </c:ser>
        <c:dLbls>
          <c:showLegendKey val="false"/>
          <c:showVal val="true"/>
          <c:showCatName val="false"/>
          <c:showSerName val="false"/>
          <c:showPercent val="false"/>
          <c:showBubbleSize val="false"/>
        </c:dLbls>
        <c:gapWidth val="150"/>
        <c:axId val="167174912"/>
        <c:axId val="167178624"/>
      </c:barChart>
      <c:catAx>
        <c:axId val="167174912"/>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67178624"/>
        <c:crosses val="autoZero"/>
        <c:auto val="true"/>
        <c:lblAlgn val="ctr"/>
        <c:lblOffset val="100"/>
        <c:noMultiLvlLbl val="false"/>
      </c:catAx>
      <c:valAx>
        <c:axId val="167178624"/>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67174912"/>
        <c:crosses val="autoZero"/>
        <c:crossBetween val="between"/>
      </c:valAx>
    </c:plotArea>
    <c:plotVisOnly val="true"/>
    <c:dispBlanksAs val="gap"/>
    <c:showDLblsOverMax val="false"/>
  </c:chart>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400" b="0" i="0" u="none" strike="noStrike" kern="1200" baseline="0">
                <a:solidFill>
                  <a:schemeClr val="tx1"/>
                </a:solidFill>
                <a:latin typeface="+mn-lt"/>
                <a:ea typeface="+mn-ea"/>
                <a:cs typeface="+mn-cs"/>
              </a:defRPr>
            </a:pPr>
            <a:r>
              <a:rPr lang="zh-CN" altLang="en-US" sz="1400" b="0"/>
              <a:t>一般公共预算财政拨款支出决算变动情况图</a:t>
            </a:r>
            <a:endParaRPr lang="zh-CN" altLang="en-US" sz="1400" b="0"/>
          </a:p>
        </c:rich>
      </c:tx>
      <c:layout/>
      <c:overlay val="false"/>
    </c:title>
    <c:autoTitleDeleted val="false"/>
    <c:plotArea>
      <c:layout/>
      <c:barChart>
        <c:barDir val="col"/>
        <c:grouping val="clustered"/>
        <c:varyColors val="false"/>
        <c:ser>
          <c:idx val="0"/>
          <c:order val="0"/>
          <c:tx>
            <c:strRef>
              <c:f>Sheet1!$B$1</c:f>
              <c:strCache>
                <c:ptCount val="1"/>
                <c:pt idx="0">
                  <c:v>一般公共预算财政拨款支出决算变动情况</c:v>
                </c:pt>
              </c:strCache>
            </c:strRef>
          </c:tx>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ext>
            </c:extLst>
          </c:dLbls>
          <c:cat>
            <c:strRef>
              <c:f>Sheet1!$A$2:$A$3</c:f>
              <c:strCache>
                <c:ptCount val="2"/>
                <c:pt idx="0">
                  <c:v>2022年</c:v>
                </c:pt>
                <c:pt idx="1">
                  <c:v>2023年</c:v>
                </c:pt>
              </c:strCache>
            </c:strRef>
          </c:cat>
          <c:val>
            <c:numRef>
              <c:f>Sheet1!$B$2:$B$3</c:f>
              <c:numCache>
                <c:formatCode>General</c:formatCode>
                <c:ptCount val="2"/>
                <c:pt idx="0">
                  <c:v>123.64</c:v>
                </c:pt>
                <c:pt idx="1">
                  <c:v>114.99</c:v>
                </c:pt>
              </c:numCache>
            </c:numRef>
          </c:val>
        </c:ser>
        <c:dLbls>
          <c:showLegendKey val="false"/>
          <c:showVal val="true"/>
          <c:showCatName val="false"/>
          <c:showSerName val="false"/>
          <c:showPercent val="false"/>
          <c:showBubbleSize val="false"/>
        </c:dLbls>
        <c:gapWidth val="150"/>
        <c:axId val="168341888"/>
        <c:axId val="168343808"/>
      </c:barChart>
      <c:catAx>
        <c:axId val="168341888"/>
        <c:scaling>
          <c:orientation val="minMax"/>
        </c:scaling>
        <c:delete val="false"/>
        <c:axPos val="b"/>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68343808"/>
        <c:crosses val="autoZero"/>
        <c:auto val="true"/>
        <c:lblAlgn val="ctr"/>
        <c:lblOffset val="100"/>
        <c:noMultiLvlLbl val="false"/>
      </c:catAx>
      <c:valAx>
        <c:axId val="168343808"/>
        <c:scaling>
          <c:orientation val="minMax"/>
        </c:scaling>
        <c:delete val="false"/>
        <c:axPos val="l"/>
        <c:majorGridlines/>
        <c:numFmt formatCode="General" sourceLinked="true"/>
        <c:majorTickMark val="out"/>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68341888"/>
        <c:crosses val="autoZero"/>
        <c:crossBetween val="between"/>
      </c:valAx>
    </c:plotArea>
    <c:plotVisOnly val="true"/>
    <c:dispBlanksAs val="gap"/>
    <c:showDLblsOverMax val="false"/>
  </c:chart>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0" i="0" u="none" strike="noStrike" kern="1200" baseline="0">
                <a:solidFill>
                  <a:schemeClr val="tx1"/>
                </a:solidFill>
                <a:latin typeface="+mn-lt"/>
                <a:ea typeface="+mn-ea"/>
                <a:cs typeface="+mn-cs"/>
              </a:defRPr>
            </a:pPr>
            <a:r>
              <a:rPr sz="1400" b="0"/>
              <a:t>一般公共预算财政拨款支出决算结构图</a:t>
            </a:r>
            <a:endParaRPr sz="1400" b="0"/>
          </a:p>
        </c:rich>
      </c:tx>
      <c:layout/>
      <c:overlay val="false"/>
    </c:title>
    <c:autoTitleDeleted val="false"/>
    <c:plotArea>
      <c:layout/>
      <c:pieChart>
        <c:varyColors val="true"/>
        <c:ser>
          <c:idx val="0"/>
          <c:order val="0"/>
          <c:tx>
            <c:strRef>
              <c:f>Sheet1!$B$1</c:f>
              <c:strCache>
                <c:ptCount val="1"/>
                <c:pt idx="0">
                  <c:v>销售额</c:v>
                </c:pt>
              </c:strCache>
            </c:strRef>
          </c:tx>
          <c:explosion val="0"/>
          <c:dPt>
            <c:idx val="0"/>
            <c:bubble3D val="false"/>
          </c:dPt>
          <c:dPt>
            <c:idx val="1"/>
            <c:bubble3D val="false"/>
          </c:dPt>
          <c:dPt>
            <c:idx val="2"/>
            <c:bubble3D val="false"/>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Sheet1!$A$2:$A$4</c:f>
              <c:strCache>
                <c:ptCount val="3"/>
                <c:pt idx="0">
                  <c:v>社会保障和就业（类）支出</c:v>
                </c:pt>
                <c:pt idx="1">
                  <c:v>卫生健康支出</c:v>
                </c:pt>
                <c:pt idx="2">
                  <c:v>住房保障支出</c:v>
                </c:pt>
              </c:strCache>
            </c:strRef>
          </c:cat>
          <c:val>
            <c:numRef>
              <c:f>Sheet1!$B$2:$B$4</c:f>
              <c:numCache>
                <c:formatCode>0.00%</c:formatCode>
                <c:ptCount val="3"/>
                <c:pt idx="0">
                  <c:v>0.082</c:v>
                </c:pt>
                <c:pt idx="1">
                  <c:v>0.845</c:v>
                </c:pt>
                <c:pt idx="2">
                  <c:v>0.073</c:v>
                </c:pt>
              </c:numCache>
            </c:numRef>
          </c:val>
        </c:ser>
        <c:dLbls>
          <c:showLegendKey val="false"/>
          <c:showVal val="fals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1400" b="0" i="0" u="none" strike="noStrike" kern="1200" baseline="0">
              <a:solidFill>
                <a:schemeClr val="tx1"/>
              </a:solidFill>
              <a:latin typeface="+mn-lt"/>
              <a:ea typeface="+mn-ea"/>
              <a:cs typeface="+mn-cs"/>
            </a:defRPr>
          </a:pPr>
        </a:p>
      </c:txPr>
    </c:title>
    <c:autoTitleDeleted val="false"/>
    <c:plotArea>
      <c:layout/>
      <c:pieChart>
        <c:varyColors val="true"/>
        <c:ser>
          <c:idx val="0"/>
          <c:order val="0"/>
          <c:tx>
            <c:strRef>
              <c:f>Sheet1!$B$1</c:f>
              <c:strCache>
                <c:ptCount val="1"/>
                <c:pt idx="0">
                  <c:v/>
                </c:pt>
              </c:strCache>
            </c:strRef>
          </c:tx>
          <c:explosion val="0"/>
          <c:dPt>
            <c:idx val="0"/>
            <c:bubble3D val="false"/>
          </c:dPt>
          <c:dPt>
            <c:idx val="1"/>
            <c:bubble3D val="false"/>
          </c:dPt>
          <c:dPt>
            <c:idx val="2"/>
            <c:bubble3D val="false"/>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ext>
            </c:extLst>
          </c:dLbls>
          <c:cat>
            <c:strRef>
              <c:f>Sheet1!$A$2:$A$4</c:f>
              <c:strCache>
                <c:ptCount val="3"/>
                <c:pt idx="0">
                  <c:v>公务用车购置及运行维护费支出决算</c:v>
                </c:pt>
                <c:pt idx="1">
                  <c:v>公务接待费支出决算</c:v>
                </c:pt>
                <c:pt idx="2">
                  <c:v>因公出国（境）费支出决算</c:v>
                </c:pt>
              </c:strCache>
            </c:strRef>
          </c:cat>
          <c:val>
            <c:numRef>
              <c:f>Sheet1!$B$2:$B$4</c:f>
              <c:numCache>
                <c:formatCode>0.00%</c:formatCode>
                <c:ptCount val="3"/>
                <c:pt idx="0">
                  <c:v>1</c:v>
                </c:pt>
                <c:pt idx="1">
                  <c:v>0</c:v>
                </c:pt>
                <c:pt idx="2" c:formatCode="0%">
                  <c:v>0</c:v>
                </c:pt>
              </c:numCache>
            </c:numRef>
          </c:val>
        </c:ser>
        <c:dLbls>
          <c:showLegendKey val="false"/>
          <c:showVal val="false"/>
          <c:showCatName val="false"/>
          <c:showSerName val="false"/>
          <c:showPercent val="false"/>
          <c:showBubbleSize val="false"/>
          <c:showLeaderLines val="true"/>
        </c:dLbls>
        <c:firstSliceAng val="0"/>
      </c:pieChart>
    </c:plotArea>
    <c:legend>
      <c:legendPos val="r"/>
      <c:layout/>
      <c:overlay val="false"/>
      <c:txPr>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legend>
    <c:plotVisOnly val="true"/>
    <c:dispBlanksAs val="gap"/>
    <c:showDLblsOverMax val="false"/>
  </c:chart>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true">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satMod val="300000"/>
                <a:tint val="50000"/>
              </a:schemeClr>
            </a:gs>
            <a:gs pos="35000">
              <a:schemeClr val="phClr">
                <a:satMod val="300000"/>
                <a:tint val="37000"/>
              </a:schemeClr>
            </a:gs>
            <a:gs pos="100000">
              <a:schemeClr val="phClr">
                <a:satMod val="350000"/>
                <a:tint val="15000"/>
              </a:schemeClr>
            </a:gs>
          </a:gsLst>
          <a:lin ang="16200000" scaled="true"/>
        </a:gradFill>
        <a:gradFill rotWithShape="true">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false"/>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true">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24</Pages>
  <Words>9343</Words>
  <Characters>10744</Characters>
  <Lines>61</Lines>
  <Paragraphs>17</Paragraphs>
  <TotalTime>8</TotalTime>
  <ScaleCrop>false</ScaleCrop>
  <LinksUpToDate>false</LinksUpToDate>
  <CharactersWithSpaces>10856</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2020-08-05T09:49:00Z</dcterms:created>
  <dc:creator>曹颖</dc:creator>
  <cp:lastModifiedBy> </cp:lastModifiedBy>
  <dcterms:modified xsi:type="dcterms:W3CDTF">2024-10-12T19:37:50Z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01C244BEA69E48D0A6DADF9743DF2F08</vt:lpwstr>
  </property>
</Properties>
</file>