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rPr>
          <w:rFonts w:ascii="方正小标宋简体" w:hAnsi="宋体" w:eastAsia="方正小标宋简体"/>
          <w:sz w:val="44"/>
          <w:szCs w:val="44"/>
        </w:rPr>
      </w:pPr>
    </w:p>
    <w:p>
      <w:pPr>
        <w:pStyle w:val="2"/>
        <w:rPr>
          <w:rFonts w:ascii="方正小标宋简体" w:hAnsi="宋体" w:eastAsia="方正小标宋简体"/>
          <w:sz w:val="44"/>
          <w:szCs w:val="44"/>
        </w:rPr>
      </w:pPr>
    </w:p>
    <w:p>
      <w:pPr>
        <w:rPr>
          <w:rFonts w:ascii="方正小标宋简体" w:hAnsi="宋体" w:eastAsia="方正小标宋简体"/>
          <w:sz w:val="44"/>
          <w:szCs w:val="44"/>
        </w:rPr>
      </w:pPr>
    </w:p>
    <w:p>
      <w:pPr>
        <w:pStyle w:val="2"/>
      </w:pPr>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0" w:name="_Toc26214"/>
      <w:r>
        <w:rPr>
          <w:rFonts w:ascii="方正小标宋简体" w:hAnsi="方正小标宋简体" w:eastAsia="方正小标宋简体" w:cs="方正小标宋简体"/>
          <w:sz w:val="72"/>
          <w:szCs w:val="72"/>
          <w:lang w:eastAsia="zh-CN"/>
        </w:rPr>
        <w:t>2023</w:t>
      </w:r>
      <w:r>
        <w:rPr>
          <w:rFonts w:hint="eastAsia" w:ascii="方正小标宋简体" w:hAnsi="方正小标宋简体" w:eastAsia="方正小标宋简体" w:cs="方正小标宋简体"/>
          <w:sz w:val="72"/>
          <w:szCs w:val="72"/>
          <w:lang w:eastAsia="zh-CN"/>
        </w:rPr>
        <w:t>年度</w:t>
      </w:r>
      <w:bookmarkEnd w:id="0"/>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1" w:name="_Toc23786"/>
      <w:bookmarkStart w:id="2" w:name="_Toc15377426"/>
      <w:bookmarkStart w:id="3" w:name="_Toc15377194"/>
      <w:bookmarkStart w:id="4" w:name="_Toc15396476"/>
      <w:bookmarkStart w:id="5" w:name="_Toc15306268"/>
      <w:bookmarkStart w:id="6" w:name="_Toc15396598"/>
      <w:bookmarkStart w:id="7" w:name="_Toc15378442"/>
      <w:r>
        <w:rPr>
          <w:rFonts w:hint="eastAsia" w:ascii="方正小标宋简体" w:hAnsi="方正小标宋简体" w:eastAsia="方正小标宋简体" w:cs="方正小标宋简体"/>
          <w:sz w:val="72"/>
          <w:szCs w:val="72"/>
          <w:lang w:eastAsia="zh-CN"/>
        </w:rPr>
        <w:t>广元市朝天区人民法院</w:t>
      </w:r>
      <w:bookmarkEnd w:id="1"/>
    </w:p>
    <w:p>
      <w:pPr>
        <w:adjustRightInd w:val="0"/>
        <w:snapToGrid w:val="0"/>
        <w:spacing w:line="360" w:lineRule="auto"/>
        <w:jc w:val="center"/>
        <w:rPr>
          <w:rFonts w:ascii="方正小标宋简体" w:hAnsi="方正小标宋简体" w:eastAsia="方正小标宋简体" w:cs="方正小标宋简体"/>
          <w:sz w:val="72"/>
          <w:szCs w:val="72"/>
          <w:lang w:eastAsia="zh-CN"/>
        </w:rPr>
      </w:pPr>
      <w:bookmarkStart w:id="8" w:name="_Toc4976"/>
      <w:r>
        <w:rPr>
          <w:rFonts w:hint="eastAsia" w:ascii="方正小标宋简体" w:hAnsi="方正小标宋简体" w:eastAsia="方正小标宋简体" w:cs="方正小标宋简体"/>
          <w:sz w:val="72"/>
          <w:szCs w:val="72"/>
          <w:lang w:eastAsia="zh-CN"/>
        </w:rPr>
        <w:t>单位决算</w:t>
      </w:r>
      <w:bookmarkEnd w:id="2"/>
      <w:bookmarkEnd w:id="3"/>
      <w:bookmarkEnd w:id="4"/>
      <w:bookmarkEnd w:id="5"/>
      <w:bookmarkEnd w:id="6"/>
      <w:bookmarkEnd w:id="7"/>
      <w:bookmarkEnd w:id="8"/>
    </w:p>
    <w:p>
      <w:pPr>
        <w:jc w:val="center"/>
        <w:rPr>
          <w:rFonts w:ascii="黑体" w:hAnsi="黑体" w:eastAsia="黑体"/>
          <w:sz w:val="48"/>
          <w:szCs w:val="48"/>
          <w:lang w:eastAsia="zh-CN"/>
        </w:rPr>
      </w:pPr>
      <w:r>
        <w:rPr>
          <w:rFonts w:ascii="方正小标宋简体" w:hAnsi="宋体" w:eastAsia="方正小标宋简体"/>
          <w:sz w:val="36"/>
          <w:szCs w:val="36"/>
          <w:lang w:eastAsia="zh-CN"/>
        </w:rPr>
        <w:br w:type="page"/>
      </w:r>
      <w:r>
        <w:rPr>
          <w:rFonts w:hint="eastAsia" w:ascii="黑体" w:hAnsi="黑体" w:eastAsia="黑体"/>
          <w:sz w:val="48"/>
          <w:szCs w:val="48"/>
          <w:lang w:eastAsia="zh-CN"/>
        </w:rPr>
        <w:t>目录</w:t>
      </w:r>
    </w:p>
    <w:p>
      <w:pPr>
        <w:jc w:val="center"/>
        <w:rPr>
          <w:rFonts w:ascii="黑体" w:hAnsi="黑体" w:eastAsia="黑体"/>
          <w:sz w:val="28"/>
          <w:szCs w:val="28"/>
          <w:lang w:eastAsia="zh-CN"/>
        </w:rPr>
      </w:pPr>
    </w:p>
    <w:p>
      <w:pPr>
        <w:pStyle w:val="20"/>
        <w:rPr>
          <w:lang w:eastAsia="zh-CN"/>
        </w:rPr>
      </w:pPr>
      <w:r>
        <w:rPr>
          <w:rFonts w:hint="eastAsia"/>
          <w:lang w:eastAsia="zh-CN"/>
        </w:rPr>
        <w:t>公开时间：2024年10月1</w:t>
      </w:r>
      <w:r>
        <w:rPr>
          <w:rFonts w:hint="eastAsia"/>
          <w:lang w:val="en-US" w:eastAsia="zh-CN"/>
        </w:rPr>
        <w:t>4</w:t>
      </w:r>
      <w:r>
        <w:rPr>
          <w:rFonts w:hint="eastAsia"/>
          <w:lang w:eastAsia="zh-CN"/>
        </w:rPr>
        <w:t>日</w:t>
      </w:r>
    </w:p>
    <w:sdt>
      <w:sdtPr>
        <w:rPr>
          <w:rFonts w:asciiTheme="minorHAnsi" w:hAnsiTheme="minorHAnsi" w:eastAsiaTheme="minorEastAsia" w:cstheme="minorBidi"/>
          <w:b w:val="0"/>
          <w:bCs w:val="0"/>
          <w:sz w:val="22"/>
          <w:szCs w:val="22"/>
          <w:lang w:val="zh-CN"/>
        </w:rPr>
        <w:id w:val="20846390"/>
        <w:docPartObj>
          <w:docPartGallery w:val="Table of Contents"/>
          <w:docPartUnique/>
        </w:docPartObj>
      </w:sdtPr>
      <w:sdtEndPr>
        <w:rPr>
          <w:rFonts w:asciiTheme="minorHAnsi" w:hAnsiTheme="minorHAnsi" w:eastAsiaTheme="minorEastAsia" w:cstheme="minorBidi"/>
          <w:b w:val="0"/>
          <w:bCs w:val="0"/>
          <w:sz w:val="22"/>
          <w:szCs w:val="22"/>
          <w:lang w:val="en-US"/>
        </w:rPr>
      </w:sdtEndPr>
      <w:sdtContent>
        <w:p>
          <w:pPr>
            <w:pStyle w:val="40"/>
          </w:pPr>
        </w:p>
        <w:p>
          <w:pPr>
            <w:pStyle w:val="20"/>
            <w:rPr>
              <w:rFonts w:asciiTheme="minorHAnsi" w:hAnsiTheme="minorHAnsi" w:eastAsiaTheme="minorEastAsia"/>
              <w:sz w:val="21"/>
              <w:szCs w:val="22"/>
            </w:rPr>
          </w:pPr>
          <w:r>
            <w:rPr>
              <w:lang w:eastAsia="zh-CN"/>
            </w:rPr>
            <w:fldChar w:fldCharType="begin"/>
          </w:r>
          <w:r>
            <w:rPr>
              <w:lang w:eastAsia="zh-CN"/>
            </w:rPr>
            <w:instrText xml:space="preserve"> TOC \o "1-3" \h \z \u </w:instrText>
          </w:r>
          <w:r>
            <w:rPr>
              <w:lang w:eastAsia="zh-CN"/>
            </w:rPr>
            <w:fldChar w:fldCharType="separate"/>
          </w:r>
          <w:r>
            <w:fldChar w:fldCharType="begin"/>
          </w:r>
          <w:r>
            <w:instrText xml:space="preserve"> HYPERLINK \l "_Toc177051545" </w:instrText>
          </w:r>
          <w:r>
            <w:fldChar w:fldCharType="separate"/>
          </w:r>
          <w:r>
            <w:rPr>
              <w:rStyle w:val="28"/>
              <w:rFonts w:hint="eastAsia"/>
            </w:rPr>
            <w:t>第一部分</w:t>
          </w:r>
          <w:r>
            <w:rPr>
              <w:rStyle w:val="28"/>
            </w:rPr>
            <w:t xml:space="preserve"> </w:t>
          </w:r>
          <w:r>
            <w:rPr>
              <w:rStyle w:val="28"/>
              <w:rFonts w:hint="eastAsia"/>
            </w:rPr>
            <w:t>单位概况</w:t>
          </w:r>
          <w:r>
            <w:tab/>
          </w:r>
          <w:r>
            <w:fldChar w:fldCharType="begin"/>
          </w:r>
          <w:r>
            <w:instrText xml:space="preserve"> PAGEREF _Toc177051545 \h </w:instrText>
          </w:r>
          <w:r>
            <w:fldChar w:fldCharType="separate"/>
          </w:r>
          <w:r>
            <w:t>4</w:t>
          </w:r>
          <w:r>
            <w:fldChar w:fldCharType="end"/>
          </w:r>
          <w:r>
            <w:fldChar w:fldCharType="end"/>
          </w:r>
        </w:p>
        <w:p>
          <w:pPr>
            <w:pStyle w:val="22"/>
            <w:ind w:left="440"/>
          </w:pPr>
          <w:r>
            <w:fldChar w:fldCharType="begin"/>
          </w:r>
          <w:r>
            <w:instrText xml:space="preserve"> HYPERLINK \l "_Toc177051546" </w:instrText>
          </w:r>
          <w:r>
            <w:fldChar w:fldCharType="separate"/>
          </w:r>
          <w:r>
            <w:rPr>
              <w:rStyle w:val="28"/>
              <w:rFonts w:hint="eastAsia"/>
            </w:rPr>
            <w:t>一、主要职责</w:t>
          </w:r>
          <w:r>
            <w:tab/>
          </w:r>
          <w:r>
            <w:fldChar w:fldCharType="begin"/>
          </w:r>
          <w:r>
            <w:instrText xml:space="preserve"> PAGEREF _Toc177051546 \h </w:instrText>
          </w:r>
          <w:r>
            <w:fldChar w:fldCharType="separate"/>
          </w:r>
          <w:r>
            <w:t>4</w:t>
          </w:r>
          <w:r>
            <w:fldChar w:fldCharType="end"/>
          </w:r>
          <w:r>
            <w:fldChar w:fldCharType="end"/>
          </w:r>
        </w:p>
        <w:p>
          <w:pPr>
            <w:pStyle w:val="22"/>
            <w:ind w:left="440"/>
          </w:pPr>
          <w:r>
            <w:fldChar w:fldCharType="begin"/>
          </w:r>
          <w:r>
            <w:instrText xml:space="preserve"> HYPERLINK \l "_Toc177051549" </w:instrText>
          </w:r>
          <w:r>
            <w:fldChar w:fldCharType="separate"/>
          </w:r>
          <w:r>
            <w:rPr>
              <w:rStyle w:val="28"/>
              <w:rFonts w:hint="eastAsia" w:ascii="黑体" w:eastAsia="黑体"/>
            </w:rPr>
            <w:t>二、</w:t>
          </w:r>
          <w:r>
            <w:rPr>
              <w:rStyle w:val="28"/>
              <w:rFonts w:hint="eastAsia" w:ascii="黑体" w:hAnsi="黑体" w:eastAsia="黑体"/>
            </w:rPr>
            <w:t>机构设置</w:t>
          </w:r>
          <w:r>
            <w:tab/>
          </w:r>
          <w:r>
            <w:fldChar w:fldCharType="begin"/>
          </w:r>
          <w:r>
            <w:instrText xml:space="preserve"> PAGEREF _Toc177051549 \h </w:instrText>
          </w:r>
          <w:r>
            <w:fldChar w:fldCharType="separate"/>
          </w:r>
          <w:r>
            <w:t>12</w:t>
          </w:r>
          <w:r>
            <w:fldChar w:fldCharType="end"/>
          </w:r>
          <w:r>
            <w:fldChar w:fldCharType="end"/>
          </w:r>
        </w:p>
        <w:p>
          <w:pPr>
            <w:pStyle w:val="20"/>
            <w:rPr>
              <w:rFonts w:asciiTheme="minorHAnsi" w:hAnsiTheme="minorHAnsi" w:eastAsiaTheme="minorEastAsia"/>
              <w:sz w:val="21"/>
              <w:szCs w:val="22"/>
            </w:rPr>
          </w:pPr>
          <w:r>
            <w:fldChar w:fldCharType="begin"/>
          </w:r>
          <w:r>
            <w:instrText xml:space="preserve"> HYPERLINK \l "_Toc177051551" </w:instrText>
          </w:r>
          <w:r>
            <w:fldChar w:fldCharType="separate"/>
          </w:r>
          <w:r>
            <w:rPr>
              <w:rStyle w:val="28"/>
              <w:rFonts w:hint="eastAsia"/>
            </w:rPr>
            <w:t>第二部分</w:t>
          </w:r>
          <w:r>
            <w:rPr>
              <w:rStyle w:val="28"/>
            </w:rPr>
            <w:t xml:space="preserve"> 2023</w:t>
          </w:r>
          <w:r>
            <w:rPr>
              <w:rStyle w:val="28"/>
              <w:rFonts w:hint="eastAsia"/>
            </w:rPr>
            <w:t>年度单位决算情况说明</w:t>
          </w:r>
          <w:r>
            <w:tab/>
          </w:r>
          <w:r>
            <w:fldChar w:fldCharType="begin"/>
          </w:r>
          <w:r>
            <w:instrText xml:space="preserve"> PAGEREF _Toc177051551 \h </w:instrText>
          </w:r>
          <w:r>
            <w:fldChar w:fldCharType="separate"/>
          </w:r>
          <w:r>
            <w:t>13</w:t>
          </w:r>
          <w:r>
            <w:fldChar w:fldCharType="end"/>
          </w:r>
          <w:r>
            <w:fldChar w:fldCharType="end"/>
          </w:r>
        </w:p>
        <w:p>
          <w:pPr>
            <w:pStyle w:val="22"/>
            <w:ind w:left="440"/>
          </w:pPr>
          <w:r>
            <w:fldChar w:fldCharType="begin"/>
          </w:r>
          <w:r>
            <w:instrText xml:space="preserve"> HYPERLINK \l "_Toc177051552" </w:instrText>
          </w:r>
          <w:r>
            <w:fldChar w:fldCharType="separate"/>
          </w:r>
          <w:r>
            <w:rPr>
              <w:rStyle w:val="28"/>
              <w:rFonts w:hint="eastAsia"/>
            </w:rPr>
            <w:t>一、收</w:t>
          </w:r>
          <w:r>
            <w:rPr>
              <w:rStyle w:val="28"/>
              <w:rFonts w:hint="eastAsia" w:ascii="黑体" w:hAnsi="黑体" w:eastAsia="黑体"/>
            </w:rPr>
            <w:t>入支出决算总体情况说明</w:t>
          </w:r>
          <w:r>
            <w:tab/>
          </w:r>
          <w:r>
            <w:fldChar w:fldCharType="begin"/>
          </w:r>
          <w:r>
            <w:instrText xml:space="preserve"> PAGEREF _Toc177051552 \h </w:instrText>
          </w:r>
          <w:r>
            <w:fldChar w:fldCharType="separate"/>
          </w:r>
          <w:r>
            <w:t>13</w:t>
          </w:r>
          <w:r>
            <w:fldChar w:fldCharType="end"/>
          </w:r>
          <w:r>
            <w:fldChar w:fldCharType="end"/>
          </w:r>
        </w:p>
        <w:p>
          <w:pPr>
            <w:pStyle w:val="22"/>
            <w:ind w:left="440"/>
          </w:pPr>
          <w:r>
            <w:fldChar w:fldCharType="begin"/>
          </w:r>
          <w:r>
            <w:instrText xml:space="preserve"> HYPERLINK \l "_Toc177051553" </w:instrText>
          </w:r>
          <w:r>
            <w:fldChar w:fldCharType="separate"/>
          </w:r>
          <w:r>
            <w:rPr>
              <w:rStyle w:val="28"/>
              <w:rFonts w:hint="eastAsia"/>
            </w:rPr>
            <w:t>二、收</w:t>
          </w:r>
          <w:r>
            <w:rPr>
              <w:rStyle w:val="28"/>
              <w:rFonts w:hint="eastAsia" w:ascii="黑体" w:hAnsi="黑体" w:eastAsia="黑体"/>
            </w:rPr>
            <w:t>入决算情况说明</w:t>
          </w:r>
          <w:r>
            <w:tab/>
          </w:r>
          <w:r>
            <w:fldChar w:fldCharType="begin"/>
          </w:r>
          <w:r>
            <w:instrText xml:space="preserve"> PAGEREF _Toc177051553 \h </w:instrText>
          </w:r>
          <w:r>
            <w:fldChar w:fldCharType="separate"/>
          </w:r>
          <w:r>
            <w:t>14</w:t>
          </w:r>
          <w:r>
            <w:fldChar w:fldCharType="end"/>
          </w:r>
          <w:r>
            <w:fldChar w:fldCharType="end"/>
          </w:r>
        </w:p>
        <w:p>
          <w:pPr>
            <w:pStyle w:val="22"/>
            <w:ind w:left="440"/>
          </w:pPr>
          <w:r>
            <w:fldChar w:fldCharType="begin"/>
          </w:r>
          <w:r>
            <w:instrText xml:space="preserve"> HYPERLINK \l "_Toc177051554" </w:instrText>
          </w:r>
          <w:r>
            <w:fldChar w:fldCharType="separate"/>
          </w:r>
          <w:r>
            <w:rPr>
              <w:rStyle w:val="28"/>
              <w:rFonts w:hint="eastAsia"/>
            </w:rPr>
            <w:t>三、支</w:t>
          </w:r>
          <w:r>
            <w:rPr>
              <w:rStyle w:val="28"/>
              <w:rFonts w:hint="eastAsia" w:ascii="黑体" w:hAnsi="黑体" w:eastAsia="黑体"/>
            </w:rPr>
            <w:t>出决算情况说明</w:t>
          </w:r>
          <w:r>
            <w:tab/>
          </w:r>
          <w:r>
            <w:fldChar w:fldCharType="begin"/>
          </w:r>
          <w:r>
            <w:instrText xml:space="preserve"> PAGEREF _Toc177051554 \h </w:instrText>
          </w:r>
          <w:r>
            <w:fldChar w:fldCharType="separate"/>
          </w:r>
          <w:r>
            <w:t>14</w:t>
          </w:r>
          <w:r>
            <w:fldChar w:fldCharType="end"/>
          </w:r>
          <w:r>
            <w:fldChar w:fldCharType="end"/>
          </w:r>
        </w:p>
        <w:p>
          <w:pPr>
            <w:pStyle w:val="22"/>
            <w:ind w:left="440"/>
          </w:pPr>
          <w:r>
            <w:fldChar w:fldCharType="begin"/>
          </w:r>
          <w:r>
            <w:instrText xml:space="preserve"> HYPERLINK \l "_Toc177051555" </w:instrText>
          </w:r>
          <w:r>
            <w:fldChar w:fldCharType="separate"/>
          </w:r>
          <w:r>
            <w:rPr>
              <w:rStyle w:val="28"/>
              <w:rFonts w:hint="eastAsia"/>
            </w:rPr>
            <w:t>四、财</w:t>
          </w:r>
          <w:r>
            <w:rPr>
              <w:rStyle w:val="28"/>
              <w:rFonts w:hint="eastAsia" w:ascii="黑体" w:hAnsi="黑体" w:eastAsia="黑体"/>
            </w:rPr>
            <w:t>政拨款收入支出决算总体情况说明</w:t>
          </w:r>
          <w:r>
            <w:tab/>
          </w:r>
          <w:r>
            <w:fldChar w:fldCharType="begin"/>
          </w:r>
          <w:r>
            <w:instrText xml:space="preserve"> PAGEREF _Toc177051555 \h </w:instrText>
          </w:r>
          <w:r>
            <w:fldChar w:fldCharType="separate"/>
          </w:r>
          <w:r>
            <w:t>15</w:t>
          </w:r>
          <w:r>
            <w:fldChar w:fldCharType="end"/>
          </w:r>
          <w:r>
            <w:fldChar w:fldCharType="end"/>
          </w:r>
        </w:p>
        <w:p>
          <w:pPr>
            <w:pStyle w:val="22"/>
            <w:ind w:left="440"/>
          </w:pPr>
          <w:r>
            <w:fldChar w:fldCharType="begin"/>
          </w:r>
          <w:r>
            <w:instrText xml:space="preserve"> HYPERLINK \l "_Toc177051556" </w:instrText>
          </w:r>
          <w:r>
            <w:fldChar w:fldCharType="separate"/>
          </w:r>
          <w:r>
            <w:rPr>
              <w:rStyle w:val="28"/>
              <w:rFonts w:hint="eastAsia"/>
            </w:rPr>
            <w:t>五、一</w:t>
          </w:r>
          <w:r>
            <w:rPr>
              <w:rStyle w:val="28"/>
              <w:rFonts w:hint="eastAsia" w:ascii="黑体" w:hAnsi="黑体" w:eastAsia="黑体"/>
            </w:rPr>
            <w:t>般公共预算财政拨款支出决算情况说明</w:t>
          </w:r>
          <w:r>
            <w:tab/>
          </w:r>
          <w:r>
            <w:fldChar w:fldCharType="begin"/>
          </w:r>
          <w:r>
            <w:instrText xml:space="preserve"> PAGEREF _Toc177051556 \h </w:instrText>
          </w:r>
          <w:r>
            <w:fldChar w:fldCharType="separate"/>
          </w:r>
          <w:r>
            <w:t>16</w:t>
          </w:r>
          <w:r>
            <w:fldChar w:fldCharType="end"/>
          </w:r>
          <w:r>
            <w:fldChar w:fldCharType="end"/>
          </w:r>
        </w:p>
        <w:p>
          <w:pPr>
            <w:pStyle w:val="22"/>
            <w:ind w:left="440"/>
          </w:pPr>
          <w:r>
            <w:fldChar w:fldCharType="begin"/>
          </w:r>
          <w:r>
            <w:instrText xml:space="preserve"> HYPERLINK \l "_Toc177051560" </w:instrText>
          </w:r>
          <w:r>
            <w:fldChar w:fldCharType="separate"/>
          </w:r>
          <w:r>
            <w:rPr>
              <w:rStyle w:val="28"/>
              <w:rFonts w:hint="eastAsia"/>
            </w:rPr>
            <w:t>六、一</w:t>
          </w:r>
          <w:r>
            <w:rPr>
              <w:rStyle w:val="28"/>
              <w:rFonts w:hint="eastAsia" w:ascii="黑体" w:hAnsi="黑体" w:eastAsia="黑体"/>
            </w:rPr>
            <w:t>般公共预算财政拨款基本支出决算情况说明</w:t>
          </w:r>
          <w:r>
            <w:tab/>
          </w:r>
          <w:r>
            <w:fldChar w:fldCharType="begin"/>
          </w:r>
          <w:r>
            <w:instrText xml:space="preserve"> PAGEREF _Toc177051560 \h </w:instrText>
          </w:r>
          <w:r>
            <w:fldChar w:fldCharType="separate"/>
          </w:r>
          <w:r>
            <w:t>19</w:t>
          </w:r>
          <w:r>
            <w:fldChar w:fldCharType="end"/>
          </w:r>
          <w:r>
            <w:fldChar w:fldCharType="end"/>
          </w:r>
        </w:p>
        <w:p>
          <w:pPr>
            <w:pStyle w:val="22"/>
            <w:ind w:left="440"/>
          </w:pPr>
          <w:r>
            <w:fldChar w:fldCharType="begin"/>
          </w:r>
          <w:r>
            <w:instrText xml:space="preserve"> HYPERLINK \l "_Toc177051561" </w:instrText>
          </w:r>
          <w:r>
            <w:fldChar w:fldCharType="separate"/>
          </w:r>
          <w:r>
            <w:rPr>
              <w:rStyle w:val="28"/>
              <w:rFonts w:hint="eastAsia"/>
            </w:rPr>
            <w:t>七、</w:t>
          </w:r>
          <w:r>
            <w:rPr>
              <w:rStyle w:val="28"/>
              <w:rFonts w:hint="eastAsia" w:ascii="黑体" w:hAnsi="黑体" w:eastAsia="黑体"/>
            </w:rPr>
            <w:t>财政拨款</w:t>
          </w:r>
          <w:r>
            <w:rPr>
              <w:rStyle w:val="28"/>
              <w:rFonts w:ascii="黑体" w:hAnsi="黑体" w:eastAsia="黑体"/>
            </w:rPr>
            <w:t>“</w:t>
          </w:r>
          <w:r>
            <w:rPr>
              <w:rStyle w:val="28"/>
              <w:rFonts w:hint="eastAsia" w:ascii="黑体" w:hAnsi="黑体" w:eastAsia="黑体"/>
            </w:rPr>
            <w:t>三公”经费支出决算情况说明</w:t>
          </w:r>
          <w:r>
            <w:tab/>
          </w:r>
          <w:r>
            <w:fldChar w:fldCharType="begin"/>
          </w:r>
          <w:r>
            <w:instrText xml:space="preserve"> PAGEREF _Toc177051561 \h </w:instrText>
          </w:r>
          <w:r>
            <w:fldChar w:fldCharType="separate"/>
          </w:r>
          <w:r>
            <w:t>20</w:t>
          </w:r>
          <w:r>
            <w:fldChar w:fldCharType="end"/>
          </w:r>
          <w:r>
            <w:fldChar w:fldCharType="end"/>
          </w:r>
        </w:p>
        <w:p>
          <w:pPr>
            <w:pStyle w:val="22"/>
            <w:ind w:left="440"/>
          </w:pPr>
          <w:r>
            <w:fldChar w:fldCharType="begin"/>
          </w:r>
          <w:r>
            <w:instrText xml:space="preserve"> HYPERLINK \l "_Toc177051564" </w:instrText>
          </w:r>
          <w:r>
            <w:fldChar w:fldCharType="separate"/>
          </w:r>
          <w:r>
            <w:rPr>
              <w:rStyle w:val="28"/>
              <w:rFonts w:hint="eastAsia"/>
            </w:rPr>
            <w:t>八、</w:t>
          </w:r>
          <w:r>
            <w:rPr>
              <w:rStyle w:val="28"/>
              <w:rFonts w:hint="eastAsia" w:ascii="黑体" w:hAnsi="黑体" w:eastAsia="黑体"/>
            </w:rPr>
            <w:t>政府性基金预算支出决算情况说明</w:t>
          </w:r>
          <w:r>
            <w:tab/>
          </w:r>
          <w:r>
            <w:fldChar w:fldCharType="begin"/>
          </w:r>
          <w:r>
            <w:instrText xml:space="preserve"> PAGEREF _Toc177051564 \h </w:instrText>
          </w:r>
          <w:r>
            <w:fldChar w:fldCharType="separate"/>
          </w:r>
          <w:r>
            <w:t>22</w:t>
          </w:r>
          <w:r>
            <w:fldChar w:fldCharType="end"/>
          </w:r>
          <w:r>
            <w:fldChar w:fldCharType="end"/>
          </w:r>
        </w:p>
        <w:p>
          <w:pPr>
            <w:pStyle w:val="22"/>
            <w:ind w:left="440"/>
          </w:pPr>
          <w:r>
            <w:fldChar w:fldCharType="begin"/>
          </w:r>
          <w:r>
            <w:instrText xml:space="preserve"> HYPERLINK \l "_Toc177051565" </w:instrText>
          </w:r>
          <w:r>
            <w:fldChar w:fldCharType="separate"/>
          </w:r>
          <w:r>
            <w:rPr>
              <w:rStyle w:val="28"/>
              <w:rFonts w:hint="eastAsia" w:ascii="黑体" w:hAnsi="黑体" w:eastAsia="黑体"/>
            </w:rPr>
            <w:t>九、国有资本经营预算支出决算情况说明</w:t>
          </w:r>
          <w:r>
            <w:tab/>
          </w:r>
          <w:r>
            <w:fldChar w:fldCharType="begin"/>
          </w:r>
          <w:r>
            <w:instrText xml:space="preserve"> PAGEREF _Toc177051565 \h </w:instrText>
          </w:r>
          <w:r>
            <w:fldChar w:fldCharType="separate"/>
          </w:r>
          <w:r>
            <w:t>22</w:t>
          </w:r>
          <w:r>
            <w:fldChar w:fldCharType="end"/>
          </w:r>
          <w:r>
            <w:fldChar w:fldCharType="end"/>
          </w:r>
        </w:p>
        <w:p>
          <w:pPr>
            <w:pStyle w:val="22"/>
            <w:ind w:left="440"/>
          </w:pPr>
          <w:r>
            <w:fldChar w:fldCharType="begin"/>
          </w:r>
          <w:r>
            <w:instrText xml:space="preserve"> HYPERLINK \l "_Toc177051566" </w:instrText>
          </w:r>
          <w:r>
            <w:fldChar w:fldCharType="separate"/>
          </w:r>
          <w:r>
            <w:rPr>
              <w:rStyle w:val="28"/>
              <w:rFonts w:hint="eastAsia" w:ascii="黑体" w:hAnsi="黑体" w:eastAsia="黑体"/>
            </w:rPr>
            <w:t>十、其他重要事项的情况说明</w:t>
          </w:r>
          <w:r>
            <w:tab/>
          </w:r>
          <w:r>
            <w:fldChar w:fldCharType="begin"/>
          </w:r>
          <w:r>
            <w:instrText xml:space="preserve"> PAGEREF _Toc177051566 \h </w:instrText>
          </w:r>
          <w:r>
            <w:fldChar w:fldCharType="separate"/>
          </w:r>
          <w:r>
            <w:t>22</w:t>
          </w:r>
          <w:r>
            <w:fldChar w:fldCharType="end"/>
          </w:r>
          <w:r>
            <w:fldChar w:fldCharType="end"/>
          </w:r>
        </w:p>
        <w:p>
          <w:pPr>
            <w:pStyle w:val="20"/>
            <w:rPr>
              <w:rFonts w:asciiTheme="minorHAnsi" w:hAnsiTheme="minorHAnsi" w:eastAsiaTheme="minorEastAsia"/>
              <w:sz w:val="21"/>
              <w:szCs w:val="22"/>
            </w:rPr>
          </w:pPr>
          <w:r>
            <w:fldChar w:fldCharType="begin"/>
          </w:r>
          <w:r>
            <w:instrText xml:space="preserve"> HYPERLINK \l "_Toc177051571" </w:instrText>
          </w:r>
          <w:r>
            <w:fldChar w:fldCharType="separate"/>
          </w:r>
          <w:r>
            <w:rPr>
              <w:rStyle w:val="28"/>
              <w:rFonts w:hint="eastAsia"/>
            </w:rPr>
            <w:t>第三部分</w:t>
          </w:r>
          <w:r>
            <w:rPr>
              <w:rStyle w:val="28"/>
            </w:rPr>
            <w:t xml:space="preserve">  </w:t>
          </w:r>
          <w:r>
            <w:rPr>
              <w:rStyle w:val="28"/>
              <w:rFonts w:hint="eastAsia"/>
            </w:rPr>
            <w:t>名词解释</w:t>
          </w:r>
          <w:r>
            <w:tab/>
          </w:r>
          <w:r>
            <w:fldChar w:fldCharType="begin"/>
          </w:r>
          <w:r>
            <w:instrText xml:space="preserve"> PAGEREF _Toc177051571 \h </w:instrText>
          </w:r>
          <w:r>
            <w:fldChar w:fldCharType="separate"/>
          </w:r>
          <w:r>
            <w:t>25</w:t>
          </w:r>
          <w:r>
            <w:fldChar w:fldCharType="end"/>
          </w:r>
          <w:r>
            <w:fldChar w:fldCharType="end"/>
          </w:r>
        </w:p>
        <w:p>
          <w:pPr>
            <w:pStyle w:val="20"/>
            <w:rPr>
              <w:rFonts w:asciiTheme="minorHAnsi" w:hAnsiTheme="minorHAnsi" w:eastAsiaTheme="minorEastAsia"/>
              <w:sz w:val="21"/>
              <w:szCs w:val="22"/>
            </w:rPr>
          </w:pPr>
          <w:r>
            <w:fldChar w:fldCharType="begin"/>
          </w:r>
          <w:r>
            <w:instrText xml:space="preserve"> HYPERLINK \l "_Toc177051572" </w:instrText>
          </w:r>
          <w:r>
            <w:fldChar w:fldCharType="separate"/>
          </w:r>
          <w:r>
            <w:rPr>
              <w:rStyle w:val="28"/>
              <w:rFonts w:hint="eastAsia"/>
            </w:rPr>
            <w:t>第四部分</w:t>
          </w:r>
          <w:r>
            <w:rPr>
              <w:rStyle w:val="28"/>
            </w:rPr>
            <w:t xml:space="preserve"> </w:t>
          </w:r>
          <w:r>
            <w:rPr>
              <w:rStyle w:val="28"/>
              <w:rFonts w:hint="eastAsia"/>
            </w:rPr>
            <w:t>附件</w:t>
          </w:r>
          <w:r>
            <w:tab/>
          </w:r>
          <w:r>
            <w:fldChar w:fldCharType="begin"/>
          </w:r>
          <w:r>
            <w:instrText xml:space="preserve"> PAGEREF _Toc177051572 \h </w:instrText>
          </w:r>
          <w:r>
            <w:fldChar w:fldCharType="separate"/>
          </w:r>
          <w:r>
            <w:t>28</w:t>
          </w:r>
          <w:r>
            <w:fldChar w:fldCharType="end"/>
          </w:r>
          <w:r>
            <w:fldChar w:fldCharType="end"/>
          </w:r>
        </w:p>
        <w:p>
          <w:pPr>
            <w:pStyle w:val="20"/>
            <w:rPr>
              <w:rFonts w:hint="eastAsia" w:eastAsia="仿宋" w:asciiTheme="minorHAnsi" w:hAnsiTheme="minorHAnsi"/>
              <w:sz w:val="21"/>
              <w:szCs w:val="22"/>
              <w:lang w:val="en-US" w:eastAsia="zh-CN"/>
            </w:rPr>
          </w:pPr>
          <w:r>
            <w:fldChar w:fldCharType="begin"/>
          </w:r>
          <w:r>
            <w:instrText xml:space="preserve"> HYPERLINK \l "_Toc177051573" </w:instrText>
          </w:r>
          <w:r>
            <w:fldChar w:fldCharType="separate"/>
          </w:r>
          <w:r>
            <w:rPr>
              <w:rStyle w:val="28"/>
              <w:rFonts w:hint="eastAsia"/>
            </w:rPr>
            <w:t>第五部分</w:t>
          </w:r>
          <w:r>
            <w:rPr>
              <w:rStyle w:val="28"/>
            </w:rPr>
            <w:t xml:space="preserve"> </w:t>
          </w:r>
          <w:r>
            <w:rPr>
              <w:rStyle w:val="28"/>
              <w:rFonts w:hint="eastAsia"/>
            </w:rPr>
            <w:t>附表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"_Toc177051574" </w:instrText>
          </w:r>
          <w:r>
            <w:fldChar w:fldCharType="separate"/>
          </w:r>
          <w:r>
            <w:rPr>
              <w:rStyle w:val="28"/>
              <w:rFonts w:hint="eastAsia"/>
            </w:rPr>
            <w:t>一、收入支出决算总表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"_Toc177051575" </w:instrText>
          </w:r>
          <w:r>
            <w:fldChar w:fldCharType="separate"/>
          </w:r>
          <w:r>
            <w:rPr>
              <w:rStyle w:val="28"/>
              <w:rFonts w:hint="eastAsia"/>
            </w:rPr>
            <w:t>二、收入决算表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"_Toc177051576" </w:instrText>
          </w:r>
          <w:r>
            <w:fldChar w:fldCharType="separate"/>
          </w:r>
          <w:r>
            <w:rPr>
              <w:rStyle w:val="28"/>
              <w:rFonts w:hint="eastAsia"/>
            </w:rPr>
            <w:t>三、支出决算表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"_Toc177051577" </w:instrText>
          </w:r>
          <w:r>
            <w:fldChar w:fldCharType="separate"/>
          </w:r>
          <w:r>
            <w:rPr>
              <w:rStyle w:val="28"/>
              <w:rFonts w:hint="eastAsia"/>
            </w:rPr>
            <w:t>四、财政拨款收入支出决算总表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"_Toc177051578" </w:instrText>
          </w:r>
          <w:r>
            <w:fldChar w:fldCharType="separate"/>
          </w:r>
          <w:r>
            <w:rPr>
              <w:rStyle w:val="28"/>
              <w:rFonts w:hint="eastAsia"/>
            </w:rPr>
            <w:t>五、财政拨款支出决算明细表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"_Toc177051579" </w:instrText>
          </w:r>
          <w:r>
            <w:fldChar w:fldCharType="separate"/>
          </w:r>
          <w:r>
            <w:rPr>
              <w:rStyle w:val="28"/>
              <w:rFonts w:hint="eastAsia"/>
            </w:rPr>
            <w:t>六、一般公共预算财政拨款支出决算表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"_Toc177051580" </w:instrText>
          </w:r>
          <w:r>
            <w:fldChar w:fldCharType="separate"/>
          </w:r>
          <w:r>
            <w:rPr>
              <w:rStyle w:val="28"/>
              <w:rFonts w:hint="eastAsia"/>
            </w:rPr>
            <w:t>七、一般公共预算财政拨款支出决算明细表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"_Toc177051581" </w:instrText>
          </w:r>
          <w:r>
            <w:fldChar w:fldCharType="separate"/>
          </w:r>
          <w:r>
            <w:rPr>
              <w:rStyle w:val="28"/>
              <w:rFonts w:hint="eastAsia"/>
            </w:rPr>
            <w:t>八、一般公共预算财政拨款基本支出决算表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"_Toc177051582" </w:instrText>
          </w:r>
          <w:r>
            <w:fldChar w:fldCharType="separate"/>
          </w:r>
          <w:r>
            <w:rPr>
              <w:rStyle w:val="28"/>
              <w:rFonts w:hint="eastAsia"/>
            </w:rPr>
            <w:t>九、一般公共预算财政拨款项目支出决算表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"_Toc177051583" </w:instrText>
          </w:r>
          <w:r>
            <w:fldChar w:fldCharType="separate"/>
          </w:r>
          <w:r>
            <w:rPr>
              <w:rStyle w:val="28"/>
              <w:rFonts w:hint="eastAsia"/>
            </w:rPr>
            <w:t>十、政府性基金预算财政拨款收入支出决算表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"_Toc177051584" </w:instrText>
          </w:r>
          <w:r>
            <w:fldChar w:fldCharType="separate"/>
          </w:r>
          <w:r>
            <w:rPr>
              <w:rStyle w:val="28"/>
              <w:rFonts w:hint="eastAsia"/>
            </w:rPr>
            <w:t>十一、国有资本经营预算财政拨款收入支出决算表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"_Toc177051585" </w:instrText>
          </w:r>
          <w:r>
            <w:fldChar w:fldCharType="separate"/>
          </w:r>
          <w:r>
            <w:rPr>
              <w:rStyle w:val="28"/>
              <w:rFonts w:hint="eastAsia"/>
            </w:rPr>
            <w:t>十二、国有资本经营预算财政拨款支出决算表</w:t>
          </w:r>
          <w:r>
            <w:tab/>
          </w:r>
          <w:r>
            <w:rPr>
              <w:rFonts w:hint="eastAsia"/>
              <w:lang w:val="en-US" w:eastAsia="zh-CN"/>
            </w:rPr>
            <w:t>2</w:t>
          </w:r>
          <w:r>
            <w:fldChar w:fldCharType="end"/>
          </w:r>
          <w:r>
            <w:rPr>
              <w:rFonts w:hint="eastAsia"/>
              <w:lang w:val="en-US" w:eastAsia="zh-CN"/>
            </w:rPr>
            <w:t>9</w:t>
          </w:r>
        </w:p>
        <w:p>
          <w:pPr>
            <w:pStyle w:val="22"/>
            <w:ind w:left="440"/>
            <w:rPr>
              <w:rFonts w:hint="eastAsia" w:eastAsiaTheme="minorEastAsia"/>
              <w:lang w:val="en-US" w:eastAsia="zh-CN"/>
            </w:rPr>
          </w:pPr>
          <w:r>
            <w:fldChar w:fldCharType="begin"/>
          </w:r>
          <w:r>
            <w:instrText xml:space="preserve"> HYPERLINK \l "_Toc177051586" </w:instrText>
          </w:r>
          <w:r>
            <w:fldChar w:fldCharType="separate"/>
          </w:r>
          <w:r>
            <w:rPr>
              <w:rStyle w:val="28"/>
              <w:rFonts w:hint="eastAsia"/>
            </w:rPr>
            <w:t>十三、财政拨款“三公”经费支出决算表</w:t>
          </w:r>
          <w:r>
            <w:tab/>
          </w:r>
          <w:r>
            <w:rPr>
              <w:rFonts w:hint="eastAsia"/>
              <w:lang w:val="en-US" w:eastAsia="zh-CN"/>
            </w:rPr>
            <w:t>2</w:t>
          </w:r>
          <w:r>
            <w:fldChar w:fldCharType="end"/>
          </w:r>
          <w:r>
            <w:rPr>
              <w:rFonts w:hint="eastAsia"/>
              <w:lang w:val="en-US" w:eastAsia="zh-CN"/>
            </w:rPr>
            <w:t>9</w:t>
          </w:r>
        </w:p>
        <w:p>
          <w:r>
            <w:rPr>
              <w:lang w:eastAsia="zh-CN"/>
            </w:rPr>
            <w:fldChar w:fldCharType="end"/>
          </w:r>
        </w:p>
      </w:sdtContent>
    </w:sdt>
    <w:p>
      <w:pPr>
        <w:jc w:val="center"/>
        <w:rPr>
          <w:rFonts w:hint="eastAsia" w:ascii="黑体" w:hAnsi="黑体" w:eastAsia="黑体"/>
          <w:sz w:val="44"/>
          <w:szCs w:val="44"/>
          <w:lang w:eastAsia="zh-CN"/>
        </w:rPr>
      </w:pPr>
      <w:bookmarkStart w:id="9" w:name="_Toc177051545"/>
    </w:p>
    <w:p>
      <w:pPr>
        <w:jc w:val="center"/>
        <w:rPr>
          <w:rFonts w:hint="eastAsia" w:ascii="黑体" w:hAnsi="黑体" w:eastAsia="黑体"/>
          <w:sz w:val="44"/>
          <w:szCs w:val="44"/>
          <w:lang w:eastAsia="zh-CN"/>
        </w:rPr>
      </w:pPr>
    </w:p>
    <w:p>
      <w:pPr>
        <w:jc w:val="center"/>
        <w:rPr>
          <w:rFonts w:hint="eastAsia" w:ascii="黑体" w:hAnsi="黑体" w:eastAsia="黑体"/>
          <w:sz w:val="44"/>
          <w:szCs w:val="44"/>
          <w:lang w:eastAsia="zh-CN"/>
        </w:rPr>
      </w:pPr>
    </w:p>
    <w:p>
      <w:pPr>
        <w:pStyle w:val="2"/>
        <w:rPr>
          <w:rFonts w:hint="eastAsia" w:ascii="黑体" w:hAnsi="黑体" w:eastAsia="黑体"/>
          <w:sz w:val="44"/>
          <w:szCs w:val="44"/>
          <w:lang w:eastAsia="zh-CN"/>
        </w:rPr>
      </w:pPr>
    </w:p>
    <w:p>
      <w:pPr>
        <w:rPr>
          <w:rFonts w:hint="eastAsia" w:ascii="黑体" w:hAnsi="黑体" w:eastAsia="黑体"/>
          <w:sz w:val="44"/>
          <w:szCs w:val="44"/>
          <w:lang w:eastAsia="zh-CN"/>
        </w:rPr>
      </w:pPr>
    </w:p>
    <w:p>
      <w:pPr>
        <w:pStyle w:val="2"/>
        <w:rPr>
          <w:rFonts w:hint="eastAsia"/>
          <w:lang w:eastAsia="zh-CN"/>
        </w:rPr>
      </w:pPr>
    </w:p>
    <w:p>
      <w:pPr>
        <w:jc w:val="center"/>
        <w:rPr>
          <w:rFonts w:hint="eastAsia" w:ascii="黑体" w:hAnsi="黑体" w:eastAsia="黑体"/>
          <w:sz w:val="44"/>
          <w:szCs w:val="44"/>
          <w:lang w:eastAsia="zh-CN"/>
        </w:rPr>
      </w:pPr>
    </w:p>
    <w:p>
      <w:pPr>
        <w:jc w:val="center"/>
        <w:rPr>
          <w:lang w:eastAsia="zh-CN"/>
        </w:rPr>
      </w:pPr>
      <w:r>
        <w:rPr>
          <w:rFonts w:hint="eastAsia" w:ascii="黑体" w:hAnsi="黑体" w:eastAsia="黑体"/>
          <w:sz w:val="44"/>
          <w:szCs w:val="44"/>
          <w:lang w:eastAsia="zh-CN"/>
        </w:rPr>
        <w:t>第一部分 单位概况</w:t>
      </w:r>
      <w:bookmarkEnd w:id="9"/>
    </w:p>
    <w:p>
      <w:pPr>
        <w:pStyle w:val="4"/>
        <w:rPr>
          <w:rFonts w:ascii="黑体" w:hAnsi="黑体" w:eastAsia="黑体"/>
          <w:b w:val="0"/>
          <w:sz w:val="32"/>
          <w:szCs w:val="32"/>
          <w:lang w:eastAsia="zh-CN"/>
        </w:rPr>
      </w:pPr>
      <w:bookmarkStart w:id="10" w:name="_Toc15377197"/>
      <w:bookmarkStart w:id="11" w:name="_Toc15396600"/>
      <w:bookmarkStart w:id="12" w:name="_Toc177051546"/>
      <w:bookmarkStart w:id="13" w:name="_Toc29493"/>
      <w:r>
        <w:rPr>
          <w:rFonts w:hint="eastAsia" w:ascii="黑体" w:hAnsi="黑体" w:eastAsia="黑体"/>
          <w:b w:val="0"/>
          <w:sz w:val="32"/>
          <w:szCs w:val="32"/>
          <w:lang w:eastAsia="zh-CN"/>
        </w:rPr>
        <w:t>一、</w:t>
      </w:r>
      <w:bookmarkEnd w:id="10"/>
      <w:bookmarkEnd w:id="11"/>
      <w:r>
        <w:rPr>
          <w:rFonts w:hint="eastAsia" w:ascii="黑体" w:hAnsi="黑体" w:eastAsia="黑体"/>
          <w:b w:val="0"/>
          <w:sz w:val="32"/>
          <w:szCs w:val="32"/>
          <w:lang w:eastAsia="zh-CN"/>
        </w:rPr>
        <w:t>主要职责</w:t>
      </w:r>
      <w:bookmarkEnd w:id="12"/>
      <w:bookmarkEnd w:id="13"/>
    </w:p>
    <w:p>
      <w:pPr>
        <w:pStyle w:val="2"/>
        <w:adjustRightInd w:val="0"/>
        <w:snapToGrid w:val="0"/>
        <w:spacing w:before="130" w:line="576" w:lineRule="exact"/>
        <w:ind w:firstLine="642" w:firstLineChars="200"/>
        <w:outlineLvl w:val="2"/>
        <w:rPr>
          <w:rFonts w:ascii="仿宋_GB2312" w:hAnsi="仿宋" w:eastAsia="仿宋_GB2312"/>
          <w:b/>
          <w:bCs/>
          <w:sz w:val="32"/>
          <w:szCs w:val="32"/>
          <w:lang w:eastAsia="zh-CN"/>
        </w:rPr>
      </w:pPr>
      <w:bookmarkStart w:id="14" w:name="_Toc15378445"/>
      <w:bookmarkStart w:id="15" w:name="_Toc177051547"/>
      <w:bookmarkStart w:id="16" w:name="_Toc15377198"/>
      <w:r>
        <w:rPr>
          <w:rFonts w:hint="eastAsia" w:ascii="仿宋_GB2312" w:hAnsi="仿宋" w:eastAsia="仿宋_GB2312"/>
          <w:b/>
          <w:bCs/>
          <w:sz w:val="32"/>
          <w:szCs w:val="32"/>
          <w:lang w:eastAsia="zh-CN"/>
        </w:rPr>
        <w:t>（一）主要职能。</w:t>
      </w:r>
      <w:bookmarkEnd w:id="14"/>
      <w:bookmarkEnd w:id="15"/>
      <w:bookmarkEnd w:id="16"/>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1）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（2）依法审判法律规定由本院管辖和指定管辖的刑事、民事、行政等案件。</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（3）受理不服本院生效裁判的各类申诉和再审申请，对其中可能有错误的进行再审；审判市中级法院指定审理和再审的案件。</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（4）依法行使司法执行权和司法决定权。</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（5）对本院的法官、司法警察和其他工作人员进行教育、管理和培训工作。</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（6）对本院的法官、司法警察和其他工作人员实施廉政建设教育和纪检监察工作，报处和查处本院干警违纪案件。</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（7）在审判工作中宣传法制、教育公民遵守宪法、法律。</w:t>
      </w:r>
    </w:p>
    <w:p>
      <w:pPr>
        <w:spacing w:line="576" w:lineRule="exact"/>
        <w:ind w:firstLine="640" w:firstLineChars="200"/>
        <w:rPr>
          <w:rFonts w:ascii="仿宋_GB2312" w:hAnsi="仿宋" w:eastAsia="仿宋_GB2312" w:cs="仿宋_GB2312"/>
          <w:color w:val="000000"/>
          <w:sz w:val="32"/>
          <w:szCs w:val="32"/>
          <w:lang w:eastAsia="zh-CN"/>
        </w:rPr>
      </w:pPr>
      <w:r>
        <w:rPr>
          <w:rFonts w:hint="eastAsia" w:ascii="仿宋_GB2312" w:hAnsi="仿宋" w:eastAsia="仿宋_GB2312" w:cs="仿宋_GB2312"/>
          <w:color w:val="000000"/>
          <w:sz w:val="32"/>
          <w:szCs w:val="32"/>
          <w:lang w:eastAsia="zh-CN"/>
        </w:rPr>
        <w:t>（8）规划、管理本院财务、装备工作。</w:t>
      </w:r>
    </w:p>
    <w:p>
      <w:pPr>
        <w:spacing w:line="576" w:lineRule="exact"/>
        <w:ind w:firstLine="640" w:firstLineChars="200"/>
        <w:rPr>
          <w:rFonts w:ascii="仿宋_GB2312" w:hAnsi="仿宋" w:eastAsia="仿宋_GB2312"/>
          <w:bCs/>
          <w:sz w:val="32"/>
          <w:szCs w:val="32"/>
          <w:lang w:eastAsia="zh-CN"/>
        </w:rPr>
      </w:pPr>
      <w:r>
        <w:rPr>
          <w:rFonts w:hint="eastAsia" w:ascii="仿宋_GB2312" w:hAnsi="仿宋" w:eastAsia="仿宋_GB2312" w:cs="仿宋_GB2312"/>
          <w:color w:val="000000"/>
          <w:sz w:val="32"/>
          <w:szCs w:val="32"/>
          <w:lang w:eastAsia="zh-CN"/>
        </w:rPr>
        <w:t>（9）承办其他应由本院负责的工作。</w:t>
      </w:r>
    </w:p>
    <w:p>
      <w:pPr>
        <w:pStyle w:val="2"/>
        <w:adjustRightInd w:val="0"/>
        <w:snapToGrid w:val="0"/>
        <w:spacing w:before="130" w:line="576" w:lineRule="exact"/>
        <w:ind w:firstLine="642" w:firstLineChars="200"/>
        <w:outlineLvl w:val="2"/>
        <w:rPr>
          <w:rFonts w:ascii="仿宋_GB2312" w:hAnsi="仿宋" w:eastAsia="仿宋_GB2312"/>
          <w:b/>
          <w:sz w:val="32"/>
          <w:szCs w:val="32"/>
          <w:lang w:eastAsia="zh-CN"/>
        </w:rPr>
      </w:pPr>
      <w:bookmarkStart w:id="17" w:name="_Toc177051548"/>
      <w:r>
        <w:rPr>
          <w:rFonts w:hint="eastAsia" w:ascii="仿宋_GB2312" w:hAnsi="仿宋" w:eastAsia="仿宋_GB2312"/>
          <w:b/>
          <w:sz w:val="32"/>
          <w:szCs w:val="32"/>
          <w:lang w:eastAsia="zh-CN"/>
        </w:rPr>
        <w:t>（二）2023年重点工作完成情况。</w:t>
      </w:r>
      <w:bookmarkEnd w:id="17"/>
    </w:p>
    <w:p>
      <w:pPr>
        <w:spacing w:line="576" w:lineRule="exact"/>
        <w:ind w:firstLine="640" w:firstLineChars="200"/>
        <w:rPr>
          <w:rFonts w:ascii="仿宋_GB2312" w:hAnsi="仿宋" w:eastAsia="仿宋_GB2312"/>
          <w:sz w:val="32"/>
          <w:szCs w:val="32"/>
          <w:lang w:eastAsia="zh-CN"/>
        </w:rPr>
      </w:pPr>
      <w:r>
        <w:rPr>
          <w:rFonts w:hint="eastAsia" w:ascii="仿宋_GB2312" w:hAnsi="仿宋" w:eastAsia="仿宋_GB2312"/>
          <w:sz w:val="32"/>
          <w:szCs w:val="32"/>
          <w:lang w:eastAsia="zh-CN"/>
        </w:rPr>
        <w:t>区人民法院全年共受理案件2902件，审执结2895件，案件服判息诉率、上诉案件改发率等五项公正效率核心指标位列全市法院前列，为朝天经济社会发展提供了有力的司法保障。</w:t>
      </w:r>
    </w:p>
    <w:p>
      <w:pPr>
        <w:spacing w:line="576" w:lineRule="exact"/>
        <w:ind w:firstLine="642" w:firstLineChars="200"/>
        <w:rPr>
          <w:rFonts w:ascii="仿宋_GB2312" w:hAnsi="仿宋" w:eastAsia="仿宋_GB2312" w:cs="黑体"/>
          <w:b/>
          <w:sz w:val="32"/>
          <w:szCs w:val="32"/>
          <w:lang w:eastAsia="zh-CN"/>
        </w:rPr>
      </w:pPr>
      <w:bookmarkStart w:id="18" w:name="_Toc15377200"/>
      <w:bookmarkStart w:id="19" w:name="_Toc15396601"/>
      <w:bookmarkStart w:id="20" w:name="_Toc8449"/>
      <w:r>
        <w:rPr>
          <w:rFonts w:hint="eastAsia" w:ascii="仿宋_GB2312" w:hAnsi="仿宋" w:eastAsia="仿宋_GB2312" w:cs="黑体"/>
          <w:b/>
          <w:sz w:val="32"/>
          <w:szCs w:val="32"/>
          <w:lang w:eastAsia="zh-CN"/>
        </w:rPr>
        <w:t>强化政治引领，久久为功筑牢政治忠诚</w:t>
      </w:r>
    </w:p>
    <w:p>
      <w:pPr>
        <w:spacing w:line="576" w:lineRule="exact"/>
        <w:ind w:firstLine="640" w:firstLineChars="200"/>
        <w:rPr>
          <w:rFonts w:ascii="仿宋_GB2312" w:hAnsi="仿宋" w:eastAsia="仿宋_GB2312" w:cs="仿宋_GB2312"/>
          <w:sz w:val="32"/>
          <w:szCs w:val="32"/>
          <w:lang w:eastAsia="zh-CN"/>
        </w:rPr>
      </w:pPr>
      <w:r>
        <w:rPr>
          <w:rFonts w:hint="eastAsia" w:ascii="仿宋_GB2312" w:hAnsi="仿宋" w:eastAsia="仿宋_GB2312" w:cs="仿宋_GB2312"/>
          <w:sz w:val="32"/>
          <w:szCs w:val="32"/>
          <w:lang w:eastAsia="zh-CN"/>
        </w:rPr>
        <w:t>始终坚持以习近平新时代中国特色社会主义思想为指导，深入学习贯彻党的二十大及二十届历次全会精神，以实际行动拥护“两个确立”，做到“两个维护”。严格落实“第一议题”制度，第一时间传达学习习近平总书记最新重要讲话精神，开展学习贯彻二十大精神等政治轮训6次，党组理论学习中心组8次，自主开展思想政治培训2次、业务培训5次。自觉强化政治担当，</w:t>
      </w:r>
      <w:bookmarkStart w:id="143" w:name="_GoBack"/>
      <w:bookmarkEnd w:id="143"/>
      <w:r>
        <w:rPr>
          <w:rFonts w:hint="eastAsia" w:ascii="仿宋_GB2312" w:hAnsi="仿宋" w:eastAsia="仿宋_GB2312" w:cs="仿宋_GB2312"/>
          <w:sz w:val="32"/>
          <w:szCs w:val="32"/>
          <w:lang w:eastAsia="zh-CN"/>
        </w:rPr>
        <w:t>自觉扛起政治责任，从严对标、从实谋划，确保高质量完成主题教育各项任务，以“主题党日＋”为载体，开展专题党课、主题党日、学习研讨、理论学习、英模学习等活动16次。严格落实意识形态工作责任制，党组专题研究意识形态工作4次，坚决抵制错误观念在司法领域的渗透，确保法院工作正确政治方向。</w:t>
      </w:r>
    </w:p>
    <w:p>
      <w:pPr>
        <w:spacing w:line="576" w:lineRule="exact"/>
        <w:ind w:firstLine="642" w:firstLineChars="200"/>
        <w:rPr>
          <w:rFonts w:ascii="仿宋_GB2312" w:hAnsi="仿宋" w:eastAsia="仿宋_GB2312" w:cs="黑体"/>
          <w:b/>
          <w:color w:val="000000" w:themeColor="text1"/>
          <w:sz w:val="32"/>
          <w:szCs w:val="32"/>
          <w:lang w:eastAsia="zh-CN"/>
        </w:rPr>
      </w:pPr>
      <w:r>
        <w:rPr>
          <w:rFonts w:hint="eastAsia" w:ascii="仿宋_GB2312" w:hAnsi="仿宋" w:eastAsia="仿宋_GB2312" w:cs="黑体"/>
          <w:b/>
          <w:color w:val="000000" w:themeColor="text1"/>
          <w:sz w:val="32"/>
          <w:szCs w:val="32"/>
          <w:lang w:eastAsia="zh-CN"/>
        </w:rPr>
        <w:t>聚焦主责主业，慎终如始维护公平正义</w:t>
      </w:r>
    </w:p>
    <w:p>
      <w:pPr>
        <w:spacing w:line="576" w:lineRule="exact"/>
        <w:ind w:firstLine="640" w:firstLineChars="200"/>
        <w:rPr>
          <w:rFonts w:ascii="仿宋_GB2312" w:hAnsi="仿宋" w:eastAsia="仿宋_GB2312" w:cs="仿宋_GB2312"/>
          <w:color w:val="000000" w:themeColor="text1"/>
          <w:sz w:val="32"/>
          <w:szCs w:val="32"/>
          <w:lang w:eastAsia="zh-CN"/>
        </w:rPr>
      </w:pPr>
      <w:r>
        <w:rPr>
          <w:rFonts w:hint="eastAsia" w:ascii="仿宋_GB2312" w:hAnsi="仿宋" w:eastAsia="仿宋_GB2312"/>
          <w:sz w:val="32"/>
          <w:szCs w:val="32"/>
          <w:lang w:eastAsia="zh-CN"/>
        </w:rPr>
        <w:t>始终把狠抓执法办案放在首位，截至目前，共受理各类案件2902件，审执结2895件，服判息诉率、上诉案件改发率等核心指标居全市法院前列。</w:t>
      </w:r>
      <w:r>
        <w:rPr>
          <w:rFonts w:hint="eastAsia" w:ascii="仿宋_GB2312" w:hAnsi="仿宋" w:eastAsia="仿宋_GB2312" w:cs="仿宋_GB2312"/>
          <w:color w:val="000000" w:themeColor="text1"/>
          <w:sz w:val="32"/>
          <w:szCs w:val="32"/>
          <w:lang w:eastAsia="zh-CN"/>
        </w:rPr>
        <w:t>坚决维护安全稳定，审结刑事案件96件，判处被告人138人。</w:t>
      </w:r>
      <w:r>
        <w:rPr>
          <w:rFonts w:hint="eastAsia" w:ascii="仿宋_GB2312" w:hAnsi="仿宋" w:eastAsia="仿宋_GB2312"/>
          <w:sz w:val="32"/>
          <w:szCs w:val="32"/>
          <w:lang w:eastAsia="zh-CN"/>
        </w:rPr>
        <w:t>严厉打击涉毒、盗窃、抢劫、强奸、寻衅滋事等侵害公民人身权利犯罪案件14件，维护了辖区社会稳定；坚决惩治非法吸收公众存款、电信诈骗、养老诈骗以及下游的帮信、掩隐等犯罪审结此类</w:t>
      </w:r>
      <w:r>
        <w:rPr>
          <w:rFonts w:hint="eastAsia" w:ascii="仿宋_GB2312" w:hAnsi="仿宋" w:eastAsia="仿宋_GB2312" w:cs="仿宋_GB2312"/>
          <w:color w:val="000000" w:themeColor="text1"/>
          <w:sz w:val="32"/>
          <w:szCs w:val="32"/>
          <w:lang w:eastAsia="zh-CN"/>
        </w:rPr>
        <w:t>案件39件，涉案金额13826.02万元，判处被告人71人，宣告缓刑48人，罚金106余万元</w:t>
      </w:r>
      <w:r>
        <w:rPr>
          <w:rFonts w:hint="eastAsia" w:ascii="仿宋_GB2312" w:hAnsi="仿宋" w:eastAsia="仿宋_GB2312"/>
          <w:sz w:val="32"/>
          <w:szCs w:val="32"/>
          <w:lang w:eastAsia="zh-CN"/>
        </w:rPr>
        <w:t>，有效保护人民群众的钱袋子和养老钱；依法惩处职务犯罪，维护行政机关廉洁性，</w:t>
      </w:r>
      <w:r>
        <w:rPr>
          <w:rFonts w:hint="eastAsia" w:ascii="仿宋_GB2312" w:hAnsi="仿宋" w:eastAsia="仿宋_GB2312" w:cs="仿宋_GB2312"/>
          <w:color w:val="000000" w:themeColor="text1"/>
          <w:sz w:val="32"/>
          <w:szCs w:val="32"/>
          <w:lang w:eastAsia="zh-CN"/>
        </w:rPr>
        <w:t>审结朝天区农业农村局原党组成员、副局长马某某受贿、洗钱罪案等职务犯罪案件3件；</w:t>
      </w:r>
      <w:r>
        <w:rPr>
          <w:rFonts w:hint="eastAsia" w:ascii="仿宋_GB2312" w:hAnsi="仿宋" w:eastAsia="仿宋_GB2312"/>
          <w:sz w:val="32"/>
          <w:szCs w:val="32"/>
          <w:lang w:eastAsia="zh-CN"/>
        </w:rPr>
        <w:t>强化人权司法保障，推动律师辩护全覆盖；准确适用认罪认罚从宽制度，推动量刑均衡化、规范化。</w:t>
      </w:r>
      <w:r>
        <w:rPr>
          <w:rFonts w:hint="eastAsia" w:ascii="仿宋_GB2312" w:hAnsi="仿宋" w:eastAsia="仿宋_GB2312" w:cs="仿宋_GB2312"/>
          <w:color w:val="000000" w:themeColor="text1"/>
          <w:sz w:val="32"/>
          <w:szCs w:val="32"/>
          <w:lang w:eastAsia="zh-CN"/>
        </w:rPr>
        <w:t>妥善化解民商事纠纷，审结教育、就业、医疗、养老、住房等民事案件1326件。加大行政争议实质性化解力度，积极推动法治政府建设，审结一审行政案件11件，审查行政非诉执行案件85件，行政机关负责人出庭应诉率100%。全力兑现胜诉权益，针对10万元以下标的额案件，采取“一次有效执行”措施，2023年来，执结案件1050件，执行到位案款3.2亿元，首执案件实际到位率76.15%，依法将228名被执行人纳入失信名单库，限制高消费334人，司法拘留21案21人，罚款7案7人，王国琼、程兵、程波申请司法救助案被四川执行工作指导发布。</w:t>
      </w:r>
    </w:p>
    <w:p>
      <w:pPr>
        <w:spacing w:line="576" w:lineRule="exact"/>
        <w:ind w:firstLine="481" w:firstLineChars="150"/>
        <w:rPr>
          <w:rFonts w:ascii="仿宋_GB2312" w:hAnsi="仿宋" w:eastAsia="仿宋_GB2312" w:cs="黑体"/>
          <w:b/>
          <w:sz w:val="32"/>
          <w:szCs w:val="32"/>
          <w:lang w:eastAsia="zh-CN"/>
        </w:rPr>
      </w:pPr>
      <w:r>
        <w:rPr>
          <w:rFonts w:hint="eastAsia" w:ascii="仿宋_GB2312" w:hAnsi="仿宋" w:eastAsia="仿宋_GB2312" w:cs="黑体"/>
          <w:b/>
          <w:sz w:val="32"/>
          <w:szCs w:val="32"/>
          <w:lang w:eastAsia="zh-CN"/>
        </w:rPr>
        <w:t>服务保障大局，全力以赴护航经济社会发展</w:t>
      </w:r>
    </w:p>
    <w:p>
      <w:pPr>
        <w:spacing w:line="576" w:lineRule="exact"/>
        <w:ind w:firstLine="480" w:firstLineChars="150"/>
        <w:rPr>
          <w:rFonts w:ascii="仿宋_GB2312" w:hAnsi="仿宋" w:eastAsia="仿宋_GB2312" w:cs="仿宋_GB2312"/>
          <w:color w:val="000000" w:themeColor="text1"/>
          <w:sz w:val="32"/>
          <w:szCs w:val="32"/>
          <w:lang w:eastAsia="zh-CN"/>
        </w:rPr>
      </w:pPr>
      <w:r>
        <w:rPr>
          <w:rFonts w:hint="eastAsia" w:ascii="仿宋_GB2312" w:hAnsi="仿宋" w:eastAsia="仿宋_GB2312" w:cs="仿宋_GB2312"/>
          <w:color w:val="000000" w:themeColor="text1"/>
          <w:sz w:val="32"/>
          <w:szCs w:val="32"/>
          <w:lang w:eastAsia="zh-CN"/>
        </w:rPr>
        <w:t>自觉将法院工作融入全区发展大局，聚焦“府院联动”工作重点，紧密与政府沟通联系，审结涉及凯成尼斯、昆顶公司、七盘关石材城、广亚矿业等影响社会稳定且敏感疑难的案件33件，成功调解藤椒产业园土地流转系列案件及拖欠当地老百姓民工工资案件20余件，为朝天经济社会高质量发展提供了有力司法保障。畅通服务民营企业绿色通道，召开优化法治化营商环境律师座谈会1次，高效审结涉企纠纷651件，涉及标的2.49亿元，院领导带头走访商会14家、企业30余家，依托“府院联动”机制，成功处置被执行人严某某名下土地——女儿节新会址，为女儿节顺利举办扫清障碍。深入贯彻恢复性司法审判理念，在鸳鸯池森林公园、川洞庵景区等地设司法服务保护站4个，印制《旅游普法手册》进景区开展旅游普法宣传，与剑阁法院剑门关法庭、宁强法院阳平关法庭分别结对为纽扣法庭，共同开展生态环境司法保护。</w:t>
      </w:r>
      <w:r>
        <w:rPr>
          <w:rFonts w:hint="eastAsia" w:ascii="仿宋_GB2312" w:hAnsi="仿宋" w:eastAsia="仿宋_GB2312"/>
          <w:sz w:val="32"/>
          <w:szCs w:val="32"/>
          <w:lang w:eastAsia="zh-CN"/>
        </w:rPr>
        <w:t>被告人金某某等人危害濒危野生动物案入选</w:t>
      </w:r>
      <w:r>
        <w:rPr>
          <w:rFonts w:hint="eastAsia" w:ascii="仿宋_GB2312" w:hAnsi="仿宋" w:eastAsia="仿宋_GB2312" w:cs="仿宋_GB2312"/>
          <w:color w:val="000000" w:themeColor="text1"/>
          <w:sz w:val="32"/>
          <w:szCs w:val="32"/>
          <w:lang w:eastAsia="zh-CN"/>
        </w:rPr>
        <w:t>四川法院环境资源审判十大典型案例，我院环境资源审判经验被省高院刊发。大力推进基础建设，新建审判法庭主体工程建设全面完工，场地硬化、环境绿化等工作已全面实施，积极创建“枫桥式人民法庭”，丰富“汪叶工作室”“映山红调解室”等解纷品牌内涵，筑牢司法为民前沿阵地。2023年，人民法庭审结各类案件735件。</w:t>
      </w:r>
    </w:p>
    <w:p>
      <w:pPr>
        <w:spacing w:line="576" w:lineRule="exact"/>
        <w:ind w:firstLine="642" w:firstLineChars="200"/>
        <w:rPr>
          <w:rFonts w:ascii="仿宋_GB2312" w:hAnsi="仿宋" w:eastAsia="仿宋_GB2312" w:cs="黑体"/>
          <w:b/>
          <w:color w:val="000000" w:themeColor="text1"/>
          <w:sz w:val="32"/>
          <w:szCs w:val="32"/>
          <w:lang w:eastAsia="zh-CN"/>
        </w:rPr>
      </w:pPr>
      <w:r>
        <w:rPr>
          <w:rFonts w:hint="eastAsia" w:ascii="仿宋_GB2312" w:hAnsi="仿宋" w:eastAsia="仿宋_GB2312" w:cs="黑体"/>
          <w:b/>
          <w:color w:val="000000" w:themeColor="text1"/>
          <w:sz w:val="32"/>
          <w:szCs w:val="32"/>
          <w:lang w:eastAsia="zh-CN"/>
        </w:rPr>
        <w:t xml:space="preserve">增进民生福祉，躬身笃行厚植为民情怀  </w:t>
      </w:r>
    </w:p>
    <w:p>
      <w:pPr>
        <w:spacing w:line="576" w:lineRule="exact"/>
        <w:ind w:firstLine="640" w:firstLineChars="200"/>
        <w:rPr>
          <w:rFonts w:ascii="仿宋_GB2312" w:hAnsi="仿宋" w:eastAsia="仿宋_GB2312" w:cs="楷体"/>
          <w:color w:val="000000" w:themeColor="text1"/>
          <w:sz w:val="32"/>
          <w:szCs w:val="32"/>
          <w:lang w:eastAsia="zh-CN"/>
        </w:rPr>
      </w:pPr>
      <w:r>
        <w:rPr>
          <w:rFonts w:hint="eastAsia" w:ascii="仿宋_GB2312" w:hAnsi="仿宋" w:eastAsia="仿宋_GB2312" w:cs="仿宋_GB2312"/>
          <w:color w:val="000000" w:themeColor="text1"/>
          <w:sz w:val="32"/>
          <w:szCs w:val="32"/>
          <w:lang w:eastAsia="zh-CN"/>
        </w:rPr>
        <w:t>坚持人民至上、站稳人民立场，用心用情用力解决人民群众在司法领域内的“急难愁盼”问题。坚持“简案快办”，积极推进小额诉讼程序审判工作，运用小额速裁程序高效审结案件205件，满足人民群众便捷高效的司法需求。坚持司法为民、便民司法工作理念，优化立案服务、12368热线等功能，扎实推进各大平台推广应用，诉讼服务指导中心信息平台得分持续保持在全省基层法院排名前20名，诉讼服务工作经验被省高院推广。深化拓展“网上立、就近立”，2023年，受理网上立案1350件，电子送达率86.84%，12368人工服务接通率100%。推行“专业调解+司法确认”，探索“行政调解+司法确认”，诉前成功调解各类矛盾纠纷90件，进行司法确认42件。立足曾家山高山蔬菜种销、民宿等优势产业，发挥曾家山环境资源与旅游巡回法庭职能，推动法庭庭长任曾家镇党委委员，法官加入乡村振兴服务队，主动排查甘蓝、中药材等特色种植业、旅游、民宿产业发展、土地流转、婚姻家庭等矛盾纠纷，实现矛盾纠纷前端治理。选派8名法官、法官助理担任“法治副校长”，依托“蜀法之荫”未成年人法治宣传品牌，开展“庭审课堂”“法治进校园”“法院开放日”等法治宣传活动8次，就未成年人司法保护与公安、教育部门召开会议2次，《审慎启动亲子鉴定  切实保护未成年人身心健康——赵甲与赵乙离婚纠纷案》入选“广元市第二届维护妇女儿童合法权益十大优秀案例”。</w:t>
      </w:r>
    </w:p>
    <w:p>
      <w:pPr>
        <w:spacing w:line="576" w:lineRule="exact"/>
        <w:ind w:firstLine="642" w:firstLineChars="200"/>
        <w:rPr>
          <w:rFonts w:ascii="仿宋_GB2312" w:hAnsi="仿宋" w:eastAsia="仿宋_GB2312" w:cs="黑体"/>
          <w:b/>
          <w:sz w:val="32"/>
          <w:szCs w:val="32"/>
          <w:lang w:eastAsia="zh-CN"/>
        </w:rPr>
      </w:pPr>
      <w:r>
        <w:rPr>
          <w:rFonts w:hint="eastAsia" w:ascii="仿宋_GB2312" w:hAnsi="仿宋" w:eastAsia="仿宋_GB2312" w:cs="黑体"/>
          <w:b/>
          <w:sz w:val="32"/>
          <w:szCs w:val="32"/>
          <w:lang w:eastAsia="zh-CN"/>
        </w:rPr>
        <w:t>全面从严治院，凝心聚力打造过硬队伍</w:t>
      </w:r>
    </w:p>
    <w:p>
      <w:pPr>
        <w:spacing w:line="576" w:lineRule="exact"/>
        <w:ind w:firstLine="640" w:firstLineChars="200"/>
        <w:rPr>
          <w:rFonts w:ascii="仿宋_GB2312" w:hAnsi="仿宋" w:eastAsia="仿宋_GB2312" w:cs="仿宋_GB2312"/>
          <w:color w:val="000000" w:themeColor="text1"/>
          <w:sz w:val="32"/>
          <w:szCs w:val="32"/>
          <w:lang w:eastAsia="zh-CN"/>
        </w:rPr>
      </w:pPr>
      <w:r>
        <w:rPr>
          <w:rFonts w:hint="eastAsia" w:ascii="仿宋_GB2312" w:hAnsi="仿宋" w:eastAsia="仿宋_GB2312" w:cs="仿宋_GB2312"/>
          <w:color w:val="000000" w:themeColor="text1"/>
          <w:sz w:val="32"/>
          <w:szCs w:val="32"/>
          <w:lang w:eastAsia="zh-CN"/>
        </w:rPr>
        <w:t>严格落实全面从严治党、从严治院要求，全面落实《政法工作条例》，严格执行重大事项请示报告制度，确保党对法院工作全面领导。突出实战实用实效导向，依托人民法院大讲堂、四川政法大讲堂等平台，组织干警参加上级法院政治轮训8次、视频培训39次，“人民法院大讲堂”20期，“四川政法大讲堂”6期，选派干警到国家法官学院和四川法官学院学习13人次。开展庭审技能竞赛、优秀庭审评选、警务实战化训练等活动，着力提升干警法律适用、群众工作和应急处突等能力。持续加强司法实务研究，与四川师范大学签约共建法学实践教学与研究基地，并邀请专家教授开展讲座，推进“学习型法院”“专家型法官”建设。聚焦群众反映强烈的司法作风问题，常态化开展司法顽瘴痼疾排查整治，进一步解决执法办案、司法作风等方面突出问题。严格落实新时代政法干警“十个严禁”“三个规定”等铁规禁令，常态化开展警示教育，引导干警防微杜渐、警钟长鸣。</w:t>
      </w:r>
    </w:p>
    <w:p>
      <w:pPr>
        <w:spacing w:line="576" w:lineRule="exact"/>
        <w:ind w:firstLine="640" w:firstLineChars="200"/>
        <w:rPr>
          <w:rFonts w:ascii="仿宋_GB2312" w:hAnsi="仿宋" w:eastAsia="仿宋_GB2312" w:cs="仿宋_GB2312"/>
          <w:color w:val="000000" w:themeColor="text1"/>
          <w:sz w:val="32"/>
          <w:szCs w:val="32"/>
          <w:lang w:eastAsia="zh-CN"/>
        </w:rPr>
      </w:pPr>
      <w:r>
        <w:rPr>
          <w:rFonts w:hint="eastAsia" w:ascii="仿宋_GB2312" w:hAnsi="仿宋" w:eastAsia="仿宋_GB2312" w:cs="仿宋_GB2312"/>
          <w:color w:val="000000" w:themeColor="text1"/>
          <w:sz w:val="32"/>
          <w:szCs w:val="32"/>
          <w:lang w:eastAsia="zh-CN"/>
        </w:rPr>
        <w:t>在全院干警的不懈努力下，2023年区法院各项工作取得了可喜成绩，服判息诉率、上诉案件改发率等核心指标居全市法院前列，被市法院表彰为“综合工作优秀奖”“司法调研先进集体”，羊木法庭先后被全国妇联、最高院表彰为“全国巾帼文明岗”，6个集体、14名干警获得各级表彰奖励。我院各项工作虽然取得了一定的成绩，但也还存在一些困难和问题，主要表现在：</w:t>
      </w:r>
      <w:r>
        <w:rPr>
          <w:rFonts w:hint="eastAsia" w:ascii="仿宋_GB2312" w:hAnsi="仿宋" w:eastAsia="仿宋_GB2312" w:cs="仿宋_GB2312"/>
          <w:sz w:val="32"/>
          <w:szCs w:val="32"/>
          <w:lang w:eastAsia="zh-CN"/>
        </w:rPr>
        <w:t>一是司法理念、司法能力与现代化法院建设新要求相比还有差距。二是服务大局、司法为民与党委政府和人民群众期盼仍有差距。三是在推动矛盾纠纷多元化解、切实解决执行难等方面还有短板，个别执行案件信访压力依然未得到有效解决，打击拒执犯罪未取得明显成效。四是审判法庭修建资金差口较大，仅凭朝天法院无力解决。</w:t>
      </w:r>
    </w:p>
    <w:p>
      <w:pPr>
        <w:spacing w:line="576" w:lineRule="exact"/>
        <w:ind w:firstLine="640" w:firstLineChars="200"/>
        <w:rPr>
          <w:rFonts w:ascii="仿宋_GB2312" w:hAnsi="仿宋" w:eastAsia="仿宋_GB2312" w:cs="仿宋_GB2312"/>
          <w:color w:val="000000" w:themeColor="text1"/>
          <w:sz w:val="32"/>
          <w:szCs w:val="32"/>
          <w:lang w:eastAsia="zh-CN"/>
        </w:rPr>
      </w:pPr>
      <w:r>
        <w:rPr>
          <w:rFonts w:hint="eastAsia" w:ascii="仿宋_GB2312" w:hAnsi="仿宋" w:eastAsia="仿宋_GB2312" w:cs="仿宋_GB2312"/>
          <w:color w:val="000000" w:themeColor="text1"/>
          <w:sz w:val="32"/>
          <w:szCs w:val="32"/>
          <w:lang w:eastAsia="zh-CN"/>
        </w:rPr>
        <w:t>下一步，区法院将坚持以习近平新时代中国特色社会主义思想为指导，深入学习宣传贯彻党的二十大精神，坚决贯彻党中央、省市区委、上级法院部署要求，紧紧围绕“区委生态立区、工业强区、文旅兴区、协调发展”发展战略，以“六个优质化”为抓手，认真履行审判职能，切实加强队伍建设，进一步提升审判质效和司法公信力。</w:t>
      </w:r>
    </w:p>
    <w:p>
      <w:pPr>
        <w:spacing w:line="576" w:lineRule="exact"/>
        <w:ind w:firstLine="642" w:firstLineChars="200"/>
        <w:rPr>
          <w:rFonts w:ascii="仿宋_GB2312" w:hAnsi="仿宋" w:eastAsia="仿宋_GB2312" w:cs="仿宋_GB2312"/>
          <w:sz w:val="32"/>
          <w:szCs w:val="32"/>
          <w:lang w:eastAsia="zh-CN"/>
        </w:rPr>
      </w:pPr>
      <w:r>
        <w:rPr>
          <w:rFonts w:hint="eastAsia" w:ascii="仿宋_GB2312" w:hAnsi="仿宋" w:eastAsia="仿宋_GB2312" w:cs="仿宋_GB2312"/>
          <w:b/>
          <w:bCs/>
          <w:sz w:val="32"/>
          <w:szCs w:val="32"/>
          <w:lang w:eastAsia="zh-CN"/>
        </w:rPr>
        <w:t>一是以更高站位筑牢政治忠诚。</w:t>
      </w:r>
      <w:r>
        <w:rPr>
          <w:rFonts w:hint="eastAsia" w:ascii="仿宋_GB2312" w:hAnsi="仿宋" w:eastAsia="仿宋_GB2312" w:cs="仿宋_GB2312"/>
          <w:sz w:val="32"/>
          <w:szCs w:val="32"/>
          <w:lang w:eastAsia="zh-CN"/>
        </w:rPr>
        <w:t>坚持以党的创新理论武装头脑，全面学习宣传贯彻党的二十大及历次全会精神，自觉把思想行动统一到“五个牢牢把握”要求上来，忠诚捍卫“两个确立”、坚决做到“两个维护”，凝聚起撸起袖子加油干、风雨无阻向前行强大动力，确保党中央、省市区委和上级法院的决策部署在法院落地生根。</w:t>
      </w:r>
    </w:p>
    <w:p>
      <w:pPr>
        <w:spacing w:line="576" w:lineRule="exact"/>
        <w:ind w:firstLine="642" w:firstLineChars="200"/>
        <w:rPr>
          <w:rFonts w:ascii="仿宋_GB2312" w:hAnsi="仿宋" w:eastAsia="仿宋_GB2312" w:cs="仿宋_GB2312"/>
          <w:sz w:val="32"/>
          <w:szCs w:val="32"/>
          <w:lang w:eastAsia="zh-CN"/>
        </w:rPr>
      </w:pPr>
      <w:r>
        <w:rPr>
          <w:rFonts w:hint="eastAsia" w:ascii="仿宋_GB2312" w:hAnsi="仿宋" w:eastAsia="仿宋_GB2312" w:cs="仿宋_GB2312"/>
          <w:b/>
          <w:bCs/>
          <w:sz w:val="32"/>
          <w:szCs w:val="32"/>
          <w:lang w:eastAsia="zh-CN"/>
        </w:rPr>
        <w:t>二是以更强担当服务中心大局。</w:t>
      </w:r>
      <w:r>
        <w:rPr>
          <w:rFonts w:hint="eastAsia" w:ascii="仿宋_GB2312" w:hAnsi="仿宋" w:eastAsia="仿宋_GB2312" w:cs="仿宋_GB2312"/>
          <w:sz w:val="32"/>
          <w:szCs w:val="32"/>
          <w:lang w:eastAsia="zh-CN"/>
        </w:rPr>
        <w:t>牢固树立总体国家安全观，依法严惩各类刑事犯罪，推动常态化扫黑除恶走深走实，助推建设更高水平的平安朝天、法治朝天。全面、完整、准确贯彻新发展理念，创新完善司法服务保障措施，持续优化法治化营商环境，支持“惠民惠企”政策落地，护航朝天经济社会高质量发展。</w:t>
      </w:r>
    </w:p>
    <w:p>
      <w:pPr>
        <w:spacing w:line="576" w:lineRule="exact"/>
        <w:ind w:firstLine="642" w:firstLineChars="200"/>
        <w:rPr>
          <w:rFonts w:ascii="仿宋_GB2312" w:hAnsi="仿宋" w:eastAsia="仿宋_GB2312" w:cs="仿宋_GB2312"/>
          <w:sz w:val="32"/>
          <w:szCs w:val="32"/>
          <w:lang w:eastAsia="zh-CN"/>
        </w:rPr>
      </w:pPr>
      <w:r>
        <w:rPr>
          <w:rFonts w:hint="eastAsia" w:ascii="仿宋_GB2312" w:hAnsi="仿宋" w:eastAsia="仿宋_GB2312" w:cs="仿宋_GB2312"/>
          <w:b/>
          <w:bCs/>
          <w:sz w:val="32"/>
          <w:szCs w:val="32"/>
          <w:lang w:eastAsia="zh-CN"/>
        </w:rPr>
        <w:t>三是以更实举措践行司法为民。</w:t>
      </w:r>
      <w:r>
        <w:rPr>
          <w:rFonts w:hint="eastAsia" w:ascii="仿宋_GB2312" w:hAnsi="仿宋" w:eastAsia="仿宋_GB2312" w:cs="仿宋_GB2312"/>
          <w:sz w:val="32"/>
          <w:szCs w:val="32"/>
          <w:lang w:eastAsia="zh-CN"/>
        </w:rPr>
        <w:t>加大民生司法保障力度，发挥司法教育指引功能，以案释法、以案普法，大力弘扬社会主义核心价值观。扎实开展新时代“枫桥式人民法庭”创建，创新丰富司法便民利民举措，扎实推进一站式建设、人民法庭建设，加快推进执行难综合治理、源头治理，满足人民群众司法诉求。</w:t>
      </w:r>
    </w:p>
    <w:p>
      <w:pPr>
        <w:spacing w:line="576" w:lineRule="exact"/>
        <w:ind w:firstLine="642" w:firstLineChars="200"/>
        <w:rPr>
          <w:rFonts w:ascii="仿宋_GB2312" w:hAnsi="仿宋" w:eastAsia="仿宋_GB2312" w:cs="仿宋_GB2312"/>
          <w:sz w:val="32"/>
          <w:szCs w:val="32"/>
          <w:lang w:eastAsia="zh-CN"/>
        </w:rPr>
      </w:pPr>
      <w:r>
        <w:rPr>
          <w:rFonts w:hint="eastAsia" w:ascii="仿宋_GB2312" w:hAnsi="仿宋" w:eastAsia="仿宋_GB2312" w:cs="仿宋_GB2312"/>
          <w:b/>
          <w:bCs/>
          <w:sz w:val="32"/>
          <w:szCs w:val="32"/>
          <w:lang w:eastAsia="zh-CN"/>
        </w:rPr>
        <w:t>四是以更严要求推进管党治警。</w:t>
      </w:r>
      <w:r>
        <w:rPr>
          <w:rFonts w:hint="eastAsia" w:ascii="仿宋_GB2312" w:hAnsi="仿宋" w:eastAsia="仿宋_GB2312" w:cs="仿宋_GB2312"/>
          <w:sz w:val="32"/>
          <w:szCs w:val="32"/>
          <w:lang w:eastAsia="zh-CN"/>
        </w:rPr>
        <w:t>持续加强班子建设，发挥“头雁”效应，狠抓工作落实，强化考评考核，切实提升凝聚力战斗力执行力。持续推进顽瘴痼疾排查整治，加强队伍正规化、专业化、职业化建设，提高干警服务大局、化解矛盾、解决问题的能力。</w:t>
      </w:r>
    </w:p>
    <w:p>
      <w:pPr>
        <w:spacing w:line="576" w:lineRule="exact"/>
        <w:ind w:firstLine="642" w:firstLineChars="200"/>
        <w:rPr>
          <w:rFonts w:ascii="仿宋_GB2312" w:hAnsi="仿宋" w:eastAsia="仿宋_GB2312" w:cs="仿宋_GB2312"/>
          <w:sz w:val="32"/>
          <w:szCs w:val="32"/>
          <w:lang w:eastAsia="zh-CN"/>
        </w:rPr>
      </w:pPr>
      <w:r>
        <w:rPr>
          <w:rFonts w:hint="eastAsia" w:ascii="仿宋_GB2312" w:hAnsi="仿宋" w:eastAsia="仿宋_GB2312" w:cs="仿宋_GB2312"/>
          <w:b/>
          <w:bCs/>
          <w:sz w:val="32"/>
          <w:szCs w:val="32"/>
          <w:lang w:eastAsia="zh-CN"/>
        </w:rPr>
        <w:t>五是以更大力度推进审判法庭建设。</w:t>
      </w:r>
      <w:r>
        <w:rPr>
          <w:rFonts w:hint="eastAsia" w:ascii="仿宋_GB2312" w:hAnsi="仿宋" w:eastAsia="仿宋_GB2312" w:cs="仿宋_GB2312"/>
          <w:sz w:val="32"/>
          <w:szCs w:val="32"/>
          <w:lang w:eastAsia="zh-CN"/>
        </w:rPr>
        <w:t>主动向上级法院和相关主管部门沟通汇报，积极争取政策支持，推动室内装修标准化和信息化建设立项工作，尽早启动项目招投标工作，确保审判法庭如期全面建成。</w:t>
      </w:r>
    </w:p>
    <w:p>
      <w:pPr>
        <w:pStyle w:val="4"/>
        <w:spacing w:before="0" w:line="576" w:lineRule="exact"/>
        <w:rPr>
          <w:rStyle w:val="30"/>
          <w:b w:val="0"/>
          <w:bCs w:val="0"/>
          <w:sz w:val="32"/>
          <w:szCs w:val="32"/>
          <w:lang w:eastAsia="zh-CN"/>
        </w:rPr>
      </w:pPr>
      <w:bookmarkStart w:id="21" w:name="_Toc177051549"/>
      <w:r>
        <w:rPr>
          <w:rFonts w:hint="eastAsia" w:ascii="黑体" w:eastAsia="黑体"/>
          <w:b w:val="0"/>
          <w:sz w:val="32"/>
          <w:szCs w:val="32"/>
          <w:lang w:eastAsia="zh-CN"/>
        </w:rPr>
        <w:t>二、</w:t>
      </w:r>
      <w:r>
        <w:rPr>
          <w:rFonts w:hint="eastAsia" w:ascii="黑体" w:hAnsi="黑体" w:eastAsia="黑体"/>
          <w:b w:val="0"/>
          <w:sz w:val="32"/>
          <w:szCs w:val="32"/>
          <w:lang w:eastAsia="zh-CN"/>
        </w:rPr>
        <w:t>机</w:t>
      </w:r>
      <w:r>
        <w:rPr>
          <w:rStyle w:val="30"/>
          <w:rFonts w:hint="eastAsia" w:ascii="黑体" w:hAnsi="黑体" w:eastAsia="黑体"/>
          <w:b w:val="0"/>
          <w:bCs w:val="0"/>
          <w:sz w:val="32"/>
          <w:szCs w:val="32"/>
          <w:lang w:eastAsia="zh-CN"/>
        </w:rPr>
        <w:t>构设置</w:t>
      </w:r>
      <w:bookmarkEnd w:id="18"/>
      <w:bookmarkEnd w:id="19"/>
      <w:bookmarkEnd w:id="20"/>
      <w:bookmarkEnd w:id="21"/>
    </w:p>
    <w:p>
      <w:pPr>
        <w:pBdr>
          <w:bottom w:val="single" w:color="FFFFFF" w:sz="8" w:space="31"/>
        </w:pBdr>
        <w:shd w:val="clear" w:color="auto" w:fill="FFFFFF"/>
        <w:spacing w:line="560" w:lineRule="exact"/>
        <w:ind w:firstLine="640" w:firstLineChars="200"/>
        <w:rPr>
          <w:rFonts w:ascii="仿宋_GB2312" w:hAnsi="仿宋_GB2312" w:eastAsia="仿宋_GB2312" w:cs="仿宋_GB2312"/>
          <w:sz w:val="32"/>
          <w:szCs w:val="32"/>
          <w:lang w:eastAsia="zh-CN"/>
        </w:rPr>
      </w:pPr>
      <w:bookmarkStart w:id="22" w:name="_Toc177051550"/>
      <w:r>
        <w:rPr>
          <w:rFonts w:hint="eastAsia" w:ascii="仿宋_GB2312" w:hAnsi="仿宋_GB2312" w:eastAsia="仿宋_GB2312" w:cs="仿宋_GB2312"/>
          <w:sz w:val="32"/>
          <w:szCs w:val="32"/>
          <w:lang w:eastAsia="zh-CN"/>
        </w:rPr>
        <w:t>我单位属广元市朝天区人民法院部门二级预算单位，</w:t>
      </w:r>
      <w:r>
        <w:rPr>
          <w:rFonts w:hint="eastAsia" w:ascii="仿宋_GB2312" w:eastAsia="仿宋_GB2312"/>
          <w:sz w:val="32"/>
          <w:szCs w:val="32"/>
          <w:lang w:eastAsia="zh-CN"/>
        </w:rPr>
        <w:t>无下属单位。全院</w:t>
      </w:r>
      <w:r>
        <w:rPr>
          <w:rFonts w:hint="eastAsia" w:ascii="仿宋_GB2312" w:hAnsi="仿宋_GB2312" w:eastAsia="仿宋_GB2312" w:cs="仿宋_GB2312"/>
          <w:sz w:val="32"/>
          <w:szCs w:val="32"/>
          <w:lang w:eastAsia="zh-CN"/>
        </w:rPr>
        <w:t>总编制46名，其中政法专项编制42名，事业编制4名。实有人数48人，其中政法专项编制人员38名，事业人员4人，工勤人员6人。设有内设机构6个。</w:t>
      </w:r>
      <w:bookmarkEnd w:id="22"/>
    </w:p>
    <w:p>
      <w:pPr>
        <w:rPr>
          <w:rFonts w:hint="eastAsia" w:ascii="仿宋" w:hAnsi="仿宋" w:eastAsia="仿宋"/>
          <w:sz w:val="32"/>
          <w:szCs w:val="32"/>
          <w:lang w:eastAsia="zh-CN"/>
        </w:rPr>
      </w:pPr>
    </w:p>
    <w:p>
      <w:pPr>
        <w:rPr>
          <w:rFonts w:hint="eastAsia" w:ascii="仿宋" w:hAnsi="仿宋" w:eastAsia="仿宋"/>
          <w:sz w:val="32"/>
          <w:szCs w:val="32"/>
          <w:lang w:eastAsia="zh-CN"/>
        </w:rPr>
      </w:pPr>
    </w:p>
    <w:p>
      <w:pPr>
        <w:rPr>
          <w:rFonts w:ascii="仿宋" w:hAnsi="仿宋" w:eastAsia="仿宋"/>
          <w:sz w:val="32"/>
          <w:szCs w:val="32"/>
          <w:lang w:eastAsia="zh-CN"/>
        </w:rPr>
      </w:pPr>
      <w:r>
        <w:rPr>
          <w:rFonts w:ascii="仿宋" w:hAnsi="仿宋" w:eastAsia="仿宋"/>
          <w:sz w:val="32"/>
          <w:szCs w:val="32"/>
          <w:lang w:eastAsia="zh-CN"/>
        </w:rPr>
        <w:br w:type="page"/>
      </w:r>
    </w:p>
    <w:p>
      <w:pPr>
        <w:pStyle w:val="3"/>
        <w:jc w:val="center"/>
        <w:rPr>
          <w:rFonts w:ascii="黑体" w:hAnsi="黑体" w:eastAsia="黑体"/>
          <w:sz w:val="32"/>
          <w:szCs w:val="32"/>
          <w:lang w:eastAsia="zh-CN"/>
        </w:rPr>
      </w:pPr>
      <w:bookmarkStart w:id="23" w:name="_Toc177051551"/>
      <w:bookmarkStart w:id="24" w:name="_Toc7376"/>
      <w:r>
        <w:rPr>
          <w:rFonts w:hint="eastAsia" w:ascii="黑体" w:hAnsi="黑体" w:eastAsia="黑体"/>
          <w:b w:val="0"/>
          <w:sz w:val="44"/>
          <w:szCs w:val="44"/>
          <w:lang w:eastAsia="zh-CN"/>
        </w:rPr>
        <w:t>第二部分 2023年度单位决算情况说明</w:t>
      </w:r>
      <w:bookmarkEnd w:id="23"/>
      <w:bookmarkEnd w:id="24"/>
      <w:bookmarkStart w:id="25" w:name="_Toc15396603"/>
      <w:bookmarkStart w:id="26" w:name="_Toc15377205"/>
      <w:bookmarkStart w:id="27" w:name="_Toc314"/>
      <w:bookmarkStart w:id="28" w:name="_Toc177051552"/>
    </w:p>
    <w:bookmarkEnd w:id="25"/>
    <w:bookmarkEnd w:id="26"/>
    <w:bookmarkEnd w:id="27"/>
    <w:bookmarkEnd w:id="28"/>
    <w:p>
      <w:pPr>
        <w:rPr>
          <w:lang w:eastAsia="zh-CN"/>
        </w:rPr>
      </w:pPr>
      <w:bookmarkStart w:id="29" w:name="_Toc177051570"/>
      <w:bookmarkStart w:id="30" w:name="_Toc26636"/>
      <w:bookmarkStart w:id="31" w:name="_Toc15377225"/>
      <w:bookmarkStart w:id="32" w:name="_Toc15396613"/>
    </w:p>
    <w:p>
      <w:pPr>
        <w:spacing w:line="440" w:lineRule="exact"/>
        <w:jc w:val="center"/>
        <w:rPr>
          <w:rFonts w:ascii="仿宋" w:hAnsi="仿宋" w:eastAsia="仿宋"/>
          <w:sz w:val="24"/>
          <w:szCs w:val="28"/>
          <w:lang w:eastAsia="zh-CN"/>
        </w:rPr>
      </w:pPr>
      <w:bookmarkStart w:id="33" w:name="_Toc20573"/>
      <w:bookmarkStart w:id="34" w:name="_Toc177054918"/>
      <w:r>
        <w:rPr>
          <w:rFonts w:hint="eastAsia" w:ascii="黑体" w:hAnsi="黑体" w:eastAsia="黑体"/>
          <w:sz w:val="44"/>
          <w:szCs w:val="44"/>
          <w:lang w:eastAsia="zh-CN"/>
        </w:rPr>
        <w:t>第一部分 部门概况</w:t>
      </w:r>
      <w:bookmarkEnd w:id="33"/>
      <w:bookmarkEnd w:id="34"/>
    </w:p>
    <w:p>
      <w:pPr>
        <w:pStyle w:val="4"/>
        <w:rPr>
          <w:rStyle w:val="34"/>
          <w:rFonts w:ascii="黑体" w:hAnsi="黑体" w:eastAsia="黑体" w:cstheme="majorBidi"/>
          <w:b w:val="0"/>
          <w:bCs w:val="0"/>
          <w:kern w:val="0"/>
          <w:lang w:eastAsia="zh-CN"/>
        </w:rPr>
      </w:pPr>
      <w:bookmarkStart w:id="35" w:name="_Toc177054919"/>
      <w:r>
        <w:rPr>
          <w:rFonts w:hint="eastAsia" w:ascii="黑体" w:hAnsi="黑体" w:eastAsia="黑体"/>
          <w:sz w:val="32"/>
          <w:szCs w:val="32"/>
          <w:lang w:eastAsia="zh-CN"/>
        </w:rPr>
        <w:t>一、部门职责</w:t>
      </w:r>
      <w:bookmarkEnd w:id="35"/>
    </w:p>
    <w:p>
      <w:pPr>
        <w:pStyle w:val="2"/>
        <w:adjustRightInd w:val="0"/>
        <w:snapToGrid w:val="0"/>
        <w:spacing w:before="130" w:line="576" w:lineRule="exact"/>
        <w:ind w:firstLine="640" w:firstLineChars="200"/>
        <w:outlineLvl w:val="2"/>
        <w:rPr>
          <w:rFonts w:hAnsi="仿宋"/>
          <w:bCs/>
          <w:sz w:val="32"/>
          <w:szCs w:val="32"/>
          <w:lang w:eastAsia="zh-CN"/>
        </w:rPr>
      </w:pPr>
      <w:bookmarkStart w:id="36" w:name="_Toc177054920"/>
      <w:r>
        <w:rPr>
          <w:rFonts w:hint="eastAsia" w:hAnsi="仿宋"/>
          <w:bCs/>
          <w:sz w:val="32"/>
          <w:szCs w:val="32"/>
          <w:lang w:eastAsia="zh-CN"/>
        </w:rPr>
        <w:t>（一）主要职能。</w:t>
      </w:r>
      <w:bookmarkEnd w:id="36"/>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1）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（2）依法审判法律规定由本院管辖和指定管辖的刑事、民事、行政等案件。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（3）受理不服本院生效裁判的各类申诉和再审申请，对其中可能有错误的进行再审；审判市中级法院指定审理和再审的案件。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（4）依法行使司法执行权和司法决定权。</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（5）对本院的法官、司法警察和其他工作人员进行教育、管理和培训工作。</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（6）对本院的法官、司法警察和其他工作人员实施廉政建设教育和纪检监察工作，报处和查处本院干警违纪案件。</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（7）在审判工作中宣传法制、教育公民遵守宪法、法律。</w:t>
      </w:r>
    </w:p>
    <w:p>
      <w:pPr>
        <w:spacing w:line="576" w:lineRule="exact"/>
        <w:ind w:firstLine="640" w:firstLineChars="200"/>
        <w:rPr>
          <w:rFonts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（8）规划、管理本院财务、装备工作。</w:t>
      </w:r>
    </w:p>
    <w:p>
      <w:pPr>
        <w:spacing w:line="576" w:lineRule="exact"/>
        <w:ind w:firstLine="640" w:firstLineChars="200"/>
        <w:rPr>
          <w:rFonts w:ascii="仿宋_GB2312" w:hAnsi="仿宋" w:eastAsia="仿宋_GB2312"/>
          <w:bCs/>
          <w:sz w:val="32"/>
          <w:szCs w:val="32"/>
          <w:lang w:eastAsia="zh-CN"/>
        </w:rPr>
      </w:pPr>
      <w:r>
        <w:rPr>
          <w:rFonts w:hint="eastAsia" w:ascii="仿宋_GB2312" w:hAnsi="仿宋_GB2312" w:eastAsia="仿宋_GB2312" w:cs="仿宋_GB2312"/>
          <w:color w:val="000000"/>
          <w:sz w:val="32"/>
          <w:szCs w:val="32"/>
          <w:lang w:eastAsia="zh-CN"/>
        </w:rPr>
        <w:t>（9）承办其他应由本院负责的工作。</w:t>
      </w:r>
    </w:p>
    <w:p>
      <w:pPr>
        <w:pStyle w:val="4"/>
        <w:rPr>
          <w:rFonts w:ascii="黑体" w:hAnsi="黑体" w:eastAsia="黑体"/>
          <w:sz w:val="32"/>
          <w:szCs w:val="32"/>
          <w:lang w:eastAsia="zh-CN"/>
        </w:rPr>
      </w:pPr>
      <w:bookmarkStart w:id="37" w:name="_Toc177054922"/>
      <w:r>
        <w:rPr>
          <w:rFonts w:hint="eastAsia" w:ascii="黑体" w:hAnsi="黑体" w:eastAsia="黑体"/>
          <w:sz w:val="32"/>
          <w:szCs w:val="32"/>
          <w:lang w:eastAsia="zh-CN"/>
        </w:rPr>
        <w:t>二、机构设置</w:t>
      </w:r>
      <w:bookmarkEnd w:id="37"/>
    </w:p>
    <w:p>
      <w:pPr>
        <w:pBdr>
          <w:bottom w:val="single" w:color="FFFFFF" w:sz="8" w:space="31"/>
        </w:pBdr>
        <w:shd w:val="clear" w:color="auto"/>
        <w:spacing w:line="560" w:lineRule="exact"/>
        <w:ind w:firstLine="640" w:firstLineChars="200"/>
        <w:rPr>
          <w:rFonts w:hint="eastAsia" w:ascii="仿宋_GB2312" w:hAnsi="仿宋_GB2312" w:eastAsia="仿宋_GB2312" w:cs="仿宋_GB2312"/>
          <w:sz w:val="32"/>
          <w:szCs w:val="32"/>
          <w:lang w:eastAsia="zh-CN"/>
        </w:rPr>
      </w:pPr>
      <w:bookmarkStart w:id="38" w:name="_Toc15396602"/>
      <w:bookmarkStart w:id="39" w:name="_Toc15377204"/>
      <w:r>
        <w:rPr>
          <w:rFonts w:hint="eastAsia" w:ascii="仿宋_GB2312" w:hAnsi="仿宋_GB2312" w:eastAsia="仿宋_GB2312" w:cs="仿宋_GB2312"/>
          <w:sz w:val="32"/>
          <w:szCs w:val="32"/>
          <w:lang w:eastAsia="zh-CN"/>
        </w:rPr>
        <w:t>广元市朝天区人民法院部门为一级预算单位，</w:t>
      </w:r>
      <w:r>
        <w:rPr>
          <w:rFonts w:hint="eastAsia" w:ascii="仿宋_GB2312" w:eastAsia="仿宋_GB2312"/>
          <w:sz w:val="32"/>
          <w:szCs w:val="32"/>
          <w:lang w:eastAsia="zh-CN"/>
        </w:rPr>
        <w:t>下属二级预算单位</w:t>
      </w:r>
      <w:r>
        <w:rPr>
          <w:rFonts w:hint="eastAsia" w:ascii="仿宋_GB2312" w:eastAsia="仿宋_GB2312"/>
          <w:sz w:val="32"/>
          <w:szCs w:val="32"/>
          <w:lang w:val="en-US" w:eastAsia="zh-CN"/>
        </w:rPr>
        <w:t>1个为广元市朝天区人民法院</w:t>
      </w:r>
      <w:r>
        <w:rPr>
          <w:rFonts w:hint="eastAsia" w:ascii="仿宋_GB2312" w:eastAsia="仿宋_GB2312"/>
          <w:sz w:val="32"/>
          <w:szCs w:val="32"/>
          <w:lang w:eastAsia="zh-CN"/>
        </w:rPr>
        <w:t>。全院</w:t>
      </w:r>
      <w:r>
        <w:rPr>
          <w:rFonts w:hint="eastAsia" w:ascii="仿宋_GB2312" w:hAnsi="仿宋_GB2312" w:eastAsia="仿宋_GB2312" w:cs="仿宋_GB2312"/>
          <w:sz w:val="32"/>
          <w:szCs w:val="32"/>
          <w:lang w:eastAsia="zh-CN"/>
        </w:rPr>
        <w:t>总编制46名，其中政法专项编制42名，事业编制4名。实有人数48人，其中政法专项编制人员38名，事业人员4人，工勤人员6人。</w:t>
      </w:r>
    </w:p>
    <w:p>
      <w:pPr>
        <w:pStyle w:val="3"/>
        <w:ind w:right="440"/>
        <w:jc w:val="center"/>
        <w:rPr>
          <w:rFonts w:ascii="黑体" w:hAnsi="黑体" w:eastAsia="黑体"/>
          <w:b/>
          <w:lang w:eastAsia="zh-CN"/>
        </w:rPr>
      </w:pPr>
    </w:p>
    <w:p>
      <w:pPr>
        <w:pStyle w:val="3"/>
        <w:ind w:right="440"/>
        <w:jc w:val="center"/>
        <w:rPr>
          <w:rFonts w:ascii="黑体" w:hAnsi="黑体" w:eastAsia="黑体"/>
          <w:b/>
          <w:lang w:eastAsia="zh-CN"/>
        </w:rPr>
      </w:pPr>
    </w:p>
    <w:p>
      <w:pPr>
        <w:pStyle w:val="3"/>
        <w:ind w:right="440"/>
        <w:jc w:val="center"/>
        <w:rPr>
          <w:rFonts w:ascii="黑体" w:hAnsi="黑体" w:eastAsia="黑体"/>
          <w:b/>
          <w:lang w:eastAsia="zh-CN"/>
        </w:rPr>
      </w:pPr>
    </w:p>
    <w:p>
      <w:pPr>
        <w:pStyle w:val="3"/>
        <w:ind w:right="440"/>
        <w:jc w:val="center"/>
        <w:rPr>
          <w:rFonts w:ascii="黑体" w:hAnsi="黑体" w:eastAsia="黑体"/>
          <w:b/>
          <w:lang w:eastAsia="zh-CN"/>
        </w:rPr>
      </w:pPr>
    </w:p>
    <w:p>
      <w:pPr>
        <w:pStyle w:val="3"/>
        <w:ind w:right="440"/>
        <w:jc w:val="center"/>
        <w:rPr>
          <w:rFonts w:ascii="黑体" w:hAnsi="黑体" w:eastAsia="黑体"/>
          <w:b/>
          <w:lang w:eastAsia="zh-CN"/>
        </w:rPr>
      </w:pPr>
    </w:p>
    <w:p>
      <w:pPr>
        <w:pStyle w:val="3"/>
        <w:ind w:right="440"/>
        <w:jc w:val="center"/>
        <w:rPr>
          <w:rFonts w:ascii="黑体" w:hAnsi="黑体" w:eastAsia="黑体"/>
          <w:b/>
          <w:lang w:eastAsia="zh-CN"/>
        </w:rPr>
      </w:pPr>
    </w:p>
    <w:p>
      <w:pPr>
        <w:rPr>
          <w:lang w:eastAsia="zh-CN"/>
        </w:rPr>
      </w:pPr>
    </w:p>
    <w:p>
      <w:pPr>
        <w:rPr>
          <w:lang w:eastAsia="zh-CN"/>
        </w:rPr>
      </w:pPr>
    </w:p>
    <w:p>
      <w:pPr>
        <w:rPr>
          <w:lang w:eastAsia="zh-CN"/>
        </w:rPr>
      </w:pPr>
    </w:p>
    <w:p>
      <w:pPr>
        <w:pStyle w:val="3"/>
        <w:jc w:val="center"/>
        <w:rPr>
          <w:rFonts w:ascii="黑体" w:hAnsi="黑体" w:eastAsia="黑体"/>
          <w:sz w:val="44"/>
          <w:szCs w:val="44"/>
          <w:lang w:eastAsia="zh-CN"/>
        </w:rPr>
      </w:pPr>
      <w:bookmarkStart w:id="40" w:name="_Toc177054924"/>
      <w:r>
        <w:rPr>
          <w:rFonts w:hint="eastAsia" w:ascii="黑体" w:hAnsi="黑体" w:eastAsia="黑体"/>
          <w:sz w:val="44"/>
          <w:szCs w:val="44"/>
          <w:lang w:eastAsia="zh-CN"/>
        </w:rPr>
        <w:t>第二部分 2023年度部门决算情况说明</w:t>
      </w:r>
      <w:bookmarkEnd w:id="38"/>
      <w:bookmarkEnd w:id="39"/>
      <w:bookmarkEnd w:id="40"/>
    </w:p>
    <w:p>
      <w:pPr>
        <w:pStyle w:val="4"/>
        <w:rPr>
          <w:rFonts w:ascii="黑体" w:hAnsi="黑体" w:eastAsia="黑体"/>
          <w:b/>
          <w:sz w:val="32"/>
          <w:szCs w:val="32"/>
          <w:lang w:eastAsia="zh-CN"/>
        </w:rPr>
      </w:pPr>
      <w:bookmarkStart w:id="41" w:name="_Toc177054925"/>
      <w:r>
        <w:rPr>
          <w:rFonts w:hint="eastAsia" w:ascii="黑体" w:hAnsi="黑体" w:eastAsia="黑体"/>
          <w:sz w:val="32"/>
          <w:szCs w:val="32"/>
          <w:lang w:eastAsia="zh-CN"/>
        </w:rPr>
        <w:t>一、收入支出决算总体情况说明</w:t>
      </w:r>
      <w:bookmarkEnd w:id="41"/>
    </w:p>
    <w:p>
      <w:pPr>
        <w:spacing w:line="600" w:lineRule="exact"/>
        <w:ind w:firstLine="640" w:firstLineChars="200"/>
        <w:rPr>
          <w:rFonts w:ascii="仿宋_GB2312" w:hAnsi="仿宋" w:eastAsia="仿宋_GB2312"/>
          <w:sz w:val="32"/>
          <w:szCs w:val="32"/>
          <w:lang w:eastAsia="zh-CN"/>
        </w:rPr>
      </w:pPr>
      <w:r>
        <w:rPr>
          <w:rFonts w:hint="eastAsia" w:ascii="仿宋_GB2312" w:hAnsi="仿宋" w:eastAsia="仿宋_GB2312"/>
          <w:sz w:val="32"/>
          <w:szCs w:val="32"/>
          <w:lang w:eastAsia="zh-CN"/>
        </w:rPr>
        <w:t>2023年度收、支总计2085.81万元。与2022年相比，收、支总计各增加874.64万元，增长72.2%。主要变动原因是2023年财政拨付的审判法庭与金堆新区停车场及配套设施合建项目款项增加；2、人员增加。</w:t>
      </w:r>
    </w:p>
    <w:p>
      <w:pPr>
        <w:pStyle w:val="18"/>
        <w:rPr>
          <w:lang w:eastAsia="zh-CN"/>
        </w:rPr>
      </w:pPr>
    </w:p>
    <w:p>
      <w:pPr>
        <w:pStyle w:val="18"/>
        <w:rPr>
          <w:rFonts w:ascii="仿宋" w:hAnsi="仿宋" w:eastAsia="仿宋"/>
          <w:sz w:val="32"/>
          <w:szCs w:val="32"/>
        </w:rPr>
      </w:pPr>
      <w:r>
        <w:rPr>
          <w:rFonts w:ascii="仿宋" w:hAnsi="仿宋" w:eastAsia="仿宋"/>
          <w:sz w:val="32"/>
          <w:szCs w:val="32"/>
          <w:lang w:eastAsia="zh-CN" w:bidi="ar-SA"/>
        </w:rPr>
        <w:drawing>
          <wp:inline distT="0" distB="0" distL="0" distR="0">
            <wp:extent cx="5486400" cy="3200400"/>
            <wp:effectExtent l="4445" t="4445" r="14605" b="1460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w:t>
      </w:r>
      <w:r>
        <w:rPr>
          <w:rFonts w:ascii="仿宋" w:hAnsi="仿宋" w:eastAsia="仿宋"/>
          <w:sz w:val="32"/>
          <w:szCs w:val="32"/>
          <w:lang w:eastAsia="zh-CN"/>
        </w:rPr>
        <w:t>1</w:t>
      </w:r>
      <w:r>
        <w:rPr>
          <w:rFonts w:hint="eastAsia" w:ascii="仿宋" w:hAnsi="仿宋" w:eastAsia="仿宋"/>
          <w:sz w:val="32"/>
          <w:szCs w:val="32"/>
          <w:lang w:eastAsia="zh-CN"/>
        </w:rPr>
        <w:t>：收、支决算总计变动情况图）</w:t>
      </w:r>
    </w:p>
    <w:p>
      <w:pPr>
        <w:pStyle w:val="4"/>
        <w:rPr>
          <w:rFonts w:ascii="黑体" w:hAnsi="黑体" w:eastAsia="黑体"/>
          <w:b/>
          <w:sz w:val="32"/>
          <w:szCs w:val="32"/>
          <w:lang w:eastAsia="zh-CN"/>
        </w:rPr>
      </w:pPr>
      <w:bookmarkStart w:id="42" w:name="_Toc15396604"/>
      <w:bookmarkStart w:id="43" w:name="_Toc177054926"/>
      <w:bookmarkStart w:id="44" w:name="_Toc15377206"/>
      <w:bookmarkStart w:id="45" w:name="_Toc22056"/>
      <w:r>
        <w:rPr>
          <w:rFonts w:hint="eastAsia" w:ascii="黑体" w:hAnsi="黑体" w:eastAsia="黑体"/>
          <w:sz w:val="32"/>
          <w:szCs w:val="32"/>
          <w:lang w:eastAsia="zh-CN"/>
        </w:rPr>
        <w:t>二、收入决算情况说明</w:t>
      </w:r>
      <w:bookmarkEnd w:id="42"/>
      <w:bookmarkEnd w:id="43"/>
      <w:bookmarkEnd w:id="44"/>
      <w:bookmarkEnd w:id="45"/>
    </w:p>
    <w:p>
      <w:pPr>
        <w:spacing w:line="600" w:lineRule="exact"/>
        <w:ind w:firstLine="640" w:firstLineChars="200"/>
        <w:rPr>
          <w:rFonts w:ascii="仿宋_GB2312" w:hAnsi="仿宋" w:eastAsia="仿宋_GB2312"/>
          <w:sz w:val="32"/>
          <w:szCs w:val="32"/>
          <w:lang w:eastAsia="zh-CN"/>
        </w:rPr>
      </w:pPr>
      <w:r>
        <w:rPr>
          <w:rFonts w:hint="eastAsia" w:ascii="仿宋_GB2312" w:hAnsi="仿宋" w:eastAsia="仿宋_GB2312"/>
          <w:sz w:val="32"/>
          <w:szCs w:val="32"/>
          <w:lang w:eastAsia="zh-CN"/>
        </w:rPr>
        <w:t>2023年度本年收入合计2085.81万元，其中：一般公共预算财政拨款收入1249.35万元，占60%；其他收入836.45，占40%。</w:t>
      </w:r>
    </w:p>
    <w:p>
      <w:r>
        <w:rPr>
          <w:rFonts w:hint="eastAsia"/>
          <w:lang w:eastAsia="zh-CN" w:bidi="ar-SA"/>
        </w:rPr>
        <w:drawing>
          <wp:inline distT="0" distB="0" distL="0" distR="0">
            <wp:extent cx="5486400" cy="3200400"/>
            <wp:effectExtent l="4445" t="4445" r="1460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（图2：收入决算结构图）</w:t>
      </w:r>
    </w:p>
    <w:p>
      <w:pPr>
        <w:pStyle w:val="4"/>
        <w:rPr>
          <w:rFonts w:ascii="黑体" w:hAnsi="黑体" w:eastAsia="黑体"/>
          <w:b/>
          <w:sz w:val="32"/>
          <w:szCs w:val="32"/>
          <w:lang w:eastAsia="zh-CN"/>
        </w:rPr>
      </w:pPr>
      <w:bookmarkStart w:id="46" w:name="_Toc15377207"/>
      <w:bookmarkStart w:id="47" w:name="_Toc29644"/>
      <w:bookmarkStart w:id="48" w:name="_Toc177054927"/>
      <w:bookmarkStart w:id="49" w:name="_Toc15396605"/>
      <w:r>
        <w:rPr>
          <w:rFonts w:hint="eastAsia" w:ascii="黑体" w:hAnsi="黑体" w:eastAsia="黑体"/>
          <w:sz w:val="32"/>
          <w:szCs w:val="32"/>
          <w:lang w:eastAsia="zh-CN"/>
        </w:rPr>
        <w:t>三、支出决算情况说明</w:t>
      </w:r>
      <w:bookmarkEnd w:id="46"/>
      <w:bookmarkEnd w:id="47"/>
      <w:bookmarkEnd w:id="48"/>
      <w:bookmarkEnd w:id="49"/>
    </w:p>
    <w:p>
      <w:pPr>
        <w:spacing w:line="600" w:lineRule="exact"/>
        <w:ind w:firstLine="640" w:firstLineChars="200"/>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2023年本年支出合计2085.81元，其中：基本支出1102.96</w:t>
      </w:r>
    </w:p>
    <w:p>
      <w:pPr>
        <w:spacing w:line="6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万元，占52.88%；项目支出982.85万元，占47.12%。</w:t>
      </w:r>
    </w:p>
    <w:p>
      <w:pPr>
        <w:pStyle w:val="18"/>
      </w:pPr>
      <w:r>
        <w:rPr>
          <w:lang w:eastAsia="zh-CN" w:bidi="ar-SA"/>
        </w:rPr>
        <w:drawing>
          <wp:inline distT="0" distB="0" distL="0" distR="0">
            <wp:extent cx="5543550" cy="3200400"/>
            <wp:effectExtent l="4445" t="4445" r="14605" b="1460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jc w:val="center"/>
        <w:rPr>
          <w:rFonts w:ascii="仿宋" w:hAnsi="仿宋" w:eastAsia="仿宋"/>
          <w:sz w:val="32"/>
          <w:szCs w:val="32"/>
          <w:lang w:eastAsia="zh-CN"/>
        </w:rPr>
      </w:pPr>
      <w:r>
        <w:rPr>
          <w:rFonts w:hint="eastAsia" w:ascii="仿宋" w:hAnsi="仿宋" w:eastAsia="仿宋"/>
          <w:sz w:val="32"/>
          <w:szCs w:val="32"/>
          <w:lang w:eastAsia="zh-CN"/>
        </w:rPr>
        <w:t>（图3：支出决算结构图）</w:t>
      </w:r>
    </w:p>
    <w:p>
      <w:pPr>
        <w:pStyle w:val="4"/>
        <w:rPr>
          <w:rFonts w:ascii="黑体" w:hAnsi="黑体" w:eastAsia="黑体"/>
          <w:b/>
          <w:sz w:val="32"/>
          <w:szCs w:val="32"/>
          <w:lang w:eastAsia="zh-CN"/>
        </w:rPr>
      </w:pPr>
      <w:bookmarkStart w:id="50" w:name="_Toc177054928"/>
      <w:bookmarkStart w:id="51" w:name="_Toc15396606"/>
      <w:bookmarkStart w:id="52" w:name="_Toc7371"/>
      <w:bookmarkStart w:id="53" w:name="_Toc15377208"/>
      <w:r>
        <w:rPr>
          <w:rFonts w:hint="eastAsia" w:ascii="黑体" w:hAnsi="黑体" w:eastAsia="黑体"/>
          <w:sz w:val="32"/>
          <w:szCs w:val="32"/>
          <w:lang w:eastAsia="zh-CN"/>
        </w:rPr>
        <w:t>四、财政拨款收入支出决算总体情况说明</w:t>
      </w:r>
      <w:bookmarkEnd w:id="50"/>
      <w:bookmarkEnd w:id="51"/>
      <w:bookmarkEnd w:id="52"/>
      <w:bookmarkEnd w:id="53"/>
    </w:p>
    <w:p>
      <w:pPr>
        <w:spacing w:line="600" w:lineRule="exact"/>
        <w:ind w:firstLine="640" w:firstLineChars="200"/>
        <w:rPr>
          <w:rFonts w:ascii="仿宋" w:hAnsi="仿宋" w:eastAsia="仿宋"/>
          <w:sz w:val="32"/>
          <w:szCs w:val="32"/>
          <w:lang w:eastAsia="zh-CN"/>
        </w:rPr>
      </w:pPr>
      <w:r>
        <w:rPr>
          <w:rFonts w:hint="eastAsia" w:ascii="仿宋_GB2312" w:hAnsi="仿宋_GB2312" w:eastAsia="仿宋_GB2312" w:cs="仿宋_GB2312"/>
          <w:sz w:val="32"/>
          <w:szCs w:val="32"/>
          <w:lang w:eastAsia="zh-CN"/>
        </w:rPr>
        <w:t>2023年财政拨款收、支总计1249.35万元。与2022年相比，财政拨款收、支总计各增加38.18万元，增长72.2%。主要变动原因是1、2023年财</w:t>
      </w:r>
      <w:r>
        <w:rPr>
          <w:rFonts w:hint="eastAsia" w:ascii="仿宋_GB2312" w:hAnsi="仿宋" w:eastAsia="仿宋_GB2312"/>
          <w:sz w:val="32"/>
          <w:szCs w:val="32"/>
          <w:lang w:eastAsia="zh-CN"/>
        </w:rPr>
        <w:t>政拨付的审判法庭与金堆新区停车场及配套设施合建项目款项增加；2、人员增加</w:t>
      </w:r>
      <w:r>
        <w:rPr>
          <w:rFonts w:hint="eastAsia" w:ascii="仿宋" w:hAnsi="仿宋" w:eastAsia="仿宋"/>
          <w:sz w:val="32"/>
          <w:szCs w:val="32"/>
          <w:lang w:eastAsia="zh-CN"/>
        </w:rPr>
        <w:t>。</w:t>
      </w:r>
    </w:p>
    <w:p>
      <w:pPr>
        <w:pStyle w:val="2"/>
        <w:spacing w:before="130"/>
      </w:pPr>
      <w:r>
        <w:rPr>
          <w:rFonts w:hint="eastAsia"/>
          <w:lang w:eastAsia="zh-CN" w:bidi="ar-SA"/>
        </w:rPr>
        <w:drawing>
          <wp:inline distT="0" distB="0" distL="0" distR="0">
            <wp:extent cx="5486400" cy="3200400"/>
            <wp:effectExtent l="4445" t="4445" r="1460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jc w:val="center"/>
        <w:rPr>
          <w:rFonts w:ascii="仿宋" w:hAnsi="仿宋" w:eastAsia="仿宋"/>
          <w:sz w:val="32"/>
          <w:szCs w:val="32"/>
          <w:lang w:eastAsia="zh-CN"/>
        </w:rPr>
      </w:pPr>
      <w:r>
        <w:rPr>
          <w:rFonts w:hint="eastAsia" w:ascii="仿宋" w:hAnsi="仿宋" w:eastAsia="仿宋"/>
          <w:sz w:val="32"/>
          <w:szCs w:val="32"/>
          <w:lang w:eastAsia="zh-CN"/>
        </w:rPr>
        <w:t>（图4：财政拨款收、支决算总计变动情况）</w:t>
      </w:r>
    </w:p>
    <w:p>
      <w:pPr>
        <w:pStyle w:val="4"/>
        <w:rPr>
          <w:rFonts w:ascii="黑体" w:hAnsi="黑体" w:eastAsia="黑体"/>
          <w:b/>
          <w:sz w:val="32"/>
          <w:szCs w:val="32"/>
          <w:lang w:eastAsia="zh-CN"/>
        </w:rPr>
      </w:pPr>
      <w:bookmarkStart w:id="54" w:name="_Toc15396607"/>
      <w:bookmarkStart w:id="55" w:name="_Toc15377209"/>
      <w:bookmarkStart w:id="56" w:name="_Toc177054929"/>
      <w:bookmarkStart w:id="57" w:name="_Toc22139"/>
      <w:r>
        <w:rPr>
          <w:rFonts w:hint="eastAsia" w:ascii="黑体" w:hAnsi="黑体" w:eastAsia="黑体"/>
          <w:sz w:val="32"/>
          <w:szCs w:val="32"/>
          <w:lang w:eastAsia="zh-CN"/>
        </w:rPr>
        <w:t>五、</w:t>
      </w:r>
      <w:r>
        <w:rPr>
          <w:rFonts w:hint="eastAsia" w:ascii="黑体" w:hAnsi="黑体" w:eastAsia="黑体"/>
          <w:b/>
          <w:sz w:val="32"/>
          <w:szCs w:val="32"/>
          <w:lang w:eastAsia="zh-CN"/>
        </w:rPr>
        <w:t>一</w:t>
      </w:r>
      <w:r>
        <w:rPr>
          <w:rFonts w:hint="eastAsia" w:ascii="黑体" w:hAnsi="黑体" w:eastAsia="黑体"/>
          <w:sz w:val="32"/>
          <w:szCs w:val="32"/>
          <w:lang w:eastAsia="zh-CN"/>
        </w:rPr>
        <w:t>般公共预算财政拨款支出决算情况说明</w:t>
      </w:r>
      <w:bookmarkEnd w:id="54"/>
      <w:bookmarkEnd w:id="55"/>
      <w:bookmarkEnd w:id="56"/>
      <w:bookmarkEnd w:id="57"/>
    </w:p>
    <w:p>
      <w:pPr>
        <w:spacing w:line="600" w:lineRule="exact"/>
        <w:ind w:firstLine="472" w:firstLineChars="147"/>
        <w:outlineLvl w:val="2"/>
        <w:rPr>
          <w:rFonts w:hint="eastAsia" w:ascii="仿宋_GB2312" w:hAnsi="仿宋_GB2312" w:eastAsia="仿宋_GB2312" w:cs="仿宋_GB2312"/>
          <w:b/>
          <w:sz w:val="32"/>
          <w:szCs w:val="32"/>
          <w:lang w:eastAsia="zh-CN"/>
        </w:rPr>
      </w:pPr>
      <w:bookmarkStart w:id="58" w:name="_Toc177054930"/>
      <w:bookmarkStart w:id="59" w:name="_Toc15377210"/>
      <w:r>
        <w:rPr>
          <w:rFonts w:hint="eastAsia" w:ascii="仿宋_GB2312" w:hAnsi="仿宋_GB2312" w:eastAsia="仿宋_GB2312" w:cs="仿宋_GB2312"/>
          <w:b/>
          <w:sz w:val="32"/>
          <w:szCs w:val="32"/>
          <w:lang w:eastAsia="zh-CN"/>
        </w:rPr>
        <w:t>（一）一般公共预算财政拨款支出决算总体情况</w:t>
      </w:r>
      <w:bookmarkEnd w:id="58"/>
      <w:bookmarkEnd w:id="59"/>
    </w:p>
    <w:p>
      <w:pPr>
        <w:spacing w:line="576" w:lineRule="exact"/>
        <w:ind w:firstLine="640" w:firstLineChars="200"/>
        <w:rPr>
          <w:rFonts w:ascii="仿宋" w:hAnsi="仿宋" w:eastAsia="仿宋"/>
          <w:sz w:val="32"/>
          <w:szCs w:val="32"/>
          <w:lang w:eastAsia="zh-CN"/>
        </w:rPr>
      </w:pPr>
      <w:r>
        <w:rPr>
          <w:rFonts w:hint="eastAsia" w:ascii="仿宋_GB2312" w:hAnsi="仿宋_GB2312" w:eastAsia="仿宋_GB2312" w:cs="仿宋_GB2312"/>
          <w:sz w:val="32"/>
          <w:szCs w:val="32"/>
          <w:lang w:eastAsia="zh-CN"/>
        </w:rPr>
        <w:t>2023年一般公共预算财政拨款支出2085.81万元，占本年支出合计的100%。与2022年相比，一般公共预算财政拨款支出增加874.64万元，增长72.2%。主要变动原因是2023年财政拨付的审判法庭与金堆</w:t>
      </w:r>
      <w:r>
        <w:rPr>
          <w:rFonts w:hint="eastAsia" w:ascii="仿宋_GB2312" w:hAnsi="仿宋" w:eastAsia="仿宋_GB2312"/>
          <w:sz w:val="32"/>
          <w:szCs w:val="32"/>
          <w:lang w:eastAsia="zh-CN"/>
        </w:rPr>
        <w:t>新区停车场及配套设施合建项目款项增加；2、人员增加</w:t>
      </w:r>
      <w:r>
        <w:rPr>
          <w:rFonts w:hint="eastAsia" w:ascii="仿宋" w:hAnsi="仿宋" w:eastAsia="仿宋"/>
          <w:sz w:val="32"/>
          <w:szCs w:val="32"/>
          <w:lang w:eastAsia="zh-CN"/>
        </w:rPr>
        <w:t>。</w:t>
      </w:r>
    </w:p>
    <w:p>
      <w:pPr>
        <w:pStyle w:val="18"/>
        <w:rPr>
          <w:lang w:eastAsia="zh-CN"/>
        </w:rPr>
      </w:pPr>
    </w:p>
    <w:p>
      <w:pPr>
        <w:pStyle w:val="18"/>
      </w:pPr>
      <w:r>
        <w:rPr>
          <w:lang w:eastAsia="zh-CN" w:bidi="ar-SA"/>
        </w:rPr>
        <w:drawing>
          <wp:inline distT="0" distB="0" distL="0" distR="0">
            <wp:extent cx="5486400" cy="3200400"/>
            <wp:effectExtent l="4445" t="4445" r="14605" b="14605"/>
            <wp:docPr id="17"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576" w:lineRule="exact"/>
        <w:ind w:firstLine="640" w:firstLineChars="200"/>
        <w:rPr>
          <w:rFonts w:ascii="仿宋" w:hAnsi="仿宋" w:eastAsia="仿宋"/>
          <w:sz w:val="32"/>
          <w:szCs w:val="32"/>
          <w:lang w:eastAsia="zh-CN"/>
        </w:rPr>
      </w:pPr>
      <w:r>
        <w:rPr>
          <w:rFonts w:hint="eastAsia" w:ascii="仿宋" w:hAnsi="仿宋" w:eastAsia="仿宋"/>
          <w:sz w:val="32"/>
          <w:szCs w:val="32"/>
          <w:lang w:eastAsia="zh-CN"/>
        </w:rPr>
        <w:t>（图5：一般公共预算财政拨款支出决算变动情况）</w:t>
      </w:r>
    </w:p>
    <w:p>
      <w:pPr>
        <w:spacing w:line="600" w:lineRule="exact"/>
        <w:ind w:firstLine="642" w:firstLineChars="200"/>
        <w:outlineLvl w:val="2"/>
        <w:rPr>
          <w:rFonts w:ascii="仿宋" w:hAnsi="仿宋" w:eastAsia="仿宋"/>
          <w:b/>
          <w:sz w:val="32"/>
          <w:szCs w:val="32"/>
          <w:lang w:eastAsia="zh-CN"/>
        </w:rPr>
      </w:pPr>
      <w:bookmarkStart w:id="60" w:name="_Toc15377211"/>
      <w:bookmarkStart w:id="61" w:name="_Toc177054931"/>
      <w:r>
        <w:rPr>
          <w:rFonts w:hint="eastAsia" w:ascii="仿宋" w:hAnsi="仿宋" w:eastAsia="仿宋"/>
          <w:b/>
          <w:sz w:val="32"/>
          <w:szCs w:val="32"/>
          <w:lang w:eastAsia="zh-CN"/>
        </w:rPr>
        <w:t>（二）一般公共预算财政拨款支出决算结构</w:t>
      </w:r>
      <w:bookmarkEnd w:id="60"/>
      <w:r>
        <w:rPr>
          <w:rFonts w:hint="eastAsia" w:ascii="仿宋_GB2312" w:hAnsi="仿宋_GB2312" w:eastAsia="仿宋_GB2312" w:cs="仿宋_GB2312"/>
          <w:b/>
          <w:sz w:val="32"/>
          <w:szCs w:val="32"/>
          <w:lang w:eastAsia="zh-CN"/>
        </w:rPr>
        <w:t>情况</w:t>
      </w:r>
      <w:bookmarkEnd w:id="61"/>
    </w:p>
    <w:p>
      <w:pPr>
        <w:rPr>
          <w:rFonts w:ascii="仿宋" w:hAnsi="仿宋" w:eastAsia="仿宋"/>
          <w:sz w:val="32"/>
          <w:szCs w:val="32"/>
          <w:lang w:eastAsia="zh-CN"/>
        </w:rPr>
      </w:pPr>
    </w:p>
    <w:p>
      <w:pPr>
        <w:rPr>
          <w:rFonts w:ascii="仿宋" w:hAnsi="仿宋" w:eastAsia="仿宋"/>
          <w:sz w:val="32"/>
          <w:szCs w:val="32"/>
          <w:lang w:eastAsia="zh-CN"/>
        </w:rPr>
      </w:pPr>
    </w:p>
    <w:p>
      <w:pPr>
        <w:keepNext/>
        <w:keepLines/>
        <w:spacing w:line="576" w:lineRule="exact"/>
        <w:ind w:firstLine="641"/>
        <w:rPr>
          <w:rFonts w:ascii="仿宋_GB2312" w:hAnsi="仿宋_GB2312" w:eastAsia="仿宋_GB2312"/>
          <w:color w:val="000000"/>
          <w:sz w:val="32"/>
          <w:lang w:val="zh-CN" w:eastAsia="zh-CN"/>
        </w:rPr>
      </w:pPr>
      <w:r>
        <w:rPr>
          <w:rFonts w:hint="eastAsia" w:ascii="仿宋_GB2312" w:hAnsi="仿宋_GB2312" w:eastAsia="仿宋_GB2312" w:cs="仿宋_GB2312"/>
          <w:sz w:val="32"/>
          <w:szCs w:val="32"/>
          <w:lang w:eastAsia="zh-CN"/>
        </w:rPr>
        <w:t>2023年一般公共预算财政拨款支出1249.35万元，主要用于以下方面：</w:t>
      </w:r>
      <w:r>
        <w:rPr>
          <w:rFonts w:hint="eastAsia" w:ascii="仿宋_GB2312" w:hAnsi="仿宋_GB2312" w:eastAsia="仿宋_GB2312" w:cs="仿宋_GB2312"/>
          <w:color w:val="000000"/>
          <w:sz w:val="32"/>
          <w:lang w:val="zh-CN" w:eastAsia="zh-CN"/>
        </w:rPr>
        <w:t>公共安全支出</w:t>
      </w:r>
      <w:r>
        <w:rPr>
          <w:rFonts w:hint="eastAsia" w:ascii="仿宋_GB2312" w:hAnsi="仿宋_GB2312" w:eastAsia="仿宋_GB2312" w:cs="仿宋_GB2312"/>
          <w:color w:val="000000"/>
          <w:sz w:val="32"/>
          <w:lang w:eastAsia="zh-CN"/>
        </w:rPr>
        <w:t>1103.32</w:t>
      </w:r>
      <w:r>
        <w:rPr>
          <w:rFonts w:hint="eastAsia" w:ascii="仿宋_GB2312" w:hAnsi="仿宋_GB2312" w:eastAsia="仿宋_GB2312" w:cs="仿宋_GB2312"/>
          <w:color w:val="000000"/>
          <w:sz w:val="32"/>
          <w:lang w:val="zh-CN" w:eastAsia="zh-CN"/>
        </w:rPr>
        <w:t>万元，占</w:t>
      </w:r>
      <w:r>
        <w:rPr>
          <w:rFonts w:hint="eastAsia" w:ascii="仿宋_GB2312" w:hAnsi="仿宋_GB2312" w:eastAsia="仿宋_GB2312" w:cs="仿宋_GB2312"/>
          <w:color w:val="000000"/>
          <w:sz w:val="32"/>
          <w:lang w:eastAsia="zh-CN"/>
        </w:rPr>
        <w:t>88.31</w:t>
      </w:r>
      <w:r>
        <w:rPr>
          <w:rFonts w:hint="eastAsia" w:ascii="仿宋_GB2312" w:hAnsi="仿宋_GB2312" w:eastAsia="仿宋_GB2312" w:cs="仿宋_GB2312"/>
          <w:color w:val="000000"/>
          <w:sz w:val="32"/>
          <w:lang w:val="zh-CN" w:eastAsia="zh-CN"/>
        </w:rPr>
        <w:t>%；社会保障和就业支</w:t>
      </w:r>
      <w:r>
        <w:rPr>
          <w:rFonts w:hint="eastAsia" w:ascii="仿宋_GB2312" w:hAnsi="仿宋_GB2312" w:eastAsia="仿宋_GB2312"/>
          <w:color w:val="000000"/>
          <w:sz w:val="32"/>
          <w:lang w:val="zh-CN" w:eastAsia="zh-CN"/>
        </w:rPr>
        <w:t>出</w:t>
      </w:r>
      <w:r>
        <w:rPr>
          <w:rFonts w:hint="eastAsia" w:ascii="仿宋_GB2312" w:hAnsi="仿宋_GB2312" w:eastAsia="仿宋_GB2312"/>
          <w:color w:val="000000"/>
          <w:sz w:val="32"/>
          <w:lang w:eastAsia="zh-CN"/>
        </w:rPr>
        <w:t>67.17</w:t>
      </w:r>
      <w:r>
        <w:rPr>
          <w:rFonts w:hint="eastAsia" w:ascii="仿宋_GB2312" w:hAnsi="仿宋_GB2312" w:eastAsia="仿宋_GB2312"/>
          <w:color w:val="000000"/>
          <w:sz w:val="32"/>
          <w:lang w:val="zh-CN" w:eastAsia="zh-CN"/>
        </w:rPr>
        <w:t>万元，占</w:t>
      </w:r>
      <w:r>
        <w:rPr>
          <w:rFonts w:hint="eastAsia" w:ascii="仿宋_GB2312" w:hAnsi="仿宋_GB2312" w:eastAsia="仿宋_GB2312"/>
          <w:color w:val="000000"/>
          <w:sz w:val="32"/>
          <w:lang w:eastAsia="zh-CN"/>
        </w:rPr>
        <w:t>5.37</w:t>
      </w:r>
      <w:r>
        <w:rPr>
          <w:rFonts w:hint="eastAsia" w:ascii="仿宋_GB2312" w:hAnsi="仿宋_GB2312" w:eastAsia="仿宋_GB2312"/>
          <w:color w:val="000000"/>
          <w:sz w:val="32"/>
          <w:lang w:val="zh-CN" w:eastAsia="zh-CN"/>
        </w:rPr>
        <w:t>%；卫生健康支出29.94万元，占</w:t>
      </w:r>
      <w:r>
        <w:rPr>
          <w:rFonts w:hint="eastAsia" w:ascii="仿宋_GB2312" w:hAnsi="仿宋_GB2312" w:eastAsia="仿宋_GB2312"/>
          <w:color w:val="000000"/>
          <w:sz w:val="32"/>
          <w:lang w:eastAsia="zh-CN"/>
        </w:rPr>
        <w:t>2.41</w:t>
      </w:r>
      <w:r>
        <w:rPr>
          <w:rFonts w:hint="eastAsia" w:ascii="仿宋_GB2312" w:hAnsi="仿宋_GB2312" w:eastAsia="仿宋_GB2312"/>
          <w:color w:val="000000"/>
          <w:sz w:val="32"/>
          <w:lang w:val="zh-CN" w:eastAsia="zh-CN"/>
        </w:rPr>
        <w:t>%；住房保障支出</w:t>
      </w:r>
      <w:r>
        <w:rPr>
          <w:rFonts w:hint="eastAsia" w:ascii="仿宋_GB2312" w:hAnsi="仿宋_GB2312" w:eastAsia="仿宋_GB2312"/>
          <w:color w:val="000000"/>
          <w:sz w:val="32"/>
          <w:lang w:eastAsia="zh-CN"/>
        </w:rPr>
        <w:t>48.91</w:t>
      </w:r>
      <w:r>
        <w:rPr>
          <w:rFonts w:hint="eastAsia" w:ascii="仿宋_GB2312" w:hAnsi="仿宋_GB2312" w:eastAsia="仿宋_GB2312"/>
          <w:color w:val="000000"/>
          <w:sz w:val="32"/>
          <w:lang w:val="zh-CN" w:eastAsia="zh-CN"/>
        </w:rPr>
        <w:t>万元，占3.</w:t>
      </w:r>
      <w:r>
        <w:rPr>
          <w:rFonts w:hint="eastAsia" w:ascii="仿宋_GB2312" w:hAnsi="仿宋_GB2312" w:eastAsia="仿宋_GB2312"/>
          <w:color w:val="000000"/>
          <w:sz w:val="32"/>
          <w:lang w:eastAsia="zh-CN"/>
        </w:rPr>
        <w:t>91</w:t>
      </w:r>
      <w:r>
        <w:rPr>
          <w:rFonts w:hint="eastAsia" w:ascii="仿宋_GB2312" w:hAnsi="仿宋_GB2312" w:eastAsia="仿宋_GB2312"/>
          <w:color w:val="000000"/>
          <w:sz w:val="32"/>
          <w:lang w:val="zh-CN" w:eastAsia="zh-CN"/>
        </w:rPr>
        <w:t>%。</w:t>
      </w:r>
    </w:p>
    <w:p>
      <w:pPr>
        <w:pStyle w:val="2"/>
        <w:spacing w:before="130"/>
        <w:rPr>
          <w:highlight w:val="yellow"/>
          <w:lang w:val="zh-CN"/>
        </w:rPr>
      </w:pPr>
      <w:r>
        <w:rPr>
          <w:rFonts w:hint="eastAsia"/>
          <w:lang w:eastAsia="zh-CN" w:bidi="ar-SA"/>
        </w:rPr>
        <w:drawing>
          <wp:inline distT="0" distB="0" distL="0" distR="0">
            <wp:extent cx="5486400" cy="3200400"/>
            <wp:effectExtent l="4445" t="4445" r="1460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576" w:lineRule="exact"/>
        <w:ind w:firstLine="641"/>
        <w:jc w:val="center"/>
        <w:rPr>
          <w:rFonts w:ascii="仿宋" w:hAnsi="仿宋" w:eastAsia="仿宋"/>
          <w:sz w:val="32"/>
          <w:szCs w:val="32"/>
          <w:lang w:eastAsia="zh-CN"/>
        </w:rPr>
      </w:pPr>
      <w:bookmarkStart w:id="62" w:name="_Toc15377212"/>
      <w:r>
        <w:rPr>
          <w:rFonts w:hint="eastAsia" w:ascii="仿宋" w:hAnsi="仿宋" w:eastAsia="仿宋"/>
          <w:sz w:val="32"/>
          <w:szCs w:val="32"/>
          <w:lang w:eastAsia="zh-CN"/>
        </w:rPr>
        <w:t>（图6：一般公共预算财政拨款支出决算结构）</w:t>
      </w:r>
    </w:p>
    <w:p>
      <w:pPr>
        <w:spacing w:line="600" w:lineRule="exact"/>
        <w:ind w:firstLine="642" w:firstLineChars="200"/>
        <w:outlineLvl w:val="2"/>
        <w:rPr>
          <w:rFonts w:ascii="仿宋" w:hAnsi="仿宋" w:eastAsia="仿宋"/>
          <w:b/>
          <w:sz w:val="32"/>
          <w:szCs w:val="32"/>
          <w:lang w:eastAsia="zh-CN"/>
        </w:rPr>
      </w:pPr>
      <w:bookmarkStart w:id="63" w:name="_Toc177054932"/>
      <w:r>
        <w:rPr>
          <w:rFonts w:hint="eastAsia" w:ascii="仿宋" w:hAnsi="仿宋" w:eastAsia="仿宋"/>
          <w:b/>
          <w:sz w:val="32"/>
          <w:szCs w:val="32"/>
          <w:lang w:eastAsia="zh-CN"/>
        </w:rPr>
        <w:t>（三）一般公共预算财政拨款支出决算具体情况</w:t>
      </w:r>
      <w:bookmarkEnd w:id="62"/>
      <w:bookmarkEnd w:id="63"/>
    </w:p>
    <w:p>
      <w:pPr>
        <w:spacing w:line="600" w:lineRule="exact"/>
        <w:ind w:firstLine="640" w:firstLineChars="200"/>
        <w:rPr>
          <w:rFonts w:ascii="仿宋" w:hAnsi="仿宋" w:eastAsia="仿宋"/>
          <w:bCs/>
          <w:sz w:val="32"/>
          <w:szCs w:val="32"/>
          <w:lang w:eastAsia="zh-CN"/>
        </w:rPr>
      </w:pPr>
      <w:bookmarkStart w:id="64" w:name="_Toc15377444"/>
      <w:bookmarkStart w:id="65" w:name="_Toc15377213"/>
      <w:bookmarkStart w:id="66" w:name="_Toc15378460"/>
      <w:r>
        <w:rPr>
          <w:rFonts w:hint="eastAsia" w:ascii="仿宋" w:hAnsi="仿宋" w:eastAsia="仿宋"/>
          <w:bCs/>
          <w:sz w:val="32"/>
          <w:szCs w:val="32"/>
          <w:lang w:eastAsia="zh-CN"/>
        </w:rPr>
        <w:t>2023年一般公共预算支出决算数为1249.35万元，</w:t>
      </w:r>
      <w:r>
        <w:rPr>
          <w:rStyle w:val="26"/>
          <w:rFonts w:hint="eastAsia" w:ascii="仿宋" w:hAnsi="仿宋" w:eastAsia="仿宋"/>
          <w:b w:val="0"/>
          <w:sz w:val="32"/>
          <w:szCs w:val="32"/>
          <w:lang w:eastAsia="zh-CN"/>
        </w:rPr>
        <w:t>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。其中：</w:t>
      </w:r>
      <w:bookmarkEnd w:id="64"/>
      <w:bookmarkEnd w:id="65"/>
      <w:bookmarkEnd w:id="66"/>
    </w:p>
    <w:p>
      <w:pPr>
        <w:spacing w:line="600" w:lineRule="exact"/>
        <w:ind w:firstLine="642" w:firstLineChars="200"/>
        <w:rPr>
          <w:rStyle w:val="26"/>
          <w:rFonts w:ascii="仿宋" w:hAnsi="仿宋" w:eastAsia="仿宋"/>
          <w:b w:val="0"/>
          <w:bCs w:val="0"/>
          <w:sz w:val="32"/>
          <w:szCs w:val="32"/>
          <w:lang w:eastAsia="zh-CN"/>
        </w:rPr>
      </w:pPr>
      <w:r>
        <w:rPr>
          <w:rStyle w:val="26"/>
          <w:rFonts w:ascii="仿宋" w:hAnsi="仿宋" w:eastAsia="仿宋"/>
          <w:sz w:val="32"/>
          <w:szCs w:val="32"/>
          <w:lang w:eastAsia="zh-CN"/>
        </w:rPr>
        <w:t>1.</w:t>
      </w:r>
      <w:r>
        <w:rPr>
          <w:rStyle w:val="26"/>
          <w:rFonts w:hint="eastAsia" w:ascii="仿宋" w:hAnsi="仿宋" w:eastAsia="仿宋"/>
          <w:sz w:val="32"/>
          <w:szCs w:val="32"/>
          <w:lang w:eastAsia="zh-CN"/>
        </w:rPr>
        <w:t>公共安全支出（类）法院（款）行政运行（项）：</w:t>
      </w:r>
      <w:r>
        <w:rPr>
          <w:rStyle w:val="26"/>
          <w:rFonts w:hint="eastAsia" w:ascii="仿宋" w:hAnsi="仿宋" w:eastAsia="仿宋"/>
          <w:b w:val="0"/>
          <w:sz w:val="32"/>
          <w:szCs w:val="32"/>
          <w:lang w:eastAsia="zh-CN"/>
        </w:rPr>
        <w:t>支出决算为721.5万元，完成预算100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26"/>
          <w:rFonts w:hint="eastAsia" w:ascii="仿宋" w:hAnsi="仿宋" w:eastAsia="仿宋"/>
          <w:sz w:val="32"/>
          <w:szCs w:val="32"/>
          <w:lang w:eastAsia="zh-CN"/>
        </w:rPr>
        <w:t>2</w:t>
      </w:r>
      <w:r>
        <w:rPr>
          <w:rStyle w:val="26"/>
          <w:rFonts w:ascii="仿宋" w:hAnsi="仿宋" w:eastAsia="仿宋"/>
          <w:sz w:val="32"/>
          <w:szCs w:val="32"/>
          <w:lang w:eastAsia="zh-CN"/>
        </w:rPr>
        <w:t>.</w:t>
      </w:r>
      <w:r>
        <w:rPr>
          <w:rStyle w:val="26"/>
          <w:rFonts w:hint="eastAsia" w:ascii="仿宋" w:hAnsi="仿宋" w:eastAsia="仿宋"/>
          <w:sz w:val="32"/>
          <w:szCs w:val="32"/>
          <w:lang w:eastAsia="zh-CN"/>
        </w:rPr>
        <w:t>公共安全支出（类）法院（款）一般行政管理事务（项）：</w:t>
      </w:r>
      <w:r>
        <w:rPr>
          <w:rStyle w:val="26"/>
          <w:rFonts w:hint="eastAsia" w:ascii="仿宋" w:hAnsi="仿宋" w:eastAsia="仿宋"/>
          <w:b w:val="0"/>
          <w:sz w:val="32"/>
          <w:szCs w:val="32"/>
          <w:lang w:eastAsia="zh-CN"/>
        </w:rPr>
        <w:t>支出决算为90.68万元，完成预算100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Style w:val="26"/>
          <w:rFonts w:ascii="仿宋" w:hAnsi="仿宋" w:eastAsia="仿宋"/>
          <w:b w:val="0"/>
          <w:bCs w:val="0"/>
          <w:sz w:val="32"/>
          <w:szCs w:val="32"/>
          <w:lang w:eastAsia="zh-CN"/>
        </w:rPr>
      </w:pPr>
      <w:r>
        <w:rPr>
          <w:rStyle w:val="26"/>
          <w:rFonts w:hint="eastAsia" w:ascii="仿宋" w:hAnsi="仿宋" w:eastAsia="仿宋"/>
          <w:sz w:val="32"/>
          <w:szCs w:val="32"/>
          <w:lang w:eastAsia="zh-CN"/>
        </w:rPr>
        <w:t>3. 公共安全支出（类）法院（款）案件审判（项）：</w:t>
      </w:r>
      <w:r>
        <w:rPr>
          <w:rStyle w:val="26"/>
          <w:rFonts w:hint="eastAsia" w:ascii="仿宋" w:hAnsi="仿宋" w:eastAsia="仿宋"/>
          <w:b w:val="0"/>
          <w:sz w:val="32"/>
          <w:szCs w:val="32"/>
          <w:lang w:eastAsia="zh-CN"/>
        </w:rPr>
        <w:t>支出决算为30.19万元，完成预算100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26"/>
          <w:rFonts w:hint="eastAsia" w:ascii="仿宋" w:hAnsi="仿宋" w:eastAsia="仿宋"/>
          <w:sz w:val="32"/>
          <w:szCs w:val="32"/>
          <w:lang w:eastAsia="zh-CN"/>
        </w:rPr>
        <w:t>4.公共安全支出（类）法院（款）其他法院支出（项）：</w:t>
      </w:r>
      <w:r>
        <w:rPr>
          <w:rStyle w:val="26"/>
          <w:rFonts w:hint="eastAsia" w:ascii="仿宋" w:hAnsi="仿宋" w:eastAsia="仿宋"/>
          <w:b w:val="0"/>
          <w:sz w:val="32"/>
          <w:szCs w:val="32"/>
          <w:lang w:eastAsia="zh-CN"/>
        </w:rPr>
        <w:t>支出决算为260.96万元，完成预算100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Style w:val="26"/>
          <w:rFonts w:ascii="仿宋" w:hAnsi="仿宋" w:eastAsia="仿宋"/>
          <w:b w:val="0"/>
          <w:bCs w:val="0"/>
          <w:sz w:val="32"/>
          <w:szCs w:val="32"/>
          <w:lang w:eastAsia="zh-CN"/>
        </w:rPr>
      </w:pPr>
      <w:r>
        <w:rPr>
          <w:rStyle w:val="26"/>
          <w:rFonts w:hint="eastAsia" w:ascii="仿宋" w:hAnsi="仿宋" w:eastAsia="仿宋"/>
          <w:sz w:val="32"/>
          <w:szCs w:val="32"/>
          <w:lang w:eastAsia="zh-CN"/>
        </w:rPr>
        <w:t>5</w:t>
      </w:r>
      <w:r>
        <w:rPr>
          <w:rStyle w:val="26"/>
          <w:rFonts w:ascii="仿宋" w:hAnsi="仿宋" w:eastAsia="仿宋"/>
          <w:sz w:val="32"/>
          <w:szCs w:val="32"/>
          <w:lang w:eastAsia="zh-CN"/>
        </w:rPr>
        <w:t>.</w:t>
      </w:r>
      <w:r>
        <w:rPr>
          <w:rStyle w:val="26"/>
          <w:rFonts w:hint="eastAsia" w:ascii="仿宋" w:hAnsi="仿宋" w:eastAsia="仿宋"/>
          <w:sz w:val="32"/>
          <w:szCs w:val="32"/>
          <w:lang w:eastAsia="zh-CN"/>
        </w:rPr>
        <w:t>社会保障和就业支出（类）行政事业单位养老支出（款）机关事业单位基本养老保险缴费支出（项）：</w:t>
      </w:r>
      <w:r>
        <w:rPr>
          <w:rStyle w:val="26"/>
          <w:rFonts w:hint="eastAsia" w:ascii="仿宋" w:hAnsi="仿宋" w:eastAsia="仿宋"/>
          <w:b w:val="0"/>
          <w:sz w:val="32"/>
          <w:szCs w:val="32"/>
          <w:lang w:eastAsia="zh-CN"/>
        </w:rPr>
        <w:t>支出决算为60.88万元，完成预算100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Fonts w:ascii="仿宋" w:hAnsi="仿宋" w:eastAsia="仿宋"/>
          <w:bCs/>
          <w:sz w:val="32"/>
          <w:szCs w:val="32"/>
          <w:lang w:eastAsia="zh-CN"/>
        </w:rPr>
      </w:pPr>
      <w:r>
        <w:rPr>
          <w:rStyle w:val="26"/>
          <w:rFonts w:hint="eastAsia" w:ascii="仿宋" w:hAnsi="仿宋" w:eastAsia="仿宋"/>
          <w:sz w:val="32"/>
          <w:szCs w:val="32"/>
          <w:lang w:eastAsia="zh-CN"/>
        </w:rPr>
        <w:t>6</w:t>
      </w:r>
      <w:r>
        <w:rPr>
          <w:rStyle w:val="26"/>
          <w:rFonts w:ascii="仿宋" w:hAnsi="仿宋" w:eastAsia="仿宋"/>
          <w:sz w:val="32"/>
          <w:szCs w:val="32"/>
          <w:lang w:eastAsia="zh-CN"/>
        </w:rPr>
        <w:t>.</w:t>
      </w:r>
      <w:r>
        <w:rPr>
          <w:rStyle w:val="26"/>
          <w:rFonts w:hint="eastAsia" w:ascii="仿宋" w:hAnsi="仿宋" w:eastAsia="仿宋"/>
          <w:sz w:val="32"/>
          <w:szCs w:val="32"/>
          <w:lang w:eastAsia="zh-CN"/>
        </w:rPr>
        <w:t>社会保障和就业支出（类）行政事业单位养老支出（款）机关事业单位职业年金缴费支出（项）：</w:t>
      </w:r>
      <w:r>
        <w:rPr>
          <w:rStyle w:val="26"/>
          <w:rFonts w:hint="eastAsia" w:ascii="仿宋" w:hAnsi="仿宋" w:eastAsia="仿宋"/>
          <w:b w:val="0"/>
          <w:sz w:val="32"/>
          <w:szCs w:val="32"/>
          <w:lang w:eastAsia="zh-CN"/>
        </w:rPr>
        <w:t>支出决算为6.28万元，完成预算100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Style w:val="26"/>
          <w:rFonts w:ascii="仿宋" w:hAnsi="仿宋" w:eastAsia="仿宋"/>
          <w:b w:val="0"/>
          <w:bCs w:val="0"/>
          <w:sz w:val="32"/>
          <w:szCs w:val="32"/>
          <w:lang w:eastAsia="zh-CN"/>
        </w:rPr>
      </w:pPr>
      <w:r>
        <w:rPr>
          <w:rStyle w:val="26"/>
          <w:rFonts w:hint="eastAsia" w:ascii="仿宋" w:hAnsi="仿宋" w:eastAsia="仿宋"/>
          <w:sz w:val="32"/>
          <w:szCs w:val="32"/>
          <w:lang w:eastAsia="zh-CN"/>
        </w:rPr>
        <w:t>7</w:t>
      </w:r>
      <w:r>
        <w:rPr>
          <w:rStyle w:val="26"/>
          <w:rFonts w:ascii="仿宋" w:hAnsi="仿宋" w:eastAsia="仿宋"/>
          <w:sz w:val="32"/>
          <w:szCs w:val="32"/>
          <w:lang w:eastAsia="zh-CN"/>
        </w:rPr>
        <w:t>.</w:t>
      </w:r>
      <w:r>
        <w:rPr>
          <w:rFonts w:hint="eastAsia" w:ascii="仿宋" w:hAnsi="仿宋" w:eastAsia="仿宋"/>
          <w:b/>
          <w:bCs/>
          <w:sz w:val="32"/>
          <w:szCs w:val="32"/>
          <w:lang w:eastAsia="zh-CN"/>
        </w:rPr>
        <w:t>卫生健康</w:t>
      </w:r>
      <w:r>
        <w:rPr>
          <w:rStyle w:val="26"/>
          <w:rFonts w:hint="eastAsia" w:ascii="仿宋" w:hAnsi="仿宋" w:eastAsia="仿宋"/>
          <w:sz w:val="32"/>
          <w:szCs w:val="32"/>
          <w:lang w:eastAsia="zh-CN"/>
        </w:rPr>
        <w:t>（类）行政事业单位医疗（款）行政单位医疗（项）：</w:t>
      </w:r>
      <w:r>
        <w:rPr>
          <w:rStyle w:val="26"/>
          <w:rFonts w:hint="eastAsia" w:ascii="仿宋" w:hAnsi="仿宋" w:eastAsia="仿宋"/>
          <w:b w:val="0"/>
          <w:sz w:val="32"/>
          <w:szCs w:val="32"/>
          <w:lang w:eastAsia="zh-CN"/>
        </w:rPr>
        <w:t>支出决算为29.94万元，完成预算100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spacing w:line="600" w:lineRule="exact"/>
        <w:ind w:firstLine="642" w:firstLineChars="200"/>
        <w:rPr>
          <w:rFonts w:ascii="仿宋" w:hAnsi="仿宋" w:eastAsia="仿宋"/>
          <w:b/>
          <w:sz w:val="32"/>
          <w:szCs w:val="32"/>
          <w:lang w:eastAsia="zh-CN"/>
        </w:rPr>
      </w:pPr>
      <w:r>
        <w:rPr>
          <w:rStyle w:val="26"/>
          <w:rFonts w:hint="eastAsia" w:ascii="仿宋" w:hAnsi="仿宋" w:eastAsia="仿宋"/>
          <w:sz w:val="32"/>
          <w:szCs w:val="32"/>
          <w:lang w:eastAsia="zh-CN"/>
        </w:rPr>
        <w:t>8</w:t>
      </w:r>
      <w:r>
        <w:rPr>
          <w:rStyle w:val="26"/>
          <w:rFonts w:ascii="仿宋" w:hAnsi="仿宋" w:eastAsia="仿宋"/>
          <w:sz w:val="32"/>
          <w:szCs w:val="32"/>
          <w:lang w:eastAsia="zh-CN"/>
        </w:rPr>
        <w:t>.</w:t>
      </w:r>
      <w:r>
        <w:rPr>
          <w:rFonts w:hint="eastAsia" w:ascii="仿宋" w:hAnsi="仿宋" w:eastAsia="仿宋"/>
          <w:b/>
          <w:bCs/>
          <w:sz w:val="32"/>
          <w:szCs w:val="32"/>
          <w:lang w:eastAsia="zh-CN"/>
        </w:rPr>
        <w:t>住房保障支出</w:t>
      </w:r>
      <w:r>
        <w:rPr>
          <w:rStyle w:val="26"/>
          <w:rFonts w:hint="eastAsia" w:ascii="仿宋" w:hAnsi="仿宋" w:eastAsia="仿宋"/>
          <w:sz w:val="32"/>
          <w:szCs w:val="32"/>
          <w:lang w:eastAsia="zh-CN"/>
        </w:rPr>
        <w:t>（类）住房改革支出（款）住房公积金（项）：</w:t>
      </w:r>
      <w:r>
        <w:rPr>
          <w:rStyle w:val="26"/>
          <w:rFonts w:hint="eastAsia" w:ascii="仿宋" w:hAnsi="仿宋" w:eastAsia="仿宋"/>
          <w:b w:val="0"/>
          <w:sz w:val="32"/>
          <w:szCs w:val="32"/>
          <w:lang w:eastAsia="zh-CN"/>
        </w:rPr>
        <w:t>支出决算为48.91万元，完成预算100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p>
    <w:p>
      <w:pPr>
        <w:tabs>
          <w:tab w:val="right" w:pos="8306"/>
        </w:tabs>
        <w:spacing w:line="600" w:lineRule="exact"/>
        <w:ind w:firstLine="640"/>
        <w:outlineLvl w:val="1"/>
        <w:rPr>
          <w:rStyle w:val="30"/>
          <w:rFonts w:ascii="黑体" w:hAnsi="黑体" w:eastAsia="黑体"/>
          <w:sz w:val="32"/>
          <w:szCs w:val="32"/>
          <w:lang w:eastAsia="zh-CN"/>
        </w:rPr>
      </w:pPr>
      <w:bookmarkStart w:id="67" w:name="_Toc7188"/>
      <w:bookmarkStart w:id="68" w:name="_Toc177054933"/>
      <w:bookmarkStart w:id="69" w:name="_Toc15377214"/>
      <w:bookmarkStart w:id="70" w:name="_Toc15396608"/>
      <w:r>
        <w:rPr>
          <w:rFonts w:hint="eastAsia" w:ascii="黑体" w:hAnsi="黑体" w:eastAsia="黑体"/>
          <w:sz w:val="32"/>
          <w:szCs w:val="32"/>
          <w:lang w:eastAsia="zh-CN"/>
        </w:rPr>
        <w:t>六</w:t>
      </w:r>
      <w:r>
        <w:rPr>
          <w:rFonts w:hint="eastAsia" w:ascii="黑体" w:hAnsi="黑体" w:eastAsia="黑体"/>
          <w:b/>
          <w:sz w:val="32"/>
          <w:szCs w:val="32"/>
          <w:lang w:eastAsia="zh-CN"/>
        </w:rPr>
        <w:t>、一</w:t>
      </w:r>
      <w:r>
        <w:rPr>
          <w:rStyle w:val="30"/>
          <w:rFonts w:hint="eastAsia" w:ascii="黑体" w:hAnsi="黑体" w:eastAsia="黑体"/>
          <w:sz w:val="32"/>
          <w:szCs w:val="32"/>
          <w:lang w:eastAsia="zh-CN"/>
        </w:rPr>
        <w:t>般公共预算财政拨款基本支出决算情况说明</w:t>
      </w:r>
      <w:bookmarkEnd w:id="67"/>
      <w:bookmarkEnd w:id="68"/>
      <w:bookmarkEnd w:id="69"/>
      <w:bookmarkEnd w:id="70"/>
      <w:r>
        <w:rPr>
          <w:rStyle w:val="30"/>
          <w:rFonts w:ascii="黑体" w:hAnsi="黑体" w:eastAsia="黑体"/>
          <w:sz w:val="32"/>
          <w:szCs w:val="32"/>
          <w:lang w:eastAsia="zh-CN"/>
        </w:rPr>
        <w:tab/>
      </w:r>
    </w:p>
    <w:p>
      <w:pPr>
        <w:spacing w:line="600" w:lineRule="exact"/>
        <w:ind w:firstLine="645"/>
        <w:rPr>
          <w:rFonts w:ascii="仿宋" w:hAnsi="仿宋" w:eastAsia="仿宋"/>
          <w:sz w:val="32"/>
          <w:szCs w:val="32"/>
          <w:lang w:eastAsia="zh-CN"/>
        </w:rPr>
      </w:pPr>
      <w:r>
        <w:rPr>
          <w:rFonts w:ascii="仿宋" w:hAnsi="仿宋" w:eastAsia="仿宋"/>
          <w:sz w:val="32"/>
          <w:szCs w:val="32"/>
          <w:lang w:eastAsia="zh-CN"/>
        </w:rPr>
        <w:t>2023</w:t>
      </w:r>
      <w:r>
        <w:rPr>
          <w:rFonts w:hint="eastAsia" w:ascii="仿宋" w:hAnsi="仿宋" w:eastAsia="仿宋"/>
          <w:sz w:val="32"/>
          <w:szCs w:val="32"/>
          <w:lang w:eastAsia="zh-CN"/>
        </w:rPr>
        <w:t>年一般公共预</w:t>
      </w:r>
      <w:r>
        <w:rPr>
          <w:rFonts w:hint="eastAsia" w:ascii="仿宋" w:hAnsi="仿宋" w:eastAsia="仿宋"/>
          <w:color w:val="auto"/>
          <w:sz w:val="32"/>
          <w:szCs w:val="32"/>
          <w:lang w:eastAsia="zh-CN"/>
        </w:rPr>
        <w:t>算财政拨款基本支出867.53万元，其</w:t>
      </w:r>
      <w:r>
        <w:rPr>
          <w:rFonts w:hint="eastAsia" w:ascii="仿宋" w:hAnsi="仿宋" w:eastAsia="仿宋"/>
          <w:sz w:val="32"/>
          <w:szCs w:val="32"/>
          <w:lang w:eastAsia="zh-CN"/>
        </w:rPr>
        <w:t>中：</w:t>
      </w:r>
    </w:p>
    <w:p>
      <w:pPr>
        <w:spacing w:line="600" w:lineRule="exact"/>
        <w:ind w:firstLine="645"/>
        <w:rPr>
          <w:rFonts w:ascii="仿宋_GB2312" w:hAnsi="仿宋_GB2312" w:eastAsia="仿宋_GB2312" w:cs="仿宋_GB2312"/>
          <w:sz w:val="32"/>
          <w:szCs w:val="32"/>
          <w:lang w:eastAsia="zh-CN"/>
        </w:rPr>
      </w:pPr>
      <w:r>
        <w:rPr>
          <w:rFonts w:hint="eastAsia" w:ascii="仿宋" w:hAnsi="仿宋" w:eastAsia="仿宋"/>
          <w:sz w:val="32"/>
          <w:szCs w:val="32"/>
          <w:lang w:eastAsia="zh-CN"/>
        </w:rPr>
        <w:t>人员经费710.8万元，主要包括：</w:t>
      </w:r>
      <w:r>
        <w:rPr>
          <w:rFonts w:hint="eastAsia" w:ascii="仿宋_GB2312" w:hAnsi="仿宋_GB2312" w:eastAsia="仿宋_GB2312" w:cs="仿宋_GB2312"/>
          <w:sz w:val="32"/>
          <w:szCs w:val="32"/>
          <w:lang w:eastAsia="zh-CN"/>
        </w:rPr>
        <w:t>基本工资、津贴补贴、奖金、机关事业单位基本养老保险缴费、职业年金缴费、职工基本医疗保险缴费、其他社会保障缴费、住房公积金、生活补助。</w:t>
      </w:r>
    </w:p>
    <w:p>
      <w:pPr>
        <w:spacing w:line="600" w:lineRule="exact"/>
        <w:ind w:firstLine="640" w:firstLineChars="200"/>
        <w:rPr>
          <w:rFonts w:ascii="仿宋_GB2312" w:hAnsi="仿宋_GB2312" w:eastAsia="仿宋_GB2312" w:cs="仿宋_GB2312"/>
          <w:sz w:val="32"/>
          <w:szCs w:val="32"/>
          <w:lang w:eastAsia="zh-CN"/>
        </w:rPr>
      </w:pPr>
      <w:r>
        <w:rPr>
          <w:rFonts w:hint="eastAsia" w:ascii="仿宋" w:hAnsi="仿宋" w:eastAsia="仿宋"/>
          <w:sz w:val="32"/>
          <w:szCs w:val="32"/>
          <w:lang w:eastAsia="zh-CN"/>
        </w:rPr>
        <w:t>公用经费156.73万元，主要包括：</w:t>
      </w:r>
      <w:r>
        <w:rPr>
          <w:rFonts w:hint="eastAsia" w:ascii="仿宋_GB2312" w:hAnsi="仿宋_GB2312" w:eastAsia="仿宋_GB2312" w:cs="仿宋_GB2312"/>
          <w:sz w:val="32"/>
          <w:szCs w:val="32"/>
          <w:lang w:eastAsia="zh-CN"/>
        </w:rPr>
        <w:t>办公费、水费、电费、邮电费、物业管理费、维修（护）费、会议费、公务接待费、劳务费、工会经费、福利费、公务用车运行维护费、其他交通费</w:t>
      </w:r>
      <w:r>
        <w:rPr>
          <w:rFonts w:hint="eastAsia" w:ascii="仿宋_GB2312" w:hAnsi="仿宋_GB2312" w:eastAsia="仿宋_GB2312" w:cs="仿宋_GB2312"/>
          <w:sz w:val="32"/>
          <w:szCs w:val="32"/>
          <w:lang w:val="en-US" w:eastAsia="zh-CN"/>
        </w:rPr>
        <w:t>用</w:t>
      </w:r>
      <w:r>
        <w:rPr>
          <w:rFonts w:hint="eastAsia" w:ascii="仿宋_GB2312" w:hAnsi="仿宋_GB2312" w:eastAsia="仿宋_GB2312" w:cs="仿宋_GB2312"/>
          <w:sz w:val="32"/>
          <w:szCs w:val="32"/>
          <w:lang w:eastAsia="zh-CN"/>
        </w:rPr>
        <w:t>、其他商品和服务支出。</w:t>
      </w:r>
    </w:p>
    <w:p>
      <w:pPr>
        <w:pStyle w:val="4"/>
        <w:rPr>
          <w:rFonts w:ascii="黑体" w:hAnsi="黑体" w:eastAsia="黑体"/>
          <w:b/>
          <w:sz w:val="32"/>
          <w:szCs w:val="32"/>
          <w:lang w:eastAsia="zh-CN"/>
        </w:rPr>
      </w:pPr>
      <w:bookmarkStart w:id="71" w:name="_Toc15377215"/>
      <w:bookmarkStart w:id="72" w:name="_Toc177054934"/>
      <w:bookmarkStart w:id="73" w:name="_Toc315"/>
      <w:bookmarkStart w:id="74" w:name="_Toc15396609"/>
      <w:r>
        <w:rPr>
          <w:rFonts w:hint="eastAsia" w:ascii="黑体" w:hAnsi="黑体" w:eastAsia="黑体"/>
          <w:sz w:val="32"/>
          <w:szCs w:val="32"/>
          <w:lang w:eastAsia="zh-CN"/>
        </w:rPr>
        <w:t>七、财政拨款“三公”经费支出决算情况说明</w:t>
      </w:r>
      <w:bookmarkEnd w:id="71"/>
      <w:bookmarkEnd w:id="72"/>
      <w:bookmarkEnd w:id="73"/>
      <w:bookmarkEnd w:id="74"/>
    </w:p>
    <w:p>
      <w:pPr>
        <w:spacing w:line="600" w:lineRule="exact"/>
        <w:ind w:firstLine="640"/>
        <w:outlineLvl w:val="2"/>
        <w:rPr>
          <w:rFonts w:ascii="仿宋" w:hAnsi="仿宋" w:eastAsia="仿宋"/>
          <w:b/>
          <w:sz w:val="32"/>
          <w:szCs w:val="32"/>
          <w:lang w:eastAsia="zh-CN"/>
        </w:rPr>
      </w:pPr>
      <w:bookmarkStart w:id="75" w:name="_Toc177054935"/>
      <w:bookmarkStart w:id="76" w:name="_Toc15377216"/>
      <w:r>
        <w:rPr>
          <w:rFonts w:hint="eastAsia" w:ascii="仿宋" w:hAnsi="仿宋" w:eastAsia="仿宋"/>
          <w:b/>
          <w:sz w:val="32"/>
          <w:szCs w:val="32"/>
          <w:lang w:eastAsia="zh-CN"/>
        </w:rPr>
        <w:t>（一）“三公”经费财政拨款支出决算总体情况说明</w:t>
      </w:r>
      <w:bookmarkEnd w:id="75"/>
      <w:bookmarkEnd w:id="76"/>
    </w:p>
    <w:p>
      <w:pPr>
        <w:spacing w:line="600" w:lineRule="exact"/>
        <w:ind w:firstLine="640"/>
        <w:rPr>
          <w:rFonts w:hint="default" w:ascii="仿宋" w:hAnsi="仿宋" w:eastAsia="仿宋"/>
          <w:sz w:val="32"/>
          <w:szCs w:val="32"/>
          <w:lang w:val="en-US" w:eastAsia="zh-CN"/>
        </w:rPr>
      </w:pPr>
      <w:r>
        <w:rPr>
          <w:rFonts w:ascii="仿宋" w:hAnsi="仿宋" w:eastAsia="仿宋"/>
          <w:sz w:val="32"/>
          <w:szCs w:val="32"/>
          <w:lang w:eastAsia="zh-CN"/>
        </w:rPr>
        <w:t>2023</w:t>
      </w:r>
      <w:r>
        <w:rPr>
          <w:rFonts w:hint="eastAsia" w:ascii="仿宋" w:hAnsi="仿宋" w:eastAsia="仿宋"/>
          <w:sz w:val="32"/>
          <w:szCs w:val="32"/>
          <w:lang w:eastAsia="zh-CN"/>
        </w:rPr>
        <w:t>年“三公”经费财政拨款支出决算为11.</w:t>
      </w:r>
      <w:r>
        <w:rPr>
          <w:rFonts w:hint="eastAsia" w:ascii="仿宋" w:hAnsi="仿宋" w:eastAsia="仿宋"/>
          <w:sz w:val="32"/>
          <w:szCs w:val="32"/>
          <w:lang w:val="en-US" w:eastAsia="zh-CN"/>
        </w:rPr>
        <w:t>59</w:t>
      </w:r>
      <w:r>
        <w:rPr>
          <w:rFonts w:hint="eastAsia" w:ascii="仿宋" w:hAnsi="仿宋" w:eastAsia="仿宋"/>
          <w:sz w:val="32"/>
          <w:szCs w:val="32"/>
          <w:lang w:eastAsia="zh-CN"/>
        </w:rPr>
        <w:t>万元，完成预算100</w:t>
      </w:r>
      <w:r>
        <w:rPr>
          <w:rFonts w:ascii="仿宋" w:hAnsi="仿宋" w:eastAsia="仿宋"/>
          <w:sz w:val="32"/>
          <w:szCs w:val="32"/>
          <w:lang w:eastAsia="zh-CN"/>
        </w:rPr>
        <w:t>%</w:t>
      </w:r>
      <w:r>
        <w:rPr>
          <w:rFonts w:hint="eastAsia" w:ascii="仿宋" w:hAnsi="仿宋" w:eastAsia="仿宋"/>
          <w:sz w:val="32"/>
          <w:szCs w:val="32"/>
          <w:lang w:eastAsia="zh-CN"/>
        </w:rPr>
        <w:t>，较上年减少5万元，下降30%。</w:t>
      </w:r>
      <w:r>
        <w:rPr>
          <w:rFonts w:hint="eastAsia" w:ascii="仿宋" w:hAnsi="仿宋" w:eastAsia="仿宋"/>
          <w:sz w:val="32"/>
          <w:szCs w:val="32"/>
          <w:lang w:val="en-US" w:eastAsia="zh-CN"/>
        </w:rPr>
        <w:t>预算数与决算数持平。</w:t>
      </w:r>
    </w:p>
    <w:p>
      <w:pPr>
        <w:spacing w:line="600" w:lineRule="exact"/>
        <w:ind w:firstLine="640"/>
        <w:outlineLvl w:val="2"/>
        <w:rPr>
          <w:rFonts w:ascii="仿宋" w:hAnsi="仿宋" w:eastAsia="仿宋"/>
          <w:b/>
          <w:sz w:val="32"/>
          <w:szCs w:val="32"/>
          <w:lang w:eastAsia="zh-CN"/>
        </w:rPr>
      </w:pPr>
      <w:bookmarkStart w:id="77" w:name="_Toc177054936"/>
      <w:bookmarkStart w:id="78" w:name="_Toc15377217"/>
      <w:r>
        <w:rPr>
          <w:rFonts w:hint="eastAsia" w:ascii="仿宋" w:hAnsi="仿宋" w:eastAsia="仿宋"/>
          <w:b/>
          <w:sz w:val="32"/>
          <w:szCs w:val="32"/>
          <w:lang w:eastAsia="zh-CN"/>
        </w:rPr>
        <w:t>（二）“三公”经费财政拨款支出决算具体情况说明</w:t>
      </w:r>
      <w:bookmarkEnd w:id="77"/>
      <w:bookmarkEnd w:id="78"/>
    </w:p>
    <w:p>
      <w:pPr>
        <w:spacing w:line="600" w:lineRule="exact"/>
        <w:ind w:firstLine="640"/>
        <w:rPr>
          <w:rFonts w:ascii="仿宋" w:hAnsi="仿宋" w:eastAsia="仿宋"/>
          <w:sz w:val="32"/>
          <w:szCs w:val="32"/>
        </w:rPr>
      </w:pPr>
      <w:r>
        <w:rPr>
          <w:rFonts w:ascii="仿宋" w:hAnsi="仿宋" w:eastAsia="仿宋"/>
          <w:sz w:val="32"/>
          <w:szCs w:val="32"/>
          <w:lang w:eastAsia="zh-CN"/>
        </w:rPr>
        <w:t>2023</w:t>
      </w:r>
      <w:r>
        <w:rPr>
          <w:rFonts w:hint="eastAsia" w:ascii="仿宋" w:hAnsi="仿宋" w:eastAsia="仿宋"/>
          <w:sz w:val="32"/>
          <w:szCs w:val="32"/>
          <w:lang w:eastAsia="zh-CN"/>
        </w:rPr>
        <w:t>年“三公”经费财政拨款支出决算中，因公出国（境）费支出决算0万元，占0</w:t>
      </w:r>
      <w:r>
        <w:rPr>
          <w:rFonts w:ascii="仿宋" w:hAnsi="仿宋" w:eastAsia="仿宋"/>
          <w:sz w:val="32"/>
          <w:szCs w:val="32"/>
          <w:lang w:eastAsia="zh-CN"/>
        </w:rPr>
        <w:t>%</w:t>
      </w:r>
      <w:r>
        <w:rPr>
          <w:rFonts w:hint="eastAsia" w:ascii="仿宋" w:hAnsi="仿宋" w:eastAsia="仿宋"/>
          <w:sz w:val="32"/>
          <w:szCs w:val="32"/>
          <w:lang w:eastAsia="zh-CN"/>
        </w:rPr>
        <w:t>；公务用车购置及运行维护费支出决算</w:t>
      </w:r>
      <w:r>
        <w:rPr>
          <w:rFonts w:hint="eastAsia" w:ascii="仿宋" w:hAnsi="仿宋" w:eastAsia="仿宋"/>
          <w:sz w:val="32"/>
          <w:szCs w:val="32"/>
          <w:lang w:val="en-US" w:eastAsia="zh-CN"/>
        </w:rPr>
        <w:t>9.99</w:t>
      </w:r>
      <w:r>
        <w:rPr>
          <w:rFonts w:hint="eastAsia" w:ascii="仿宋" w:hAnsi="仿宋" w:eastAsia="仿宋"/>
          <w:sz w:val="32"/>
          <w:szCs w:val="32"/>
          <w:lang w:eastAsia="zh-CN"/>
        </w:rPr>
        <w:t>万元，占86.21</w:t>
      </w:r>
      <w:r>
        <w:rPr>
          <w:rFonts w:ascii="仿宋" w:hAnsi="仿宋" w:eastAsia="仿宋"/>
          <w:sz w:val="32"/>
          <w:szCs w:val="32"/>
          <w:lang w:eastAsia="zh-CN"/>
        </w:rPr>
        <w:t>%</w:t>
      </w:r>
      <w:r>
        <w:rPr>
          <w:rFonts w:hint="eastAsia" w:ascii="仿宋" w:hAnsi="仿宋" w:eastAsia="仿宋"/>
          <w:sz w:val="32"/>
          <w:szCs w:val="32"/>
          <w:lang w:eastAsia="zh-CN"/>
        </w:rPr>
        <w:t>；公务接待费支出决算1.6万元，占13.79</w:t>
      </w:r>
      <w:r>
        <w:rPr>
          <w:rFonts w:ascii="仿宋" w:hAnsi="仿宋" w:eastAsia="仿宋"/>
          <w:sz w:val="32"/>
          <w:szCs w:val="32"/>
          <w:lang w:eastAsia="zh-CN"/>
        </w:rPr>
        <w:t>%</w:t>
      </w:r>
      <w:r>
        <w:rPr>
          <w:rFonts w:hint="eastAsia" w:ascii="仿宋" w:hAnsi="仿宋" w:eastAsia="仿宋"/>
          <w:sz w:val="32"/>
          <w:szCs w:val="32"/>
          <w:lang w:eastAsia="zh-CN"/>
        </w:rPr>
        <w:t>。</w:t>
      </w:r>
      <w:r>
        <w:rPr>
          <w:rFonts w:hint="eastAsia" w:ascii="仿宋" w:hAnsi="仿宋" w:eastAsia="仿宋"/>
          <w:sz w:val="32"/>
          <w:szCs w:val="32"/>
        </w:rPr>
        <w:t>具体情况如下：</w:t>
      </w:r>
    </w:p>
    <w:p>
      <w:pPr>
        <w:pStyle w:val="18"/>
      </w:pPr>
      <w:r>
        <w:rPr>
          <w:rFonts w:hint="eastAsia"/>
          <w:lang w:eastAsia="zh-CN" w:bidi="ar-SA"/>
        </w:rPr>
        <w:drawing>
          <wp:inline distT="0" distB="0" distL="0" distR="0">
            <wp:extent cx="5486400" cy="3200400"/>
            <wp:effectExtent l="4445" t="4445" r="14605" b="1460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jc w:val="center"/>
        <w:rPr>
          <w:rFonts w:ascii="仿宋" w:hAnsi="仿宋" w:eastAsia="仿宋"/>
          <w:sz w:val="32"/>
          <w:szCs w:val="32"/>
          <w:lang w:eastAsia="zh-CN"/>
        </w:rPr>
      </w:pPr>
      <w:r>
        <w:rPr>
          <w:rFonts w:hint="eastAsia" w:ascii="仿宋" w:hAnsi="仿宋" w:eastAsia="仿宋"/>
          <w:sz w:val="32"/>
          <w:szCs w:val="32"/>
          <w:lang w:eastAsia="zh-CN"/>
        </w:rPr>
        <w:t>（图7：“三公”经费财政拨款支出结构）</w:t>
      </w:r>
    </w:p>
    <w:p>
      <w:pPr>
        <w:spacing w:line="600" w:lineRule="exact"/>
        <w:ind w:firstLine="645"/>
        <w:rPr>
          <w:rFonts w:eastAsia="仿宋_GB2312"/>
          <w:lang w:eastAsia="zh-CN"/>
        </w:rPr>
      </w:pPr>
      <w:r>
        <w:rPr>
          <w:rFonts w:ascii="仿宋_GB2312" w:eastAsia="仿宋_GB2312"/>
          <w:b/>
          <w:sz w:val="32"/>
          <w:szCs w:val="32"/>
          <w:lang w:eastAsia="zh-CN"/>
        </w:rPr>
        <w:t>1.</w:t>
      </w:r>
      <w:r>
        <w:rPr>
          <w:rFonts w:hint="eastAsia" w:ascii="仿宋_GB2312" w:eastAsia="仿宋_GB2312"/>
          <w:b/>
          <w:sz w:val="32"/>
          <w:szCs w:val="32"/>
          <w:lang w:eastAsia="zh-CN"/>
        </w:rPr>
        <w:t>因公出国（境）经费支出</w:t>
      </w:r>
      <w:r>
        <w:rPr>
          <w:rFonts w:hint="eastAsia" w:ascii="仿宋_GB2312" w:eastAsia="仿宋_GB2312"/>
          <w:sz w:val="32"/>
          <w:szCs w:val="32"/>
          <w:lang w:eastAsia="zh-CN"/>
        </w:rPr>
        <w:t>0万元，年初未安排预算</w:t>
      </w:r>
      <w:r>
        <w:rPr>
          <w:rStyle w:val="26"/>
          <w:rFonts w:hint="eastAsia" w:ascii="仿宋" w:hAnsi="仿宋" w:eastAsia="仿宋"/>
          <w:b w:val="0"/>
          <w:sz w:val="32"/>
          <w:szCs w:val="32"/>
          <w:lang w:eastAsia="zh-CN"/>
        </w:rPr>
        <w:t>。</w:t>
      </w:r>
      <w:r>
        <w:rPr>
          <w:rFonts w:hint="eastAsia" w:ascii="仿宋_GB2312" w:eastAsia="仿宋_GB2312"/>
          <w:sz w:val="32"/>
          <w:szCs w:val="32"/>
          <w:lang w:eastAsia="zh-CN"/>
        </w:rPr>
        <w:t>因公出国（境）支出决算较2022年无变化。</w:t>
      </w:r>
    </w:p>
    <w:p>
      <w:pPr>
        <w:spacing w:line="600" w:lineRule="exact"/>
        <w:ind w:firstLine="640"/>
        <w:rPr>
          <w:rFonts w:ascii="仿宋_GB2312" w:eastAsia="仿宋_GB2312"/>
          <w:b/>
          <w:sz w:val="32"/>
          <w:szCs w:val="32"/>
          <w:lang w:eastAsia="zh-CN"/>
        </w:rPr>
      </w:pPr>
      <w:r>
        <w:rPr>
          <w:rFonts w:ascii="仿宋_GB2312" w:eastAsia="仿宋_GB2312"/>
          <w:b/>
          <w:sz w:val="32"/>
          <w:szCs w:val="32"/>
          <w:lang w:eastAsia="zh-CN"/>
        </w:rPr>
        <w:t>2.</w:t>
      </w:r>
      <w:r>
        <w:rPr>
          <w:rFonts w:hint="eastAsia" w:ascii="仿宋_GB2312" w:eastAsia="仿宋_GB2312"/>
          <w:b/>
          <w:sz w:val="32"/>
          <w:szCs w:val="32"/>
          <w:lang w:eastAsia="zh-CN"/>
        </w:rPr>
        <w:t>公务用车购置及运行维护费支出</w:t>
      </w:r>
      <w:r>
        <w:rPr>
          <w:rFonts w:hint="eastAsia" w:ascii="仿宋_GB2312" w:eastAsia="仿宋_GB2312"/>
          <w:b/>
          <w:sz w:val="32"/>
          <w:szCs w:val="32"/>
          <w:lang w:val="en-US" w:eastAsia="zh-CN"/>
        </w:rPr>
        <w:t>9.99</w:t>
      </w:r>
      <w:r>
        <w:rPr>
          <w:rFonts w:hint="eastAsia" w:ascii="仿宋_GB2312" w:eastAsia="仿宋_GB2312"/>
          <w:sz w:val="32"/>
          <w:szCs w:val="32"/>
          <w:lang w:eastAsia="zh-CN"/>
        </w:rPr>
        <w:t>万元，</w:t>
      </w:r>
      <w:r>
        <w:rPr>
          <w:rStyle w:val="26"/>
          <w:rFonts w:hint="eastAsia" w:ascii="仿宋" w:hAnsi="仿宋" w:eastAsia="仿宋"/>
          <w:b w:val="0"/>
          <w:sz w:val="32"/>
          <w:szCs w:val="32"/>
          <w:lang w:eastAsia="zh-CN"/>
        </w:rPr>
        <w:t>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r>
        <w:rPr>
          <w:rFonts w:hint="eastAsia" w:ascii="仿宋_GB2312" w:eastAsia="仿宋_GB2312"/>
          <w:sz w:val="32"/>
          <w:szCs w:val="32"/>
          <w:lang w:eastAsia="zh-CN"/>
        </w:rPr>
        <w:t>公务用车购置及运行维护费支出决算比</w:t>
      </w:r>
      <w:r>
        <w:rPr>
          <w:rFonts w:ascii="仿宋_GB2312" w:eastAsia="仿宋_GB2312"/>
          <w:sz w:val="32"/>
          <w:szCs w:val="32"/>
          <w:lang w:eastAsia="zh-CN"/>
        </w:rPr>
        <w:t>20</w:t>
      </w:r>
      <w:r>
        <w:rPr>
          <w:rFonts w:hint="eastAsia" w:ascii="仿宋_GB2312" w:eastAsia="仿宋_GB2312"/>
          <w:sz w:val="32"/>
          <w:szCs w:val="32"/>
          <w:lang w:eastAsia="zh-CN"/>
        </w:rPr>
        <w:t>22年减少5万元，下降33</w:t>
      </w:r>
      <w:r>
        <w:rPr>
          <w:rFonts w:ascii="仿宋_GB2312" w:eastAsia="仿宋_GB2312"/>
          <w:sz w:val="32"/>
          <w:szCs w:val="32"/>
          <w:lang w:eastAsia="zh-CN"/>
        </w:rPr>
        <w:t>%</w:t>
      </w:r>
      <w:r>
        <w:rPr>
          <w:rFonts w:hint="eastAsia" w:ascii="仿宋_GB2312" w:eastAsia="仿宋_GB2312"/>
          <w:sz w:val="32"/>
          <w:szCs w:val="32"/>
          <w:lang w:eastAsia="zh-CN"/>
        </w:rPr>
        <w:t>。主要原因是本年度厉行节俭，降低公务用车费用。</w:t>
      </w:r>
    </w:p>
    <w:p>
      <w:pPr>
        <w:spacing w:line="600" w:lineRule="exact"/>
        <w:ind w:firstLine="640" w:firstLineChars="200"/>
        <w:rPr>
          <w:rFonts w:ascii="仿宋_GB2312" w:eastAsia="仿宋_GB2312"/>
          <w:b/>
          <w:sz w:val="32"/>
          <w:szCs w:val="32"/>
          <w:lang w:eastAsia="zh-CN"/>
        </w:rPr>
      </w:pPr>
      <w:r>
        <w:rPr>
          <w:rFonts w:hint="eastAsia" w:ascii="仿宋_GB2312" w:eastAsia="仿宋_GB2312"/>
          <w:sz w:val="32"/>
          <w:szCs w:val="32"/>
          <w:lang w:eastAsia="zh-CN"/>
        </w:rPr>
        <w:t>其中：</w:t>
      </w:r>
      <w:r>
        <w:rPr>
          <w:rFonts w:hint="eastAsia" w:ascii="仿宋_GB2312" w:eastAsia="仿宋_GB2312"/>
          <w:b/>
          <w:sz w:val="32"/>
          <w:szCs w:val="32"/>
          <w:lang w:eastAsia="zh-CN"/>
        </w:rPr>
        <w:t>公务用车购置支出</w:t>
      </w:r>
      <w:r>
        <w:rPr>
          <w:rFonts w:hint="eastAsia" w:ascii="仿宋_GB2312" w:eastAsia="仿宋_GB2312"/>
          <w:sz w:val="32"/>
          <w:szCs w:val="32"/>
          <w:lang w:eastAsia="zh-CN"/>
        </w:rPr>
        <w:t>0万元。全年按规定更新购置公务用车0辆。截至</w:t>
      </w:r>
      <w:r>
        <w:rPr>
          <w:rFonts w:ascii="仿宋_GB2312" w:eastAsia="仿宋_GB2312"/>
          <w:sz w:val="32"/>
          <w:szCs w:val="32"/>
          <w:lang w:eastAsia="zh-CN"/>
        </w:rPr>
        <w:t>2023</w:t>
      </w:r>
      <w:r>
        <w:rPr>
          <w:rFonts w:hint="eastAsia" w:ascii="仿宋_GB2312" w:eastAsia="仿宋_GB2312"/>
          <w:sz w:val="32"/>
          <w:szCs w:val="32"/>
          <w:lang w:eastAsia="zh-CN"/>
        </w:rPr>
        <w:t>年</w:t>
      </w:r>
      <w:r>
        <w:rPr>
          <w:rFonts w:ascii="仿宋_GB2312" w:eastAsia="仿宋_GB2312"/>
          <w:sz w:val="32"/>
          <w:szCs w:val="32"/>
          <w:lang w:eastAsia="zh-CN"/>
        </w:rPr>
        <w:t>12</w:t>
      </w:r>
      <w:r>
        <w:rPr>
          <w:rFonts w:hint="eastAsia" w:ascii="仿宋_GB2312" w:eastAsia="仿宋_GB2312"/>
          <w:sz w:val="32"/>
          <w:szCs w:val="32"/>
          <w:lang w:eastAsia="zh-CN"/>
        </w:rPr>
        <w:t>月底，单位共有公务用车11辆，其中：轿车3辆、越野车5辆、其他车型3辆。</w:t>
      </w:r>
    </w:p>
    <w:p>
      <w:pPr>
        <w:spacing w:line="600" w:lineRule="exact"/>
        <w:ind w:firstLine="640"/>
        <w:rPr>
          <w:rFonts w:ascii="仿宋_GB2312" w:eastAsia="仿宋_GB2312"/>
          <w:sz w:val="32"/>
          <w:szCs w:val="32"/>
          <w:lang w:eastAsia="zh-CN"/>
        </w:rPr>
      </w:pPr>
      <w:r>
        <w:rPr>
          <w:rFonts w:hint="eastAsia" w:ascii="仿宋_GB2312" w:eastAsia="仿宋_GB2312"/>
          <w:b/>
          <w:sz w:val="32"/>
          <w:szCs w:val="32"/>
          <w:lang w:eastAsia="zh-CN"/>
        </w:rPr>
        <w:t>公务用车运行维护费支出</w:t>
      </w:r>
      <w:r>
        <w:rPr>
          <w:rFonts w:hint="eastAsia" w:ascii="仿宋_GB2312" w:eastAsia="仿宋_GB2312"/>
          <w:b/>
          <w:sz w:val="32"/>
          <w:szCs w:val="32"/>
          <w:lang w:val="en-US" w:eastAsia="zh-CN"/>
        </w:rPr>
        <w:t>9.99</w:t>
      </w:r>
      <w:r>
        <w:rPr>
          <w:rFonts w:hint="eastAsia" w:ascii="仿宋_GB2312" w:eastAsia="仿宋_GB2312"/>
          <w:sz w:val="32"/>
          <w:szCs w:val="32"/>
          <w:lang w:eastAsia="zh-CN"/>
        </w:rPr>
        <w:t>万元。主要用于审判执行外出办案等所需的公务用车燃料费、维修费、过路过桥费、保险费等支出。</w:t>
      </w:r>
    </w:p>
    <w:p>
      <w:pPr>
        <w:spacing w:line="600" w:lineRule="exact"/>
        <w:ind w:firstLine="640"/>
        <w:rPr>
          <w:rFonts w:ascii="仿宋_GB2312" w:eastAsia="仿宋_GB2312"/>
          <w:sz w:val="32"/>
          <w:szCs w:val="32"/>
          <w:lang w:eastAsia="zh-CN"/>
        </w:rPr>
      </w:pPr>
      <w:r>
        <w:rPr>
          <w:rFonts w:ascii="仿宋_GB2312" w:eastAsia="仿宋_GB2312"/>
          <w:b/>
          <w:sz w:val="32"/>
          <w:szCs w:val="32"/>
          <w:lang w:eastAsia="zh-CN"/>
        </w:rPr>
        <w:t>3.</w:t>
      </w:r>
      <w:r>
        <w:rPr>
          <w:rFonts w:hint="eastAsia" w:ascii="仿宋_GB2312" w:eastAsia="仿宋_GB2312"/>
          <w:b/>
          <w:sz w:val="32"/>
          <w:szCs w:val="32"/>
          <w:lang w:eastAsia="zh-CN"/>
        </w:rPr>
        <w:t>公务接待费支出</w:t>
      </w:r>
      <w:r>
        <w:rPr>
          <w:rFonts w:hint="eastAsia" w:ascii="仿宋_GB2312" w:eastAsia="仿宋_GB2312"/>
          <w:sz w:val="32"/>
          <w:szCs w:val="32"/>
          <w:lang w:eastAsia="zh-CN"/>
        </w:rPr>
        <w:t>1.6万元，</w:t>
      </w:r>
      <w:r>
        <w:rPr>
          <w:rStyle w:val="26"/>
          <w:rFonts w:hint="eastAsia" w:ascii="仿宋" w:hAnsi="仿宋" w:eastAsia="仿宋"/>
          <w:b w:val="0"/>
          <w:sz w:val="32"/>
          <w:szCs w:val="32"/>
          <w:lang w:eastAsia="zh-CN"/>
        </w:rPr>
        <w:t>完成预算100</w:t>
      </w:r>
      <w:r>
        <w:rPr>
          <w:rStyle w:val="26"/>
          <w:rFonts w:ascii="仿宋" w:hAnsi="仿宋" w:eastAsia="仿宋"/>
          <w:b w:val="0"/>
          <w:sz w:val="32"/>
          <w:szCs w:val="32"/>
          <w:lang w:eastAsia="zh-CN"/>
        </w:rPr>
        <w:t>%</w:t>
      </w:r>
      <w:r>
        <w:rPr>
          <w:rStyle w:val="26"/>
          <w:rFonts w:hint="eastAsia" w:ascii="仿宋" w:hAnsi="仿宋" w:eastAsia="仿宋"/>
          <w:b w:val="0"/>
          <w:sz w:val="32"/>
          <w:szCs w:val="32"/>
          <w:lang w:eastAsia="zh-CN"/>
        </w:rPr>
        <w:t>。</w:t>
      </w:r>
      <w:r>
        <w:rPr>
          <w:rFonts w:hint="eastAsia" w:ascii="仿宋_GB2312" w:eastAsia="仿宋_GB2312"/>
          <w:sz w:val="32"/>
          <w:szCs w:val="32"/>
          <w:lang w:eastAsia="zh-CN"/>
        </w:rPr>
        <w:t>公务接待费支出决算与</w:t>
      </w:r>
      <w:r>
        <w:rPr>
          <w:rFonts w:ascii="仿宋_GB2312" w:eastAsia="仿宋_GB2312"/>
          <w:sz w:val="32"/>
          <w:szCs w:val="32"/>
          <w:lang w:eastAsia="zh-CN"/>
        </w:rPr>
        <w:t>20</w:t>
      </w:r>
      <w:r>
        <w:rPr>
          <w:rFonts w:hint="eastAsia" w:ascii="仿宋_GB2312" w:eastAsia="仿宋_GB2312"/>
          <w:sz w:val="32"/>
          <w:szCs w:val="32"/>
          <w:lang w:eastAsia="zh-CN"/>
        </w:rPr>
        <w:t>22年持平。其中：</w:t>
      </w:r>
    </w:p>
    <w:p>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lang w:eastAsia="zh-CN"/>
        </w:rPr>
        <w:t>国内公务接待支出</w:t>
      </w:r>
      <w:r>
        <w:rPr>
          <w:rFonts w:hint="eastAsia" w:ascii="仿宋" w:hAnsi="仿宋" w:eastAsia="仿宋"/>
          <w:sz w:val="32"/>
          <w:szCs w:val="32"/>
          <w:lang w:eastAsia="zh-CN"/>
        </w:rPr>
        <w:t>1.6</w:t>
      </w:r>
      <w:r>
        <w:rPr>
          <w:rFonts w:hint="eastAsia" w:ascii="仿宋_GB2312" w:eastAsia="仿宋_GB2312"/>
          <w:sz w:val="32"/>
          <w:szCs w:val="32"/>
          <w:lang w:eastAsia="zh-CN"/>
        </w:rPr>
        <w:t>万元，主要用于用餐费等。国内公务接待12批次，90人次（不包括陪同人员），共计支出1.6万元，具体内容包括：其他法院来我院进行参观学习交流、相关考察活动等。</w:t>
      </w:r>
    </w:p>
    <w:p>
      <w:pPr>
        <w:spacing w:line="600" w:lineRule="exact"/>
        <w:ind w:firstLine="640"/>
        <w:rPr>
          <w:rFonts w:ascii="仿宋_GB2312" w:eastAsia="仿宋_GB2312"/>
          <w:sz w:val="32"/>
          <w:szCs w:val="32"/>
          <w:lang w:eastAsia="zh-CN"/>
        </w:rPr>
      </w:pPr>
      <w:r>
        <w:rPr>
          <w:rFonts w:hint="eastAsia" w:ascii="仿宋" w:hAnsi="仿宋" w:eastAsia="仿宋"/>
          <w:b/>
          <w:sz w:val="32"/>
          <w:szCs w:val="32"/>
          <w:lang w:eastAsia="zh-CN"/>
        </w:rPr>
        <w:t>外事接待支出</w:t>
      </w:r>
      <w:r>
        <w:rPr>
          <w:rFonts w:hint="eastAsia" w:ascii="仿宋" w:hAnsi="仿宋" w:eastAsia="仿宋"/>
          <w:sz w:val="32"/>
          <w:szCs w:val="32"/>
          <w:lang w:eastAsia="zh-CN"/>
        </w:rPr>
        <w:t>0</w:t>
      </w:r>
      <w:r>
        <w:rPr>
          <w:rFonts w:hint="eastAsia" w:ascii="仿宋_GB2312" w:eastAsia="仿宋_GB2312"/>
          <w:sz w:val="32"/>
          <w:szCs w:val="32"/>
          <w:lang w:eastAsia="zh-CN"/>
        </w:rPr>
        <w:t>万元。</w:t>
      </w:r>
    </w:p>
    <w:p>
      <w:pPr>
        <w:pStyle w:val="4"/>
        <w:rPr>
          <w:rFonts w:hint="eastAsia" w:ascii="黑体" w:hAnsi="黑体" w:eastAsia="黑体"/>
          <w:sz w:val="32"/>
          <w:szCs w:val="32"/>
          <w:lang w:eastAsia="zh-CN"/>
        </w:rPr>
      </w:pPr>
      <w:bookmarkStart w:id="79" w:name="_Toc15396610"/>
      <w:bookmarkStart w:id="80" w:name="_Toc177054937"/>
      <w:bookmarkStart w:id="81" w:name="_Toc15377218"/>
      <w:bookmarkStart w:id="82" w:name="_Toc17958"/>
      <w:r>
        <w:rPr>
          <w:rFonts w:hint="eastAsia" w:ascii="黑体" w:hAnsi="黑体" w:eastAsia="黑体"/>
          <w:sz w:val="32"/>
          <w:szCs w:val="32"/>
          <w:lang w:eastAsia="zh-CN"/>
        </w:rPr>
        <w:t xml:space="preserve">    八、政府性基金预算支出决算情况说明</w:t>
      </w:r>
      <w:bookmarkEnd w:id="79"/>
      <w:bookmarkEnd w:id="80"/>
      <w:bookmarkEnd w:id="81"/>
      <w:bookmarkEnd w:id="82"/>
    </w:p>
    <w:p>
      <w:pPr>
        <w:pStyle w:val="4"/>
        <w:rPr>
          <w:rFonts w:ascii="黑体" w:hAnsi="黑体" w:eastAsia="黑体"/>
          <w:sz w:val="32"/>
          <w:szCs w:val="32"/>
          <w:lang w:eastAsia="zh-CN"/>
        </w:rPr>
      </w:pPr>
      <w:r>
        <w:rPr>
          <w:rFonts w:hint="eastAsia" w:ascii="黑体" w:hAnsi="黑体" w:eastAsia="黑体"/>
          <w:sz w:val="32"/>
          <w:szCs w:val="32"/>
          <w:lang w:eastAsia="zh-CN"/>
        </w:rPr>
        <w:t xml:space="preserve">    </w:t>
      </w:r>
      <w:r>
        <w:rPr>
          <w:rFonts w:ascii="仿宋_GB2312" w:eastAsia="仿宋_GB2312"/>
          <w:sz w:val="32"/>
          <w:szCs w:val="32"/>
          <w:lang w:eastAsia="zh-CN"/>
        </w:rPr>
        <w:t>2023</w:t>
      </w:r>
      <w:r>
        <w:rPr>
          <w:rFonts w:hint="eastAsia" w:ascii="仿宋_GB2312" w:eastAsia="仿宋_GB2312"/>
          <w:sz w:val="32"/>
          <w:szCs w:val="32"/>
          <w:lang w:eastAsia="zh-CN"/>
        </w:rPr>
        <w:t>年政府性基金预算财政拨款支出0万元。</w:t>
      </w:r>
    </w:p>
    <w:p>
      <w:pPr>
        <w:pStyle w:val="4"/>
        <w:rPr>
          <w:rFonts w:ascii="黑体" w:hAnsi="黑体" w:eastAsia="黑体"/>
          <w:b/>
          <w:sz w:val="32"/>
          <w:szCs w:val="32"/>
          <w:lang w:eastAsia="zh-CN"/>
        </w:rPr>
      </w:pPr>
      <w:bookmarkStart w:id="83" w:name="_Toc177054938"/>
      <w:bookmarkStart w:id="84" w:name="_Toc6066"/>
      <w:bookmarkStart w:id="85" w:name="_Toc15396611"/>
      <w:bookmarkStart w:id="86" w:name="_Toc15377219"/>
      <w:r>
        <w:rPr>
          <w:rFonts w:hint="eastAsia" w:ascii="黑体" w:hAnsi="黑体" w:eastAsia="黑体"/>
          <w:sz w:val="32"/>
          <w:szCs w:val="32"/>
          <w:lang w:eastAsia="zh-CN"/>
        </w:rPr>
        <w:t xml:space="preserve">    九、国有资本经营预算支出决算情况说明</w:t>
      </w:r>
      <w:bookmarkEnd w:id="83"/>
      <w:bookmarkEnd w:id="84"/>
      <w:bookmarkEnd w:id="85"/>
      <w:bookmarkEnd w:id="86"/>
    </w:p>
    <w:p>
      <w:pPr>
        <w:spacing w:line="600" w:lineRule="exact"/>
        <w:ind w:firstLine="640"/>
        <w:rPr>
          <w:rFonts w:ascii="方正小标宋简体" w:hAnsi="方正小标宋简体" w:eastAsia="方正小标宋简体" w:cs="方正小标宋简体"/>
          <w:sz w:val="44"/>
          <w:szCs w:val="44"/>
          <w:lang w:eastAsia="zh-CN"/>
        </w:rPr>
      </w:pPr>
      <w:r>
        <w:rPr>
          <w:rFonts w:ascii="仿宋_GB2312" w:eastAsia="仿宋_GB2312"/>
          <w:sz w:val="32"/>
          <w:szCs w:val="32"/>
          <w:lang w:eastAsia="zh-CN"/>
        </w:rPr>
        <w:t>2023</w:t>
      </w:r>
      <w:r>
        <w:rPr>
          <w:rFonts w:hint="eastAsia" w:ascii="仿宋_GB2312" w:eastAsia="仿宋_GB2312"/>
          <w:sz w:val="32"/>
          <w:szCs w:val="32"/>
          <w:lang w:eastAsia="zh-CN"/>
        </w:rPr>
        <w:t>年国有资本经营预算财政拨款支出</w:t>
      </w:r>
      <w:r>
        <w:rPr>
          <w:rFonts w:ascii="仿宋_GB2312" w:eastAsia="仿宋_GB2312"/>
          <w:sz w:val="32"/>
          <w:szCs w:val="32"/>
          <w:lang w:eastAsia="zh-CN"/>
        </w:rPr>
        <w:t>0</w:t>
      </w:r>
      <w:r>
        <w:rPr>
          <w:rFonts w:hint="eastAsia" w:ascii="仿宋_GB2312" w:eastAsia="仿宋_GB2312"/>
          <w:sz w:val="32"/>
          <w:szCs w:val="32"/>
          <w:lang w:eastAsia="zh-CN"/>
        </w:rPr>
        <w:t>万元。</w:t>
      </w:r>
    </w:p>
    <w:p>
      <w:pPr>
        <w:pStyle w:val="4"/>
        <w:rPr>
          <w:rFonts w:hint="eastAsia" w:ascii="黑体" w:hAnsi="黑体" w:eastAsia="黑体"/>
          <w:sz w:val="32"/>
          <w:lang w:eastAsia="zh-CN"/>
        </w:rPr>
      </w:pPr>
      <w:bookmarkStart w:id="87" w:name="_Toc2516"/>
      <w:bookmarkStart w:id="88" w:name="_Toc15377221"/>
      <w:bookmarkStart w:id="89" w:name="_Toc15396612"/>
      <w:bookmarkStart w:id="90" w:name="_Toc177054939"/>
      <w:r>
        <w:rPr>
          <w:rFonts w:hint="eastAsia" w:ascii="黑体" w:hAnsi="黑体" w:eastAsia="黑体"/>
          <w:sz w:val="32"/>
          <w:lang w:eastAsia="zh-CN"/>
        </w:rPr>
        <w:t xml:space="preserve">    十、其他重要事项的情况说明</w:t>
      </w:r>
      <w:bookmarkEnd w:id="87"/>
      <w:bookmarkEnd w:id="88"/>
      <w:bookmarkEnd w:id="89"/>
      <w:bookmarkEnd w:id="90"/>
      <w:bookmarkStart w:id="91" w:name="_Toc15377222"/>
      <w:bookmarkStart w:id="92" w:name="_Toc177054940"/>
    </w:p>
    <w:p>
      <w:pPr>
        <w:pStyle w:val="4"/>
        <w:rPr>
          <w:rFonts w:ascii="黑体" w:hAnsi="黑体" w:eastAsia="黑体"/>
          <w:sz w:val="32"/>
          <w:lang w:eastAsia="zh-CN"/>
        </w:rPr>
      </w:pPr>
      <w:r>
        <w:rPr>
          <w:rFonts w:hint="eastAsia" w:ascii="黑体" w:hAnsi="黑体" w:eastAsia="黑体"/>
          <w:sz w:val="32"/>
          <w:lang w:eastAsia="zh-CN"/>
        </w:rPr>
        <w:t xml:space="preserve">    </w:t>
      </w:r>
      <w:r>
        <w:rPr>
          <w:rFonts w:hint="eastAsia" w:ascii="仿宋" w:hAnsi="仿宋" w:eastAsia="仿宋"/>
          <w:b/>
          <w:sz w:val="32"/>
          <w:szCs w:val="32"/>
          <w:lang w:eastAsia="zh-CN"/>
        </w:rPr>
        <w:t>（一）机关运行经费支出情况</w:t>
      </w:r>
      <w:bookmarkEnd w:id="91"/>
      <w:bookmarkEnd w:id="92"/>
    </w:p>
    <w:p>
      <w:pPr>
        <w:spacing w:line="600" w:lineRule="exact"/>
        <w:ind w:firstLine="640" w:firstLineChars="200"/>
        <w:rPr>
          <w:rFonts w:ascii="仿宋_GB2312" w:eastAsia="仿宋_GB2312"/>
          <w:sz w:val="32"/>
          <w:szCs w:val="32"/>
          <w:lang w:eastAsia="zh-CN"/>
        </w:rPr>
      </w:pPr>
      <w:r>
        <w:rPr>
          <w:rFonts w:ascii="仿宋_GB2312" w:eastAsia="仿宋_GB2312"/>
          <w:sz w:val="32"/>
          <w:szCs w:val="32"/>
          <w:lang w:eastAsia="zh-CN"/>
        </w:rPr>
        <w:t>2023</w:t>
      </w:r>
      <w:r>
        <w:rPr>
          <w:rFonts w:hint="eastAsia" w:ascii="仿宋_GB2312" w:eastAsia="仿宋_GB2312"/>
          <w:sz w:val="32"/>
          <w:szCs w:val="32"/>
          <w:lang w:eastAsia="zh-CN"/>
        </w:rPr>
        <w:t>年，区法院机关运行经费支出156.73万元，比</w:t>
      </w:r>
      <w:r>
        <w:rPr>
          <w:rFonts w:ascii="仿宋_GB2312" w:eastAsia="仿宋_GB2312"/>
          <w:sz w:val="32"/>
          <w:szCs w:val="32"/>
          <w:lang w:eastAsia="zh-CN"/>
        </w:rPr>
        <w:t>20</w:t>
      </w:r>
      <w:r>
        <w:rPr>
          <w:rFonts w:hint="eastAsia" w:ascii="仿宋_GB2312" w:eastAsia="仿宋_GB2312"/>
          <w:sz w:val="32"/>
          <w:szCs w:val="32"/>
          <w:lang w:eastAsia="zh-CN"/>
        </w:rPr>
        <w:t>22年减少19.54万元，下降11</w:t>
      </w:r>
      <w:r>
        <w:rPr>
          <w:rFonts w:ascii="仿宋_GB2312" w:eastAsia="仿宋_GB2312"/>
          <w:sz w:val="32"/>
          <w:szCs w:val="32"/>
          <w:lang w:eastAsia="zh-CN"/>
        </w:rPr>
        <w:t>%</w:t>
      </w:r>
      <w:r>
        <w:rPr>
          <w:rFonts w:hint="eastAsia" w:ascii="仿宋_GB2312" w:eastAsia="仿宋_GB2312"/>
          <w:sz w:val="32"/>
          <w:szCs w:val="32"/>
          <w:lang w:eastAsia="zh-CN"/>
        </w:rPr>
        <w:t>。主要原因是厉行节俭。</w:t>
      </w:r>
    </w:p>
    <w:p>
      <w:pPr>
        <w:autoSpaceDE w:val="0"/>
        <w:autoSpaceDN w:val="0"/>
        <w:adjustRightInd w:val="0"/>
        <w:spacing w:line="600" w:lineRule="exact"/>
        <w:ind w:firstLine="642" w:firstLineChars="200"/>
        <w:outlineLvl w:val="2"/>
        <w:rPr>
          <w:rFonts w:ascii="仿宋" w:hAnsi="仿宋" w:eastAsia="仿宋"/>
          <w:b/>
          <w:sz w:val="32"/>
          <w:szCs w:val="32"/>
          <w:lang w:eastAsia="zh-CN"/>
        </w:rPr>
      </w:pPr>
      <w:bookmarkStart w:id="93" w:name="_Toc177054941"/>
      <w:bookmarkStart w:id="94" w:name="_Toc15377223"/>
      <w:r>
        <w:rPr>
          <w:rFonts w:hint="eastAsia" w:ascii="仿宋" w:hAnsi="仿宋" w:eastAsia="仿宋"/>
          <w:b/>
          <w:sz w:val="32"/>
          <w:szCs w:val="32"/>
          <w:lang w:eastAsia="zh-CN"/>
        </w:rPr>
        <w:t>（二）政府采购支出情况</w:t>
      </w:r>
      <w:bookmarkEnd w:id="93"/>
      <w:bookmarkEnd w:id="94"/>
    </w:p>
    <w:p>
      <w:pPr>
        <w:spacing w:line="600" w:lineRule="exact"/>
        <w:ind w:firstLine="640" w:firstLineChars="200"/>
        <w:rPr>
          <w:rFonts w:ascii="仿宋_GB2312" w:eastAsia="仿宋_GB2312"/>
          <w:sz w:val="32"/>
          <w:szCs w:val="32"/>
          <w:lang w:eastAsia="zh-CN"/>
        </w:rPr>
      </w:pPr>
      <w:r>
        <w:rPr>
          <w:rFonts w:ascii="仿宋_GB2312" w:eastAsia="仿宋_GB2312"/>
          <w:sz w:val="32"/>
          <w:szCs w:val="32"/>
          <w:lang w:eastAsia="zh-CN"/>
        </w:rPr>
        <w:t>2023</w:t>
      </w:r>
      <w:r>
        <w:rPr>
          <w:rFonts w:hint="eastAsia" w:ascii="仿宋_GB2312" w:eastAsia="仿宋_GB2312"/>
          <w:sz w:val="32"/>
          <w:szCs w:val="32"/>
          <w:lang w:eastAsia="zh-CN"/>
        </w:rPr>
        <w:t>年，区法院政府采购支出总额0万元</w:t>
      </w:r>
      <w:r>
        <w:rPr>
          <w:rFonts w:hint="eastAsia" w:ascii="仿宋_GB2312" w:eastAsia="仿宋_GB2312"/>
          <w:color w:val="0070C0"/>
          <w:sz w:val="32"/>
          <w:szCs w:val="32"/>
          <w:lang w:eastAsia="zh-CN"/>
        </w:rPr>
        <w:t>。</w:t>
      </w:r>
      <w:r>
        <w:rPr>
          <w:rFonts w:ascii="仿宋_GB2312" w:eastAsia="仿宋_GB2312"/>
          <w:sz w:val="32"/>
          <w:szCs w:val="32"/>
          <w:lang w:eastAsia="zh-CN"/>
        </w:rPr>
        <w:t xml:space="preserve"> </w:t>
      </w:r>
    </w:p>
    <w:p>
      <w:pPr>
        <w:autoSpaceDE w:val="0"/>
        <w:autoSpaceDN w:val="0"/>
        <w:adjustRightInd w:val="0"/>
        <w:spacing w:line="600" w:lineRule="exact"/>
        <w:ind w:firstLine="642" w:firstLineChars="200"/>
        <w:outlineLvl w:val="2"/>
        <w:rPr>
          <w:rFonts w:ascii="仿宋" w:hAnsi="仿宋" w:eastAsia="仿宋"/>
          <w:b/>
          <w:sz w:val="32"/>
          <w:szCs w:val="32"/>
          <w:lang w:eastAsia="zh-CN"/>
        </w:rPr>
      </w:pPr>
      <w:bookmarkStart w:id="95" w:name="_Toc177054942"/>
      <w:bookmarkStart w:id="96" w:name="_Toc15377224"/>
      <w:r>
        <w:rPr>
          <w:rFonts w:hint="eastAsia" w:ascii="仿宋" w:hAnsi="仿宋" w:eastAsia="仿宋"/>
          <w:b/>
          <w:sz w:val="32"/>
          <w:szCs w:val="32"/>
          <w:lang w:eastAsia="zh-CN"/>
        </w:rPr>
        <w:t>（三）国有资产占有使用情况</w:t>
      </w:r>
      <w:bookmarkEnd w:id="95"/>
      <w:bookmarkEnd w:id="96"/>
    </w:p>
    <w:p>
      <w:pPr>
        <w:autoSpaceDE w:val="0"/>
        <w:autoSpaceDN w:val="0"/>
        <w:adjustRightInd w:val="0"/>
        <w:spacing w:line="60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截至</w:t>
      </w:r>
      <w:r>
        <w:rPr>
          <w:rFonts w:ascii="仿宋_GB2312" w:eastAsia="仿宋_GB2312"/>
          <w:sz w:val="32"/>
          <w:szCs w:val="32"/>
          <w:lang w:eastAsia="zh-CN"/>
        </w:rPr>
        <w:t>2023</w:t>
      </w:r>
      <w:r>
        <w:rPr>
          <w:rFonts w:hint="eastAsia" w:ascii="仿宋_GB2312" w:eastAsia="仿宋_GB2312"/>
          <w:sz w:val="32"/>
          <w:szCs w:val="32"/>
          <w:lang w:eastAsia="zh-CN"/>
        </w:rPr>
        <w:t>年</w:t>
      </w:r>
      <w:r>
        <w:rPr>
          <w:rFonts w:ascii="仿宋_GB2312" w:eastAsia="仿宋_GB2312"/>
          <w:sz w:val="32"/>
          <w:szCs w:val="32"/>
          <w:lang w:eastAsia="zh-CN"/>
        </w:rPr>
        <w:t>12</w:t>
      </w:r>
      <w:r>
        <w:rPr>
          <w:rFonts w:hint="eastAsia" w:ascii="仿宋_GB2312" w:eastAsia="仿宋_GB2312"/>
          <w:sz w:val="32"/>
          <w:szCs w:val="32"/>
          <w:lang w:eastAsia="zh-CN"/>
        </w:rPr>
        <w:t>月</w:t>
      </w:r>
      <w:r>
        <w:rPr>
          <w:rFonts w:ascii="仿宋_GB2312" w:eastAsia="仿宋_GB2312"/>
          <w:sz w:val="32"/>
          <w:szCs w:val="32"/>
          <w:lang w:eastAsia="zh-CN"/>
        </w:rPr>
        <w:t>31</w:t>
      </w:r>
      <w:r>
        <w:rPr>
          <w:rFonts w:hint="eastAsia" w:ascii="仿宋_GB2312" w:eastAsia="仿宋_GB2312"/>
          <w:sz w:val="32"/>
          <w:szCs w:val="32"/>
          <w:lang w:eastAsia="zh-CN"/>
        </w:rPr>
        <w:t>日，区法院共有车辆11辆，其中：主要领导干部用车0辆、机要通信用车0辆、应急保障用车0辆、</w:t>
      </w:r>
      <w:r>
        <w:rPr>
          <w:rFonts w:hint="eastAsia" w:ascii="仿宋_GB2312" w:hAnsi="仿宋_GB2312" w:eastAsia="仿宋_GB2312"/>
          <w:color w:val="000000"/>
          <w:sz w:val="32"/>
          <w:lang w:val="zh-CN" w:eastAsia="zh-CN"/>
        </w:rPr>
        <w:t>执法执勤用车6辆、特种专业技术用车5辆。</w:t>
      </w:r>
      <w:r>
        <w:rPr>
          <w:rFonts w:hint="eastAsia" w:ascii="仿宋_GB2312" w:eastAsia="仿宋_GB2312"/>
          <w:sz w:val="32"/>
          <w:szCs w:val="32"/>
          <w:lang w:eastAsia="zh-CN"/>
        </w:rPr>
        <w:t>单价</w:t>
      </w:r>
      <w:r>
        <w:rPr>
          <w:rFonts w:ascii="仿宋_GB2312" w:eastAsia="仿宋_GB2312"/>
          <w:sz w:val="32"/>
          <w:szCs w:val="32"/>
          <w:lang w:eastAsia="zh-CN"/>
        </w:rPr>
        <w:t>100</w:t>
      </w:r>
      <w:r>
        <w:rPr>
          <w:rFonts w:hint="eastAsia" w:ascii="仿宋_GB2312" w:eastAsia="仿宋_GB2312"/>
          <w:sz w:val="32"/>
          <w:szCs w:val="32"/>
          <w:lang w:eastAsia="zh-CN"/>
        </w:rPr>
        <w:t>万元以上专用设备0台（套）。</w:t>
      </w:r>
    </w:p>
    <w:p>
      <w:pPr>
        <w:autoSpaceDE w:val="0"/>
        <w:autoSpaceDN w:val="0"/>
        <w:adjustRightInd w:val="0"/>
        <w:spacing w:line="600" w:lineRule="exact"/>
        <w:ind w:firstLine="642" w:firstLineChars="200"/>
        <w:outlineLvl w:val="2"/>
        <w:rPr>
          <w:rFonts w:ascii="仿宋_GB2312" w:hAnsi="仿宋" w:eastAsia="仿宋_GB2312"/>
          <w:b/>
          <w:sz w:val="32"/>
          <w:szCs w:val="32"/>
          <w:lang w:eastAsia="zh-CN"/>
        </w:rPr>
      </w:pPr>
      <w:r>
        <w:rPr>
          <w:rFonts w:hint="eastAsia" w:ascii="仿宋_GB2312" w:hAnsi="仿宋" w:eastAsia="仿宋_GB2312"/>
          <w:b/>
          <w:sz w:val="32"/>
          <w:szCs w:val="32"/>
          <w:lang w:eastAsia="zh-CN"/>
        </w:rPr>
        <w:t>（四）预算绩效管理情况</w:t>
      </w:r>
      <w:bookmarkEnd w:id="29"/>
    </w:p>
    <w:p>
      <w:pPr>
        <w:spacing w:line="60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根据预算绩效管理要求，本部门在2023年度预算编制阶段，组织对办案业务经费、聘用制书记员经费、公务员加班补助、司法警察加班补助、政法转移资金等5个项目开展了预算事前绩效评估，对5个项目编制了绩效目标，预算执行过程中，对5个项目开展绩效监控。</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5个项目开展绩效自评，绩效自评表详见第四部分附件</w:t>
      </w:r>
    </w:p>
    <w:p>
      <w:pPr>
        <w:ind w:firstLine="880" w:firstLineChars="200"/>
        <w:rPr>
          <w:rFonts w:ascii="仿宋_GB2312" w:hAnsi="黑体" w:eastAsia="仿宋_GB2312"/>
          <w:sz w:val="44"/>
          <w:szCs w:val="44"/>
          <w:lang w:eastAsia="zh-CN"/>
        </w:rPr>
      </w:pPr>
    </w:p>
    <w:p>
      <w:pPr>
        <w:ind w:firstLine="880" w:firstLineChars="200"/>
        <w:rPr>
          <w:rFonts w:ascii="仿宋_GB2312" w:hAnsi="黑体" w:eastAsia="仿宋_GB2312"/>
          <w:sz w:val="44"/>
          <w:szCs w:val="44"/>
          <w:lang w:eastAsia="zh-CN"/>
        </w:rPr>
      </w:pPr>
    </w:p>
    <w:p>
      <w:pPr>
        <w:pStyle w:val="3"/>
        <w:jc w:val="center"/>
        <w:rPr>
          <w:rFonts w:ascii="黑体" w:hAnsi="黑体" w:eastAsia="黑体"/>
          <w:b w:val="0"/>
          <w:sz w:val="44"/>
          <w:szCs w:val="44"/>
          <w:lang w:eastAsia="zh-CN"/>
        </w:rPr>
      </w:pPr>
      <w:bookmarkStart w:id="97" w:name="_Toc177051571"/>
      <w:r>
        <w:rPr>
          <w:rFonts w:hint="eastAsia" w:ascii="黑体" w:hAnsi="黑体" w:eastAsia="黑体"/>
          <w:b w:val="0"/>
          <w:sz w:val="44"/>
          <w:szCs w:val="44"/>
          <w:lang w:eastAsia="zh-CN"/>
        </w:rPr>
        <w:t>第三部分  名词解释</w:t>
      </w:r>
      <w:bookmarkEnd w:id="30"/>
      <w:bookmarkEnd w:id="31"/>
      <w:bookmarkEnd w:id="32"/>
      <w:bookmarkEnd w:id="97"/>
    </w:p>
    <w:p>
      <w:pPr>
        <w:spacing w:line="600" w:lineRule="exact"/>
        <w:rPr>
          <w:rFonts w:ascii="宋体"/>
          <w:b/>
          <w:sz w:val="44"/>
          <w:szCs w:val="44"/>
          <w:lang w:eastAsia="zh-CN"/>
        </w:rPr>
      </w:pP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其他收入：指除上述“财政拨款收入”等以外的收入。</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公共安全支出（类）法院（款）行政运行（项）： 只反映行政单位（包括实行公务员管理的事业单位）的基本支出。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公共安全支出（类）法院（款）一般行政管理事务（项）： 指行政单位（包括实行公务员管理的事业单位）未单独设置顶级科目的其他项目支出。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公共安全支出（类）法院（款）案件审判（项）： 指反映人民法院对刑事、民事、行政、涉外等案件审判活动的支出。4.公共安全支出（类）法院（款）机关服务（项）： 是指为机关运转提供日常服务事业单位支出。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公共安全支出（类）法院（款）“两庭”建设（项）：指法院的审判庭（法庭）和人民法院的建设。</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公共安全支出（类）法院（款）其他法院支出（项）： 反映除上述项目以外其他用于法院方面的支出。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社会保障和就业支出（类）行政事业单位养老支出（款）机关事业单位基本养老保险缴费支出（项）： 指反映机关事业单位实施养老保险制度由单位缴纳的基本养老保险支出。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社会保障和就业支出（类）行政事业单位养老支出（款）机关事业单位职业年金缴费支出（项）：指反映单位为职工实际缴纳的职业年金（含职业年金补记支出）。由单位代扣的工作人员职业年金缴费不在此科目反映。</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卫生健康（类）行政事业单位医疗（款）行政单位医疗（项）：指用于单位应缴纳基本医疗保险支出。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住房保障支出（类）住房改革支出（款）住房公积金（项）：指按照《住房公积金管理条例》的规定，由单位及其在职职工缴存的长期住房储金。</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项目支出：指在基本支出之外为完成特定行政任务和事业发展目标所发生的支出。</w:t>
      </w:r>
    </w:p>
    <w:p>
      <w:pPr>
        <w:pStyle w:val="33"/>
        <w:numPr>
          <w:ilvl w:val="0"/>
          <w:numId w:val="1"/>
        </w:numPr>
        <w:spacing w:line="560" w:lineRule="exact"/>
        <w:ind w:left="0" w:leftChars="0" w:firstLine="400" w:firstLineChars="0"/>
        <w:rPr>
          <w:rFonts w:hint="eastAsia" w:ascii="仿宋_GB2312" w:eastAsia="仿宋_GB2312"/>
          <w:color w:val="auto"/>
          <w:sz w:val="32"/>
          <w:szCs w:val="32"/>
        </w:rPr>
      </w:pP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3"/>
        <w:numPr>
          <w:ilvl w:val="0"/>
          <w:numId w:val="1"/>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Fonts w:ascii="宋体"/>
          <w:b/>
          <w:sz w:val="44"/>
          <w:szCs w:val="44"/>
          <w:lang w:eastAsia="zh-CN"/>
        </w:rPr>
      </w:pPr>
      <w:r>
        <w:rPr>
          <w:rFonts w:ascii="宋体"/>
          <w:b/>
          <w:sz w:val="44"/>
          <w:szCs w:val="44"/>
          <w:lang w:eastAsia="zh-CN"/>
        </w:rPr>
        <w:br w:type="page"/>
      </w:r>
      <w:bookmarkStart w:id="98" w:name="_Toc15396614"/>
      <w:bookmarkStart w:id="99" w:name="_Toc13495"/>
      <w:bookmarkStart w:id="100" w:name="_Toc15377226"/>
    </w:p>
    <w:bookmarkEnd w:id="98"/>
    <w:bookmarkEnd w:id="99"/>
    <w:p>
      <w:pPr>
        <w:spacing w:line="600" w:lineRule="exact"/>
        <w:jc w:val="center"/>
        <w:outlineLvl w:val="0"/>
        <w:rPr>
          <w:rFonts w:hint="eastAsia" w:ascii="黑体" w:hAnsi="黑体" w:eastAsia="黑体" w:cstheme="majorBidi"/>
          <w:b w:val="0"/>
          <w:bCs/>
          <w:sz w:val="44"/>
          <w:szCs w:val="44"/>
          <w:lang w:val="en-US" w:eastAsia="zh-CN" w:bidi="en-US"/>
        </w:rPr>
      </w:pPr>
      <w:bookmarkStart w:id="101" w:name="_Toc177051573"/>
      <w:bookmarkStart w:id="102" w:name="_Toc15396618"/>
      <w:bookmarkStart w:id="103" w:name="_Toc18739"/>
      <w:r>
        <w:rPr>
          <w:rFonts w:hint="eastAsia" w:ascii="黑体" w:hAnsi="黑体" w:eastAsia="黑体" w:cstheme="majorBidi"/>
          <w:b w:val="0"/>
          <w:bCs/>
          <w:sz w:val="44"/>
          <w:szCs w:val="44"/>
          <w:lang w:val="en-US" w:eastAsia="zh-CN" w:bidi="en-US"/>
        </w:rPr>
        <w:t>第四部分 附件</w:t>
      </w:r>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黑体" w:hAnsi="黑体" w:eastAsia="黑体"/>
          <w:color w:val="FF0000"/>
          <w:sz w:val="44"/>
          <w:szCs w:val="44"/>
          <w:highlight w:val="none"/>
        </w:rPr>
      </w:pPr>
      <w:r>
        <w:rPr>
          <w:rFonts w:hint="eastAsia" w:hAnsi="Times New Roman" w:cs="Times New Roman"/>
          <w:sz w:val="32"/>
          <w:szCs w:val="32"/>
          <w:highlight w:val="none"/>
          <w:lang w:val="en-US" w:eastAsia="zh-CN"/>
        </w:rPr>
        <w:t>部门预算项目支出绩效自评表（202</w:t>
      </w:r>
      <w:r>
        <w:rPr>
          <w:rFonts w:hint="eastAsia" w:cs="Times New Roman"/>
          <w:sz w:val="32"/>
          <w:szCs w:val="32"/>
          <w:highlight w:val="none"/>
          <w:lang w:val="en-US" w:eastAsia="zh-CN"/>
        </w:rPr>
        <w:t>3</w:t>
      </w:r>
      <w:r>
        <w:rPr>
          <w:rFonts w:hint="eastAsia" w:hAnsi="Times New Roman" w:cs="Times New Roman"/>
          <w:sz w:val="32"/>
          <w:szCs w:val="32"/>
          <w:highlight w:val="none"/>
          <w:lang w:val="en-US" w:eastAsia="zh-CN"/>
        </w:rPr>
        <w:t>年度）</w:t>
      </w:r>
    </w:p>
    <w:p>
      <w:pPr>
        <w:pStyle w:val="3"/>
        <w:jc w:val="center"/>
        <w:rPr>
          <w:rFonts w:hint="eastAsia" w:ascii="黑体" w:hAnsi="黑体" w:eastAsia="黑体"/>
          <w:b w:val="0"/>
          <w:sz w:val="44"/>
          <w:szCs w:val="44"/>
          <w:lang w:eastAsia="zh-CN"/>
        </w:rPr>
      </w:pPr>
      <w:r>
        <w:rPr>
          <w:rFonts w:hint="eastAsia" w:ascii="黑体" w:hAnsi="黑体" w:eastAsia="黑体"/>
          <w:b w:val="0"/>
          <w:sz w:val="44"/>
          <w:szCs w:val="44"/>
          <w:lang w:eastAsia="zh-CN"/>
        </w:rPr>
        <w:t>见附表</w:t>
      </w: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hint="eastAsia" w:ascii="黑体" w:hAnsi="黑体" w:eastAsia="黑体"/>
          <w:b w:val="0"/>
          <w:sz w:val="44"/>
          <w:szCs w:val="44"/>
          <w:lang w:eastAsia="zh-CN"/>
        </w:rPr>
      </w:pPr>
    </w:p>
    <w:p>
      <w:pPr>
        <w:pStyle w:val="3"/>
        <w:jc w:val="center"/>
        <w:rPr>
          <w:rFonts w:ascii="黑体" w:hAnsi="黑体" w:eastAsia="黑体"/>
          <w:b w:val="0"/>
          <w:sz w:val="44"/>
          <w:szCs w:val="44"/>
          <w:lang w:eastAsia="zh-CN"/>
        </w:rPr>
      </w:pPr>
      <w:r>
        <w:rPr>
          <w:rFonts w:hint="eastAsia" w:ascii="黑体" w:hAnsi="黑体" w:eastAsia="黑体"/>
          <w:b w:val="0"/>
          <w:sz w:val="44"/>
          <w:szCs w:val="44"/>
          <w:lang w:eastAsia="zh-CN"/>
        </w:rPr>
        <w:t>第五部分 附表</w:t>
      </w:r>
      <w:bookmarkEnd w:id="100"/>
      <w:bookmarkEnd w:id="101"/>
      <w:bookmarkEnd w:id="102"/>
      <w:bookmarkEnd w:id="103"/>
      <w:bookmarkStart w:id="104" w:name="_Toc15396619"/>
    </w:p>
    <w:p>
      <w:pPr>
        <w:pStyle w:val="4"/>
        <w:rPr>
          <w:rFonts w:ascii="仿宋_GB2312" w:eastAsia="仿宋_GB2312"/>
          <w:b w:val="0"/>
          <w:sz w:val="32"/>
          <w:szCs w:val="32"/>
          <w:lang w:eastAsia="zh-CN"/>
        </w:rPr>
      </w:pPr>
      <w:bookmarkStart w:id="105" w:name="_Toc177051574"/>
      <w:bookmarkStart w:id="106" w:name="_Toc19195"/>
      <w:r>
        <w:rPr>
          <w:rFonts w:hint="eastAsia" w:ascii="仿宋_GB2312" w:eastAsia="仿宋_GB2312"/>
          <w:b w:val="0"/>
          <w:sz w:val="32"/>
          <w:szCs w:val="32"/>
          <w:lang w:eastAsia="zh-CN"/>
        </w:rPr>
        <w:t>一、收入支出决算总表</w:t>
      </w:r>
      <w:bookmarkEnd w:id="104"/>
      <w:bookmarkEnd w:id="105"/>
      <w:bookmarkEnd w:id="106"/>
    </w:p>
    <w:p>
      <w:pPr>
        <w:pStyle w:val="4"/>
        <w:rPr>
          <w:rFonts w:ascii="仿宋_GB2312" w:eastAsia="仿宋_GB2312"/>
          <w:b w:val="0"/>
          <w:sz w:val="32"/>
          <w:szCs w:val="32"/>
          <w:lang w:eastAsia="zh-CN"/>
        </w:rPr>
      </w:pPr>
      <w:bookmarkStart w:id="107" w:name="_Toc15396620"/>
      <w:bookmarkStart w:id="108" w:name="_Toc177051575"/>
      <w:bookmarkStart w:id="109" w:name="_Toc15324"/>
      <w:r>
        <w:rPr>
          <w:rFonts w:hint="eastAsia" w:ascii="仿宋_GB2312" w:eastAsia="仿宋_GB2312"/>
          <w:b w:val="0"/>
          <w:sz w:val="32"/>
          <w:szCs w:val="32"/>
          <w:lang w:eastAsia="zh-CN"/>
        </w:rPr>
        <w:t>二、收入决算表</w:t>
      </w:r>
      <w:bookmarkEnd w:id="107"/>
      <w:bookmarkEnd w:id="108"/>
      <w:bookmarkEnd w:id="109"/>
    </w:p>
    <w:p>
      <w:pPr>
        <w:pStyle w:val="4"/>
        <w:rPr>
          <w:rFonts w:ascii="仿宋_GB2312" w:eastAsia="仿宋_GB2312"/>
          <w:b w:val="0"/>
          <w:sz w:val="32"/>
          <w:szCs w:val="32"/>
          <w:lang w:eastAsia="zh-CN"/>
        </w:rPr>
      </w:pPr>
      <w:bookmarkStart w:id="110" w:name="_Toc15396621"/>
      <w:bookmarkStart w:id="111" w:name="_Toc177051576"/>
      <w:bookmarkStart w:id="112" w:name="_Toc10936"/>
      <w:r>
        <w:rPr>
          <w:rFonts w:hint="eastAsia" w:ascii="仿宋_GB2312" w:eastAsia="仿宋_GB2312"/>
          <w:b w:val="0"/>
          <w:sz w:val="32"/>
          <w:szCs w:val="32"/>
          <w:lang w:eastAsia="zh-CN"/>
        </w:rPr>
        <w:t>三、支出决算表</w:t>
      </w:r>
      <w:bookmarkEnd w:id="110"/>
      <w:bookmarkEnd w:id="111"/>
      <w:bookmarkEnd w:id="112"/>
    </w:p>
    <w:p>
      <w:pPr>
        <w:pStyle w:val="4"/>
        <w:rPr>
          <w:rFonts w:ascii="仿宋_GB2312" w:eastAsia="仿宋_GB2312"/>
          <w:b w:val="0"/>
          <w:sz w:val="32"/>
          <w:szCs w:val="32"/>
          <w:lang w:eastAsia="zh-CN"/>
        </w:rPr>
      </w:pPr>
      <w:bookmarkStart w:id="113" w:name="_Toc15396622"/>
      <w:bookmarkStart w:id="114" w:name="_Toc177051577"/>
      <w:bookmarkStart w:id="115" w:name="_Toc27930"/>
      <w:r>
        <w:rPr>
          <w:rFonts w:hint="eastAsia" w:ascii="仿宋_GB2312" w:eastAsia="仿宋_GB2312"/>
          <w:b w:val="0"/>
          <w:sz w:val="32"/>
          <w:szCs w:val="32"/>
          <w:lang w:eastAsia="zh-CN"/>
        </w:rPr>
        <w:t>四、财政拨款收入支出决算总表</w:t>
      </w:r>
      <w:bookmarkEnd w:id="113"/>
      <w:bookmarkEnd w:id="114"/>
      <w:bookmarkEnd w:id="115"/>
    </w:p>
    <w:p>
      <w:pPr>
        <w:pStyle w:val="4"/>
        <w:rPr>
          <w:rFonts w:ascii="仿宋_GB2312" w:eastAsia="仿宋_GB2312"/>
          <w:b w:val="0"/>
          <w:sz w:val="32"/>
          <w:szCs w:val="32"/>
          <w:lang w:eastAsia="zh-CN"/>
        </w:rPr>
      </w:pPr>
      <w:bookmarkStart w:id="116" w:name="_Toc177051578"/>
      <w:bookmarkStart w:id="117" w:name="_Toc16068"/>
      <w:bookmarkStart w:id="118" w:name="_Toc15396623"/>
      <w:r>
        <w:rPr>
          <w:rFonts w:hint="eastAsia" w:ascii="仿宋_GB2312" w:eastAsia="仿宋_GB2312"/>
          <w:b w:val="0"/>
          <w:sz w:val="32"/>
          <w:szCs w:val="32"/>
          <w:lang w:eastAsia="zh-CN"/>
        </w:rPr>
        <w:t>五、财政拨款支出决算明细表</w:t>
      </w:r>
      <w:bookmarkEnd w:id="116"/>
      <w:bookmarkEnd w:id="117"/>
      <w:bookmarkEnd w:id="118"/>
      <w:bookmarkStart w:id="119" w:name="_Toc15396624"/>
    </w:p>
    <w:p>
      <w:pPr>
        <w:pStyle w:val="4"/>
        <w:rPr>
          <w:rFonts w:ascii="仿宋_GB2312" w:eastAsia="仿宋_GB2312"/>
          <w:b w:val="0"/>
          <w:sz w:val="32"/>
          <w:szCs w:val="32"/>
          <w:lang w:eastAsia="zh-CN"/>
        </w:rPr>
      </w:pPr>
      <w:bookmarkStart w:id="120" w:name="_Toc28232"/>
      <w:bookmarkStart w:id="121" w:name="_Toc177051579"/>
      <w:r>
        <w:rPr>
          <w:rFonts w:hint="eastAsia" w:ascii="仿宋_GB2312" w:eastAsia="仿宋_GB2312"/>
          <w:b w:val="0"/>
          <w:sz w:val="32"/>
          <w:szCs w:val="32"/>
          <w:lang w:eastAsia="zh-CN"/>
        </w:rPr>
        <w:t>六、一般公共预算财政拨款支出决算表</w:t>
      </w:r>
      <w:bookmarkEnd w:id="119"/>
      <w:bookmarkEnd w:id="120"/>
      <w:bookmarkEnd w:id="121"/>
    </w:p>
    <w:p>
      <w:pPr>
        <w:pStyle w:val="4"/>
        <w:rPr>
          <w:rFonts w:ascii="仿宋_GB2312" w:eastAsia="仿宋_GB2312"/>
          <w:b w:val="0"/>
          <w:sz w:val="32"/>
          <w:szCs w:val="32"/>
          <w:lang w:eastAsia="zh-CN"/>
        </w:rPr>
      </w:pPr>
      <w:bookmarkStart w:id="122" w:name="_Toc25955"/>
      <w:bookmarkStart w:id="123" w:name="_Toc177051580"/>
      <w:bookmarkStart w:id="124" w:name="_Toc15396625"/>
      <w:r>
        <w:rPr>
          <w:rFonts w:hint="eastAsia" w:ascii="仿宋_GB2312" w:eastAsia="仿宋_GB2312"/>
          <w:b w:val="0"/>
          <w:sz w:val="32"/>
          <w:szCs w:val="32"/>
          <w:lang w:eastAsia="zh-CN"/>
        </w:rPr>
        <w:t>七、一般公共预算财政拨款支出决算明细表</w:t>
      </w:r>
      <w:bookmarkEnd w:id="122"/>
      <w:bookmarkEnd w:id="123"/>
      <w:bookmarkEnd w:id="124"/>
    </w:p>
    <w:p>
      <w:pPr>
        <w:pStyle w:val="4"/>
        <w:rPr>
          <w:rFonts w:ascii="仿宋_GB2312" w:eastAsia="仿宋_GB2312"/>
          <w:b w:val="0"/>
          <w:sz w:val="32"/>
          <w:szCs w:val="32"/>
          <w:lang w:eastAsia="zh-CN"/>
        </w:rPr>
      </w:pPr>
      <w:bookmarkStart w:id="125" w:name="_Toc15396626"/>
      <w:bookmarkStart w:id="126" w:name="_Toc177051581"/>
      <w:bookmarkStart w:id="127" w:name="_Toc21903"/>
      <w:r>
        <w:rPr>
          <w:rFonts w:hint="eastAsia" w:ascii="仿宋_GB2312" w:eastAsia="仿宋_GB2312"/>
          <w:b w:val="0"/>
          <w:sz w:val="32"/>
          <w:szCs w:val="32"/>
          <w:lang w:eastAsia="zh-CN"/>
        </w:rPr>
        <w:t>八、一般公共预算财政拨款基本支出决算表</w:t>
      </w:r>
      <w:bookmarkEnd w:id="125"/>
      <w:bookmarkEnd w:id="126"/>
      <w:bookmarkEnd w:id="127"/>
    </w:p>
    <w:p>
      <w:pPr>
        <w:pStyle w:val="4"/>
        <w:rPr>
          <w:rFonts w:ascii="仿宋_GB2312" w:eastAsia="仿宋_GB2312"/>
          <w:b w:val="0"/>
          <w:sz w:val="32"/>
          <w:szCs w:val="32"/>
          <w:lang w:eastAsia="zh-CN"/>
        </w:rPr>
      </w:pPr>
      <w:bookmarkStart w:id="128" w:name="_Toc4424"/>
      <w:bookmarkStart w:id="129" w:name="_Toc177051582"/>
      <w:bookmarkStart w:id="130" w:name="_Toc15396627"/>
      <w:r>
        <w:rPr>
          <w:rFonts w:hint="eastAsia" w:ascii="仿宋_GB2312" w:eastAsia="仿宋_GB2312"/>
          <w:b w:val="0"/>
          <w:sz w:val="32"/>
          <w:szCs w:val="32"/>
          <w:lang w:eastAsia="zh-CN"/>
        </w:rPr>
        <w:t>九、一般公共预算财政拨款项目支出决算表</w:t>
      </w:r>
      <w:bookmarkEnd w:id="128"/>
      <w:bookmarkEnd w:id="129"/>
      <w:bookmarkEnd w:id="130"/>
    </w:p>
    <w:p>
      <w:pPr>
        <w:pStyle w:val="4"/>
        <w:rPr>
          <w:rFonts w:ascii="仿宋_GB2312" w:eastAsia="仿宋_GB2312"/>
          <w:b w:val="0"/>
          <w:sz w:val="32"/>
          <w:szCs w:val="32"/>
          <w:lang w:eastAsia="zh-CN"/>
        </w:rPr>
      </w:pPr>
      <w:bookmarkStart w:id="131" w:name="_Toc15396628"/>
      <w:bookmarkStart w:id="132" w:name="_Toc177051583"/>
      <w:bookmarkStart w:id="133" w:name="_Toc21331"/>
      <w:r>
        <w:rPr>
          <w:rFonts w:hint="eastAsia" w:ascii="仿宋_GB2312" w:eastAsia="仿宋_GB2312"/>
          <w:b w:val="0"/>
          <w:sz w:val="32"/>
          <w:szCs w:val="32"/>
          <w:lang w:eastAsia="zh-CN"/>
        </w:rPr>
        <w:t>十、</w:t>
      </w:r>
      <w:bookmarkEnd w:id="131"/>
      <w:r>
        <w:rPr>
          <w:rFonts w:hint="eastAsia" w:ascii="仿宋_GB2312" w:eastAsia="仿宋_GB2312"/>
          <w:b w:val="0"/>
          <w:sz w:val="32"/>
          <w:szCs w:val="32"/>
          <w:lang w:eastAsia="zh-CN"/>
        </w:rPr>
        <w:t>政府性基金预算财政拨款收入支出决算表</w:t>
      </w:r>
      <w:bookmarkEnd w:id="132"/>
      <w:bookmarkEnd w:id="133"/>
    </w:p>
    <w:p>
      <w:pPr>
        <w:pStyle w:val="4"/>
        <w:rPr>
          <w:rFonts w:ascii="仿宋_GB2312" w:eastAsia="仿宋_GB2312"/>
          <w:b w:val="0"/>
          <w:sz w:val="32"/>
          <w:szCs w:val="32"/>
          <w:lang w:eastAsia="zh-CN"/>
        </w:rPr>
      </w:pPr>
      <w:bookmarkStart w:id="134" w:name="_Toc15396629"/>
      <w:bookmarkStart w:id="135" w:name="_Toc8127"/>
      <w:bookmarkStart w:id="136" w:name="_Toc177051584"/>
      <w:r>
        <w:rPr>
          <w:rFonts w:hint="eastAsia" w:ascii="仿宋_GB2312" w:eastAsia="仿宋_GB2312"/>
          <w:b w:val="0"/>
          <w:sz w:val="32"/>
          <w:szCs w:val="32"/>
          <w:lang w:eastAsia="zh-CN"/>
        </w:rPr>
        <w:t>十一、</w:t>
      </w:r>
      <w:bookmarkEnd w:id="134"/>
      <w:r>
        <w:rPr>
          <w:rFonts w:hint="eastAsia" w:ascii="仿宋_GB2312" w:eastAsia="仿宋_GB2312"/>
          <w:b w:val="0"/>
          <w:sz w:val="32"/>
          <w:szCs w:val="32"/>
          <w:lang w:eastAsia="zh-CN"/>
        </w:rPr>
        <w:t>国有资本经营预算财政拨款收入支出决算表</w:t>
      </w:r>
      <w:bookmarkEnd w:id="135"/>
      <w:bookmarkEnd w:id="136"/>
    </w:p>
    <w:p>
      <w:pPr>
        <w:pStyle w:val="4"/>
        <w:rPr>
          <w:rFonts w:ascii="仿宋_GB2312" w:eastAsia="仿宋_GB2312"/>
          <w:b w:val="0"/>
          <w:sz w:val="32"/>
          <w:szCs w:val="32"/>
          <w:lang w:eastAsia="zh-CN"/>
        </w:rPr>
      </w:pPr>
      <w:bookmarkStart w:id="137" w:name="_Toc15396630"/>
      <w:bookmarkStart w:id="138" w:name="_Toc177051585"/>
      <w:bookmarkStart w:id="139" w:name="_Toc27720"/>
      <w:r>
        <w:rPr>
          <w:rFonts w:hint="eastAsia" w:ascii="仿宋_GB2312" w:eastAsia="仿宋_GB2312"/>
          <w:b w:val="0"/>
          <w:sz w:val="32"/>
          <w:szCs w:val="32"/>
          <w:lang w:eastAsia="zh-CN"/>
        </w:rPr>
        <w:t>十二、</w:t>
      </w:r>
      <w:bookmarkEnd w:id="137"/>
      <w:r>
        <w:rPr>
          <w:rFonts w:hint="eastAsia" w:ascii="仿宋_GB2312" w:eastAsia="仿宋_GB2312"/>
          <w:b w:val="0"/>
          <w:sz w:val="32"/>
          <w:szCs w:val="32"/>
          <w:lang w:eastAsia="zh-CN"/>
        </w:rPr>
        <w:t>国有资本经营预算财政拨款支出决算表</w:t>
      </w:r>
      <w:bookmarkEnd w:id="138"/>
      <w:bookmarkEnd w:id="139"/>
      <w:bookmarkStart w:id="140" w:name="_Toc15396631"/>
      <w:bookmarkStart w:id="141" w:name="_Toc29940"/>
    </w:p>
    <w:p>
      <w:pPr>
        <w:pStyle w:val="4"/>
        <w:rPr>
          <w:rFonts w:ascii="仿宋_GB2312" w:eastAsia="仿宋_GB2312"/>
          <w:b w:val="0"/>
          <w:sz w:val="32"/>
          <w:szCs w:val="32"/>
          <w:lang w:eastAsia="zh-CN"/>
        </w:rPr>
      </w:pPr>
      <w:bookmarkStart w:id="142" w:name="_Toc177051586"/>
      <w:r>
        <w:rPr>
          <w:rFonts w:hint="eastAsia" w:ascii="仿宋_GB2312" w:eastAsia="仿宋_GB2312"/>
          <w:b w:val="0"/>
          <w:sz w:val="32"/>
          <w:szCs w:val="32"/>
          <w:lang w:eastAsia="zh-CN"/>
        </w:rPr>
        <w:t>十三、</w:t>
      </w:r>
      <w:bookmarkEnd w:id="140"/>
      <w:r>
        <w:rPr>
          <w:rFonts w:hint="eastAsia" w:ascii="仿宋_GB2312" w:eastAsia="仿宋_GB2312"/>
          <w:b w:val="0"/>
          <w:sz w:val="32"/>
          <w:szCs w:val="32"/>
          <w:lang w:eastAsia="zh-CN"/>
        </w:rPr>
        <w:t>财政拨款“三公”经费支出决算表</w:t>
      </w:r>
      <w:bookmarkEnd w:id="141"/>
      <w:bookmarkEnd w:id="142"/>
    </w:p>
    <w:p>
      <w:pPr>
        <w:spacing w:line="600" w:lineRule="exact"/>
        <w:rPr>
          <w:rFonts w:ascii="仿宋" w:hAnsi="仿宋" w:eastAsia="仿宋"/>
          <w:sz w:val="32"/>
          <w:szCs w:val="32"/>
          <w:lang w:eastAsia="zh-CN"/>
        </w:rPr>
      </w:pPr>
    </w:p>
    <w:sectPr>
      <w:headerReference r:id="rId5" w:type="default"/>
      <w:footerReference r:id="rId6" w:type="default"/>
      <w:pgSz w:w="11906" w:h="16838"/>
      <w:pgMar w:top="1440" w:right="1800" w:bottom="1440" w:left="1800" w:header="720"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libri Light">
    <w:altName w:val="Lucida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ambria">
    <w:altName w:val="Noto Sans Syriac Eastern"/>
    <w:panose1 w:val="02040503050406030204"/>
    <w:charset w:val="00"/>
    <w:family w:val="roman"/>
    <w:pitch w:val="default"/>
    <w:sig w:usb0="00000000" w:usb1="00000000" w:usb2="02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Mh2d9gbAgAAIwQAAA4A&#10;AAAAAAAAAQAgAAAAHwEAAGRycy9lMm9Eb2MueG1sUEsFBgAAAAAGAAYAWQEAAKwFAAAAAA==&#10;">
          <v:path/>
          <v:fill on="f" focussize="0,0"/>
          <v:stroke on="f" weight="0.5pt" joinstyle="miter"/>
          <v:imagedata o:title=""/>
          <o:lock v:ext="edit"/>
          <v:textbox inset="0mm,0mm,0mm,0mm" style="mso-fit-shape-to-text:t;">
            <w:txbxContent>
              <w:p>
                <w:pPr>
                  <w:pStyle w:val="2"/>
                  <w:spacing w:before="72"/>
                </w:pPr>
                <w:r>
                  <w:fldChar w:fldCharType="begin"/>
                </w:r>
                <w:r>
                  <w:instrText xml:space="preserve"> PAGE   \* MERGEFORMAT </w:instrText>
                </w:r>
                <w:r>
                  <w:fldChar w:fldCharType="separate"/>
                </w:r>
                <w:r>
                  <w:rPr>
                    <w:lang w:val="zh-CN"/>
                  </w:rPr>
                  <w:t>52</w:t>
                </w:r>
                <w:r>
                  <w:rPr>
                    <w:lang w:val="zh-CN"/>
                  </w:rPr>
                  <w:fldChar w:fldCharType="end"/>
                </w:r>
              </w:p>
            </w:txbxContent>
          </v:textbox>
        </v:shape>
      </w:pict>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02F249"/>
    <w:multiLevelType w:val="singleLevel"/>
    <w:tmpl w:val="1402F249"/>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435"/>
  <w:displayHorizontalDrawingGridEvery w:val="0"/>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566C0D66"/>
    <w:rsid w:val="00203592"/>
    <w:rsid w:val="002F0C51"/>
    <w:rsid w:val="00312430"/>
    <w:rsid w:val="00422568"/>
    <w:rsid w:val="00566618"/>
    <w:rsid w:val="00583498"/>
    <w:rsid w:val="006B12E3"/>
    <w:rsid w:val="006E7F9E"/>
    <w:rsid w:val="00977589"/>
    <w:rsid w:val="00A3135E"/>
    <w:rsid w:val="00AA149C"/>
    <w:rsid w:val="00B12EB7"/>
    <w:rsid w:val="00B42085"/>
    <w:rsid w:val="00BD7F97"/>
    <w:rsid w:val="00C76097"/>
    <w:rsid w:val="00DD44D8"/>
    <w:rsid w:val="00DF2139"/>
    <w:rsid w:val="00E74724"/>
    <w:rsid w:val="00F741E3"/>
    <w:rsid w:val="00F807BA"/>
    <w:rsid w:val="06DB6318"/>
    <w:rsid w:val="11AE540E"/>
    <w:rsid w:val="1BBFD828"/>
    <w:rsid w:val="1BF3CCBA"/>
    <w:rsid w:val="1C4C5771"/>
    <w:rsid w:val="566C0D66"/>
    <w:rsid w:val="5ACD506D"/>
    <w:rsid w:val="69A7707A"/>
    <w:rsid w:val="78007A68"/>
    <w:rsid w:val="7D1C9896"/>
    <w:rsid w:val="7F9F963D"/>
    <w:rsid w:val="7FBF4BB2"/>
    <w:rsid w:val="9F5D9F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2"/>
      <w:szCs w:val="22"/>
      <w:lang w:val="en-US" w:eastAsia="en-US" w:bidi="en-US"/>
    </w:rPr>
  </w:style>
  <w:style w:type="paragraph" w:styleId="3">
    <w:name w:val="heading 1"/>
    <w:basedOn w:val="1"/>
    <w:next w:val="1"/>
    <w:link w:val="29"/>
    <w:qFormat/>
    <w:uiPriority w:val="9"/>
    <w:pPr>
      <w:spacing w:before="480" w:after="0"/>
      <w:contextualSpacing/>
      <w:outlineLvl w:val="0"/>
    </w:pPr>
    <w:rPr>
      <w:rFonts w:asciiTheme="majorHAnsi" w:hAnsiTheme="majorHAnsi" w:eastAsiaTheme="majorEastAsia" w:cstheme="majorBidi"/>
      <w:b/>
      <w:bCs/>
      <w:sz w:val="28"/>
      <w:szCs w:val="28"/>
    </w:rPr>
  </w:style>
  <w:style w:type="paragraph" w:styleId="4">
    <w:name w:val="heading 2"/>
    <w:basedOn w:val="1"/>
    <w:next w:val="1"/>
    <w:link w:val="34"/>
    <w:unhideWhenUsed/>
    <w:qFormat/>
    <w:uiPriority w:val="9"/>
    <w:pPr>
      <w:spacing w:before="200" w:after="0"/>
      <w:outlineLvl w:val="1"/>
    </w:pPr>
    <w:rPr>
      <w:rFonts w:asciiTheme="majorHAnsi" w:hAnsiTheme="majorHAnsi" w:eastAsiaTheme="majorEastAsia" w:cstheme="majorBidi"/>
      <w:b/>
      <w:bCs/>
      <w:sz w:val="26"/>
      <w:szCs w:val="26"/>
    </w:rPr>
  </w:style>
  <w:style w:type="paragraph" w:styleId="5">
    <w:name w:val="heading 3"/>
    <w:basedOn w:val="1"/>
    <w:next w:val="1"/>
    <w:link w:val="31"/>
    <w:unhideWhenUsed/>
    <w:qFormat/>
    <w:uiPriority w:val="9"/>
    <w:pPr>
      <w:spacing w:before="200" w:after="0" w:line="271" w:lineRule="auto"/>
      <w:outlineLvl w:val="2"/>
    </w:pPr>
    <w:rPr>
      <w:rFonts w:asciiTheme="majorHAnsi" w:hAnsiTheme="majorHAnsi" w:eastAsiaTheme="majorEastAsia" w:cstheme="majorBidi"/>
      <w:b/>
      <w:bCs/>
    </w:rPr>
  </w:style>
  <w:style w:type="paragraph" w:styleId="6">
    <w:name w:val="heading 4"/>
    <w:basedOn w:val="1"/>
    <w:next w:val="1"/>
    <w:link w:val="41"/>
    <w:semiHidden/>
    <w:unhideWhenUsed/>
    <w:qFormat/>
    <w:uiPriority w:val="9"/>
    <w:pPr>
      <w:spacing w:before="200" w:after="0"/>
      <w:outlineLvl w:val="3"/>
    </w:pPr>
    <w:rPr>
      <w:rFonts w:asciiTheme="majorHAnsi" w:hAnsiTheme="majorHAnsi" w:eastAsiaTheme="majorEastAsia" w:cstheme="majorBidi"/>
      <w:b/>
      <w:bCs/>
      <w:i/>
      <w:iCs/>
    </w:rPr>
  </w:style>
  <w:style w:type="paragraph" w:styleId="7">
    <w:name w:val="heading 5"/>
    <w:basedOn w:val="1"/>
    <w:next w:val="1"/>
    <w:link w:val="42"/>
    <w:semiHidden/>
    <w:unhideWhenUsed/>
    <w:qFormat/>
    <w:uiPriority w:val="9"/>
    <w:pPr>
      <w:spacing w:before="200" w:after="0"/>
      <w:outlineLvl w:val="4"/>
    </w:pPr>
    <w:rPr>
      <w:rFonts w:asciiTheme="majorHAnsi" w:hAnsiTheme="majorHAnsi" w:eastAsiaTheme="majorEastAsia" w:cstheme="majorBidi"/>
      <w:b/>
      <w:bCs/>
      <w:color w:val="7E7E7E" w:themeColor="text1" w:themeTint="80"/>
    </w:rPr>
  </w:style>
  <w:style w:type="paragraph" w:styleId="8">
    <w:name w:val="heading 6"/>
    <w:basedOn w:val="1"/>
    <w:next w:val="1"/>
    <w:link w:val="43"/>
    <w:semiHidden/>
    <w:unhideWhenUsed/>
    <w:qFormat/>
    <w:uiPriority w:val="9"/>
    <w:pPr>
      <w:spacing w:after="0" w:line="271" w:lineRule="auto"/>
      <w:outlineLvl w:val="5"/>
    </w:pPr>
    <w:rPr>
      <w:rFonts w:asciiTheme="majorHAnsi" w:hAnsiTheme="majorHAnsi" w:eastAsiaTheme="majorEastAsia" w:cstheme="majorBidi"/>
      <w:b/>
      <w:bCs/>
      <w:i/>
      <w:iCs/>
      <w:color w:val="7E7E7E" w:themeColor="text1" w:themeTint="80"/>
    </w:rPr>
  </w:style>
  <w:style w:type="paragraph" w:styleId="9">
    <w:name w:val="heading 7"/>
    <w:basedOn w:val="1"/>
    <w:next w:val="1"/>
    <w:link w:val="44"/>
    <w:semiHidden/>
    <w:unhideWhenUsed/>
    <w:qFormat/>
    <w:uiPriority w:val="9"/>
    <w:pPr>
      <w:spacing w:after="0"/>
      <w:outlineLvl w:val="6"/>
    </w:pPr>
    <w:rPr>
      <w:rFonts w:asciiTheme="majorHAnsi" w:hAnsiTheme="majorHAnsi" w:eastAsiaTheme="majorEastAsia" w:cstheme="majorBidi"/>
      <w:i/>
      <w:iCs/>
    </w:rPr>
  </w:style>
  <w:style w:type="paragraph" w:styleId="10">
    <w:name w:val="heading 8"/>
    <w:basedOn w:val="1"/>
    <w:next w:val="1"/>
    <w:link w:val="45"/>
    <w:semiHidden/>
    <w:unhideWhenUsed/>
    <w:qFormat/>
    <w:uiPriority w:val="9"/>
    <w:pPr>
      <w:spacing w:after="0"/>
      <w:outlineLvl w:val="7"/>
    </w:pPr>
    <w:rPr>
      <w:rFonts w:asciiTheme="majorHAnsi" w:hAnsiTheme="majorHAnsi" w:eastAsiaTheme="majorEastAsia" w:cstheme="majorBidi"/>
      <w:sz w:val="20"/>
      <w:szCs w:val="20"/>
    </w:rPr>
  </w:style>
  <w:style w:type="paragraph" w:styleId="11">
    <w:name w:val="heading 9"/>
    <w:basedOn w:val="1"/>
    <w:next w:val="1"/>
    <w:link w:val="46"/>
    <w:semiHidden/>
    <w:unhideWhenUsed/>
    <w:qFormat/>
    <w:uiPriority w:val="9"/>
    <w:pPr>
      <w:spacing w:after="0"/>
      <w:outlineLvl w:val="8"/>
    </w:pPr>
    <w:rPr>
      <w:rFonts w:asciiTheme="majorHAnsi" w:hAnsiTheme="majorHAnsi" w:eastAsiaTheme="majorEastAsia" w:cstheme="majorBidi"/>
      <w:i/>
      <w:iCs/>
      <w:spacing w:val="5"/>
      <w:sz w:val="20"/>
      <w:szCs w:val="20"/>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40"/>
    </w:pPr>
  </w:style>
  <w:style w:type="paragraph" w:styleId="12">
    <w:name w:val="index 6"/>
    <w:basedOn w:val="1"/>
    <w:next w:val="1"/>
    <w:qFormat/>
    <w:uiPriority w:val="0"/>
    <w:pPr>
      <w:ind w:left="2100"/>
      <w:jc w:val="center"/>
    </w:pPr>
  </w:style>
  <w:style w:type="paragraph" w:styleId="13">
    <w:name w:val="Salutation"/>
    <w:basedOn w:val="1"/>
    <w:next w:val="1"/>
    <w:qFormat/>
    <w:uiPriority w:val="0"/>
    <w:rPr>
      <w:rFonts w:eastAsia="仿宋_GB2312"/>
      <w:sz w:val="32"/>
    </w:rPr>
  </w:style>
  <w:style w:type="paragraph" w:styleId="14">
    <w:name w:val="Body Text Indent"/>
    <w:basedOn w:val="1"/>
    <w:next w:val="15"/>
    <w:qFormat/>
    <w:uiPriority w:val="0"/>
    <w:pPr>
      <w:spacing w:after="120"/>
      <w:ind w:left="200" w:leftChars="200"/>
    </w:pPr>
    <w:rPr>
      <w:rFonts w:ascii="仿宋_GB2312"/>
      <w:szCs w:val="32"/>
    </w:rPr>
  </w:style>
  <w:style w:type="paragraph" w:styleId="15">
    <w:name w:val="Body Text First Indent 2"/>
    <w:basedOn w:val="14"/>
    <w:next w:val="12"/>
    <w:qFormat/>
    <w:uiPriority w:val="0"/>
    <w:pPr>
      <w:ind w:firstLine="420" w:firstLineChars="200"/>
    </w:pPr>
  </w:style>
  <w:style w:type="paragraph" w:styleId="16">
    <w:name w:val="toc 3"/>
    <w:basedOn w:val="1"/>
    <w:next w:val="1"/>
    <w:qFormat/>
    <w:uiPriority w:val="39"/>
    <w:pPr>
      <w:ind w:left="840" w:leftChars="400"/>
    </w:pPr>
  </w:style>
  <w:style w:type="paragraph" w:styleId="17">
    <w:name w:val="Balloon Text"/>
    <w:basedOn w:val="1"/>
    <w:link w:val="37"/>
    <w:qFormat/>
    <w:uiPriority w:val="0"/>
    <w:rPr>
      <w:sz w:val="18"/>
      <w:szCs w:val="18"/>
    </w:rPr>
  </w:style>
  <w:style w:type="paragraph" w:styleId="18">
    <w:name w:val="footer"/>
    <w:basedOn w:val="1"/>
    <w:link w:val="38"/>
    <w:qFormat/>
    <w:uiPriority w:val="99"/>
    <w:pPr>
      <w:tabs>
        <w:tab w:val="center" w:pos="4153"/>
        <w:tab w:val="right" w:pos="8306"/>
      </w:tabs>
      <w:snapToGrid w:val="0"/>
    </w:pPr>
    <w:rPr>
      <w:sz w:val="18"/>
      <w:szCs w:val="18"/>
    </w:rPr>
  </w:style>
  <w:style w:type="paragraph" w:styleId="19">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296"/>
      </w:tabs>
      <w:spacing w:before="93"/>
      <w:jc w:val="center"/>
    </w:pPr>
    <w:rPr>
      <w:rFonts w:ascii="仿宋" w:hAnsi="仿宋" w:eastAsia="仿宋"/>
      <w:sz w:val="28"/>
      <w:szCs w:val="28"/>
    </w:rPr>
  </w:style>
  <w:style w:type="paragraph" w:styleId="21">
    <w:name w:val="Subtitle"/>
    <w:basedOn w:val="1"/>
    <w:next w:val="1"/>
    <w:link w:val="48"/>
    <w:qFormat/>
    <w:uiPriority w:val="11"/>
    <w:pPr>
      <w:spacing w:after="600"/>
    </w:pPr>
    <w:rPr>
      <w:rFonts w:asciiTheme="majorHAnsi" w:hAnsiTheme="majorHAnsi" w:eastAsiaTheme="majorEastAsia" w:cstheme="majorBidi"/>
      <w:i/>
      <w:iCs/>
      <w:spacing w:val="13"/>
      <w:sz w:val="24"/>
      <w:szCs w:val="24"/>
    </w:rPr>
  </w:style>
  <w:style w:type="paragraph" w:styleId="22">
    <w:name w:val="toc 2"/>
    <w:basedOn w:val="1"/>
    <w:next w:val="1"/>
    <w:qFormat/>
    <w:uiPriority w:val="39"/>
    <w:pPr>
      <w:tabs>
        <w:tab w:val="right" w:leader="dot" w:pos="8296"/>
      </w:tabs>
      <w:ind w:left="420" w:leftChars="200"/>
    </w:pPr>
  </w:style>
  <w:style w:type="paragraph" w:styleId="23">
    <w:name w:val="Title"/>
    <w:basedOn w:val="1"/>
    <w:next w:val="1"/>
    <w:link w:val="47"/>
    <w:qFormat/>
    <w:uiPriority w:val="10"/>
    <w:pPr>
      <w:pBdr>
        <w:bottom w:val="single" w:color="auto" w:sz="4" w:space="1"/>
      </w:pBdr>
      <w:spacing w:line="240" w:lineRule="auto"/>
      <w:contextualSpacing/>
    </w:pPr>
    <w:rPr>
      <w:rFonts w:asciiTheme="majorHAnsi" w:hAnsiTheme="majorHAnsi" w:eastAsiaTheme="majorEastAsia" w:cstheme="majorBidi"/>
      <w:spacing w:val="5"/>
      <w:sz w:val="52"/>
      <w:szCs w:val="52"/>
    </w:rPr>
  </w:style>
  <w:style w:type="character" w:styleId="26">
    <w:name w:val="Strong"/>
    <w:qFormat/>
    <w:uiPriority w:val="22"/>
    <w:rPr>
      <w:b/>
      <w:bCs/>
    </w:rPr>
  </w:style>
  <w:style w:type="character" w:styleId="27">
    <w:name w:val="Emphasis"/>
    <w:qFormat/>
    <w:uiPriority w:val="20"/>
    <w:rPr>
      <w:b/>
      <w:bCs/>
      <w:i/>
      <w:iCs/>
      <w:spacing w:val="10"/>
      <w:shd w:val="clear" w:color="auto" w:fill="auto"/>
    </w:rPr>
  </w:style>
  <w:style w:type="character" w:styleId="28">
    <w:name w:val="Hyperlink"/>
    <w:basedOn w:val="25"/>
    <w:unhideWhenUsed/>
    <w:qFormat/>
    <w:uiPriority w:val="99"/>
    <w:rPr>
      <w:color w:val="0563C1" w:themeColor="hyperlink"/>
      <w:u w:val="single"/>
    </w:rPr>
  </w:style>
  <w:style w:type="character" w:customStyle="1" w:styleId="29">
    <w:name w:val="标题 1 Char"/>
    <w:basedOn w:val="25"/>
    <w:link w:val="3"/>
    <w:qFormat/>
    <w:uiPriority w:val="9"/>
    <w:rPr>
      <w:rFonts w:asciiTheme="majorHAnsi" w:hAnsiTheme="majorHAnsi" w:eastAsiaTheme="majorEastAsia" w:cstheme="majorBidi"/>
      <w:b/>
      <w:bCs/>
      <w:sz w:val="28"/>
      <w:szCs w:val="28"/>
    </w:rPr>
  </w:style>
  <w:style w:type="character" w:customStyle="1" w:styleId="30">
    <w:name w:val="标题 2 Char"/>
    <w:basedOn w:val="25"/>
    <w:link w:val="4"/>
    <w:qFormat/>
    <w:uiPriority w:val="9"/>
    <w:rPr>
      <w:rFonts w:asciiTheme="majorHAnsi" w:hAnsiTheme="majorHAnsi" w:eastAsiaTheme="majorEastAsia" w:cstheme="majorBidi"/>
      <w:b/>
      <w:bCs/>
      <w:sz w:val="26"/>
      <w:szCs w:val="26"/>
    </w:rPr>
  </w:style>
  <w:style w:type="character" w:customStyle="1" w:styleId="31">
    <w:name w:val="标题 3 Char"/>
    <w:basedOn w:val="25"/>
    <w:link w:val="5"/>
    <w:qFormat/>
    <w:uiPriority w:val="9"/>
    <w:rPr>
      <w:rFonts w:asciiTheme="majorHAnsi" w:hAnsiTheme="majorHAnsi" w:eastAsiaTheme="majorEastAsia" w:cstheme="majorBidi"/>
      <w:b/>
      <w:bCs/>
    </w:rPr>
  </w:style>
  <w:style w:type="paragraph" w:customStyle="1" w:styleId="32">
    <w:name w:val="_Style 9"/>
    <w:basedOn w:val="1"/>
    <w:qFormat/>
    <w:uiPriority w:val="34"/>
    <w:pPr>
      <w:ind w:firstLine="420" w:firstLineChars="200"/>
    </w:pPr>
  </w:style>
  <w:style w:type="paragraph" w:customStyle="1" w:styleId="33">
    <w:name w:val="Default"/>
    <w:qFormat/>
    <w:uiPriority w:val="99"/>
    <w:pPr>
      <w:widowControl w:val="0"/>
      <w:autoSpaceDE w:val="0"/>
      <w:autoSpaceDN w:val="0"/>
      <w:adjustRightInd w:val="0"/>
      <w:spacing w:after="200" w:line="276" w:lineRule="auto"/>
    </w:pPr>
    <w:rPr>
      <w:rFonts w:ascii="仿宋" w:hAnsi="Calibri" w:eastAsia="仿宋" w:cs="仿宋"/>
      <w:color w:val="000000"/>
      <w:sz w:val="24"/>
      <w:szCs w:val="24"/>
      <w:lang w:val="en-US" w:eastAsia="zh-CN" w:bidi="ar-SA"/>
    </w:rPr>
  </w:style>
  <w:style w:type="character" w:customStyle="1" w:styleId="34">
    <w:name w:val="标题 2 Char1"/>
    <w:basedOn w:val="25"/>
    <w:link w:val="4"/>
    <w:qFormat/>
    <w:locked/>
    <w:uiPriority w:val="99"/>
    <w:rPr>
      <w:rFonts w:ascii="Cambria" w:hAnsi="Cambria" w:eastAsia="宋体" w:cs="Times New Roman"/>
      <w:b/>
      <w:bCs/>
      <w:kern w:val="2"/>
      <w:sz w:val="32"/>
      <w:szCs w:val="32"/>
    </w:rPr>
  </w:style>
  <w:style w:type="paragraph" w:customStyle="1" w:styleId="35">
    <w:name w:val="列出段落1"/>
    <w:basedOn w:val="1"/>
    <w:qFormat/>
    <w:uiPriority w:val="34"/>
    <w:pPr>
      <w:ind w:firstLine="420" w:firstLineChars="200"/>
    </w:pPr>
  </w:style>
  <w:style w:type="paragraph" w:customStyle="1" w:styleId="36">
    <w:name w:val="无间隔1"/>
    <w:qFormat/>
    <w:uiPriority w:val="1"/>
    <w:pPr>
      <w:widowControl w:val="0"/>
      <w:spacing w:after="200" w:line="276" w:lineRule="auto"/>
      <w:jc w:val="both"/>
    </w:pPr>
    <w:rPr>
      <w:rFonts w:ascii="Calibri" w:hAnsi="Calibri" w:eastAsia="宋体" w:cs="Calibri"/>
      <w:kern w:val="2"/>
      <w:sz w:val="21"/>
      <w:szCs w:val="21"/>
      <w:lang w:val="en-US" w:eastAsia="zh-CN" w:bidi="ar-SA"/>
    </w:rPr>
  </w:style>
  <w:style w:type="character" w:customStyle="1" w:styleId="37">
    <w:name w:val="批注框文本 Char"/>
    <w:basedOn w:val="25"/>
    <w:link w:val="17"/>
    <w:qFormat/>
    <w:uiPriority w:val="0"/>
    <w:rPr>
      <w:rFonts w:ascii="Calibri" w:hAnsi="Calibri" w:eastAsia="宋体" w:cs="Times New Roman"/>
      <w:kern w:val="2"/>
      <w:sz w:val="18"/>
      <w:szCs w:val="18"/>
    </w:rPr>
  </w:style>
  <w:style w:type="character" w:customStyle="1" w:styleId="38">
    <w:name w:val="页脚 Char"/>
    <w:link w:val="18"/>
    <w:qFormat/>
    <w:locked/>
    <w:uiPriority w:val="99"/>
    <w:rPr>
      <w:rFonts w:ascii="Calibri" w:hAnsi="Calibri" w:eastAsia="宋体" w:cs="Times New Roman"/>
      <w:sz w:val="18"/>
      <w:szCs w:val="18"/>
    </w:rPr>
  </w:style>
  <w:style w:type="character" w:customStyle="1" w:styleId="39">
    <w:name w:val="页眉 Char"/>
    <w:basedOn w:val="25"/>
    <w:link w:val="19"/>
    <w:qFormat/>
    <w:uiPriority w:val="99"/>
    <w:rPr>
      <w:rFonts w:ascii="Calibri" w:hAnsi="Calibri" w:eastAsia="宋体" w:cs="Times New Roman"/>
      <w:sz w:val="18"/>
      <w:szCs w:val="18"/>
    </w:rPr>
  </w:style>
  <w:style w:type="paragraph" w:customStyle="1" w:styleId="40">
    <w:name w:val="TOC Heading"/>
    <w:basedOn w:val="3"/>
    <w:next w:val="1"/>
    <w:semiHidden/>
    <w:unhideWhenUsed/>
    <w:qFormat/>
    <w:uiPriority w:val="39"/>
    <w:pPr>
      <w:outlineLvl w:val="9"/>
    </w:pPr>
  </w:style>
  <w:style w:type="character" w:customStyle="1" w:styleId="41">
    <w:name w:val="标题 4 Char"/>
    <w:basedOn w:val="25"/>
    <w:link w:val="6"/>
    <w:semiHidden/>
    <w:qFormat/>
    <w:uiPriority w:val="9"/>
    <w:rPr>
      <w:rFonts w:asciiTheme="majorHAnsi" w:hAnsiTheme="majorHAnsi" w:eastAsiaTheme="majorEastAsia" w:cstheme="majorBidi"/>
      <w:b/>
      <w:bCs/>
      <w:i/>
      <w:iCs/>
    </w:rPr>
  </w:style>
  <w:style w:type="character" w:customStyle="1" w:styleId="42">
    <w:name w:val="标题 5 Char"/>
    <w:basedOn w:val="25"/>
    <w:link w:val="7"/>
    <w:semiHidden/>
    <w:qFormat/>
    <w:uiPriority w:val="9"/>
    <w:rPr>
      <w:rFonts w:asciiTheme="majorHAnsi" w:hAnsiTheme="majorHAnsi" w:eastAsiaTheme="majorEastAsia" w:cstheme="majorBidi"/>
      <w:b/>
      <w:bCs/>
      <w:color w:val="7E7E7E" w:themeColor="text1" w:themeTint="80"/>
    </w:rPr>
  </w:style>
  <w:style w:type="character" w:customStyle="1" w:styleId="43">
    <w:name w:val="标题 6 Char"/>
    <w:basedOn w:val="25"/>
    <w:link w:val="8"/>
    <w:semiHidden/>
    <w:qFormat/>
    <w:uiPriority w:val="9"/>
    <w:rPr>
      <w:rFonts w:asciiTheme="majorHAnsi" w:hAnsiTheme="majorHAnsi" w:eastAsiaTheme="majorEastAsia" w:cstheme="majorBidi"/>
      <w:b/>
      <w:bCs/>
      <w:i/>
      <w:iCs/>
      <w:color w:val="7E7E7E" w:themeColor="text1" w:themeTint="80"/>
    </w:rPr>
  </w:style>
  <w:style w:type="character" w:customStyle="1" w:styleId="44">
    <w:name w:val="标题 7 Char"/>
    <w:basedOn w:val="25"/>
    <w:link w:val="9"/>
    <w:semiHidden/>
    <w:qFormat/>
    <w:uiPriority w:val="9"/>
    <w:rPr>
      <w:rFonts w:asciiTheme="majorHAnsi" w:hAnsiTheme="majorHAnsi" w:eastAsiaTheme="majorEastAsia" w:cstheme="majorBidi"/>
      <w:i/>
      <w:iCs/>
    </w:rPr>
  </w:style>
  <w:style w:type="character" w:customStyle="1" w:styleId="45">
    <w:name w:val="标题 8 Char"/>
    <w:basedOn w:val="25"/>
    <w:link w:val="10"/>
    <w:semiHidden/>
    <w:qFormat/>
    <w:uiPriority w:val="9"/>
    <w:rPr>
      <w:rFonts w:asciiTheme="majorHAnsi" w:hAnsiTheme="majorHAnsi" w:eastAsiaTheme="majorEastAsia" w:cstheme="majorBidi"/>
      <w:sz w:val="20"/>
      <w:szCs w:val="20"/>
    </w:rPr>
  </w:style>
  <w:style w:type="character" w:customStyle="1" w:styleId="46">
    <w:name w:val="标题 9 Char"/>
    <w:basedOn w:val="25"/>
    <w:link w:val="11"/>
    <w:semiHidden/>
    <w:qFormat/>
    <w:uiPriority w:val="9"/>
    <w:rPr>
      <w:rFonts w:asciiTheme="majorHAnsi" w:hAnsiTheme="majorHAnsi" w:eastAsiaTheme="majorEastAsia" w:cstheme="majorBidi"/>
      <w:i/>
      <w:iCs/>
      <w:spacing w:val="5"/>
      <w:sz w:val="20"/>
      <w:szCs w:val="20"/>
    </w:rPr>
  </w:style>
  <w:style w:type="character" w:customStyle="1" w:styleId="47">
    <w:name w:val="标题 Char"/>
    <w:basedOn w:val="25"/>
    <w:link w:val="23"/>
    <w:qFormat/>
    <w:uiPriority w:val="10"/>
    <w:rPr>
      <w:rFonts w:asciiTheme="majorHAnsi" w:hAnsiTheme="majorHAnsi" w:eastAsiaTheme="majorEastAsia" w:cstheme="majorBidi"/>
      <w:spacing w:val="5"/>
      <w:sz w:val="52"/>
      <w:szCs w:val="52"/>
    </w:rPr>
  </w:style>
  <w:style w:type="character" w:customStyle="1" w:styleId="48">
    <w:name w:val="副标题 Char"/>
    <w:basedOn w:val="25"/>
    <w:link w:val="21"/>
    <w:qFormat/>
    <w:uiPriority w:val="11"/>
    <w:rPr>
      <w:rFonts w:asciiTheme="majorHAnsi" w:hAnsiTheme="majorHAnsi" w:eastAsiaTheme="majorEastAsia" w:cstheme="majorBidi"/>
      <w:i/>
      <w:iCs/>
      <w:spacing w:val="13"/>
      <w:sz w:val="24"/>
      <w:szCs w:val="24"/>
    </w:rPr>
  </w:style>
  <w:style w:type="paragraph" w:styleId="49">
    <w:name w:val="No Spacing"/>
    <w:basedOn w:val="1"/>
    <w:qFormat/>
    <w:uiPriority w:val="1"/>
    <w:pPr>
      <w:spacing w:after="0" w:line="240" w:lineRule="auto"/>
    </w:pPr>
  </w:style>
  <w:style w:type="paragraph" w:styleId="50">
    <w:name w:val="List Paragraph"/>
    <w:basedOn w:val="1"/>
    <w:qFormat/>
    <w:uiPriority w:val="34"/>
    <w:pPr>
      <w:ind w:left="720"/>
      <w:contextualSpacing/>
    </w:pPr>
  </w:style>
  <w:style w:type="paragraph" w:styleId="51">
    <w:name w:val="Quote"/>
    <w:basedOn w:val="1"/>
    <w:next w:val="1"/>
    <w:link w:val="52"/>
    <w:qFormat/>
    <w:uiPriority w:val="29"/>
    <w:pPr>
      <w:spacing w:before="200" w:after="0"/>
      <w:ind w:left="360" w:right="360"/>
    </w:pPr>
    <w:rPr>
      <w:i/>
      <w:iCs/>
    </w:rPr>
  </w:style>
  <w:style w:type="character" w:customStyle="1" w:styleId="52">
    <w:name w:val="引用 Char"/>
    <w:basedOn w:val="25"/>
    <w:link w:val="51"/>
    <w:qFormat/>
    <w:uiPriority w:val="29"/>
    <w:rPr>
      <w:i/>
      <w:iCs/>
    </w:rPr>
  </w:style>
  <w:style w:type="paragraph" w:styleId="53">
    <w:name w:val="Intense Quote"/>
    <w:basedOn w:val="1"/>
    <w:next w:val="1"/>
    <w:link w:val="54"/>
    <w:qFormat/>
    <w:uiPriority w:val="30"/>
    <w:pPr>
      <w:pBdr>
        <w:bottom w:val="single" w:color="auto" w:sz="4" w:space="1"/>
      </w:pBdr>
      <w:spacing w:before="200" w:after="280"/>
      <w:ind w:left="1008" w:right="1152"/>
      <w:jc w:val="both"/>
    </w:pPr>
    <w:rPr>
      <w:b/>
      <w:bCs/>
      <w:i/>
      <w:iCs/>
    </w:rPr>
  </w:style>
  <w:style w:type="character" w:customStyle="1" w:styleId="54">
    <w:name w:val="明显引用 Char"/>
    <w:basedOn w:val="25"/>
    <w:link w:val="53"/>
    <w:qFormat/>
    <w:uiPriority w:val="30"/>
    <w:rPr>
      <w:b/>
      <w:bCs/>
      <w:i/>
      <w:iCs/>
    </w:rPr>
  </w:style>
  <w:style w:type="character" w:customStyle="1" w:styleId="55">
    <w:name w:val="Subtle Emphasis"/>
    <w:qFormat/>
    <w:uiPriority w:val="19"/>
    <w:rPr>
      <w:i/>
      <w:iCs/>
    </w:rPr>
  </w:style>
  <w:style w:type="character" w:customStyle="1" w:styleId="56">
    <w:name w:val="Intense Emphasis"/>
    <w:qFormat/>
    <w:uiPriority w:val="21"/>
    <w:rPr>
      <w:b/>
      <w:bCs/>
    </w:rPr>
  </w:style>
  <w:style w:type="character" w:customStyle="1" w:styleId="57">
    <w:name w:val="Subtle Reference"/>
    <w:qFormat/>
    <w:uiPriority w:val="31"/>
    <w:rPr>
      <w:smallCaps/>
    </w:rPr>
  </w:style>
  <w:style w:type="character" w:customStyle="1" w:styleId="58">
    <w:name w:val="Intense Reference"/>
    <w:qFormat/>
    <w:uiPriority w:val="32"/>
    <w:rPr>
      <w:smallCaps/>
      <w:spacing w:val="5"/>
      <w:u w:val="single"/>
    </w:rPr>
  </w:style>
  <w:style w:type="character" w:customStyle="1" w:styleId="59">
    <w:name w:val="Book Title"/>
    <w:qFormat/>
    <w:uiPriority w:val="33"/>
    <w:rPr>
      <w:i/>
      <w:iCs/>
      <w:smallCaps/>
      <w:spacing w:val="5"/>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收、支决算总计变动表</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c:v>
                </c:pt>
                <c:pt idx="1">
                  <c:v>2023年</c:v>
                </c:pt>
              </c:strCache>
            </c:strRef>
          </c:cat>
          <c:val>
            <c:numRef>
              <c:f>Sheet1!$B$2:$B$3</c:f>
              <c:numCache>
                <c:formatCode>General</c:formatCode>
                <c:ptCount val="2"/>
                <c:pt idx="0">
                  <c:v>1211.17</c:v>
                </c:pt>
                <c:pt idx="1">
                  <c:v>2085.81</c:v>
                </c:pt>
              </c:numCache>
            </c:numRef>
          </c:val>
        </c:ser>
        <c:dLbls>
          <c:showLegendKey val="false"/>
          <c:showVal val="true"/>
          <c:showCatName val="false"/>
          <c:showSerName val="false"/>
          <c:showPercent val="false"/>
          <c:showBubbleSize val="false"/>
        </c:dLbls>
        <c:gapWidth val="75"/>
        <c:overlap val="100"/>
        <c:axId val="141318016"/>
        <c:axId val="141319552"/>
      </c:barChart>
      <c:catAx>
        <c:axId val="141318016"/>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41319552"/>
        <c:crosses val="autoZero"/>
        <c:auto val="true"/>
        <c:lblAlgn val="ctr"/>
        <c:lblOffset val="100"/>
        <c:noMultiLvlLbl val="false"/>
      </c:catAx>
      <c:valAx>
        <c:axId val="141319552"/>
        <c:scaling>
          <c:orientation val="minMax"/>
        </c:scaling>
        <c:delete val="fals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41318016"/>
        <c:crosses val="autoZero"/>
        <c:crossBetween val="between"/>
      </c:valAx>
    </c:plotArea>
    <c:legend>
      <c:legendPos val="b"/>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explosion val="0"/>
          <c:dPt>
            <c:idx val="0"/>
            <c:bubble3D val="false"/>
          </c:dPt>
          <c:dPt>
            <c:idx val="1"/>
            <c:bubble3D val="false"/>
          </c:dPt>
          <c:dLbls>
            <c:delete val="true"/>
          </c:dLbls>
          <c:cat>
            <c:strRef>
              <c:f>Sheet1!$A$2:$A$3</c:f>
              <c:strCache>
                <c:ptCount val="2"/>
                <c:pt idx="0">
                  <c:v>一般公共预算财政拨款收入（1249.35万元，占比60%）</c:v>
                </c:pt>
                <c:pt idx="1">
                  <c:v>其他收入（836.45万元，占比40%）</c:v>
                </c:pt>
              </c:strCache>
            </c:strRef>
          </c:cat>
          <c:val>
            <c:numRef>
              <c:f>Sheet1!$B$2:$B$3</c:f>
              <c:numCache>
                <c:formatCode>General</c:formatCode>
                <c:ptCount val="2"/>
                <c:pt idx="0">
                  <c:v>1249.35</c:v>
                </c:pt>
                <c:pt idx="1">
                  <c:v>836.449999999999</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2023年度支出结构图</c:v>
                </c:pt>
              </c:strCache>
            </c:strRef>
          </c:tx>
          <c:explosion val="0"/>
          <c:dPt>
            <c:idx val="0"/>
            <c:bubble3D val="false"/>
          </c:dPt>
          <c:dPt>
            <c:idx val="1"/>
            <c:bubble3D val="false"/>
          </c:dPt>
          <c:dLbls>
            <c:delete val="true"/>
          </c:dLbls>
          <c:cat>
            <c:strRef>
              <c:f>Sheet1!$A$2:$A$3</c:f>
              <c:strCache>
                <c:ptCount val="2"/>
                <c:pt idx="0">
                  <c:v>基本支出（1102.96万元，占比52.88%）</c:v>
                </c:pt>
                <c:pt idx="1">
                  <c:v>项目支出（982.85万元，占比47.12%）</c:v>
                </c:pt>
              </c:strCache>
            </c:strRef>
          </c:cat>
          <c:val>
            <c:numRef>
              <c:f>Sheet1!$B$2:$B$3</c:f>
              <c:numCache>
                <c:formatCode>General</c:formatCode>
                <c:ptCount val="2"/>
                <c:pt idx="0">
                  <c:v>1102.96</c:v>
                </c:pt>
                <c:pt idx="1">
                  <c:v>982.849999999999</c:v>
                </c:pt>
              </c:numCache>
            </c:numRef>
          </c:val>
        </c:ser>
        <c:dLbls>
          <c:showLegendKey val="false"/>
          <c:showVal val="false"/>
          <c:showCatName val="false"/>
          <c:showSerName val="false"/>
          <c:showPercent val="false"/>
          <c:showBubbleSize val="false"/>
          <c:showLeaderLines val="true"/>
        </c:dLbls>
        <c:firstSliceAng val="15"/>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财政拨款收、支决算总计变动表</c:v>
                </c:pt>
              </c:strCache>
            </c:strRef>
          </c:tx>
          <c:invertIfNegative val="false"/>
          <c:dLbls>
            <c:delete val="true"/>
          </c:dLbls>
          <c:cat>
            <c:strRef>
              <c:f>Sheet1!$A$2:$A$3</c:f>
              <c:strCache>
                <c:ptCount val="2"/>
                <c:pt idx="0">
                  <c:v>2022年度支出</c:v>
                </c:pt>
                <c:pt idx="1">
                  <c:v>2023年度支出</c:v>
                </c:pt>
              </c:strCache>
            </c:strRef>
          </c:cat>
          <c:val>
            <c:numRef>
              <c:f>Sheet1!$B$2:$B$3</c:f>
              <c:numCache>
                <c:formatCode>General</c:formatCode>
                <c:ptCount val="2"/>
                <c:pt idx="0">
                  <c:v>1211.17</c:v>
                </c:pt>
                <c:pt idx="1">
                  <c:v>1249.35</c:v>
                </c:pt>
              </c:numCache>
            </c:numRef>
          </c:val>
        </c:ser>
        <c:dLbls>
          <c:showLegendKey val="false"/>
          <c:showVal val="false"/>
          <c:showCatName val="false"/>
          <c:showSerName val="false"/>
          <c:showPercent val="false"/>
          <c:showBubbleSize val="false"/>
        </c:dLbls>
        <c:gapWidth val="150"/>
        <c:axId val="209468032"/>
        <c:axId val="209473920"/>
      </c:barChart>
      <c:catAx>
        <c:axId val="209468032"/>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473920"/>
        <c:crosses val="autoZero"/>
        <c:auto val="true"/>
        <c:lblAlgn val="ctr"/>
        <c:lblOffset val="100"/>
        <c:noMultiLvlLbl val="false"/>
      </c:catAx>
      <c:valAx>
        <c:axId val="209473920"/>
        <c:scaling>
          <c:orientation val="minMax"/>
        </c:scaling>
        <c:delete val="false"/>
        <c:axPos val="l"/>
        <c:majorGridlines/>
        <c:title>
          <c:layout/>
          <c:overlay val="false"/>
          <c:txPr>
            <a:bodyPr rot="-5400000" spcFirstLastPara="0" vertOverflow="ellipsis" vert="horz" wrap="square" anchor="ctr" anchorCtr="true"/>
            <a:lstStyle/>
            <a:p>
              <a:pPr>
                <a:defRPr lang="zh-CN" sz="1000" b="1" i="0" u="none" strike="noStrike" kern="1200" baseline="0">
                  <a:solidFill>
                    <a:schemeClr val="tx1"/>
                  </a:solidFill>
                  <a:latin typeface="+mn-lt"/>
                  <a:ea typeface="+mn-ea"/>
                  <a:cs typeface="+mn-cs"/>
                </a:defRPr>
              </a:pPr>
            </a:p>
          </c:txPr>
        </c:title>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468032"/>
        <c:crosses val="autoZero"/>
        <c:crossBetween val="between"/>
      </c:valAx>
      <c:dTable>
        <c:showHorzBorder val="true"/>
        <c:showVertBorder val="true"/>
        <c:showOutline val="true"/>
        <c:showKeys val="tru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dTable>
    </c:plotArea>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stacked"/>
        <c:varyColors val="false"/>
        <c:ser>
          <c:idx val="0"/>
          <c:order val="0"/>
          <c:tx>
            <c:strRef>
              <c:f>Sheet1!$B$1</c:f>
              <c:strCache>
                <c:ptCount val="1"/>
                <c:pt idx="0">
                  <c:v>一般公共预算财政拨款支出决算变动表</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Sheet1!$A$2:$A$3</c:f>
              <c:strCache>
                <c:ptCount val="2"/>
                <c:pt idx="0">
                  <c:v>2022年年度支出</c:v>
                </c:pt>
                <c:pt idx="1">
                  <c:v>2023年度支出</c:v>
                </c:pt>
              </c:strCache>
            </c:strRef>
          </c:cat>
          <c:val>
            <c:numRef>
              <c:f>Sheet1!$B$2:$B$3</c:f>
              <c:numCache>
                <c:formatCode>General</c:formatCode>
                <c:ptCount val="2"/>
                <c:pt idx="0">
                  <c:v>1211.17</c:v>
                </c:pt>
                <c:pt idx="1">
                  <c:v>2085.81</c:v>
                </c:pt>
              </c:numCache>
            </c:numRef>
          </c:val>
        </c:ser>
        <c:dLbls>
          <c:showLegendKey val="false"/>
          <c:showVal val="true"/>
          <c:showCatName val="false"/>
          <c:showSerName val="false"/>
          <c:showPercent val="false"/>
          <c:showBubbleSize val="false"/>
        </c:dLbls>
        <c:gapWidth val="75"/>
        <c:overlap val="100"/>
        <c:axId val="209512320"/>
        <c:axId val="209513856"/>
      </c:barChart>
      <c:catAx>
        <c:axId val="209512320"/>
        <c:scaling>
          <c:orientation val="minMax"/>
        </c:scaling>
        <c:delete val="false"/>
        <c:axPos val="b"/>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513856"/>
        <c:crosses val="autoZero"/>
        <c:auto val="true"/>
        <c:lblAlgn val="ctr"/>
        <c:lblOffset val="100"/>
        <c:noMultiLvlLbl val="false"/>
      </c:catAx>
      <c:valAx>
        <c:axId val="209513856"/>
        <c:scaling>
          <c:orientation val="minMax"/>
        </c:scaling>
        <c:delete val="false"/>
        <c:axPos val="l"/>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209512320"/>
        <c:crosses val="autoZero"/>
        <c:crossBetween val="between"/>
      </c:valAx>
    </c:plotArea>
    <c:legend>
      <c:legendPos val="b"/>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2023一般公共预算财政拨款支出</c:v>
                </c:pt>
              </c:strCache>
            </c:strRef>
          </c:tx>
          <c:explosion val="0"/>
          <c:dPt>
            <c:idx val="0"/>
            <c:bubble3D val="false"/>
          </c:dPt>
          <c:dPt>
            <c:idx val="1"/>
            <c:bubble3D val="false"/>
          </c:dPt>
          <c:dPt>
            <c:idx val="2"/>
            <c:bubble3D val="false"/>
          </c:dPt>
          <c:dPt>
            <c:idx val="3"/>
            <c:bubble3D val="false"/>
          </c:dPt>
          <c:dLbls>
            <c:delete val="true"/>
          </c:dLbls>
          <c:cat>
            <c:strRef>
              <c:f>Sheet1!$A$2:$A$5</c:f>
              <c:strCache>
                <c:ptCount val="4"/>
                <c:pt idx="0">
                  <c:v>公共安全支出（1103.30万元，占比88.31%）</c:v>
                </c:pt>
                <c:pt idx="1">
                  <c:v>社会保障和就业支出（67.17万元，占比5.37%）</c:v>
                </c:pt>
                <c:pt idx="2">
                  <c:v>卫生健康支出（29.94万元，占比2.41%）</c:v>
                </c:pt>
                <c:pt idx="3">
                  <c:v>住房保障支出（48.91万元，占比3.91%）</c:v>
                </c:pt>
              </c:strCache>
            </c:strRef>
          </c:cat>
          <c:val>
            <c:numRef>
              <c:f>Sheet1!$B$2:$B$5</c:f>
              <c:numCache>
                <c:formatCode>General</c:formatCode>
                <c:ptCount val="4"/>
                <c:pt idx="0">
                  <c:v>1103.32</c:v>
                </c:pt>
                <c:pt idx="1">
                  <c:v>67.17</c:v>
                </c:pt>
                <c:pt idx="2">
                  <c:v>29.94</c:v>
                </c:pt>
                <c:pt idx="3">
                  <c:v>48.91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c:v>
                </c:pt>
              </c:strCache>
            </c:strRef>
          </c:tx>
          <c:explosion val="0"/>
          <c:dPt>
            <c:idx val="0"/>
            <c:bubble3D val="false"/>
          </c:dPt>
          <c:dPt>
            <c:idx val="1"/>
            <c:bubble3D val="false"/>
          </c:dPt>
          <c:dPt>
            <c:idx val="2"/>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因公出国（境）经费（0万元，占比0%)</c:v>
                </c:pt>
                <c:pt idx="1">
                  <c:v>公务用车购置及运行维护费（10万元，占比86.21%）</c:v>
                </c:pt>
                <c:pt idx="2">
                  <c:v>公务接待费（1.6万元，占比13.79%）</c:v>
                </c:pt>
              </c:strCache>
            </c:strRef>
          </c:cat>
          <c:val>
            <c:numRef>
              <c:f>Sheet1!$B$2:$B$4</c:f>
              <c:numCache>
                <c:formatCode>General</c:formatCode>
                <c:ptCount val="3"/>
                <c:pt idx="0">
                  <c:v>0</c:v>
                </c:pt>
                <c:pt idx="1">
                  <c:v>10</c:v>
                </c:pt>
                <c:pt idx="2">
                  <c:v>1.6</c:v>
                </c:pt>
              </c:numCache>
            </c:numRef>
          </c:val>
        </c:ser>
        <c:dLbls>
          <c:showLegendKey val="false"/>
          <c:showVal val="false"/>
          <c:showCatName val="false"/>
          <c:showSerName val="false"/>
          <c:showPercent val="true"/>
          <c:showBubbleSize val="false"/>
          <c:showLeaderLines val="true"/>
        </c:dLbls>
        <c:firstSliceAng val="15"/>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15432</Words>
  <Characters>17183</Characters>
  <Lines>152</Lines>
  <Paragraphs>42</Paragraphs>
  <TotalTime>3</TotalTime>
  <ScaleCrop>false</ScaleCrop>
  <LinksUpToDate>false</LinksUpToDate>
  <CharactersWithSpaces>17608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2024-09-12T16:24:00Z</dcterms:created>
  <dc:creator>Administrator</dc:creator>
  <cp:lastModifiedBy> </cp:lastModifiedBy>
  <dcterms:modified xsi:type="dcterms:W3CDTF">2024-10-18T16:10:35Z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91BB7B0F799E4145936C1786F68A50BE_12</vt:lpwstr>
  </property>
</Properties>
</file>