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76" w:lineRule="atLeast"/>
        <w:ind w:firstLine="720" w:firstLineChars="200"/>
        <w:jc w:val="center"/>
        <w:rPr>
          <w:rFonts w:hint="eastAsia" w:ascii="华文中宋" w:hAnsi="华文中宋" w:eastAsia="华文中宋"/>
          <w:sz w:val="36"/>
          <w:szCs w:val="36"/>
        </w:rPr>
      </w:pPr>
      <w:bookmarkStart w:id="0" w:name="YS060100"/>
      <w:bookmarkStart w:id="1" w:name="第七部分部门决算分析报告撰写提纲"/>
    </w:p>
    <w:p>
      <w:pPr>
        <w:pStyle w:val="2"/>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p>
    <w:p>
      <w:pPr>
        <w:pStyle w:val="2"/>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p>
    <w:p>
      <w:pPr>
        <w:pStyle w:val="2"/>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p>
    <w:p>
      <w:pPr>
        <w:pStyle w:val="2"/>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2023年度广元市金融工作局部门决算</w:t>
      </w:r>
    </w:p>
    <w:bookmarkEnd w:id="0"/>
    <w:p>
      <w:pPr>
        <w:keepNext w:val="0"/>
        <w:keepLines w:val="0"/>
        <w:pageBreakBefore w:val="0"/>
        <w:kinsoku/>
        <w:wordWrap/>
        <w:overflowPunct/>
        <w:topLinePunct w:val="0"/>
        <w:autoSpaceDE/>
        <w:autoSpaceDN/>
        <w:bidi w:val="0"/>
        <w:adjustRightInd/>
        <w:snapToGrid w:val="0"/>
        <w:spacing w:line="576" w:lineRule="atLeast"/>
        <w:ind w:firstLine="640" w:firstLineChars="200"/>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pStyle w:val="2"/>
        <w:rPr>
          <w:rFonts w:hint="eastAsia" w:ascii="仿宋_GB2312" w:hAnsi="仿宋" w:eastAsia="仿宋_GB2312"/>
          <w:sz w:val="32"/>
          <w:szCs w:val="32"/>
        </w:rPr>
      </w:pPr>
    </w:p>
    <w:p>
      <w:pPr>
        <w:widowControl/>
        <w:jc w:val="center"/>
        <w:rPr>
          <w:rFonts w:ascii="黑体" w:hAnsi="黑体" w:eastAsia="黑体" w:cs="Times New Roman"/>
          <w:color w:val="auto"/>
          <w:sz w:val="28"/>
          <w:szCs w:val="28"/>
          <w:highlight w:val="none"/>
        </w:rPr>
      </w:pPr>
      <w:r>
        <w:rPr>
          <w:rFonts w:hint="eastAsia" w:ascii="黑体" w:hAnsi="黑体" w:eastAsia="黑体"/>
          <w:color w:val="auto"/>
          <w:sz w:val="48"/>
          <w:szCs w:val="48"/>
          <w:highlight w:val="none"/>
        </w:rPr>
        <w:t>目录</w:t>
      </w:r>
    </w:p>
    <w:p>
      <w:pPr>
        <w:pStyle w:val="10"/>
        <w:rPr>
          <w:rFonts w:hint="eastAsia" w:eastAsia="仿宋"/>
          <w:color w:val="auto"/>
          <w:highlight w:val="none"/>
          <w:lang w:eastAsia="zh-CN"/>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10月14日</w:t>
      </w:r>
    </w:p>
    <w:p>
      <w:pPr>
        <w:rPr>
          <w:color w:val="auto"/>
          <w:highlight w:val="none"/>
        </w:rPr>
      </w:pPr>
    </w:p>
    <w:sdt>
      <w:sdtPr>
        <w:rPr>
          <w:rFonts w:ascii="宋体" w:hAnsi="宋体" w:eastAsia="宋体" w:cs="Times New Roman"/>
          <w:kern w:val="2"/>
          <w:sz w:val="21"/>
          <w:szCs w:val="24"/>
          <w:lang w:val="en-US" w:eastAsia="zh-CN" w:bidi="ar-SA"/>
        </w:rPr>
        <w:id w:val="98368882"/>
        <w15:color w:val="DBDBDB"/>
        <w:docPartObj>
          <w:docPartGallery w:val="Table of Contents"/>
          <w:docPartUnique/>
        </w:docPartObj>
      </w:sdtPr>
      <w:sdtEndPr>
        <w:rPr>
          <w:rFonts w:hint="eastAsia" w:ascii="宋体" w:hAnsi="宋体" w:eastAsia="宋体" w:cs="宋体"/>
          <w:color w:val="auto"/>
          <w:kern w:val="2"/>
          <w:sz w:val="24"/>
          <w:szCs w:val="24"/>
          <w:highlight w:val="none"/>
          <w:lang w:val="en-US" w:eastAsia="zh-CN" w:bidi="ar-SA"/>
        </w:rPr>
      </w:sdtEndPr>
      <w:sdtContent>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textAlignment w:val="auto"/>
            <w:rPr>
              <w:rFonts w:hint="eastAsia" w:asciiTheme="minorEastAsia" w:hAnsiTheme="minorEastAsia" w:eastAsiaTheme="minorEastAsia" w:cstheme="minorEastAsia"/>
              <w:sz w:val="24"/>
              <w:szCs w:val="24"/>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_Toc1689228272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 xml:space="preserve">第一部分 </w:t>
          </w:r>
          <w:r>
            <w:rPr>
              <w:rFonts w:hint="eastAsia" w:asciiTheme="minorEastAsia" w:hAnsiTheme="minorEastAsia" w:eastAsiaTheme="minorEastAsia" w:cstheme="minorEastAsia"/>
              <w:sz w:val="24"/>
              <w:szCs w:val="24"/>
              <w:highlight w:val="none"/>
              <w:lang w:eastAsia="zh-CN"/>
            </w:rPr>
            <w:t>部门</w:t>
          </w:r>
          <w:r>
            <w:rPr>
              <w:rFonts w:hint="eastAsia" w:asciiTheme="minorEastAsia" w:hAnsiTheme="minorEastAsia" w:eastAsiaTheme="minorEastAsia" w:cstheme="minorEastAsia"/>
              <w:bCs w:val="0"/>
              <w:sz w:val="24"/>
              <w:szCs w:val="24"/>
              <w:highlight w:val="none"/>
            </w:rPr>
            <w:t>概况</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_Toc1689228272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_Toc1231382859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lang w:eastAsia="zh-CN"/>
            </w:rPr>
            <w:t>一、</w:t>
          </w:r>
          <w:r>
            <w:rPr>
              <w:rFonts w:hint="eastAsia" w:asciiTheme="minorEastAsia" w:hAnsiTheme="minorEastAsia" w:eastAsiaTheme="minorEastAsia" w:cstheme="minorEastAsia"/>
              <w:bCs w:val="0"/>
              <w:sz w:val="24"/>
              <w:szCs w:val="24"/>
              <w:highlight w:val="none"/>
              <w:lang w:eastAsia="zh-CN"/>
            </w:rPr>
            <w:t>部门职责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_Toc1231382859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_Toc767546216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lang w:eastAsia="zh-CN"/>
            </w:rPr>
            <w:t>二、</w:t>
          </w:r>
          <w:r>
            <w:rPr>
              <w:rFonts w:hint="eastAsia" w:asciiTheme="minorEastAsia" w:hAnsiTheme="minorEastAsia" w:eastAsiaTheme="minorEastAsia" w:cstheme="minorEastAsia"/>
              <w:bCs w:val="0"/>
              <w:sz w:val="24"/>
              <w:szCs w:val="24"/>
            </w:rPr>
            <w:t>机构</w:t>
          </w:r>
          <w:r>
            <w:rPr>
              <w:rFonts w:hint="eastAsia" w:asciiTheme="minorEastAsia" w:hAnsiTheme="minorEastAsia" w:eastAsiaTheme="minorEastAsia" w:cstheme="minorEastAsia"/>
              <w:bCs w:val="0"/>
              <w:sz w:val="24"/>
              <w:szCs w:val="24"/>
              <w:lang w:eastAsia="zh-CN"/>
            </w:rPr>
            <w:t>设置</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_Toc767546216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_Toc1839792005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kern w:val="44"/>
              <w:sz w:val="24"/>
              <w:szCs w:val="24"/>
              <w:highlight w:val="none"/>
            </w:rPr>
            <w:t xml:space="preserve">第二部分 </w:t>
          </w:r>
          <w:r>
            <w:rPr>
              <w:rFonts w:hint="eastAsia" w:asciiTheme="minorEastAsia" w:hAnsiTheme="minorEastAsia" w:eastAsiaTheme="minorEastAsia" w:cstheme="minorEastAsia"/>
              <w:bCs/>
              <w:kern w:val="44"/>
              <w:sz w:val="24"/>
              <w:szCs w:val="24"/>
              <w:highlight w:val="none"/>
              <w:lang w:val="en-US" w:eastAsia="zh-CN"/>
            </w:rPr>
            <w:t>2023年度</w:t>
          </w:r>
          <w:r>
            <w:rPr>
              <w:rFonts w:hint="eastAsia" w:asciiTheme="minorEastAsia" w:hAnsiTheme="minorEastAsia" w:eastAsiaTheme="minorEastAsia" w:cstheme="minorEastAsia"/>
              <w:bCs/>
              <w:sz w:val="24"/>
              <w:szCs w:val="24"/>
              <w:highlight w:val="none"/>
              <w:lang w:eastAsia="zh-CN"/>
            </w:rPr>
            <w:t>部门</w:t>
          </w:r>
          <w:r>
            <w:rPr>
              <w:rFonts w:hint="eastAsia" w:asciiTheme="minorEastAsia" w:hAnsiTheme="minorEastAsia" w:eastAsiaTheme="minorEastAsia" w:cstheme="minorEastAsia"/>
              <w:bCs/>
              <w:sz w:val="24"/>
              <w:szCs w:val="24"/>
              <w:highlight w:val="none"/>
            </w:rPr>
            <w:t>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_Toc1839792005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_Toc2129722482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一、</w:t>
          </w:r>
          <w:r>
            <w:rPr>
              <w:rFonts w:hint="eastAsia" w:asciiTheme="minorEastAsia" w:hAnsiTheme="minorEastAsia" w:eastAsiaTheme="minorEastAsia" w:cstheme="minorEastAsia"/>
              <w:sz w:val="24"/>
              <w:szCs w:val="24"/>
              <w:highlight w:val="none"/>
            </w:rPr>
            <w:t>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_Toc2129722482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_Toc1945077614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二、</w:t>
          </w:r>
          <w:r>
            <w:rPr>
              <w:rFonts w:hint="eastAsia" w:asciiTheme="minorEastAsia" w:hAnsiTheme="minorEastAsia" w:eastAsiaTheme="minorEastAsia" w:cstheme="minorEastAsia"/>
              <w:sz w:val="24"/>
              <w:szCs w:val="24"/>
              <w:highlight w:val="none"/>
            </w:rPr>
            <w:t>收入决算情况说明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_Toc1945077614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_Toc841274770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三、</w:t>
          </w:r>
          <w:r>
            <w:rPr>
              <w:rFonts w:hint="eastAsia" w:asciiTheme="minorEastAsia" w:hAnsiTheme="minorEastAsia" w:eastAsiaTheme="minorEastAsia" w:cstheme="minorEastAsia"/>
              <w:sz w:val="24"/>
              <w:szCs w:val="24"/>
              <w:highlight w:val="none"/>
            </w:rPr>
            <w:t>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_Toc841274770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_Toc731960567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四、</w:t>
          </w:r>
          <w:r>
            <w:rPr>
              <w:rFonts w:hint="eastAsia" w:asciiTheme="minorEastAsia" w:hAnsiTheme="minorEastAsia" w:eastAsiaTheme="minorEastAsia" w:cstheme="minorEastAsia"/>
              <w:sz w:val="24"/>
              <w:szCs w:val="24"/>
              <w:highlight w:val="none"/>
            </w:rPr>
            <w:t>财政拨款收入支出决算总体情况说明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_Toc731960567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_Toc2093228139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五、 </w:t>
          </w:r>
          <w:r>
            <w:rPr>
              <w:rFonts w:hint="eastAsia" w:asciiTheme="minorEastAsia" w:hAnsiTheme="minorEastAsia" w:eastAsiaTheme="minorEastAsia" w:cstheme="minorEastAsia"/>
              <w:sz w:val="24"/>
              <w:szCs w:val="24"/>
              <w:highlight w:val="none"/>
            </w:rPr>
            <w:t>一般公共预算财政拨款支出决算情况说明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_Toc2093228139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_Toc710782743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六、一般公共预算财政拨款基本支出决算情况说明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_Toc710782743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_Toc921647354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七、财政拨款“三公”经费支出决算情况说明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_Toc921647354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_Toc1469991429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八、政府性基金预算支出决算情况说明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_Toc1469991429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_Toc30108052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九、 </w:t>
          </w:r>
          <w:r>
            <w:rPr>
              <w:rFonts w:hint="eastAsia" w:asciiTheme="minorEastAsia" w:hAnsiTheme="minorEastAsia" w:eastAsiaTheme="minorEastAsia" w:cstheme="minorEastAsia"/>
              <w:sz w:val="24"/>
              <w:szCs w:val="24"/>
              <w:highlight w:val="none"/>
            </w:rPr>
            <w:t>国有资本经营预算支出决算情况说明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_Toc30108052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_Toc1400027206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十、 </w:t>
          </w:r>
          <w:r>
            <w:rPr>
              <w:rFonts w:hint="eastAsia" w:asciiTheme="minorEastAsia" w:hAnsiTheme="minorEastAsia" w:eastAsiaTheme="minorEastAsia" w:cstheme="minorEastAsia"/>
              <w:sz w:val="24"/>
              <w:szCs w:val="24"/>
              <w:highlight w:val="none"/>
            </w:rPr>
            <w:t>其他重要事项的情况说明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_Toc1400027206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_Toc807538311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第三部分</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名词解释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_Toc807538311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_Toc1147824455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第四部分 </w:t>
          </w:r>
          <w:r>
            <w:rPr>
              <w:rFonts w:hint="eastAsia" w:asciiTheme="minorEastAsia" w:hAnsiTheme="minorEastAsia" w:eastAsiaTheme="minorEastAsia" w:cstheme="minorEastAsia"/>
              <w:sz w:val="24"/>
              <w:szCs w:val="24"/>
              <w:highlight w:val="none"/>
            </w:rPr>
            <w:t>附件</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_Toc1147824455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eastAsiaTheme="minorEastAsia"/>
              <w:lang w:val="en-US" w:eastAsia="zh-CN"/>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五</w:t>
          </w:r>
          <w:r>
            <w:rPr>
              <w:rFonts w:hint="eastAsia" w:asciiTheme="minorEastAsia" w:hAnsiTheme="minorEastAsia" w:eastAsiaTheme="minorEastAsia" w:cstheme="minorEastAsia"/>
              <w:sz w:val="24"/>
              <w:szCs w:val="24"/>
            </w:rPr>
            <w:t xml:space="preserve">部分 </w:t>
          </w:r>
          <w:r>
            <w:rPr>
              <w:rFonts w:hint="eastAsia" w:asciiTheme="minorEastAsia" w:hAnsiTheme="minorEastAsia" w:eastAsiaTheme="minorEastAsia" w:cstheme="minorEastAsia"/>
              <w:sz w:val="24"/>
              <w:szCs w:val="24"/>
              <w:highlight w:val="none"/>
            </w:rPr>
            <w:t>附</w:t>
          </w:r>
          <w:r>
            <w:rPr>
              <w:rFonts w:hint="eastAsia" w:asciiTheme="minorEastAsia" w:hAnsiTheme="minorEastAsia" w:eastAsiaTheme="minorEastAsia" w:cstheme="minorEastAsia"/>
              <w:sz w:val="24"/>
              <w:szCs w:val="24"/>
              <w:highlight w:val="none"/>
              <w:lang w:eastAsia="zh-CN"/>
            </w:rPr>
            <w:t>表</w:t>
          </w:r>
          <w:r>
            <w:rPr>
              <w:rFonts w:hint="eastAsia" w:asciiTheme="minorEastAsia" w:hAnsiTheme="minorEastAsia" w:eastAsiaTheme="minorEastAsia" w:cstheme="minorEastAsia"/>
              <w:sz w:val="24"/>
              <w:szCs w:val="24"/>
              <w:highlight w:val="none"/>
              <w:lang w:val="en-US" w:eastAsia="zh-CN"/>
            </w:rPr>
            <w:t>......................................................16</w:t>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_Toc146272537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一、收</w:t>
          </w:r>
          <w:r>
            <w:rPr>
              <w:rFonts w:hint="eastAsia" w:asciiTheme="minorEastAsia" w:hAnsiTheme="minorEastAsia" w:eastAsiaTheme="minorEastAsia" w:cstheme="minorEastAsia"/>
              <w:bCs w:val="0"/>
              <w:sz w:val="24"/>
              <w:szCs w:val="24"/>
              <w:highlight w:val="none"/>
            </w:rPr>
            <w:t>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_Toc146272537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_Toc1590471016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二、收</w:t>
          </w:r>
          <w:r>
            <w:rPr>
              <w:rFonts w:hint="eastAsia" w:asciiTheme="minorEastAsia" w:hAnsiTheme="minorEastAsia" w:eastAsiaTheme="minorEastAsia" w:cstheme="minorEastAsia"/>
              <w:bCs w:val="0"/>
              <w:sz w:val="24"/>
              <w:szCs w:val="24"/>
              <w:highlight w:val="none"/>
            </w:rPr>
            <w:t>入决算表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_Toc1590471016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_Toc149090370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三、</w:t>
          </w:r>
          <w:r>
            <w:rPr>
              <w:rFonts w:hint="eastAsia" w:asciiTheme="minorEastAsia" w:hAnsiTheme="minorEastAsia" w:eastAsiaTheme="minorEastAsia" w:cstheme="minorEastAsia"/>
              <w:sz w:val="24"/>
              <w:szCs w:val="24"/>
              <w:highlight w:val="none"/>
            </w:rPr>
            <w:t>支</w:t>
          </w:r>
          <w:r>
            <w:rPr>
              <w:rFonts w:hint="eastAsia" w:asciiTheme="minorEastAsia" w:hAnsiTheme="minorEastAsia" w:eastAsiaTheme="minorEastAsia" w:cstheme="minorEastAsia"/>
              <w:bCs w:val="0"/>
              <w:sz w:val="24"/>
              <w:szCs w:val="24"/>
              <w:highlight w:val="none"/>
            </w:rPr>
            <w:t>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_Toc149090370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_Toc268642913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四、</w:t>
          </w:r>
          <w:r>
            <w:rPr>
              <w:rFonts w:hint="eastAsia" w:asciiTheme="minorEastAsia" w:hAnsiTheme="minorEastAsia" w:eastAsiaTheme="minorEastAsia" w:cstheme="minorEastAsia"/>
              <w:sz w:val="24"/>
              <w:szCs w:val="24"/>
              <w:highlight w:val="none"/>
            </w:rPr>
            <w:t>财</w:t>
          </w:r>
          <w:r>
            <w:rPr>
              <w:rFonts w:hint="eastAsia" w:asciiTheme="minorEastAsia" w:hAnsiTheme="minorEastAsia" w:eastAsiaTheme="minorEastAsia" w:cstheme="minorEastAsia"/>
              <w:bCs w:val="0"/>
              <w:sz w:val="24"/>
              <w:szCs w:val="24"/>
              <w:highlight w:val="none"/>
            </w:rPr>
            <w:t>政拨款收入支出决算总表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_Toc268642913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_Toc1506360359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五、</w:t>
          </w:r>
          <w:r>
            <w:rPr>
              <w:rFonts w:hint="eastAsia" w:asciiTheme="minorEastAsia" w:hAnsiTheme="minorEastAsia" w:eastAsiaTheme="minorEastAsia" w:cstheme="minorEastAsia"/>
              <w:sz w:val="24"/>
              <w:szCs w:val="24"/>
              <w:highlight w:val="none"/>
            </w:rPr>
            <w:t>财</w:t>
          </w:r>
          <w:r>
            <w:rPr>
              <w:rFonts w:hint="eastAsia" w:asciiTheme="minorEastAsia" w:hAnsiTheme="minorEastAsia" w:eastAsiaTheme="minorEastAsia" w:cstheme="minorEastAsia"/>
              <w:bCs w:val="0"/>
              <w:sz w:val="24"/>
              <w:szCs w:val="24"/>
              <w:highlight w:val="none"/>
            </w:rPr>
            <w:t>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_Toc1506360359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_Toc1190470619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六、</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_Toc1190470619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_Toc2107582711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七、</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_Toc2107582711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_Toc2066462068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八、</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般公共预算财政拨款基本支出决算表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_Toc2066462068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_Toc978984965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九、</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般公共预算财政拨款项目支出决算表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_Toc978984965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_Toc1810063473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w:t>
          </w:r>
          <w:r>
            <w:rPr>
              <w:rFonts w:hint="eastAsia" w:asciiTheme="minorEastAsia" w:hAnsiTheme="minorEastAsia" w:eastAsiaTheme="minorEastAsia" w:cstheme="minorEastAsia"/>
              <w:sz w:val="24"/>
              <w:szCs w:val="24"/>
              <w:highlight w:val="none"/>
            </w:rPr>
            <w:t>政</w:t>
          </w:r>
          <w:r>
            <w:rPr>
              <w:rFonts w:hint="eastAsia" w:asciiTheme="minorEastAsia" w:hAnsiTheme="minorEastAsia" w:eastAsiaTheme="minorEastAsia" w:cstheme="minorEastAsia"/>
              <w:bCs w:val="0"/>
              <w:sz w:val="24"/>
              <w:szCs w:val="24"/>
              <w:highlight w:val="none"/>
            </w:rPr>
            <w:t>府性基金预算财政拨款收入支出决算表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_Toc1810063473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_Toc307111675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十一、</w:t>
          </w:r>
          <w:r>
            <w:rPr>
              <w:rFonts w:hint="eastAsia" w:asciiTheme="minorEastAsia" w:hAnsiTheme="minorEastAsia" w:eastAsiaTheme="minorEastAsia" w:cstheme="minorEastAsia"/>
              <w:sz w:val="24"/>
              <w:szCs w:val="24"/>
              <w:highlight w:val="none"/>
            </w:rPr>
            <w:t>国</w:t>
          </w:r>
          <w:r>
            <w:rPr>
              <w:rFonts w:hint="eastAsia" w:asciiTheme="minorEastAsia" w:hAnsiTheme="minorEastAsia" w:eastAsiaTheme="minorEastAsia" w:cstheme="minorEastAsia"/>
              <w:bCs w:val="0"/>
              <w:sz w:val="24"/>
              <w:szCs w:val="24"/>
              <w:highlight w:val="none"/>
            </w:rPr>
            <w:t>有资本经营预算</w:t>
          </w:r>
          <w:r>
            <w:rPr>
              <w:rFonts w:hint="eastAsia" w:asciiTheme="minorEastAsia" w:hAnsiTheme="minorEastAsia" w:eastAsiaTheme="minorEastAsia" w:cstheme="minorEastAsia"/>
              <w:bCs w:val="0"/>
              <w:sz w:val="24"/>
              <w:szCs w:val="24"/>
              <w:highlight w:val="none"/>
              <w:lang w:eastAsia="zh-CN"/>
            </w:rPr>
            <w:t>财政拨款收入</w:t>
          </w:r>
          <w:r>
            <w:rPr>
              <w:rFonts w:hint="eastAsia" w:asciiTheme="minorEastAsia" w:hAnsiTheme="minorEastAsia" w:eastAsiaTheme="minorEastAsia" w:cstheme="minorEastAsia"/>
              <w:bCs w:val="0"/>
              <w:sz w:val="24"/>
              <w:szCs w:val="24"/>
              <w:highlight w:val="none"/>
            </w:rPr>
            <w:t>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_Toc307111675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_Toc1751225771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十二、</w:t>
          </w:r>
          <w:r>
            <w:rPr>
              <w:rFonts w:hint="eastAsia" w:asciiTheme="minorEastAsia" w:hAnsiTheme="minorEastAsia" w:eastAsiaTheme="minorEastAsia" w:cstheme="minorEastAsia"/>
              <w:bCs w:val="0"/>
              <w:sz w:val="24"/>
              <w:szCs w:val="24"/>
              <w:highlight w:val="none"/>
              <w:lang w:eastAsia="zh-CN"/>
            </w:rPr>
            <w:t>国有资本经营预算财政拨款支出决算表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_Toc1751225771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_Toc1785915781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十三、</w:t>
          </w:r>
          <w:r>
            <w:rPr>
              <w:rFonts w:hint="eastAsia" w:asciiTheme="minorEastAsia" w:hAnsiTheme="minorEastAsia" w:eastAsiaTheme="minorEastAsia" w:cstheme="minorEastAsia"/>
              <w:bCs w:val="0"/>
              <w:sz w:val="24"/>
              <w:szCs w:val="24"/>
              <w:highlight w:val="none"/>
              <w:lang w:eastAsia="zh-CN"/>
            </w:rPr>
            <w:t>财政拨款“三公”经费支出决算表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_Toc1785915781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end"/>
          </w:r>
        </w:p>
      </w:sdtContent>
    </w:sdt>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textAlignment w:val="auto"/>
        <w:rPr>
          <w:rFonts w:hint="eastAsia" w:ascii="仿宋_GB2312" w:hAnsi="仿宋" w:eastAsia="仿宋_GB2312"/>
          <w:sz w:val="32"/>
          <w:szCs w:val="32"/>
        </w:rPr>
      </w:pPr>
    </w:p>
    <w:p>
      <w:pPr>
        <w:pStyle w:val="10"/>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jc w:val="both"/>
        <w:textAlignment w:val="auto"/>
        <w:rPr>
          <w:rFonts w:hint="eastAsia" w:ascii="黑体" w:hAnsi="黑体" w:eastAsia="黑体"/>
          <w:b w:val="0"/>
          <w:color w:val="auto"/>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pPr>
        <w:pStyle w:val="3"/>
        <w:jc w:val="center"/>
        <w:rPr>
          <w:rStyle w:val="20"/>
          <w:rFonts w:ascii="黑体" w:hAnsi="黑体" w:eastAsia="黑体"/>
          <w:b/>
          <w:bCs w:val="0"/>
          <w:color w:val="auto"/>
          <w:highlight w:val="none"/>
        </w:rPr>
      </w:pPr>
      <w:bookmarkStart w:id="2" w:name="_Toc1689228272"/>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部门</w:t>
      </w:r>
      <w:r>
        <w:rPr>
          <w:rStyle w:val="20"/>
          <w:rFonts w:hint="eastAsia" w:ascii="黑体" w:hAnsi="黑体" w:eastAsia="黑体"/>
          <w:b w:val="0"/>
          <w:bCs w:val="0"/>
          <w:color w:val="auto"/>
          <w:highlight w:val="none"/>
        </w:rPr>
        <w:t>概况</w:t>
      </w:r>
      <w:bookmarkEnd w:id="2"/>
    </w:p>
    <w:p>
      <w:pPr>
        <w:pStyle w:val="4"/>
        <w:numPr>
          <w:ilvl w:val="0"/>
          <w:numId w:val="0"/>
        </w:numPr>
        <w:spacing w:before="0" w:after="0" w:line="240" w:lineRule="auto"/>
        <w:ind w:firstLine="642" w:firstLineChars="200"/>
        <w:rPr>
          <w:rFonts w:hint="eastAsia" w:ascii="仿宋_GB2312" w:hAnsi="仿宋" w:eastAsia="仿宋_GB2312"/>
          <w:sz w:val="32"/>
          <w:szCs w:val="32"/>
        </w:rPr>
      </w:pPr>
      <w:bookmarkStart w:id="3" w:name="_Toc1231382859"/>
      <w:r>
        <w:rPr>
          <w:rFonts w:hint="eastAsia"/>
          <w:lang w:eastAsia="zh-CN"/>
        </w:rPr>
        <w:t>一、</w:t>
      </w:r>
      <w:r>
        <w:rPr>
          <w:rStyle w:val="21"/>
          <w:rFonts w:hint="eastAsia" w:ascii="黑体" w:hAnsi="黑体" w:eastAsia="黑体"/>
          <w:b w:val="0"/>
          <w:bCs w:val="0"/>
          <w:color w:val="auto"/>
          <w:highlight w:val="none"/>
          <w:lang w:eastAsia="zh-CN"/>
        </w:rPr>
        <w:t>部门职责</w:t>
      </w:r>
      <w:bookmarkEnd w:id="3"/>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w:t>
      </w:r>
      <w:r>
        <w:rPr>
          <w:rFonts w:hint="eastAsia" w:ascii="仿宋_GB2312" w:hAnsi="Times New Roman" w:eastAsia="仿宋_GB2312" w:cs="Times New Roman"/>
          <w:color w:val="auto"/>
          <w:sz w:val="32"/>
          <w:szCs w:val="32"/>
          <w:highlight w:val="none"/>
          <w:lang w:eastAsia="zh-CN"/>
        </w:rPr>
        <w:t>会同有关部门研究拟订并组织实施全市金融业发展规划和政策措施。负责市金融工作领导小组日常工作。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统筹、协调推进全市金融业服务实体经济、防控金融风险、深化金融改革。推动地方政府和金融机构合作。加强金融对外合作交流。</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3.会同有关部门推进地方金融业规范发展，组建、培育、壮大地方法人金融机构，引进市外、境外金融机构，促进金融机构合理布局和金融资源优化配置。负责监管范围内的地方法人金融机构的改革发展和业务指导工作。参与市委、市政府对金融机构的考核等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eastAsia="zh-CN"/>
        </w:rPr>
        <w:t>统筹推进全市企业直接融资工作。指导全市企业上市改制工作，负责上市培育和上市协调工作。指导上市公司规范运作、并购重组等工作。会同有关部门指导推动企业发行各种债券、开展资产证券化等工作（境外融资除外），推进多渠道直接融资。参与指导各类投资基金规范发展。</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5.</w:t>
      </w:r>
      <w:r>
        <w:rPr>
          <w:rFonts w:hint="eastAsia" w:ascii="仿宋_GB2312" w:hAnsi="Times New Roman" w:eastAsia="仿宋_GB2312" w:cs="Times New Roman"/>
          <w:color w:val="auto"/>
          <w:sz w:val="32"/>
          <w:szCs w:val="32"/>
          <w:highlight w:val="none"/>
          <w:lang w:eastAsia="zh-CN"/>
        </w:rPr>
        <w:t>统筹地方金融要素市场体系建设。会同有关部门指导、推动地方金融要素市场建设，组织推进多层次资本市场发展。</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6.</w:t>
      </w:r>
      <w:r>
        <w:rPr>
          <w:rFonts w:hint="eastAsia" w:ascii="仿宋_GB2312" w:hAnsi="Times New Roman" w:eastAsia="仿宋_GB2312" w:cs="Times New Roman"/>
          <w:color w:val="auto"/>
          <w:sz w:val="32"/>
          <w:szCs w:val="32"/>
          <w:highlight w:val="none"/>
          <w:lang w:eastAsia="zh-CN"/>
        </w:rPr>
        <w:t>配合中央金融管理部门驻广机构做好金融监管相关工作，共享地方金融监管指标数据和金融业务发展情况。为中央驻广金融管理部门、金融机构提供服务，协调解决地方金融业改革发展中的有关问题。</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7.</w:t>
      </w:r>
      <w:r>
        <w:rPr>
          <w:rFonts w:hint="eastAsia" w:ascii="仿宋_GB2312" w:hAnsi="Times New Roman" w:eastAsia="仿宋_GB2312" w:cs="Times New Roman"/>
          <w:color w:val="auto"/>
          <w:sz w:val="32"/>
          <w:szCs w:val="32"/>
          <w:highlight w:val="none"/>
          <w:lang w:eastAsia="zh-CN"/>
        </w:rPr>
        <w:t>推动金融机构为全市经济社会发展服务，协调市级政府性投资项目融资工作，参与全市投融资体制改革工作。推动地方金融统计体系建设。参与研究制定引导社会融资发展的政策措施和政府重大项目融资方案。协调推进重大金融项目招商工作。会同相关部门推进全市金融服务体系建设，推进普惠金融、科技金融、绿色金融、数字金融发展。</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8.</w:t>
      </w:r>
      <w:r>
        <w:rPr>
          <w:rFonts w:hint="eastAsia" w:ascii="仿宋_GB2312" w:hAnsi="Times New Roman" w:eastAsia="仿宋_GB2312" w:cs="Times New Roman"/>
          <w:color w:val="auto"/>
          <w:sz w:val="32"/>
          <w:szCs w:val="32"/>
          <w:highlight w:val="none"/>
          <w:lang w:eastAsia="zh-CN"/>
        </w:rPr>
        <w:t>负责全市小额贷款公司、融资担保公司、区域性股权市场、典当行、融资租赁公司、商业保理公司、地方资产管理公司等地方金融组织的监管。加强对开展信用互助的农民专业合作社、地方权益类交易场所、大宗商品类交易场所的风险监测与行为监管。</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lang w:eastAsia="zh-CN"/>
        </w:rPr>
        <w:t>负责地方金融机构和金融中介机构的行业管理和服务，促进金融中介服务业发展，参与拟订促进与金融业密切相关的中介服务机构发展的政策、规划并配合有关部门实施。加强对相关金融行业协会的工作指导和监督。</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10.</w:t>
      </w:r>
      <w:r>
        <w:rPr>
          <w:rFonts w:hint="eastAsia" w:ascii="仿宋_GB2312" w:hAnsi="Times New Roman" w:eastAsia="仿宋_GB2312" w:cs="Times New Roman"/>
          <w:color w:val="auto"/>
          <w:sz w:val="32"/>
          <w:szCs w:val="32"/>
          <w:highlight w:val="none"/>
          <w:lang w:eastAsia="zh-CN"/>
        </w:rPr>
        <w:t>维护地方金融秩序。牵头有关部门防范、化解和处置地方金融风险。牵头处置非法集资，协调配合有关部门打击其他非法金融活动，推进地方金融风险监测预警与应急处置机制建设，推动互联网金融规范发展和维护金融稳定，构建优良金融生态环境。</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11.</w:t>
      </w:r>
      <w:r>
        <w:rPr>
          <w:rFonts w:hint="eastAsia" w:ascii="仿宋_GB2312" w:hAnsi="Times New Roman" w:eastAsia="仿宋_GB2312" w:cs="Times New Roman"/>
          <w:color w:val="auto"/>
          <w:sz w:val="32"/>
          <w:szCs w:val="32"/>
          <w:highlight w:val="none"/>
          <w:lang w:eastAsia="zh-CN"/>
        </w:rPr>
        <w:t>配合市级有关部门研究制定国有金融资本布局方案。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12.</w:t>
      </w:r>
      <w:r>
        <w:rPr>
          <w:rFonts w:hint="eastAsia" w:ascii="仿宋_GB2312" w:hAnsi="Times New Roman" w:eastAsia="仿宋_GB2312" w:cs="Times New Roman"/>
          <w:color w:val="auto"/>
          <w:sz w:val="32"/>
          <w:szCs w:val="32"/>
          <w:highlight w:val="none"/>
          <w:lang w:eastAsia="zh-CN"/>
        </w:rPr>
        <w:t>负责对县区政府金融工作进行业务指导，推进市、县区金融工作协同联动机制建设，参与、指导全市金融人才资源培育和队伍建设工作。推进全市金融知识宣传普及工作。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13.</w:t>
      </w:r>
      <w:r>
        <w:rPr>
          <w:rFonts w:hint="eastAsia" w:ascii="仿宋_GB2312" w:hAnsi="Times New Roman" w:eastAsia="仿宋_GB2312" w:cs="Times New Roman"/>
          <w:color w:val="auto"/>
          <w:sz w:val="32"/>
          <w:szCs w:val="32"/>
          <w:highlight w:val="none"/>
          <w:lang w:eastAsia="zh-CN"/>
        </w:rPr>
        <w:t>督促监管范围内的地方法人金融机构建立健全并执行安全生产和职业健康相关制度、规定、标准；组织开展本行业系统安全生产工作检查，总结推广安全生产工作经验，督促整改安全隐患。</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14.</w:t>
      </w:r>
      <w:r>
        <w:rPr>
          <w:rFonts w:hint="eastAsia" w:ascii="仿宋_GB2312" w:hAnsi="Times New Roman" w:eastAsia="仿宋_GB2312" w:cs="Times New Roman"/>
          <w:color w:val="auto"/>
          <w:sz w:val="32"/>
          <w:szCs w:val="32"/>
          <w:highlight w:val="none"/>
          <w:lang w:eastAsia="zh-CN"/>
        </w:rPr>
        <w:t>负责职责范围内的生态环境保护、审批服务便民化等工作。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15.</w:t>
      </w:r>
      <w:r>
        <w:rPr>
          <w:rFonts w:hint="eastAsia" w:ascii="仿宋_GB2312" w:hAnsi="Times New Roman" w:eastAsia="仿宋_GB2312" w:cs="Times New Roman"/>
          <w:color w:val="auto"/>
          <w:sz w:val="32"/>
          <w:szCs w:val="32"/>
          <w:highlight w:val="none"/>
          <w:lang w:eastAsia="zh-CN"/>
        </w:rPr>
        <w:t>完成市委、市政府交办的其他任务。</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16.</w:t>
      </w:r>
      <w:r>
        <w:rPr>
          <w:rFonts w:hint="eastAsia" w:ascii="仿宋_GB2312" w:hAnsi="Times New Roman" w:eastAsia="仿宋_GB2312" w:cs="Times New Roman"/>
          <w:color w:val="auto"/>
          <w:sz w:val="32"/>
          <w:szCs w:val="32"/>
          <w:highlight w:val="none"/>
          <w:lang w:eastAsia="zh-CN"/>
        </w:rPr>
        <w:t>职能转变。在坚持金融管理主要是中央事权的前提下，按照中央统一规则、地方实施监管，谁审批、谁监管、谁担责的总体要求，加强对地方金融的监督管理，落实好服务实体经济、防控金融风险、深化金融改革三项任务。一是坚持以服务实体经济为宗旨。把服务实体经济作为工作的出发点和落脚点，全面提高金融服务效率和水平，加强重点领域和薄弱环节金融服务。二是坚持以防范系统性金融风险为底线。以地方法人金融机构风险防范为重点，坚持预防为主、标本兼治、稳妥有序、守住底线，提高金融体系抵御风险能力，确保地方金融安全高效稳健运行。三是坚持以深化金融改革开放为动力。坚持社会主义市场经济改革方向，加快地方金融重要领域和关键环节改革，建立健全市、县（区）两级地方金融监督管理体系，着力提高地方金融业竞争力和风险防范能力。</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textAlignment w:val="auto"/>
        <w:outlineLvl w:val="1"/>
        <w:rPr>
          <w:rFonts w:hint="eastAsia" w:ascii="黑体" w:hAnsi="黑体" w:eastAsia="黑体" w:cs="黑体"/>
          <w:b w:val="0"/>
          <w:bCs w:val="0"/>
          <w:sz w:val="32"/>
          <w:szCs w:val="32"/>
          <w:lang w:eastAsia="zh-CN"/>
        </w:rPr>
      </w:pPr>
      <w:bookmarkStart w:id="4" w:name="_Toc767546216"/>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机构</w:t>
      </w:r>
      <w:r>
        <w:rPr>
          <w:rFonts w:hint="eastAsia" w:ascii="黑体" w:hAnsi="黑体" w:eastAsia="黑体" w:cs="黑体"/>
          <w:b w:val="0"/>
          <w:bCs w:val="0"/>
          <w:sz w:val="32"/>
          <w:szCs w:val="32"/>
          <w:lang w:eastAsia="zh-CN"/>
        </w:rPr>
        <w:t>设置</w:t>
      </w:r>
      <w:bookmarkEnd w:id="4"/>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黑体" w:hAnsi="黑体" w:eastAsia="黑体" w:cs="Times New Roman"/>
          <w:b w:val="0"/>
          <w:bCs/>
          <w:color w:val="auto"/>
          <w:kern w:val="44"/>
          <w:sz w:val="44"/>
          <w:szCs w:val="44"/>
          <w:highlight w:val="none"/>
        </w:rPr>
      </w:pPr>
      <w:r>
        <w:rPr>
          <w:rFonts w:hint="eastAsia" w:ascii="仿宋_GB2312" w:eastAsia="仿宋_GB2312" w:cs="Times New Roman"/>
          <w:color w:val="auto"/>
          <w:sz w:val="32"/>
          <w:szCs w:val="32"/>
          <w:highlight w:val="none"/>
          <w:lang w:val="en-US" w:eastAsia="zh-CN"/>
        </w:rPr>
        <w:t>我单位属</w:t>
      </w:r>
      <w:r>
        <w:rPr>
          <w:rFonts w:hint="eastAsia" w:ascii="仿宋_GB2312" w:hAnsi="Times New Roman" w:eastAsia="仿宋_GB2312" w:cs="Times New Roman"/>
          <w:color w:val="auto"/>
          <w:sz w:val="32"/>
          <w:szCs w:val="32"/>
          <w:highlight w:val="none"/>
          <w:lang w:val="en-US" w:eastAsia="zh-CN"/>
        </w:rPr>
        <w:t>广元市金融工作局</w:t>
      </w:r>
      <w:r>
        <w:rPr>
          <w:rFonts w:hint="eastAsia" w:ascii="仿宋_GB2312" w:eastAsia="仿宋_GB2312" w:cs="Times New Roman"/>
          <w:color w:val="auto"/>
          <w:sz w:val="32"/>
          <w:szCs w:val="32"/>
          <w:highlight w:val="none"/>
          <w:lang w:val="en-US" w:eastAsia="zh-CN"/>
        </w:rPr>
        <w:t>部门</w:t>
      </w:r>
      <w:r>
        <w:rPr>
          <w:rFonts w:hint="eastAsia" w:ascii="仿宋_GB2312" w:hAnsi="Times New Roman" w:eastAsia="仿宋_GB2312" w:cs="Times New Roman"/>
          <w:color w:val="auto"/>
          <w:sz w:val="32"/>
          <w:szCs w:val="32"/>
          <w:highlight w:val="none"/>
          <w:lang w:val="en-US" w:eastAsia="zh-CN"/>
        </w:rPr>
        <w:t>为</w:t>
      </w:r>
      <w:r>
        <w:rPr>
          <w:rFonts w:hint="eastAsia" w:ascii="仿宋_GB2312" w:eastAsia="仿宋_GB2312" w:cs="Times New Roman"/>
          <w:color w:val="auto"/>
          <w:sz w:val="32"/>
          <w:szCs w:val="32"/>
          <w:highlight w:val="none"/>
          <w:lang w:val="en-US" w:eastAsia="zh-CN"/>
        </w:rPr>
        <w:t>二</w:t>
      </w:r>
      <w:r>
        <w:rPr>
          <w:rFonts w:hint="eastAsia" w:ascii="仿宋_GB2312" w:hAnsi="Times New Roman" w:eastAsia="仿宋_GB2312" w:cs="Times New Roman"/>
          <w:color w:val="auto"/>
          <w:sz w:val="32"/>
          <w:szCs w:val="32"/>
          <w:highlight w:val="none"/>
          <w:lang w:val="en-US" w:eastAsia="zh-CN"/>
        </w:rPr>
        <w:t>级预算单位，</w:t>
      </w:r>
      <w:r>
        <w:rPr>
          <w:rFonts w:hint="eastAsia" w:ascii="仿宋_GB2312" w:eastAsia="仿宋_GB2312" w:cs="Times New Roman"/>
          <w:color w:val="auto"/>
          <w:sz w:val="32"/>
          <w:szCs w:val="32"/>
          <w:highlight w:val="none"/>
          <w:lang w:val="en-US" w:eastAsia="zh-CN"/>
        </w:rPr>
        <w:t>无下属机构</w:t>
      </w:r>
      <w:r>
        <w:rPr>
          <w:rFonts w:hint="eastAsia" w:ascii="仿宋_GB2312" w:hAnsi="Times New Roman" w:eastAsia="仿宋_GB2312" w:cs="Times New Roman"/>
          <w:color w:val="auto"/>
          <w:sz w:val="32"/>
          <w:szCs w:val="32"/>
          <w:highlight w:val="none"/>
          <w:lang w:val="en-US" w:eastAsia="zh-CN"/>
        </w:rPr>
        <w:t>。</w:t>
      </w:r>
      <w:bookmarkStart w:id="5" w:name="YS060102"/>
      <w:bookmarkStart w:id="76" w:name="_GoBack"/>
      <w:bookmarkEnd w:id="76"/>
    </w:p>
    <w:p>
      <w:pPr>
        <w:pStyle w:val="12"/>
        <w:keepNext w:val="0"/>
        <w:keepLines w:val="0"/>
        <w:pageBreakBefore w:val="0"/>
        <w:widowControl w:val="0"/>
        <w:kinsoku/>
        <w:wordWrap/>
        <w:overflowPunct/>
        <w:topLinePunct w:val="0"/>
        <w:autoSpaceDE/>
        <w:autoSpaceDN/>
        <w:bidi w:val="0"/>
        <w:adjustRightInd/>
        <w:snapToGrid/>
        <w:spacing w:after="0" w:line="576" w:lineRule="atLeast"/>
        <w:ind w:firstLine="880" w:firstLineChars="200"/>
        <w:jc w:val="left"/>
        <w:textAlignment w:val="auto"/>
        <w:rPr>
          <w:rFonts w:hint="eastAsia" w:ascii="黑体" w:hAnsi="黑体" w:eastAsia="黑体" w:cs="Times New Roman"/>
          <w:b w:val="0"/>
          <w:bCs/>
          <w:color w:val="auto"/>
          <w:kern w:val="44"/>
          <w:sz w:val="44"/>
          <w:szCs w:val="44"/>
          <w:highlight w:val="none"/>
        </w:rPr>
      </w:pPr>
    </w:p>
    <w:p>
      <w:pPr>
        <w:keepNext w:val="0"/>
        <w:keepLines w:val="0"/>
        <w:pageBreakBefore w:val="0"/>
        <w:kinsoku/>
        <w:wordWrap/>
        <w:overflowPunct/>
        <w:topLinePunct w:val="0"/>
        <w:autoSpaceDE/>
        <w:autoSpaceDN/>
        <w:bidi w:val="0"/>
        <w:adjustRightInd/>
        <w:snapToGrid w:val="0"/>
        <w:spacing w:line="576" w:lineRule="atLeast"/>
        <w:ind w:firstLine="440" w:firstLineChars="100"/>
        <w:jc w:val="both"/>
        <w:outlineLvl w:val="0"/>
        <w:rPr>
          <w:rFonts w:hint="eastAsia" w:ascii="黑体" w:hAnsi="黑体" w:eastAsia="黑体"/>
          <w:sz w:val="32"/>
          <w:szCs w:val="32"/>
        </w:rPr>
      </w:pPr>
      <w:bookmarkStart w:id="6" w:name="_Toc1839792005"/>
      <w:r>
        <w:rPr>
          <w:rFonts w:hint="eastAsia" w:ascii="黑体" w:hAnsi="黑体" w:eastAsia="黑体" w:cs="Times New Roman"/>
          <w:b w:val="0"/>
          <w:bCs/>
          <w:color w:val="auto"/>
          <w:kern w:val="44"/>
          <w:sz w:val="44"/>
          <w:szCs w:val="44"/>
          <w:highlight w:val="none"/>
        </w:rPr>
        <w:t xml:space="preserve">第二部分 </w:t>
      </w:r>
      <w:r>
        <w:rPr>
          <w:rFonts w:hint="eastAsia" w:ascii="黑体" w:hAnsi="黑体" w:eastAsia="黑体" w:cs="Times New Roman"/>
          <w:b w:val="0"/>
          <w:bCs/>
          <w:color w:val="auto"/>
          <w:kern w:val="44"/>
          <w:sz w:val="44"/>
          <w:szCs w:val="44"/>
          <w:highlight w:val="none"/>
          <w:lang w:val="en-US" w:eastAsia="zh-CN"/>
        </w:rPr>
        <w:t>2023年度</w:t>
      </w:r>
      <w:r>
        <w:rPr>
          <w:rStyle w:val="20"/>
          <w:rFonts w:hint="eastAsia" w:ascii="黑体" w:hAnsi="黑体" w:eastAsia="黑体" w:cs="Times New Roman"/>
          <w:b w:val="0"/>
          <w:bCs/>
          <w:color w:val="auto"/>
          <w:highlight w:val="none"/>
          <w:lang w:eastAsia="zh-CN"/>
        </w:rPr>
        <w:t>部门</w:t>
      </w:r>
      <w:r>
        <w:rPr>
          <w:rStyle w:val="20"/>
          <w:rFonts w:hint="eastAsia" w:ascii="黑体" w:hAnsi="黑体" w:eastAsia="黑体" w:cs="Times New Roman"/>
          <w:b w:val="0"/>
          <w:bCs/>
          <w:color w:val="auto"/>
          <w:highlight w:val="none"/>
        </w:rPr>
        <w:t>决算情况说明</w:t>
      </w:r>
      <w:bookmarkEnd w:id="6"/>
    </w:p>
    <w:bookmarkEnd w:id="5"/>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atLeast"/>
        <w:ind w:left="0" w:leftChars="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p>
    <w:p>
      <w:pPr>
        <w:pStyle w:val="22"/>
        <w:numPr>
          <w:ilvl w:val="0"/>
          <w:numId w:val="0"/>
        </w:numPr>
        <w:spacing w:line="600" w:lineRule="exact"/>
        <w:ind w:left="640" w:leftChars="0"/>
        <w:outlineLvl w:val="1"/>
        <w:rPr>
          <w:rFonts w:hint="eastAsia" w:ascii="仿宋_GB2312" w:hAnsi="仿宋_GB2312" w:eastAsia="仿宋_GB2312" w:cs="仿宋_GB2312"/>
          <w:color w:val="auto"/>
          <w:sz w:val="32"/>
          <w:szCs w:val="32"/>
          <w:highlight w:val="none"/>
          <w:lang w:val="en-US" w:eastAsia="zh-CN"/>
        </w:rPr>
      </w:pPr>
      <w:bookmarkStart w:id="7" w:name="_Toc2129722482"/>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7"/>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2023年度收、支总计均为</w:t>
      </w:r>
      <w:r>
        <w:rPr>
          <w:rFonts w:hint="eastAsia" w:ascii="仿宋_GB2312" w:hAnsi="Times New Roman" w:eastAsia="仿宋_GB2312" w:cs="Times New Roman"/>
          <w:color w:val="auto"/>
          <w:sz w:val="32"/>
          <w:szCs w:val="32"/>
          <w:highlight w:val="none"/>
          <w:lang w:val="en-US" w:eastAsia="zh-CN"/>
        </w:rPr>
        <w:t>528.67万元，与2022年相比，收、支总计各增加6.61万元，增长1.27%。主要变动原因是办公用房维修改造、退休干部职业年金做实和发放一次性“中人”补贴。</w:t>
      </w:r>
    </w:p>
    <w:p>
      <w:pPr>
        <w:pStyle w:val="15"/>
        <w:numPr>
          <w:ilvl w:val="0"/>
          <w:numId w:val="0"/>
        </w:numPr>
        <w:rPr>
          <w:rFonts w:hint="default" w:eastAsia="宋体"/>
          <w:lang w:val="en-US" w:eastAsia="zh-CN"/>
        </w:rPr>
      </w:pPr>
      <w:r>
        <w:rPr>
          <w:rFonts w:hint="eastAsia"/>
          <w:lang w:val="en-US" w:eastAsia="zh-CN"/>
        </w:rPr>
        <w:t xml:space="preserve">  </w:t>
      </w:r>
      <w:r>
        <w:rPr>
          <w:rFonts w:hint="default" w:eastAsia="宋体"/>
          <w:highlight w:val="none"/>
          <w:lang w:val="en-US" w:eastAsia="zh-CN"/>
        </w:rPr>
        <w:drawing>
          <wp:inline distT="0" distB="0" distL="114300" distR="114300">
            <wp:extent cx="4978400" cy="3378200"/>
            <wp:effectExtent l="4445" t="4445" r="8255" b="825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2"/>
        <w:numPr>
          <w:ilvl w:val="0"/>
          <w:numId w:val="0"/>
        </w:numPr>
        <w:spacing w:line="600" w:lineRule="exact"/>
        <w:ind w:left="640" w:leftChars="0" w:firstLine="320" w:firstLineChars="100"/>
        <w:outlineLvl w:val="1"/>
        <w:rPr>
          <w:rFonts w:hint="eastAsia" w:ascii="仿宋_GB2312" w:hAnsi="仿宋_GB2312" w:eastAsia="仿宋_GB2312" w:cs="仿宋_GB2312"/>
          <w:color w:val="auto"/>
          <w:sz w:val="32"/>
          <w:szCs w:val="32"/>
          <w:highlight w:val="none"/>
        </w:rPr>
      </w:pPr>
      <w:bookmarkStart w:id="8" w:name="_Toc661869142"/>
      <w:bookmarkStart w:id="9" w:name="_Toc2113448364"/>
      <w:bookmarkStart w:id="10" w:name="_Toc11024613"/>
      <w:r>
        <w:rPr>
          <w:rFonts w:hint="eastAsia" w:ascii="仿宋_GB2312" w:hAnsi="仿宋_GB2312" w:eastAsia="仿宋_GB2312" w:cs="仿宋_GB2312"/>
          <w:color w:val="auto"/>
          <w:sz w:val="32"/>
          <w:szCs w:val="32"/>
          <w:highlight w:val="none"/>
        </w:rPr>
        <w:t>（图1：收、支决算总计变动情况图）</w:t>
      </w:r>
      <w:bookmarkEnd w:id="8"/>
      <w:bookmarkEnd w:id="9"/>
      <w:bookmarkEnd w:id="10"/>
    </w:p>
    <w:p>
      <w:pPr>
        <w:pStyle w:val="22"/>
        <w:numPr>
          <w:ilvl w:val="0"/>
          <w:numId w:val="0"/>
        </w:numPr>
        <w:spacing w:line="600" w:lineRule="exact"/>
        <w:ind w:firstLine="640" w:firstLineChars="200"/>
        <w:outlineLvl w:val="1"/>
        <w:rPr>
          <w:rFonts w:hint="eastAsia" w:hAnsi="仿宋" w:eastAsia="仿宋_GB2312"/>
          <w:sz w:val="32"/>
          <w:szCs w:val="32"/>
          <w:lang w:val="en-US" w:eastAsia="zh-CN"/>
        </w:rPr>
      </w:pPr>
      <w:bookmarkStart w:id="11" w:name="_Toc1945077614"/>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1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2023年度本年收入合计</w:t>
      </w:r>
      <w:r>
        <w:rPr>
          <w:rFonts w:hint="eastAsia" w:ascii="仿宋_GB2312" w:hAnsi="Times New Roman" w:eastAsia="仿宋_GB2312" w:cs="Times New Roman"/>
          <w:color w:val="auto"/>
          <w:sz w:val="32"/>
          <w:szCs w:val="32"/>
          <w:highlight w:val="none"/>
          <w:lang w:val="en-US" w:eastAsia="zh-CN"/>
        </w:rPr>
        <w:t>5</w:t>
      </w:r>
      <w:r>
        <w:rPr>
          <w:rFonts w:hint="eastAsia" w:ascii="仿宋_GB2312" w:eastAsia="仿宋_GB2312" w:cs="Times New Roman"/>
          <w:color w:val="auto"/>
          <w:sz w:val="32"/>
          <w:szCs w:val="32"/>
          <w:highlight w:val="none"/>
          <w:lang w:val="en-US" w:eastAsia="zh-CN"/>
        </w:rPr>
        <w:t>19.2</w:t>
      </w:r>
      <w:r>
        <w:rPr>
          <w:rFonts w:hint="eastAsia" w:ascii="仿宋_GB2312" w:hAnsi="Times New Roman" w:eastAsia="仿宋_GB2312" w:cs="Times New Roman"/>
          <w:color w:val="auto"/>
          <w:sz w:val="32"/>
          <w:szCs w:val="32"/>
          <w:highlight w:val="none"/>
          <w:lang w:val="en-US" w:eastAsia="zh-CN"/>
        </w:rPr>
        <w:t>万元，其中，一般公共预算财政拨款518.63万元，</w:t>
      </w:r>
      <w:r>
        <w:rPr>
          <w:rFonts w:hint="eastAsia" w:ascii="仿宋_GB2312" w:hAnsi="Times New Roman" w:eastAsia="仿宋_GB2312" w:cs="Times New Roman"/>
          <w:color w:val="auto"/>
          <w:sz w:val="32"/>
          <w:szCs w:val="32"/>
          <w:highlight w:val="none"/>
          <w:lang w:eastAsia="zh-CN"/>
        </w:rPr>
        <w:t>占</w:t>
      </w:r>
      <w:r>
        <w:rPr>
          <w:rFonts w:hint="eastAsia" w:ascii="仿宋_GB2312" w:hAnsi="Times New Roman" w:eastAsia="仿宋_GB2312" w:cs="Times New Roman"/>
          <w:color w:val="auto"/>
          <w:sz w:val="32"/>
          <w:szCs w:val="32"/>
          <w:highlight w:val="none"/>
          <w:lang w:val="en-US" w:eastAsia="zh-CN"/>
        </w:rPr>
        <w:t>9</w:t>
      </w:r>
      <w:r>
        <w:rPr>
          <w:rFonts w:hint="eastAsia" w:ascii="仿宋_GB2312" w:eastAsia="仿宋_GB2312" w:cs="Times New Roman"/>
          <w:color w:val="auto"/>
          <w:sz w:val="32"/>
          <w:szCs w:val="32"/>
          <w:highlight w:val="none"/>
          <w:lang w:val="en-US" w:eastAsia="zh-CN"/>
        </w:rPr>
        <w:t>9.89</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US" w:eastAsia="zh-CN"/>
        </w:rPr>
        <w:t>其他收入0.57万元，</w:t>
      </w:r>
      <w:r>
        <w:rPr>
          <w:rFonts w:hint="eastAsia" w:ascii="仿宋_GB2312" w:hAnsi="Times New Roman" w:eastAsia="仿宋_GB2312" w:cs="Times New Roman"/>
          <w:color w:val="auto"/>
          <w:sz w:val="32"/>
          <w:szCs w:val="32"/>
          <w:highlight w:val="none"/>
          <w:lang w:eastAsia="zh-CN"/>
        </w:rPr>
        <w:t>占</w:t>
      </w:r>
      <w:r>
        <w:rPr>
          <w:rFonts w:hint="eastAsia" w:ascii="仿宋_GB2312" w:hAnsi="Times New Roman" w:eastAsia="仿宋_GB2312" w:cs="Times New Roman"/>
          <w:color w:val="auto"/>
          <w:sz w:val="32"/>
          <w:szCs w:val="32"/>
          <w:highlight w:val="none"/>
          <w:lang w:val="en-US" w:eastAsia="zh-CN"/>
        </w:rPr>
        <w:t>0.11%</w:t>
      </w:r>
      <w:r>
        <w:rPr>
          <w:rFonts w:hint="eastAsia" w:ascii="仿宋_GB2312" w:hAnsi="Times New Roman" w:eastAsia="仿宋_GB2312" w:cs="Times New Roman"/>
          <w:color w:val="0000FF"/>
          <w:sz w:val="32"/>
          <w:szCs w:val="32"/>
          <w:highlight w:val="none"/>
          <w:lang w:val="en-US" w:eastAsia="zh-CN"/>
        </w:rPr>
        <w:t>。</w:t>
      </w:r>
    </w:p>
    <w:p>
      <w:pPr>
        <w:rPr>
          <w:rFonts w:hint="default"/>
          <w:lang w:val="en-US" w:eastAsia="zh-CN"/>
        </w:rPr>
      </w:pPr>
      <w:r>
        <w:rPr>
          <w:rFonts w:hint="default"/>
          <w:lang w:val="en-US" w:eastAsia="zh-CN"/>
        </w:rPr>
        <w:drawing>
          <wp:inline distT="0" distB="0" distL="114300" distR="114300">
            <wp:extent cx="4874895" cy="2946400"/>
            <wp:effectExtent l="4445" t="4445" r="16510" b="209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spacing w:before="0" w:beforeAutospacing="0" w:after="0" w:afterAutospacing="0"/>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
        <w:spacing w:before="0" w:beforeAutospacing="0" w:after="0" w:afterAutospacing="0"/>
        <w:ind w:firstLine="640" w:firstLineChars="200"/>
        <w:jc w:val="both"/>
        <w:outlineLvl w:val="1"/>
        <w:rPr>
          <w:rFonts w:hint="default"/>
          <w:lang w:val="en-US" w:eastAsia="zh-CN"/>
        </w:rPr>
      </w:pPr>
      <w:bookmarkStart w:id="12" w:name="_Toc841274770"/>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12"/>
    </w:p>
    <w:p>
      <w:pPr>
        <w:pStyle w:val="15"/>
        <w:keepNext w:val="0"/>
        <w:keepLines w:val="0"/>
        <w:pageBreakBefore w:val="0"/>
        <w:kinsoku/>
        <w:wordWrap/>
        <w:overflowPunct/>
        <w:topLinePunct w:val="0"/>
        <w:autoSpaceDE/>
        <w:autoSpaceDN/>
        <w:bidi w:val="0"/>
        <w:adjustRightInd/>
        <w:snapToGrid/>
        <w:spacing w:after="0" w:line="576" w:lineRule="exact"/>
        <w:ind w:left="0" w:leftChars="0" w:firstLine="640" w:firstLineChars="200"/>
        <w:textAlignment w:val="auto"/>
        <w:rPr>
          <w:rFonts w:hint="eastAsia" w:hAnsi="仿宋" w:eastAsia="仿宋_GB2312"/>
          <w:sz w:val="32"/>
          <w:szCs w:val="32"/>
          <w:lang w:val="en-US" w:eastAsia="zh-CN"/>
        </w:rPr>
      </w:pPr>
      <w:r>
        <w:rPr>
          <w:rFonts w:hint="eastAsia" w:hAnsi="仿宋" w:eastAsia="仿宋_GB2312"/>
          <w:sz w:val="32"/>
          <w:szCs w:val="32"/>
          <w:lang w:val="en-US" w:eastAsia="zh-CN"/>
        </w:rPr>
        <w:t>2023年度</w:t>
      </w:r>
      <w:r>
        <w:rPr>
          <w:rFonts w:hint="eastAsia" w:ascii="仿宋" w:hAnsi="仿宋" w:eastAsia="仿宋"/>
          <w:color w:val="auto"/>
          <w:sz w:val="32"/>
          <w:szCs w:val="32"/>
          <w:highlight w:val="none"/>
        </w:rPr>
        <w:t>本年</w:t>
      </w:r>
      <w:r>
        <w:rPr>
          <w:rFonts w:hint="eastAsia" w:hAnsi="仿宋" w:eastAsia="仿宋_GB2312"/>
          <w:sz w:val="32"/>
          <w:szCs w:val="32"/>
          <w:lang w:val="en-US" w:eastAsia="zh-CN"/>
        </w:rPr>
        <w:t>支出合</w:t>
      </w:r>
      <w:r>
        <w:rPr>
          <w:rFonts w:hint="eastAsia" w:hAnsi="仿宋" w:eastAsia="仿宋_GB2312"/>
          <w:color w:val="auto"/>
          <w:sz w:val="32"/>
          <w:szCs w:val="32"/>
          <w:lang w:val="en-US" w:eastAsia="zh-CN"/>
        </w:rPr>
        <w:t>计528.2万元</w:t>
      </w:r>
      <w:r>
        <w:rPr>
          <w:rFonts w:hint="eastAsia" w:hAnsi="仿宋" w:eastAsia="仿宋_GB2312"/>
          <w:sz w:val="32"/>
          <w:szCs w:val="32"/>
          <w:lang w:val="en-US" w:eastAsia="zh-CN"/>
        </w:rPr>
        <w:t>，其中，基本支出443.53万元，占83.97%；项目支出84.66万元，16.03%</w:t>
      </w:r>
      <w:r>
        <w:rPr>
          <w:rFonts w:hint="eastAsia" w:hAnsi="仿宋" w:eastAsia="仿宋_GB2312"/>
          <w:color w:val="0070C0"/>
          <w:sz w:val="32"/>
          <w:szCs w:val="32"/>
          <w:lang w:val="en-US" w:eastAsia="zh-CN"/>
        </w:rPr>
        <w:t>。</w:t>
      </w:r>
    </w:p>
    <w:p>
      <w:pPr>
        <w:rPr>
          <w:rFonts w:hint="default"/>
          <w:lang w:val="en-US" w:eastAsia="zh-CN"/>
        </w:rPr>
      </w:pPr>
      <w:r>
        <w:rPr>
          <w:rFonts w:hint="default"/>
          <w:lang w:val="en-US" w:eastAsia="zh-CN"/>
        </w:rPr>
        <w:drawing>
          <wp:inline distT="0" distB="0" distL="114300" distR="114300">
            <wp:extent cx="4838700" cy="2293620"/>
            <wp:effectExtent l="5080" t="4445" r="13970" b="698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outlineLvl w:val="1"/>
        <w:rPr>
          <w:rStyle w:val="21"/>
          <w:rFonts w:hint="eastAsia" w:ascii="黑体" w:hAnsi="黑体" w:eastAsia="黑体"/>
          <w:b w:val="0"/>
          <w:color w:val="auto"/>
          <w:highlight w:val="none"/>
        </w:rPr>
      </w:pPr>
      <w:bookmarkStart w:id="13" w:name="_Toc731960567"/>
      <w:r>
        <w:rPr>
          <w:rFonts w:hint="eastAsia" w:ascii="黑体" w:hAnsi="黑体" w:eastAsia="黑体"/>
          <w:color w:val="auto"/>
          <w:sz w:val="32"/>
          <w:szCs w:val="32"/>
          <w:highlight w:val="none"/>
          <w:lang w:eastAsia="zh-CN"/>
        </w:rPr>
        <w:t>四、</w:t>
      </w:r>
      <w:r>
        <w:rPr>
          <w:rFonts w:hint="eastAsia" w:ascii="黑体" w:hAnsi="黑体" w:eastAsia="黑体"/>
          <w:color w:val="auto"/>
          <w:sz w:val="32"/>
          <w:szCs w:val="32"/>
          <w:highlight w:val="none"/>
        </w:rPr>
        <w:t>财</w:t>
      </w:r>
      <w:r>
        <w:rPr>
          <w:rStyle w:val="21"/>
          <w:rFonts w:hint="eastAsia" w:ascii="黑体" w:hAnsi="黑体" w:eastAsia="黑体"/>
          <w:b w:val="0"/>
          <w:color w:val="auto"/>
          <w:highlight w:val="none"/>
        </w:rPr>
        <w:t>政拨款收入支出决算总体情况说明</w:t>
      </w:r>
      <w:bookmarkEnd w:id="13"/>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2023年度财政拨款收、支总计均为</w:t>
      </w:r>
      <w:r>
        <w:rPr>
          <w:rFonts w:hint="eastAsia" w:ascii="仿宋_GB2312" w:hAnsi="Times New Roman" w:eastAsia="仿宋_GB2312" w:cs="Times New Roman"/>
          <w:color w:val="auto"/>
          <w:sz w:val="32"/>
          <w:szCs w:val="32"/>
          <w:highlight w:val="none"/>
          <w:lang w:val="en-US" w:eastAsia="zh-CN"/>
        </w:rPr>
        <w:t>518.63万元，与2022年相比，收、支总计各增加18.51万元，增长3.7%。主要变动原因是办公用房维修改造、退休干部职业年金做实和发放一次性“中人”补贴。</w:t>
      </w:r>
    </w:p>
    <w:p>
      <w:pPr>
        <w:rPr>
          <w:rFonts w:hint="default" w:eastAsia="宋体"/>
          <w:lang w:val="en-US" w:eastAsia="zh-CN"/>
        </w:rPr>
      </w:pPr>
      <w:r>
        <w:rPr>
          <w:rFonts w:hint="default" w:eastAsia="宋体"/>
          <w:lang w:val="en-US" w:eastAsia="zh-CN"/>
        </w:rPr>
        <w:drawing>
          <wp:inline distT="0" distB="0" distL="114300" distR="114300">
            <wp:extent cx="5006975" cy="3465830"/>
            <wp:effectExtent l="4445" t="4445" r="17780" b="1587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jc w:val="center"/>
        <w:rPr>
          <w:rFonts w:hint="eastAsia"/>
        </w:rPr>
      </w:pPr>
      <w:r>
        <w:rPr>
          <w:rFonts w:hint="eastAsia" w:ascii="仿宋_GB2312" w:hAnsi="仿宋_GB2312" w:eastAsia="仿宋_GB2312" w:cs="仿宋_GB2312"/>
          <w:color w:val="auto"/>
          <w:sz w:val="32"/>
          <w:szCs w:val="32"/>
          <w:highlight w:val="none"/>
        </w:rPr>
        <w:t>（图4：财政拨款收、支决算总计变动情况）</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2" w:firstLineChars="200"/>
        <w:textAlignment w:val="auto"/>
        <w:outlineLvl w:val="1"/>
        <w:rPr>
          <w:rStyle w:val="21"/>
          <w:rFonts w:hint="eastAsia" w:ascii="黑体" w:hAnsi="黑体" w:eastAsia="黑体"/>
          <w:b w:val="0"/>
          <w:color w:val="auto"/>
          <w:highlight w:val="none"/>
        </w:rPr>
      </w:pPr>
      <w:bookmarkStart w:id="14" w:name="_Toc2093228139"/>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outlineLvl w:val="2"/>
        <w:rPr>
          <w:rFonts w:hint="eastAsia"/>
        </w:rPr>
      </w:pPr>
      <w:r>
        <w:rPr>
          <w:rFonts w:hint="eastAsia" w:ascii="仿宋_GB2312" w:hAnsi="仿宋_GB2312" w:eastAsia="仿宋_GB2312" w:cs="仿宋_GB2312"/>
          <w:b/>
          <w:color w:val="auto"/>
          <w:sz w:val="32"/>
          <w:szCs w:val="32"/>
          <w:highlight w:val="none"/>
        </w:rPr>
        <w:t>（一）一般公共预算财政拨款支出决算总体情况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2023年度一般公共预算财政拨款支出</w:t>
      </w:r>
      <w:r>
        <w:rPr>
          <w:rFonts w:hint="eastAsia" w:ascii="仿宋_GB2312" w:hAnsi="Times New Roman" w:eastAsia="仿宋_GB2312" w:cs="Times New Roman"/>
          <w:color w:val="auto"/>
          <w:sz w:val="32"/>
          <w:szCs w:val="32"/>
          <w:highlight w:val="none"/>
          <w:lang w:val="en-US" w:eastAsia="zh-CN"/>
        </w:rPr>
        <w:t>518.63万元，</w:t>
      </w:r>
      <w:r>
        <w:rPr>
          <w:rFonts w:hint="eastAsia" w:ascii="仿宋_GB2312" w:hAnsi="Times New Roman" w:eastAsia="仿宋_GB2312" w:cs="Times New Roman"/>
          <w:color w:val="auto"/>
          <w:sz w:val="32"/>
          <w:szCs w:val="32"/>
          <w:highlight w:val="none"/>
          <w:lang w:eastAsia="zh-CN"/>
        </w:rPr>
        <w:t>占本年支出合计的</w:t>
      </w:r>
      <w:r>
        <w:rPr>
          <w:rFonts w:hint="eastAsia" w:ascii="仿宋_GB2312" w:hAnsi="Times New Roman" w:eastAsia="仿宋_GB2312" w:cs="Times New Roman"/>
          <w:color w:val="auto"/>
          <w:sz w:val="32"/>
          <w:szCs w:val="32"/>
          <w:highlight w:val="none"/>
          <w:lang w:val="en-US" w:eastAsia="zh-CN"/>
        </w:rPr>
        <w:t>98.1</w:t>
      </w:r>
      <w:r>
        <w:rPr>
          <w:rFonts w:hint="eastAsia" w:ascii="仿宋_GB2312" w:hAnsi="Times New Roman" w:eastAsia="仿宋_GB2312" w:cs="Times New Roman"/>
          <w:color w:val="auto"/>
          <w:sz w:val="32"/>
          <w:szCs w:val="32"/>
          <w:highlight w:val="none"/>
          <w:lang w:eastAsia="zh-CN"/>
        </w:rPr>
        <w:t>%。与2022年度相比</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一般公共预算财政拨款支出</w:t>
      </w:r>
      <w:r>
        <w:rPr>
          <w:rFonts w:hint="eastAsia" w:ascii="仿宋_GB2312" w:hAnsi="Times New Roman" w:eastAsia="仿宋_GB2312" w:cs="Times New Roman"/>
          <w:color w:val="auto"/>
          <w:sz w:val="32"/>
          <w:szCs w:val="32"/>
          <w:highlight w:val="none"/>
          <w:lang w:val="en-US" w:eastAsia="zh-CN"/>
        </w:rPr>
        <w:t>增加3.7%，主要变动原因是办公用房维修改造、退休干部职业年金做实和发放一次性“中人”补贴。</w:t>
      </w:r>
    </w:p>
    <w:p>
      <w:pPr>
        <w:rPr>
          <w:rFonts w:hint="default"/>
          <w:lang w:val="en-US" w:eastAsia="zh-CN"/>
        </w:rPr>
      </w:pPr>
      <w:r>
        <w:rPr>
          <w:rFonts w:hint="default"/>
          <w:lang w:val="en-US" w:eastAsia="zh-CN"/>
        </w:rPr>
        <w:drawing>
          <wp:inline distT="0" distB="0" distL="114300" distR="114300">
            <wp:extent cx="5086985" cy="2974975"/>
            <wp:effectExtent l="4445" t="4445" r="13970" b="1143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
        <w:spacing w:before="0" w:beforeAutospacing="0" w:after="0" w:afterAutospacing="0"/>
        <w:jc w:val="center"/>
        <w:rPr>
          <w:rFonts w:hint="default"/>
          <w:lang w:val="en-US" w:eastAsia="zh-CN"/>
        </w:rPr>
      </w:pPr>
      <w:r>
        <w:rPr>
          <w:rFonts w:hint="eastAsia" w:ascii="仿宋_GB2312" w:hAnsi="仿宋_GB2312" w:eastAsia="仿宋_GB2312" w:cs="仿宋_GB2312"/>
          <w:color w:val="auto"/>
          <w:sz w:val="32"/>
          <w:szCs w:val="32"/>
          <w:highlight w:val="none"/>
        </w:rPr>
        <w:t>（图5：一般公共预算财政拨款支出决算变动情况）</w:t>
      </w:r>
    </w:p>
    <w:p>
      <w:pPr>
        <w:keepNext w:val="0"/>
        <w:keepLines w:val="0"/>
        <w:pageBreakBefore w:val="0"/>
        <w:widowControl w:val="0"/>
        <w:numPr>
          <w:ilvl w:val="0"/>
          <w:numId w:val="2"/>
        </w:numPr>
        <w:kinsoku/>
        <w:wordWrap/>
        <w:overflowPunct/>
        <w:topLinePunct w:val="0"/>
        <w:autoSpaceDE/>
        <w:autoSpaceDN/>
        <w:bidi w:val="0"/>
        <w:adjustRightInd/>
        <w:snapToGrid w:val="0"/>
        <w:spacing w:line="576" w:lineRule="exact"/>
        <w:ind w:left="0" w:leftChars="0" w:firstLine="642"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b/>
          <w:color w:val="auto"/>
          <w:sz w:val="32"/>
          <w:szCs w:val="32"/>
          <w:highlight w:val="none"/>
        </w:rPr>
        <w:t>一般公共预算财政拨款支出决算结构情况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2023年度一般公共预算财政拨款支出518.63万元，主要用于以下方面</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一般公共服务支出359.93万元，占69.4%；社会保障和就业支出112.06万元，占21.61%；卫生健康支出13.14万元，占2.53%；住房保障支出33.5万元，占6.46%。</w:t>
      </w:r>
    </w:p>
    <w:p>
      <w:pPr>
        <w:keepNext w:val="0"/>
        <w:keepLines w:val="0"/>
        <w:pageBreakBefore w:val="0"/>
        <w:widowControl w:val="0"/>
        <w:numPr>
          <w:ilvl w:val="0"/>
          <w:numId w:val="0"/>
        </w:numPr>
        <w:kinsoku/>
        <w:wordWrap/>
        <w:overflowPunct/>
        <w:topLinePunct w:val="0"/>
        <w:autoSpaceDE/>
        <w:autoSpaceDN/>
        <w:bidi w:val="0"/>
        <w:adjustRightInd/>
        <w:snapToGrid w:val="0"/>
        <w:spacing w:line="20" w:lineRule="exact"/>
        <w:ind w:firstLine="640" w:firstLineChars="200"/>
        <w:textAlignment w:val="auto"/>
        <w:rPr>
          <w:rFonts w:hint="eastAsia" w:ascii="仿宋" w:hAnsi="仿宋" w:eastAsia="仿宋"/>
          <w:color w:val="auto"/>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0" w:lineRule="exact"/>
        <w:ind w:firstLine="0" w:firstLineChars="0"/>
        <w:textAlignment w:val="auto"/>
        <w:rPr>
          <w:rFonts w:hint="eastAsia" w:ascii="仿宋" w:hAnsi="仿宋" w:eastAsia="仿宋"/>
          <w:color w:val="auto"/>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0" w:lineRule="exact"/>
        <w:ind w:firstLine="640" w:firstLineChars="200"/>
        <w:textAlignment w:val="auto"/>
        <w:rPr>
          <w:rFonts w:hint="eastAsia" w:ascii="仿宋" w:hAnsi="仿宋" w:eastAsia="仿宋"/>
          <w:color w:val="auto"/>
          <w:sz w:val="32"/>
          <w:szCs w:val="32"/>
          <w:highlight w:val="none"/>
          <w:lang w:eastAsia="zh-CN"/>
        </w:rPr>
      </w:pPr>
    </w:p>
    <w:p>
      <w:pPr>
        <w:pStyle w:val="2"/>
        <w:widowControl/>
        <w:numPr>
          <w:ilvl w:val="0"/>
          <w:numId w:val="0"/>
        </w:numPr>
        <w:spacing w:before="100" w:beforeAutospacing="1" w:after="100" w:afterAutospacing="1"/>
        <w:jc w:val="left"/>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166995" cy="2330450"/>
            <wp:effectExtent l="4445" t="4445" r="10160" b="825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
        <w:widowControl/>
        <w:numPr>
          <w:ilvl w:val="0"/>
          <w:numId w:val="0"/>
        </w:numPr>
        <w:spacing w:before="100" w:beforeAutospacing="1" w:after="100" w:afterAutospacing="1"/>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eastAsia="zh-CN"/>
        </w:rPr>
        <w:t>（三）</w:t>
      </w:r>
      <w:r>
        <w:rPr>
          <w:rFonts w:hint="eastAsia" w:ascii="仿宋_GB2312" w:hAnsi="仿宋_GB2312" w:eastAsia="仿宋_GB2312" w:cs="仿宋_GB2312"/>
          <w:b/>
          <w:color w:val="auto"/>
          <w:sz w:val="32"/>
          <w:szCs w:val="32"/>
          <w:highlight w:val="none"/>
        </w:rPr>
        <w:t>一般公共预算财政拨款支出决算具体情况</w:t>
      </w:r>
    </w:p>
    <w:bookmarkEnd w:id="1"/>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2023年度一般公共预算支出决算数为</w:t>
      </w:r>
      <w:r>
        <w:rPr>
          <w:rFonts w:hint="eastAsia" w:ascii="仿宋_GB2312" w:hAnsi="Times New Roman" w:eastAsia="仿宋_GB2312" w:cs="Times New Roman"/>
          <w:color w:val="auto"/>
          <w:sz w:val="32"/>
          <w:szCs w:val="32"/>
          <w:highlight w:val="none"/>
          <w:lang w:val="en-US" w:eastAsia="zh-CN"/>
        </w:rPr>
        <w:t>518.63</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%。其中：</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一般公共服务（类）政府办公厅（室）及相关机构事务（款）行政运行（项）</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支出决算为</w:t>
      </w:r>
      <w:r>
        <w:rPr>
          <w:rFonts w:hint="eastAsia" w:ascii="仿宋_GB2312" w:hAnsi="Times New Roman" w:eastAsia="仿宋_GB2312" w:cs="Times New Roman"/>
          <w:color w:val="auto"/>
          <w:sz w:val="32"/>
          <w:szCs w:val="32"/>
          <w:highlight w:val="none"/>
          <w:lang w:val="en-US" w:eastAsia="zh-CN"/>
        </w:rPr>
        <w:t>284.43</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一般公共服务（类）政府办公厅（室）及相关机构事务（款）一般行政管理事务（项）</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支出决算为</w:t>
      </w:r>
      <w:r>
        <w:rPr>
          <w:rFonts w:hint="eastAsia" w:ascii="仿宋_GB2312" w:hAnsi="Times New Roman" w:eastAsia="仿宋_GB2312" w:cs="Times New Roman"/>
          <w:color w:val="auto"/>
          <w:sz w:val="32"/>
          <w:szCs w:val="32"/>
          <w:highlight w:val="none"/>
          <w:lang w:val="en-US" w:eastAsia="zh-CN"/>
        </w:rPr>
        <w:t>75.5</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社会保障和就业（类）行政事业单位养老支出（款）行政单位离退休（项）：支出决算数为67.35万元，完成预算100%。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社会保障和就业（类）行政事业单位养老支出（款）机关事业单位基本养老保险缴费支出（项）：支出决算数为36.56万元，完成预算100%。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社会保障和就业（类）行政事业单位养老支出（款）机关事业单位职业年金缴费支出（项）：支出决算数为7.76万元，完成预算100%。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社会保障和就业（类）其他社会保障和就业支出（款）其他社会保障和就业支出（项）：支出决算数为0.4万元，完成预算100%。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卫生健康（类）行政事业单位医疗（款）行政单位医疗（项）</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支出决算数13.14万元，完成预算100%。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住房保障支出（类）住房改革支出（款）住房公积金（项）：支出决算数为33.50万元，完成预算100%。</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ind w:firstLine="640" w:firstLineChars="200"/>
        <w:textAlignment w:val="auto"/>
        <w:outlineLvl w:val="1"/>
        <w:rPr>
          <w:rStyle w:val="21"/>
          <w:rFonts w:hint="eastAsia" w:ascii="黑体" w:hAnsi="黑体" w:eastAsia="黑体"/>
          <w:b w:val="0"/>
          <w:color w:val="auto"/>
          <w:highlight w:val="none"/>
        </w:rPr>
      </w:pPr>
      <w:bookmarkStart w:id="15" w:name="_Toc710782743"/>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15"/>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年一般公共预算财政拨款基本支出</w:t>
      </w:r>
      <w:r>
        <w:rPr>
          <w:rFonts w:hint="eastAsia" w:ascii="仿宋_GB2312" w:hAnsi="Times New Roman" w:eastAsia="仿宋_GB2312" w:cs="Times New Roman"/>
          <w:color w:val="auto"/>
          <w:sz w:val="32"/>
          <w:szCs w:val="32"/>
          <w:highlight w:val="none"/>
          <w:lang w:val="en-US" w:eastAsia="zh-CN"/>
        </w:rPr>
        <w:t>443.13</w:t>
      </w:r>
      <w:r>
        <w:rPr>
          <w:rFonts w:hint="eastAsia" w:ascii="仿宋_GB2312" w:hAnsi="Times New Roman" w:eastAsia="仿宋_GB2312" w:cs="Times New Roman"/>
          <w:color w:val="auto"/>
          <w:sz w:val="32"/>
          <w:szCs w:val="32"/>
          <w:highlight w:val="none"/>
          <w:lang w:eastAsia="zh-CN"/>
        </w:rPr>
        <w:t>万元，其中：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人员经费</w:t>
      </w:r>
      <w:r>
        <w:rPr>
          <w:rFonts w:hint="eastAsia" w:ascii="仿宋_GB2312" w:hAnsi="Times New Roman" w:eastAsia="仿宋_GB2312" w:cs="Times New Roman"/>
          <w:color w:val="auto"/>
          <w:sz w:val="32"/>
          <w:szCs w:val="32"/>
          <w:highlight w:val="none"/>
          <w:lang w:val="en-US" w:eastAsia="zh-CN"/>
        </w:rPr>
        <w:t>384.82</w:t>
      </w:r>
      <w:r>
        <w:rPr>
          <w:rFonts w:hint="eastAsia" w:ascii="仿宋_GB2312" w:hAnsi="Times New Roman" w:eastAsia="仿宋_GB2312" w:cs="Times New Roman"/>
          <w:color w:val="auto"/>
          <w:sz w:val="32"/>
          <w:szCs w:val="32"/>
          <w:highlight w:val="none"/>
          <w:lang w:eastAsia="zh-CN"/>
        </w:rPr>
        <w:t>万元，主要包括：基本工资、津贴补贴、奖金、机关事业单位基本养老保险缴费、职业年金缴费、职工基本医疗保险缴费、其他社会保障缴费</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住房公积金</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生活补助、奖励金。</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公用经费</w:t>
      </w:r>
      <w:r>
        <w:rPr>
          <w:rFonts w:hint="eastAsia" w:ascii="仿宋_GB2312" w:hAnsi="Times New Roman" w:eastAsia="仿宋_GB2312" w:cs="Times New Roman"/>
          <w:color w:val="auto"/>
          <w:sz w:val="32"/>
          <w:szCs w:val="32"/>
          <w:highlight w:val="none"/>
          <w:lang w:val="en-US" w:eastAsia="zh-CN"/>
        </w:rPr>
        <w:t>58.31</w:t>
      </w:r>
      <w:r>
        <w:rPr>
          <w:rFonts w:hint="eastAsia" w:ascii="仿宋_GB2312" w:hAnsi="Times New Roman" w:eastAsia="仿宋_GB2312" w:cs="Times New Roman"/>
          <w:color w:val="auto"/>
          <w:sz w:val="32"/>
          <w:szCs w:val="32"/>
          <w:highlight w:val="none"/>
          <w:lang w:eastAsia="zh-CN"/>
        </w:rPr>
        <w:t>万元，主要包括：办公费、印刷费、水费、电费、邮电费、物业管理费</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差旅费、会议费、培训费、公务接待费、工会经费、福利费、其他交通费</w:t>
      </w:r>
      <w:r>
        <w:rPr>
          <w:rFonts w:hint="eastAsia" w:ascii="仿宋_GB2312" w:eastAsia="仿宋_GB2312" w:cs="Times New Roman"/>
          <w:color w:val="auto"/>
          <w:sz w:val="32"/>
          <w:szCs w:val="32"/>
          <w:highlight w:val="none"/>
          <w:lang w:val="en-US" w:eastAsia="zh-CN"/>
        </w:rPr>
        <w:t>用</w:t>
      </w:r>
      <w:r>
        <w:rPr>
          <w:rFonts w:hint="eastAsia" w:ascii="仿宋_GB2312" w:hAnsi="Times New Roman" w:eastAsia="仿宋_GB2312" w:cs="Times New Roman"/>
          <w:color w:val="auto"/>
          <w:sz w:val="32"/>
          <w:szCs w:val="32"/>
          <w:highlight w:val="none"/>
          <w:lang w:eastAsia="zh-CN"/>
        </w:rPr>
        <w:t>、其他商品和服务支出。</w:t>
      </w:r>
    </w:p>
    <w:p>
      <w:pPr>
        <w:spacing w:line="600" w:lineRule="exact"/>
        <w:ind w:firstLine="640"/>
        <w:outlineLvl w:val="1"/>
        <w:rPr>
          <w:rStyle w:val="21"/>
          <w:rFonts w:ascii="黑体" w:hAnsi="黑体" w:eastAsia="黑体"/>
          <w:b w:val="0"/>
          <w:color w:val="auto"/>
          <w:highlight w:val="none"/>
        </w:rPr>
      </w:pPr>
      <w:bookmarkStart w:id="16" w:name="_Toc15377215"/>
      <w:bookmarkStart w:id="17" w:name="_Toc15396609"/>
      <w:bookmarkStart w:id="18" w:name="_Toc921647354"/>
      <w:bookmarkStart w:id="19" w:name="_Toc2141511914"/>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16"/>
      <w:bookmarkEnd w:id="17"/>
      <w:bookmarkEnd w:id="18"/>
      <w:bookmarkEnd w:id="19"/>
    </w:p>
    <w:p>
      <w:pPr>
        <w:spacing w:line="600" w:lineRule="exact"/>
        <w:ind w:firstLine="640"/>
        <w:outlineLvl w:val="2"/>
        <w:rPr>
          <w:rFonts w:ascii="仿宋" w:hAnsi="仿宋" w:eastAsia="仿宋"/>
          <w:b/>
          <w:color w:val="auto"/>
          <w:sz w:val="32"/>
          <w:szCs w:val="32"/>
          <w:highlight w:val="none"/>
        </w:rPr>
      </w:pPr>
      <w:bookmarkStart w:id="20" w:name="_Toc1701425673"/>
      <w:bookmarkStart w:id="21" w:name="_Toc15377216"/>
      <w:r>
        <w:rPr>
          <w:rFonts w:hint="eastAsia" w:ascii="仿宋" w:hAnsi="仿宋" w:eastAsia="仿宋"/>
          <w:b/>
          <w:color w:val="auto"/>
          <w:sz w:val="32"/>
          <w:szCs w:val="32"/>
          <w:highlight w:val="none"/>
        </w:rPr>
        <w:t>（一）“三公”经费财政拨款支出决算总体情况说明</w:t>
      </w:r>
      <w:bookmarkEnd w:id="20"/>
      <w:bookmarkEnd w:id="2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年“三公”经费财政拨款支出决算为</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%，公务接待费支出决算较20</w:t>
      </w:r>
      <w:r>
        <w:rPr>
          <w:rFonts w:hint="eastAsia" w:ascii="仿宋_GB2312" w:hAnsi="Times New Roman" w:eastAsia="仿宋_GB2312" w:cs="Times New Roman"/>
          <w:color w:val="auto"/>
          <w:sz w:val="32"/>
          <w:szCs w:val="32"/>
          <w:highlight w:val="none"/>
          <w:lang w:val="en-US" w:eastAsia="zh-CN"/>
        </w:rPr>
        <w:t>22</w:t>
      </w:r>
      <w:r>
        <w:rPr>
          <w:rFonts w:hint="eastAsia" w:ascii="仿宋_GB2312" w:hAnsi="Times New Roman" w:eastAsia="仿宋_GB2312" w:cs="Times New Roman"/>
          <w:color w:val="auto"/>
          <w:sz w:val="32"/>
          <w:szCs w:val="32"/>
          <w:highlight w:val="none"/>
          <w:lang w:eastAsia="zh-CN"/>
        </w:rPr>
        <w:t>年无变化</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预算数与决算数持平</w:t>
      </w:r>
      <w:r>
        <w:rPr>
          <w:rFonts w:hint="eastAsia" w:ascii="仿宋_GB2312" w:hAnsi="Times New Roman" w:eastAsia="仿宋_GB2312" w:cs="Times New Roman"/>
          <w:color w:val="auto"/>
          <w:sz w:val="32"/>
          <w:szCs w:val="32"/>
          <w:highlight w:val="none"/>
          <w:lang w:val="en-US" w:eastAsia="zh-CN"/>
        </w:rPr>
        <w:t>。</w:t>
      </w:r>
    </w:p>
    <w:p>
      <w:pPr>
        <w:spacing w:line="600" w:lineRule="exact"/>
        <w:ind w:firstLine="640"/>
        <w:outlineLvl w:val="2"/>
        <w:rPr>
          <w:rFonts w:ascii="仿宋" w:hAnsi="仿宋" w:eastAsia="仿宋"/>
          <w:b/>
          <w:color w:val="auto"/>
          <w:sz w:val="32"/>
          <w:szCs w:val="32"/>
          <w:highlight w:val="none"/>
        </w:rPr>
      </w:pPr>
      <w:bookmarkStart w:id="22" w:name="_Toc15377217"/>
      <w:bookmarkStart w:id="23" w:name="_Toc1055873064"/>
      <w:r>
        <w:rPr>
          <w:rFonts w:hint="eastAsia" w:ascii="仿宋" w:hAnsi="仿宋" w:eastAsia="仿宋"/>
          <w:b/>
          <w:color w:val="auto"/>
          <w:sz w:val="32"/>
          <w:szCs w:val="32"/>
          <w:highlight w:val="none"/>
        </w:rPr>
        <w:t>（二）“三公”经费财政拨款支出决算具体情况说明</w:t>
      </w:r>
      <w:bookmarkEnd w:id="22"/>
      <w:bookmarkEnd w:id="23"/>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年“三公”经费财政拨款支出决算中，因公出国（境）费支出决算</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万元；公务用车购置及运行维护费支出决算</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万元；公务接待费支出决算</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万元，占</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%。具体情况如下：</w:t>
      </w:r>
    </w:p>
    <w:p>
      <w:pPr>
        <w:pStyle w:val="2"/>
        <w:rPr>
          <w:rFonts w:hint="eastAsia" w:eastAsia="仿宋_GB2312"/>
          <w:lang w:val="en-US" w:eastAsia="zh-CN"/>
        </w:rPr>
      </w:pPr>
      <w:r>
        <w:rPr>
          <w:rFonts w:hint="eastAsia" w:eastAsia="仿宋_GB2312"/>
          <w:lang w:val="en-US" w:eastAsia="zh-CN"/>
        </w:rPr>
        <w:drawing>
          <wp:inline distT="0" distB="0" distL="114300" distR="114300">
            <wp:extent cx="4897755" cy="2660015"/>
            <wp:effectExtent l="4445" t="4445" r="12700" b="2159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（图7：“三公”经费财政拨款支出结构）</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1.因公出国（境）经费支出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万元，年初未安排预算，</w:t>
      </w:r>
      <w:r>
        <w:rPr>
          <w:rFonts w:hint="eastAsia" w:ascii="仿宋_GB2312" w:hAnsi="Times New Roman" w:eastAsia="仿宋_GB2312" w:cs="Times New Roman"/>
          <w:color w:val="auto"/>
          <w:sz w:val="32"/>
          <w:szCs w:val="32"/>
          <w:highlight w:val="none"/>
          <w:lang w:val="en-US" w:eastAsia="zh-CN"/>
        </w:rPr>
        <w:t>因公出国</w:t>
      </w:r>
      <w:r>
        <w:rPr>
          <w:rFonts w:hint="eastAsia" w:ascii="仿宋_GB2312" w:hAnsi="Times New Roman" w:eastAsia="仿宋_GB2312" w:cs="Times New Roman"/>
          <w:color w:val="auto"/>
          <w:sz w:val="32"/>
          <w:szCs w:val="32"/>
          <w:highlight w:val="none"/>
          <w:lang w:eastAsia="zh-CN"/>
        </w:rPr>
        <w:t>（境）</w:t>
      </w:r>
      <w:r>
        <w:rPr>
          <w:rFonts w:hint="eastAsia" w:ascii="仿宋_GB2312" w:hAnsi="Times New Roman" w:eastAsia="仿宋_GB2312" w:cs="Times New Roman"/>
          <w:color w:val="auto"/>
          <w:sz w:val="32"/>
          <w:szCs w:val="32"/>
          <w:highlight w:val="none"/>
          <w:lang w:val="en-US" w:eastAsia="zh-CN"/>
        </w:rPr>
        <w:t>支出决算较2022年无变化</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2.公务用车购置及运行维护费支出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年初未安排预算，公务用车购置及运行维护费支出决算较202</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年无变化。单位无公务用车。</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3.公务接待费支出</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%。公务接待费支出决算较20</w:t>
      </w:r>
      <w:r>
        <w:rPr>
          <w:rFonts w:hint="eastAsia" w:ascii="仿宋_GB2312" w:hAnsi="Times New Roman" w:eastAsia="仿宋_GB2312" w:cs="Times New Roman"/>
          <w:color w:val="auto"/>
          <w:sz w:val="32"/>
          <w:szCs w:val="32"/>
          <w:highlight w:val="none"/>
          <w:lang w:val="en-US" w:eastAsia="zh-CN"/>
        </w:rPr>
        <w:t>22</w:t>
      </w:r>
      <w:r>
        <w:rPr>
          <w:rFonts w:hint="eastAsia" w:ascii="仿宋_GB2312" w:hAnsi="Times New Roman" w:eastAsia="仿宋_GB2312" w:cs="Times New Roman"/>
          <w:color w:val="auto"/>
          <w:sz w:val="32"/>
          <w:szCs w:val="32"/>
          <w:highlight w:val="none"/>
          <w:lang w:eastAsia="zh-CN"/>
        </w:rPr>
        <w:t>年无变化。其中：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国内公务接待支出</w:t>
      </w:r>
      <w:r>
        <w:rPr>
          <w:rFonts w:hint="eastAsia" w:ascii="仿宋_GB2312" w:hAnsi="Times New Roman" w:eastAsia="仿宋_GB2312" w:cs="Times New Roman"/>
          <w:color w:val="auto"/>
          <w:sz w:val="32"/>
          <w:szCs w:val="32"/>
          <w:highlight w:val="none"/>
          <w:lang w:val="en-US" w:eastAsia="zh-CN"/>
        </w:rPr>
        <w:t>0.4万元，</w:t>
      </w:r>
      <w:r>
        <w:rPr>
          <w:rFonts w:hint="eastAsia" w:ascii="仿宋_GB2312" w:hAnsi="Times New Roman" w:eastAsia="仿宋_GB2312" w:cs="Times New Roman"/>
          <w:color w:val="auto"/>
          <w:sz w:val="32"/>
          <w:szCs w:val="32"/>
          <w:highlight w:val="none"/>
          <w:lang w:eastAsia="zh-CN"/>
        </w:rPr>
        <w:t>主要用于上级部门、其他金融机构来广开展工作接待费。国内公务接待</w:t>
      </w:r>
      <w:r>
        <w:rPr>
          <w:rFonts w:hint="eastAsia" w:ascii="仿宋_GB2312" w:hAnsi="Times New Roman" w:eastAsia="仿宋_GB2312" w:cs="Times New Roman"/>
          <w:color w:val="auto"/>
          <w:sz w:val="32"/>
          <w:szCs w:val="32"/>
          <w:highlight w:val="none"/>
          <w:lang w:val="en-US" w:eastAsia="zh-CN"/>
        </w:rPr>
        <w:t>6</w:t>
      </w:r>
      <w:r>
        <w:rPr>
          <w:rFonts w:hint="eastAsia" w:ascii="仿宋_GB2312" w:hAnsi="Times New Roman" w:eastAsia="仿宋_GB2312" w:cs="Times New Roman"/>
          <w:color w:val="auto"/>
          <w:sz w:val="32"/>
          <w:szCs w:val="32"/>
          <w:highlight w:val="none"/>
          <w:lang w:eastAsia="zh-CN"/>
        </w:rPr>
        <w:t>批次，</w:t>
      </w:r>
      <w:r>
        <w:rPr>
          <w:rFonts w:hint="eastAsia" w:ascii="仿宋_GB2312" w:hAnsi="Times New Roman" w:eastAsia="仿宋_GB2312" w:cs="Times New Roman"/>
          <w:color w:val="auto"/>
          <w:sz w:val="32"/>
          <w:szCs w:val="32"/>
          <w:highlight w:val="none"/>
          <w:lang w:val="en-US" w:eastAsia="zh-CN"/>
        </w:rPr>
        <w:t>32</w:t>
      </w:r>
      <w:r>
        <w:rPr>
          <w:rFonts w:hint="eastAsia" w:ascii="仿宋_GB2312" w:hAnsi="Times New Roman" w:eastAsia="仿宋_GB2312" w:cs="Times New Roman"/>
          <w:color w:val="auto"/>
          <w:sz w:val="32"/>
          <w:szCs w:val="32"/>
          <w:highlight w:val="none"/>
          <w:lang w:eastAsia="zh-CN"/>
        </w:rPr>
        <w:t>人次（不包括陪同人员），共计支出</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万元，具体内容包括</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 w:eastAsia="zh-CN"/>
        </w:rPr>
        <w:t>省</w:t>
      </w:r>
      <w:r>
        <w:rPr>
          <w:rFonts w:hint="eastAsia" w:ascii="仿宋_GB2312" w:hAnsi="Times New Roman" w:eastAsia="仿宋_GB2312" w:cs="Times New Roman"/>
          <w:color w:val="auto"/>
          <w:sz w:val="32"/>
          <w:szCs w:val="32"/>
          <w:highlight w:val="none"/>
          <w:lang w:val="en-US" w:eastAsia="zh-CN"/>
        </w:rPr>
        <w:t>国开行2次来广调研项目</w:t>
      </w:r>
      <w:r>
        <w:rPr>
          <w:rFonts w:hint="eastAsia" w:ascii="仿宋_GB2312" w:eastAsia="仿宋_GB2312" w:cs="Times New Roman"/>
          <w:color w:val="auto"/>
          <w:sz w:val="32"/>
          <w:szCs w:val="32"/>
          <w:highlight w:val="none"/>
          <w:lang w:val="en-US" w:eastAsia="zh-CN"/>
        </w:rPr>
        <w:t>融</w:t>
      </w:r>
      <w:r>
        <w:rPr>
          <w:rFonts w:hint="eastAsia" w:ascii="仿宋_GB2312" w:hAnsi="Times New Roman" w:eastAsia="仿宋_GB2312" w:cs="Times New Roman"/>
          <w:color w:val="auto"/>
          <w:sz w:val="32"/>
          <w:szCs w:val="32"/>
          <w:highlight w:val="none"/>
          <w:lang w:val="en-US" w:eastAsia="zh-CN"/>
        </w:rPr>
        <w:t>资接待费0.24万元，四川银行来广调研设立分支机构接待费0.16万元</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外事接待支出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p>
    <w:p>
      <w:pPr>
        <w:spacing w:line="600" w:lineRule="exact"/>
        <w:ind w:firstLine="640"/>
        <w:outlineLvl w:val="1"/>
        <w:rPr>
          <w:rStyle w:val="21"/>
          <w:rFonts w:ascii="黑体" w:hAnsi="黑体" w:eastAsia="黑体"/>
          <w:color w:val="auto"/>
          <w:highlight w:val="none"/>
        </w:rPr>
      </w:pPr>
      <w:bookmarkStart w:id="24" w:name="_Toc15377218"/>
      <w:bookmarkStart w:id="25" w:name="_Toc1807820579"/>
      <w:bookmarkStart w:id="26" w:name="_Toc1469991429"/>
      <w:bookmarkStart w:id="27" w:name="_Toc15396610"/>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24"/>
      <w:bookmarkEnd w:id="25"/>
      <w:bookmarkEnd w:id="26"/>
      <w:bookmarkEnd w:id="27"/>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年政府性基金预算财政拨款支出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p>
    <w:p>
      <w:pPr>
        <w:numPr>
          <w:ilvl w:val="0"/>
          <w:numId w:val="4"/>
        </w:numPr>
        <w:spacing w:line="600" w:lineRule="exact"/>
        <w:ind w:firstLine="640"/>
        <w:outlineLvl w:val="1"/>
        <w:rPr>
          <w:rStyle w:val="21"/>
          <w:rFonts w:ascii="黑体" w:hAnsi="黑体" w:eastAsia="黑体"/>
          <w:b w:val="0"/>
          <w:color w:val="auto"/>
          <w:highlight w:val="none"/>
        </w:rPr>
      </w:pPr>
      <w:bookmarkStart w:id="28" w:name="_Toc30108052"/>
      <w:bookmarkStart w:id="29" w:name="_Toc15396611"/>
      <w:bookmarkStart w:id="30" w:name="_Toc1658763304"/>
      <w:bookmarkStart w:id="31" w:name="_Toc15377219"/>
      <w:r>
        <w:rPr>
          <w:rStyle w:val="21"/>
          <w:rFonts w:hint="eastAsia" w:ascii="黑体" w:hAnsi="黑体" w:eastAsia="黑体"/>
          <w:b w:val="0"/>
          <w:color w:val="auto"/>
          <w:highlight w:val="none"/>
        </w:rPr>
        <w:t>国有资本经营预算支出决算情况说明</w:t>
      </w:r>
      <w:bookmarkEnd w:id="28"/>
      <w:bookmarkEnd w:id="29"/>
      <w:bookmarkEnd w:id="30"/>
      <w:bookmarkEnd w:id="3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年国有资本经营预算财政拨款支出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p>
    <w:p>
      <w:pPr>
        <w:numPr>
          <w:ilvl w:val="0"/>
          <w:numId w:val="4"/>
        </w:numPr>
        <w:spacing w:line="600" w:lineRule="exact"/>
        <w:ind w:firstLine="640"/>
        <w:outlineLvl w:val="1"/>
        <w:rPr>
          <w:rStyle w:val="21"/>
          <w:rFonts w:hint="eastAsia" w:ascii="黑体" w:hAnsi="黑体" w:eastAsia="黑体"/>
          <w:b w:val="0"/>
          <w:color w:val="auto"/>
          <w:highlight w:val="none"/>
        </w:rPr>
      </w:pPr>
      <w:bookmarkStart w:id="32" w:name="_Toc1400027206"/>
      <w:bookmarkStart w:id="33" w:name="_Toc380141198"/>
      <w:bookmarkStart w:id="34" w:name="_Toc15396612"/>
      <w:bookmarkStart w:id="35" w:name="_Toc15377221"/>
      <w:r>
        <w:rPr>
          <w:rStyle w:val="21"/>
          <w:rFonts w:hint="eastAsia" w:ascii="黑体" w:hAnsi="黑体" w:eastAsia="黑体"/>
          <w:b w:val="0"/>
          <w:color w:val="auto"/>
          <w:highlight w:val="none"/>
        </w:rPr>
        <w:t>其他重要事项的情况说明</w:t>
      </w:r>
      <w:bookmarkEnd w:id="32"/>
      <w:bookmarkEnd w:id="33"/>
      <w:bookmarkEnd w:id="34"/>
      <w:bookmarkEnd w:id="35"/>
    </w:p>
    <w:p>
      <w:pPr>
        <w:spacing w:line="600" w:lineRule="exact"/>
        <w:ind w:firstLine="642" w:firstLineChars="200"/>
        <w:outlineLvl w:val="2"/>
        <w:rPr>
          <w:rFonts w:ascii="仿宋" w:hAnsi="仿宋" w:eastAsia="仿宋"/>
          <w:color w:val="auto"/>
          <w:sz w:val="32"/>
          <w:szCs w:val="32"/>
          <w:highlight w:val="none"/>
        </w:rPr>
      </w:pPr>
      <w:bookmarkStart w:id="36" w:name="_Toc2033545241"/>
      <w:bookmarkStart w:id="37" w:name="_Toc15377222"/>
      <w:r>
        <w:rPr>
          <w:rFonts w:hint="eastAsia" w:ascii="仿宋" w:hAnsi="仿宋" w:eastAsia="仿宋"/>
          <w:b/>
          <w:color w:val="auto"/>
          <w:sz w:val="32"/>
          <w:szCs w:val="32"/>
          <w:highlight w:val="none"/>
        </w:rPr>
        <w:t>（一）机关运行经费支出情况</w:t>
      </w:r>
      <w:bookmarkEnd w:id="36"/>
      <w:bookmarkEnd w:id="37"/>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广元市金融工作局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58.31</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3.72</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6.81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人员增加，工会经费、福利费和交通补助等支出增加。</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38" w:name="_Toc1176790908"/>
      <w:bookmarkStart w:id="39" w:name="_Toc15377223"/>
      <w:r>
        <w:rPr>
          <w:rFonts w:hint="eastAsia" w:ascii="仿宋" w:hAnsi="仿宋" w:eastAsia="仿宋"/>
          <w:b/>
          <w:color w:val="auto"/>
          <w:sz w:val="32"/>
          <w:szCs w:val="32"/>
          <w:highlight w:val="none"/>
        </w:rPr>
        <w:t>（二）政府采购支出情况</w:t>
      </w:r>
      <w:bookmarkEnd w:id="38"/>
      <w:bookmarkEnd w:id="39"/>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年，市金融工作局政府采购支出总额</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万元，其中：政府采购货物支出</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万元。主要用于购买办公区办公设备和家具。授予中小企业合同金额</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万元，占政府采购支出总额的</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%，其中：授予小微企业合同金额</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万元，占政府采购支出总额的</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40" w:name="_Toc15377224"/>
      <w:bookmarkStart w:id="41" w:name="_Toc319603776"/>
      <w:r>
        <w:rPr>
          <w:rFonts w:hint="eastAsia" w:ascii="仿宋" w:hAnsi="仿宋" w:eastAsia="仿宋"/>
          <w:b/>
          <w:color w:val="auto"/>
          <w:sz w:val="32"/>
          <w:szCs w:val="32"/>
          <w:highlight w:val="none"/>
        </w:rPr>
        <w:t>（三）国有资产占有使用情况</w:t>
      </w:r>
      <w:bookmarkEnd w:id="40"/>
      <w:bookmarkEnd w:id="4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截至20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年12月31日，市金融工作局共有车辆</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辆</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单价100万元以上专用设备（不含车辆）</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台（套）。</w:t>
      </w:r>
    </w:p>
    <w:p>
      <w:pPr>
        <w:numPr>
          <w:ilvl w:val="0"/>
          <w:numId w:val="2"/>
        </w:numPr>
        <w:autoSpaceDE w:val="0"/>
        <w:autoSpaceDN w:val="0"/>
        <w:adjustRightInd w:val="0"/>
        <w:spacing w:line="600" w:lineRule="exact"/>
        <w:ind w:left="0" w:leftChars="0" w:firstLine="642" w:firstLineChars="200"/>
        <w:jc w:val="left"/>
        <w:outlineLvl w:val="2"/>
        <w:rPr>
          <w:rFonts w:hint="eastAsia" w:ascii="仿宋" w:hAnsi="仿宋" w:eastAsia="仿宋"/>
          <w:b/>
          <w:color w:val="auto"/>
          <w:sz w:val="32"/>
          <w:szCs w:val="32"/>
          <w:highlight w:val="none"/>
        </w:rPr>
      </w:pPr>
      <w:bookmarkStart w:id="42" w:name="_Toc1530808923"/>
      <w:r>
        <w:rPr>
          <w:rFonts w:hint="eastAsia" w:ascii="仿宋" w:hAnsi="仿宋" w:eastAsia="仿宋"/>
          <w:b/>
          <w:color w:val="auto"/>
          <w:sz w:val="32"/>
          <w:szCs w:val="32"/>
          <w:highlight w:val="none"/>
        </w:rPr>
        <w:t>预算绩效管理情况</w:t>
      </w:r>
      <w:bookmarkEnd w:id="42"/>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Times New Roman" w:eastAsia="仿宋_GB2312" w:cs="Times New Roman"/>
          <w:color w:val="auto"/>
          <w:sz w:val="32"/>
          <w:szCs w:val="32"/>
          <w:highlight w:val="none"/>
          <w:lang w:val="en-US" w:eastAsia="zh-CN"/>
        </w:rPr>
        <w:t>处置非法集资工作、项目融资工作、两新组织党建工作、办公用房维修改造与办公家具购置、资本市场支持广元经济高质量发展融资对接会、乡村振兴工作、全市融资担保公司审计服务采购</w:t>
      </w:r>
      <w:r>
        <w:rPr>
          <w:rFonts w:hint="eastAsia" w:ascii="仿宋_GB2312" w:hAnsi="Times New Roman" w:eastAsia="仿宋_GB2312" w:cs="Times New Roman"/>
          <w:color w:val="auto"/>
          <w:sz w:val="32"/>
          <w:szCs w:val="32"/>
          <w:highlight w:val="none"/>
          <w:lang w:eastAsia="zh-CN"/>
        </w:rPr>
        <w:t>等</w:t>
      </w:r>
      <w:r>
        <w:rPr>
          <w:rFonts w:hint="eastAsia" w:ascii="仿宋_GB2312" w:hAnsi="Times New Roman" w:eastAsia="仿宋_GB2312" w:cs="Times New Roman"/>
          <w:color w:val="auto"/>
          <w:sz w:val="32"/>
          <w:szCs w:val="32"/>
          <w:highlight w:val="none"/>
          <w:lang w:val="en-US" w:eastAsia="zh-CN"/>
        </w:rPr>
        <w:t>7个项目</w:t>
      </w:r>
      <w:r>
        <w:rPr>
          <w:rFonts w:hint="eastAsia" w:ascii="仿宋_GB2312" w:hAnsi="Times New Roman" w:eastAsia="仿宋_GB2312" w:cs="Times New Roman"/>
          <w:color w:val="auto"/>
          <w:sz w:val="32"/>
          <w:szCs w:val="32"/>
          <w:highlight w:val="none"/>
          <w:lang w:eastAsia="zh-CN"/>
        </w:rPr>
        <w:t>开展了预算事前绩效评估，对工资性支出、离退休费支出、日常公用经费、其他公用经费、退休“中人”一次性退休补贴、单位年度考核奖、年度考核奖、机关事业单位退休人员（中人）一次性待遇资金、</w:t>
      </w:r>
      <w:r>
        <w:rPr>
          <w:rFonts w:hint="eastAsia" w:ascii="仿宋_GB2312" w:hAnsi="Times New Roman" w:eastAsia="仿宋_GB2312" w:cs="Times New Roman"/>
          <w:color w:val="auto"/>
          <w:sz w:val="32"/>
          <w:szCs w:val="32"/>
          <w:highlight w:val="none"/>
          <w:lang w:val="en-US" w:eastAsia="zh-CN"/>
        </w:rPr>
        <w:t>处置非法集资工作、项目融资工作、两新组织党建工作、办公用房维修改造与办公家具购置、资本市场支持广元经济高质量发展融资对接会、乡村振兴工作、全市融资担保公司审计服务采购等15</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15</w:t>
      </w:r>
      <w:r>
        <w:rPr>
          <w:rFonts w:hint="eastAsia" w:ascii="仿宋_GB2312" w:hAnsi="Times New Roman" w:eastAsia="仿宋_GB2312" w:cs="Times New Roman"/>
          <w:color w:val="auto"/>
          <w:sz w:val="32"/>
          <w:szCs w:val="32"/>
          <w:highlight w:val="none"/>
          <w:lang w:eastAsia="zh-CN"/>
        </w:rPr>
        <w:t>个项目开展绩效监控</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组织对</w:t>
      </w:r>
      <w:r>
        <w:rPr>
          <w:rFonts w:hint="eastAsia" w:ascii="仿宋_GB2312" w:hAnsi="Times New Roman" w:eastAsia="仿宋_GB2312" w:cs="Times New Roman"/>
          <w:color w:val="auto"/>
          <w:sz w:val="32"/>
          <w:szCs w:val="32"/>
          <w:highlight w:val="none"/>
          <w:lang w:val="en-US" w:eastAsia="zh-CN"/>
        </w:rPr>
        <w:t>15个项目开展绩效自评，绩效自评表详见第四部分附件。</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p>
    <w:p>
      <w:pPr>
        <w:pStyle w:val="2"/>
        <w:rPr>
          <w:rFonts w:hint="eastAsia" w:ascii="仿宋_GB2312" w:hAnsi="Times New Roman" w:eastAsia="仿宋_GB2312" w:cs="Times New Roman"/>
          <w:color w:val="auto"/>
          <w:sz w:val="32"/>
          <w:szCs w:val="32"/>
          <w:highlight w:val="none"/>
          <w:lang w:val="en-US" w:eastAsia="zh-CN"/>
        </w:rPr>
      </w:pPr>
    </w:p>
    <w:p>
      <w:pPr>
        <w:pStyle w:val="2"/>
        <w:rPr>
          <w:rFonts w:hint="eastAsia" w:ascii="仿宋_GB2312" w:hAnsi="Times New Roman" w:eastAsia="仿宋_GB2312" w:cs="Times New Roman"/>
          <w:color w:val="auto"/>
          <w:sz w:val="32"/>
          <w:szCs w:val="32"/>
          <w:highlight w:val="none"/>
          <w:lang w:val="en-US" w:eastAsia="zh-CN"/>
        </w:rPr>
      </w:pPr>
    </w:p>
    <w:p>
      <w:pPr>
        <w:pStyle w:val="2"/>
        <w:rPr>
          <w:rFonts w:hint="eastAsia" w:ascii="仿宋_GB2312" w:hAnsi="Times New Roman" w:eastAsia="仿宋_GB2312" w:cs="Times New Roman"/>
          <w:color w:val="auto"/>
          <w:sz w:val="32"/>
          <w:szCs w:val="32"/>
          <w:highlight w:val="none"/>
          <w:lang w:val="en-US" w:eastAsia="zh-CN"/>
        </w:rPr>
      </w:pPr>
    </w:p>
    <w:p>
      <w:pPr>
        <w:pStyle w:val="2"/>
        <w:rPr>
          <w:rFonts w:hint="eastAsia" w:ascii="仿宋_GB2312" w:hAnsi="Times New Roman" w:eastAsia="仿宋_GB2312" w:cs="Times New Roman"/>
          <w:color w:val="auto"/>
          <w:sz w:val="32"/>
          <w:szCs w:val="32"/>
          <w:highlight w:val="none"/>
          <w:lang w:val="en-US" w:eastAsia="zh-CN"/>
        </w:rPr>
      </w:pPr>
    </w:p>
    <w:p>
      <w:pPr>
        <w:pStyle w:val="2"/>
        <w:rPr>
          <w:rFonts w:hint="eastAsia" w:ascii="仿宋_GB2312" w:hAnsi="Times New Roman" w:eastAsia="仿宋_GB2312" w:cs="Times New Roman"/>
          <w:color w:val="auto"/>
          <w:sz w:val="32"/>
          <w:szCs w:val="32"/>
          <w:highlight w:val="none"/>
          <w:lang w:val="en-US" w:eastAsia="zh-CN"/>
        </w:rPr>
      </w:pPr>
    </w:p>
    <w:p>
      <w:pPr>
        <w:pStyle w:val="2"/>
        <w:rPr>
          <w:rFonts w:hint="eastAsia" w:ascii="仿宋_GB2312" w:hAnsi="Times New Roman" w:eastAsia="仿宋_GB2312" w:cs="Times New Roman"/>
          <w:color w:val="auto"/>
          <w:sz w:val="32"/>
          <w:szCs w:val="32"/>
          <w:highlight w:val="none"/>
          <w:lang w:val="en-US" w:eastAsia="zh-CN"/>
        </w:rPr>
      </w:pPr>
    </w:p>
    <w:p>
      <w:pPr>
        <w:numPr>
          <w:ilvl w:val="0"/>
          <w:numId w:val="0"/>
        </w:numPr>
        <w:spacing w:line="600" w:lineRule="exact"/>
        <w:jc w:val="center"/>
        <w:outlineLvl w:val="0"/>
        <w:rPr>
          <w:rStyle w:val="20"/>
          <w:rFonts w:ascii="黑体" w:hAnsi="黑体" w:eastAsia="黑体"/>
          <w:b w:val="0"/>
          <w:color w:val="auto"/>
          <w:highlight w:val="none"/>
        </w:rPr>
      </w:pPr>
      <w:bookmarkStart w:id="43" w:name="_Toc807538311"/>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43"/>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outlineLvl w:val="1"/>
        <w:rPr>
          <w:rFonts w:ascii="仿宋_GB2312" w:hAnsi="仿宋_GB2312" w:eastAsia="仿宋_GB2312" w:cs="仿宋_GB2312"/>
          <w:sz w:val="32"/>
          <w:szCs w:val="32"/>
        </w:rPr>
      </w:pPr>
      <w:bookmarkStart w:id="44" w:name="_Toc1592008632"/>
      <w:bookmarkStart w:id="45" w:name="_Toc1383"/>
      <w:bookmarkStart w:id="46" w:name="_Toc1338747221"/>
      <w:bookmarkStart w:id="47" w:name="_Toc2105856778"/>
      <w:bookmarkStart w:id="48" w:name="_Toc46753897"/>
      <w:r>
        <w:rPr>
          <w:rFonts w:hint="eastAsia" w:ascii="仿宋_GB2312" w:hAnsi="仿宋_GB2312" w:eastAsia="仿宋_GB2312" w:cs="仿宋_GB2312"/>
          <w:sz w:val="32"/>
          <w:szCs w:val="32"/>
        </w:rPr>
        <w:t>财政拨款收入：指单位从同级财政部门取得的财政预算资金。</w:t>
      </w:r>
      <w:bookmarkEnd w:id="44"/>
      <w:bookmarkEnd w:id="45"/>
      <w:bookmarkEnd w:id="46"/>
      <w:bookmarkEnd w:id="47"/>
      <w:bookmarkEnd w:id="48"/>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其他收入：指单位取得的除上述收入以外的各项收入。主要是银行存款利息收入</w:t>
      </w:r>
      <w:r>
        <w:rPr>
          <w:rFonts w:hint="eastAsia" w:ascii="仿宋_GB2312" w:hAnsi="仿宋_GB2312" w:eastAsia="仿宋_GB2312" w:cs="仿宋_GB2312"/>
          <w:sz w:val="32"/>
          <w:szCs w:val="32"/>
          <w:lang w:eastAsia="zh-CN"/>
        </w:rPr>
        <w:t>、县区划转处置非法集资工作经费</w:t>
      </w:r>
      <w:r>
        <w:rPr>
          <w:rFonts w:hint="eastAsia" w:ascii="仿宋_GB2312" w:hAnsi="仿宋_GB2312" w:eastAsia="仿宋_GB2312" w:cs="仿宋_GB2312"/>
          <w:sz w:val="32"/>
          <w:szCs w:val="32"/>
        </w:rPr>
        <w:t xml:space="preserve">等。 </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年初结转和结余：指以前年度尚未完成、结转到本年按有关规定继续使用的资金。</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年末结转和结余：指上年度尚未完成，结转到本年仍按原规定用途继续使用的资金。</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一般公共服务（类）政府办公厅（室）及相关机构事务（款）行政运行（项）：</w:t>
      </w:r>
      <w:r>
        <w:rPr>
          <w:rFonts w:hint="eastAsia" w:ascii="仿宋_GB2312" w:hAnsi="仿宋_GB2312" w:eastAsia="仿宋_GB2312" w:cs="仿宋_GB2312"/>
          <w:sz w:val="32"/>
          <w:szCs w:val="32"/>
          <w:lang w:val="en-US" w:eastAsia="zh-CN"/>
        </w:rPr>
        <w:t>指行政单位用于保障机构正常运行、开展日常工作的基本支出。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一般公共服务（类）政府办公厅（室）及相关机构事务（款）一般行政管理事务（项）：指单位开展专项工作所发生的费用。</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rPr>
        <w:t>社会保障和就业（类）行政事业单位养老支出（款）行政单位离退休（项）：</w:t>
      </w:r>
      <w:r>
        <w:rPr>
          <w:rStyle w:val="18"/>
          <w:rFonts w:hint="eastAsia" w:ascii="仿宋_GB2312" w:hAnsi="仿宋_GB2312" w:eastAsia="仿宋_GB2312" w:cs="仿宋_GB2312"/>
          <w:b w:val="0"/>
          <w:sz w:val="32"/>
          <w:szCs w:val="32"/>
          <w:lang w:val="en-US" w:eastAsia="zh-CN"/>
        </w:rPr>
        <w:t>指行政单位开支的离退休经费。</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lang w:val="en-US" w:eastAsia="zh-CN"/>
        </w:rPr>
      </w:pPr>
      <w:r>
        <w:rPr>
          <w:rStyle w:val="18"/>
          <w:rFonts w:hint="eastAsia" w:ascii="仿宋_GB2312" w:hAnsi="仿宋_GB2312" w:eastAsia="仿宋_GB2312" w:cs="仿宋_GB2312"/>
          <w:b w:val="0"/>
          <w:sz w:val="32"/>
          <w:szCs w:val="32"/>
        </w:rPr>
        <w:t>社会保障和就业（类）行政事业单位养老支出（款）机关事业单位基本养老保险缴费</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（项）：指机关事业单位</w:t>
      </w:r>
      <w:r>
        <w:rPr>
          <w:rStyle w:val="18"/>
          <w:rFonts w:hint="eastAsia" w:ascii="仿宋_GB2312" w:hAnsi="仿宋_GB2312" w:eastAsia="仿宋_GB2312" w:cs="仿宋_GB2312"/>
          <w:b w:val="0"/>
          <w:color w:val="000000"/>
          <w:sz w:val="32"/>
          <w:szCs w:val="32"/>
        </w:rPr>
        <w:t>实施养老保险制度由单位缴纳的基本养老保险费支出。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rPr>
        <w:t>社会保障和就业（类）行政事业单位养老支出（款）机关事业单位职业年金缴费</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（项）：指机关事业单位实施养老保险制度由单位实际缴纳的职业年金支出。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lang w:val="en-US" w:eastAsia="zh-CN"/>
        </w:rPr>
      </w:pPr>
      <w:r>
        <w:rPr>
          <w:rStyle w:val="18"/>
          <w:rFonts w:hint="eastAsia" w:ascii="仿宋_GB2312" w:hAnsi="仿宋_GB2312" w:eastAsia="仿宋_GB2312" w:cs="仿宋_GB2312"/>
          <w:b w:val="0"/>
          <w:sz w:val="32"/>
          <w:szCs w:val="32"/>
          <w:lang w:val="en-US" w:eastAsia="zh-CN"/>
        </w:rPr>
        <w:t>社会保障和就业（类）其他社会保障和就业支出（款）其他社会保障和就业支出（项）</w:t>
      </w:r>
      <w:r>
        <w:rPr>
          <w:rStyle w:val="18"/>
          <w:rFonts w:hint="eastAsia" w:ascii="仿宋_GB2312" w:hAnsi="仿宋_GB2312" w:eastAsia="仿宋_GB2312" w:cs="仿宋_GB2312"/>
          <w:b w:val="0"/>
          <w:sz w:val="32"/>
          <w:szCs w:val="32"/>
        </w:rPr>
        <w:t>：指机关事业单位实施养老保险制度由单位实际缴纳的</w:t>
      </w:r>
      <w:r>
        <w:rPr>
          <w:rStyle w:val="18"/>
          <w:rFonts w:hint="eastAsia" w:ascii="仿宋_GB2312" w:hAnsi="仿宋_GB2312" w:eastAsia="仿宋_GB2312" w:cs="仿宋_GB2312"/>
          <w:b w:val="0"/>
          <w:sz w:val="32"/>
          <w:szCs w:val="32"/>
          <w:lang w:eastAsia="zh-CN"/>
        </w:rPr>
        <w:t>工伤保险、失业保险等</w:t>
      </w:r>
      <w:r>
        <w:rPr>
          <w:rStyle w:val="18"/>
          <w:rFonts w:hint="eastAsia" w:ascii="仿宋_GB2312" w:hAnsi="仿宋_GB2312" w:eastAsia="仿宋_GB2312" w:cs="仿宋_GB2312"/>
          <w:b w:val="0"/>
          <w:sz w:val="32"/>
          <w:szCs w:val="32"/>
        </w:rPr>
        <w:t>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rPr>
        <w:t>卫生健康支出（类）行政事业单位医疗（款）行政单位医疗（项）：指局机关用于缴纳单位基本医疗保险支出。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eastAsia="仿宋_GB2312"/>
          <w:color w:val="000000"/>
          <w:sz w:val="32"/>
          <w:szCs w:val="32"/>
        </w:rPr>
      </w:pPr>
      <w:r>
        <w:rPr>
          <w:rStyle w:val="18"/>
          <w:rFonts w:hint="eastAsia" w:ascii="仿宋_GB2312" w:hAnsi="仿宋_GB2312" w:eastAsia="仿宋_GB2312" w:cs="仿宋_GB2312"/>
          <w:b w:val="0"/>
          <w:sz w:val="32"/>
          <w:szCs w:val="32"/>
        </w:rPr>
        <w:t>住房保障（类）住房改革</w:t>
      </w:r>
      <w:r>
        <w:rPr>
          <w:rFonts w:hint="eastAsia" w:ascii="仿宋_GB2312" w:hAnsi="仿宋_GB2312" w:eastAsia="仿宋_GB2312" w:cs="仿宋_GB2312"/>
          <w:sz w:val="32"/>
          <w:szCs w:val="32"/>
        </w:rPr>
        <w:t>（款）住房公积金（项）：指局机关及事业单位按行政事业单位按人力资源和社会保障部、财政部规定的基本工资和津贴补贴以及规定比例为职工缴纳的住房公积金。</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rPr>
        <w:t>项目支出：指在基本支出之外为完成特定行政任务和</w:t>
      </w:r>
      <w:r>
        <w:rPr>
          <w:rFonts w:hint="eastAsia" w:ascii="仿宋_GB2312" w:eastAsia="仿宋_GB2312"/>
          <w:color w:val="000000"/>
          <w:sz w:val="32"/>
          <w:szCs w:val="32"/>
        </w:rPr>
        <w:t>事业发展目标所发生的支出。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hint="eastAsia" w:ascii="黑体" w:hAnsi="黑体" w:eastAsia="黑体"/>
          <w:color w:val="auto"/>
          <w:sz w:val="44"/>
          <w:szCs w:val="44"/>
          <w:highlight w:val="none"/>
        </w:rPr>
      </w:pPr>
    </w:p>
    <w:p>
      <w:pPr>
        <w:pStyle w:val="5"/>
        <w:rPr>
          <w:rFonts w:hint="eastAsia" w:ascii="黑体" w:hAnsi="黑体" w:eastAsia="黑体"/>
          <w:color w:val="auto"/>
          <w:sz w:val="44"/>
          <w:szCs w:val="44"/>
          <w:highlight w:val="none"/>
        </w:rPr>
      </w:pPr>
    </w:p>
    <w:p>
      <w:pPr>
        <w:rPr>
          <w:rFonts w:hint="eastAsia"/>
        </w:rPr>
      </w:pPr>
    </w:p>
    <w:p>
      <w:pPr>
        <w:numPr>
          <w:ilvl w:val="0"/>
          <w:numId w:val="6"/>
        </w:numPr>
        <w:spacing w:line="600" w:lineRule="exact"/>
        <w:jc w:val="center"/>
        <w:outlineLvl w:val="0"/>
        <w:rPr>
          <w:rStyle w:val="20"/>
          <w:rFonts w:hint="eastAsia" w:ascii="黑体" w:hAnsi="黑体" w:eastAsia="黑体"/>
          <w:b w:val="0"/>
          <w:color w:val="auto"/>
          <w:highlight w:val="none"/>
        </w:rPr>
      </w:pPr>
      <w:bookmarkStart w:id="49" w:name="_Toc1147824455"/>
      <w:r>
        <w:rPr>
          <w:rStyle w:val="20"/>
          <w:rFonts w:hint="eastAsia" w:ascii="黑体" w:hAnsi="黑体" w:eastAsia="黑体"/>
          <w:b w:val="0"/>
          <w:color w:val="auto"/>
          <w:highlight w:val="none"/>
        </w:rPr>
        <w:t>附件</w:t>
      </w:r>
      <w:bookmarkEnd w:id="49"/>
    </w:p>
    <w:p>
      <w:pPr>
        <w:spacing w:line="600" w:lineRule="exact"/>
        <w:jc w:val="center"/>
        <w:outlineLvl w:val="0"/>
        <w:rPr>
          <w:rFonts w:hint="eastAsia" w:ascii="黑体" w:hAnsi="黑体" w:eastAsia="黑体"/>
          <w:color w:val="FF0000"/>
          <w:sz w:val="44"/>
          <w:szCs w:val="44"/>
          <w:highlight w:val="none"/>
        </w:rPr>
      </w:pPr>
      <w:r>
        <w:rPr>
          <w:rFonts w:hint="eastAsia" w:hAnsi="Times New Roman" w:cs="Times New Roman"/>
          <w:sz w:val="32"/>
          <w:szCs w:val="32"/>
          <w:highlight w:val="none"/>
          <w:lang w:val="en-US" w:eastAsia="zh-CN"/>
        </w:rPr>
        <w:t>部门预算项目支出绩效自评表（202</w:t>
      </w:r>
      <w:r>
        <w:rPr>
          <w:rFonts w:hint="eastAsia" w:cs="Times New Roman"/>
          <w:sz w:val="32"/>
          <w:szCs w:val="32"/>
          <w:highlight w:val="none"/>
          <w:lang w:val="en-US" w:eastAsia="zh-CN"/>
        </w:rPr>
        <w:t>3</w:t>
      </w:r>
      <w:r>
        <w:rPr>
          <w:rFonts w:hint="eastAsia" w:hAnsi="Times New Roman" w:cs="Times New Roman"/>
          <w:sz w:val="32"/>
          <w:szCs w:val="32"/>
          <w:highlight w:val="none"/>
          <w:lang w:val="en-US" w:eastAsia="zh-CN"/>
        </w:rPr>
        <w:t>年度）</w:t>
      </w: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rPr>
      </w:pPr>
    </w:p>
    <w:p>
      <w:pPr>
        <w:pStyle w:val="12"/>
        <w:rPr>
          <w:rFonts w:hint="eastAsia" w:ascii="黑体" w:hAnsi="黑体" w:eastAsia="黑体"/>
          <w:color w:val="auto"/>
          <w:sz w:val="44"/>
          <w:szCs w:val="44"/>
          <w:highlight w:val="none"/>
        </w:rPr>
      </w:pPr>
    </w:p>
    <w:p>
      <w:pPr>
        <w:pStyle w:val="12"/>
        <w:rPr>
          <w:rFonts w:hint="eastAsia" w:ascii="黑体" w:hAnsi="黑体" w:eastAsia="黑体"/>
          <w:color w:val="auto"/>
          <w:sz w:val="44"/>
          <w:szCs w:val="44"/>
          <w:highlight w:val="none"/>
        </w:rPr>
      </w:pPr>
    </w:p>
    <w:p>
      <w:pPr>
        <w:pStyle w:val="12"/>
        <w:rPr>
          <w:rFonts w:hint="eastAsia" w:ascii="黑体" w:hAnsi="黑体" w:eastAsia="黑体"/>
          <w:color w:val="auto"/>
          <w:sz w:val="44"/>
          <w:szCs w:val="44"/>
          <w:highlight w:val="none"/>
        </w:rPr>
      </w:pPr>
    </w:p>
    <w:p>
      <w:pPr>
        <w:pStyle w:val="12"/>
        <w:rPr>
          <w:rFonts w:hint="eastAsia" w:ascii="黑体" w:hAnsi="黑体" w:eastAsia="黑体"/>
          <w:color w:val="auto"/>
          <w:sz w:val="44"/>
          <w:szCs w:val="44"/>
          <w:highlight w:val="none"/>
        </w:rPr>
      </w:pPr>
    </w:p>
    <w:p>
      <w:pPr>
        <w:widowControl/>
        <w:jc w:val="center"/>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 附表</w:t>
      </w:r>
      <w:bookmarkStart w:id="50" w:name="_Toc15396619"/>
    </w:p>
    <w:p>
      <w:pPr>
        <w:pStyle w:val="4"/>
        <w:rPr>
          <w:rFonts w:hint="eastAsia" w:ascii="仿宋_GB2312" w:hAnsi="仿宋_GB2312" w:eastAsia="仿宋_GB2312" w:cs="仿宋_GB2312"/>
          <w:color w:val="auto"/>
          <w:highlight w:val="none"/>
        </w:rPr>
      </w:pPr>
      <w:bookmarkStart w:id="51" w:name="_Toc146272537"/>
      <w:r>
        <w:rPr>
          <w:rFonts w:hint="eastAsia" w:ascii="仿宋_GB2312" w:hAnsi="仿宋_GB2312" w:eastAsia="仿宋_GB2312" w:cs="仿宋_GB2312"/>
          <w:b w:val="0"/>
          <w:color w:val="auto"/>
          <w:highlight w:val="none"/>
        </w:rPr>
        <w:t>一、收</w:t>
      </w:r>
      <w:r>
        <w:rPr>
          <w:rStyle w:val="21"/>
          <w:rFonts w:hint="eastAsia" w:ascii="仿宋_GB2312" w:hAnsi="仿宋_GB2312" w:eastAsia="仿宋_GB2312" w:cs="仿宋_GB2312"/>
          <w:b w:val="0"/>
          <w:bCs w:val="0"/>
          <w:color w:val="auto"/>
          <w:highlight w:val="none"/>
        </w:rPr>
        <w:t>入支出决算总表</w:t>
      </w:r>
      <w:bookmarkEnd w:id="50"/>
      <w:bookmarkEnd w:id="51"/>
    </w:p>
    <w:p>
      <w:pPr>
        <w:pStyle w:val="4"/>
        <w:rPr>
          <w:rFonts w:hint="eastAsia" w:ascii="仿宋_GB2312" w:hAnsi="仿宋_GB2312" w:eastAsia="仿宋_GB2312" w:cs="仿宋_GB2312"/>
          <w:color w:val="auto"/>
          <w:highlight w:val="none"/>
        </w:rPr>
      </w:pPr>
      <w:bookmarkStart w:id="52" w:name="_Toc15396620"/>
      <w:bookmarkStart w:id="53" w:name="_Toc1590471016"/>
      <w:r>
        <w:rPr>
          <w:rFonts w:hint="eastAsia" w:ascii="仿宋_GB2312" w:hAnsi="仿宋_GB2312" w:eastAsia="仿宋_GB2312" w:cs="仿宋_GB2312"/>
          <w:b w:val="0"/>
          <w:color w:val="auto"/>
          <w:highlight w:val="none"/>
        </w:rPr>
        <w:t>二、收</w:t>
      </w:r>
      <w:r>
        <w:rPr>
          <w:rStyle w:val="21"/>
          <w:rFonts w:hint="eastAsia" w:ascii="仿宋_GB2312" w:hAnsi="仿宋_GB2312" w:eastAsia="仿宋_GB2312" w:cs="仿宋_GB2312"/>
          <w:b w:val="0"/>
          <w:bCs w:val="0"/>
          <w:color w:val="auto"/>
          <w:highlight w:val="none"/>
        </w:rPr>
        <w:t>入决算表</w:t>
      </w:r>
      <w:bookmarkEnd w:id="52"/>
      <w:bookmarkEnd w:id="53"/>
    </w:p>
    <w:p>
      <w:pPr>
        <w:pStyle w:val="4"/>
        <w:rPr>
          <w:rFonts w:hint="eastAsia" w:ascii="仿宋_GB2312" w:hAnsi="仿宋_GB2312" w:eastAsia="仿宋_GB2312" w:cs="仿宋_GB2312"/>
          <w:color w:val="auto"/>
          <w:highlight w:val="none"/>
        </w:rPr>
      </w:pPr>
      <w:bookmarkStart w:id="54" w:name="_Toc15396621"/>
      <w:bookmarkStart w:id="55" w:name="_Toc149090370"/>
      <w:r>
        <w:rPr>
          <w:rStyle w:val="21"/>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21"/>
          <w:rFonts w:hint="eastAsia" w:ascii="仿宋_GB2312" w:hAnsi="仿宋_GB2312" w:eastAsia="仿宋_GB2312" w:cs="仿宋_GB2312"/>
          <w:b w:val="0"/>
          <w:bCs w:val="0"/>
          <w:color w:val="auto"/>
          <w:highlight w:val="none"/>
        </w:rPr>
        <w:t>出决算表</w:t>
      </w:r>
      <w:bookmarkEnd w:id="54"/>
      <w:bookmarkEnd w:id="55"/>
    </w:p>
    <w:p>
      <w:pPr>
        <w:pStyle w:val="4"/>
        <w:rPr>
          <w:rFonts w:hint="eastAsia" w:ascii="仿宋_GB2312" w:hAnsi="仿宋_GB2312" w:eastAsia="仿宋_GB2312" w:cs="仿宋_GB2312"/>
          <w:b w:val="0"/>
          <w:color w:val="auto"/>
          <w:highlight w:val="none"/>
        </w:rPr>
      </w:pPr>
      <w:bookmarkStart w:id="56" w:name="_Toc15396622"/>
      <w:bookmarkStart w:id="57" w:name="_Toc268642913"/>
      <w:r>
        <w:rPr>
          <w:rStyle w:val="21"/>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21"/>
          <w:rFonts w:hint="eastAsia" w:ascii="仿宋_GB2312" w:hAnsi="仿宋_GB2312" w:eastAsia="仿宋_GB2312" w:cs="仿宋_GB2312"/>
          <w:b w:val="0"/>
          <w:bCs w:val="0"/>
          <w:color w:val="auto"/>
          <w:highlight w:val="none"/>
        </w:rPr>
        <w:t>政拨款收入支出决算总表</w:t>
      </w:r>
      <w:bookmarkEnd w:id="56"/>
      <w:bookmarkEnd w:id="57"/>
    </w:p>
    <w:p>
      <w:pPr>
        <w:pStyle w:val="4"/>
        <w:rPr>
          <w:rStyle w:val="21"/>
          <w:rFonts w:hint="eastAsia" w:ascii="仿宋_GB2312" w:hAnsi="仿宋_GB2312" w:eastAsia="仿宋_GB2312" w:cs="仿宋_GB2312"/>
          <w:b w:val="0"/>
          <w:bCs w:val="0"/>
          <w:color w:val="auto"/>
          <w:highlight w:val="none"/>
        </w:rPr>
      </w:pPr>
      <w:bookmarkStart w:id="58" w:name="_Toc1506360359"/>
      <w:bookmarkStart w:id="59" w:name="_Toc15396623"/>
      <w:r>
        <w:rPr>
          <w:rStyle w:val="21"/>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21"/>
          <w:rFonts w:hint="eastAsia" w:ascii="仿宋_GB2312" w:hAnsi="仿宋_GB2312" w:eastAsia="仿宋_GB2312" w:cs="仿宋_GB2312"/>
          <w:b w:val="0"/>
          <w:bCs w:val="0"/>
          <w:color w:val="auto"/>
          <w:highlight w:val="none"/>
        </w:rPr>
        <w:t>政拨款支出决算明细表</w:t>
      </w:r>
      <w:bookmarkEnd w:id="58"/>
      <w:bookmarkEnd w:id="59"/>
      <w:bookmarkStart w:id="60" w:name="_Toc15396624"/>
    </w:p>
    <w:p>
      <w:pPr>
        <w:pStyle w:val="4"/>
        <w:rPr>
          <w:rFonts w:hint="eastAsia" w:ascii="仿宋_GB2312" w:hAnsi="仿宋_GB2312" w:eastAsia="仿宋_GB2312" w:cs="仿宋_GB2312"/>
          <w:color w:val="auto"/>
          <w:highlight w:val="none"/>
        </w:rPr>
      </w:pPr>
      <w:bookmarkStart w:id="61" w:name="_Toc1190470619"/>
      <w:r>
        <w:rPr>
          <w:rStyle w:val="21"/>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般公共预算财政拨款支出决算表</w:t>
      </w:r>
      <w:bookmarkEnd w:id="60"/>
      <w:bookmarkEnd w:id="61"/>
    </w:p>
    <w:p>
      <w:pPr>
        <w:pStyle w:val="4"/>
        <w:rPr>
          <w:rFonts w:hint="eastAsia" w:ascii="仿宋_GB2312" w:hAnsi="仿宋_GB2312" w:eastAsia="仿宋_GB2312" w:cs="仿宋_GB2312"/>
          <w:color w:val="auto"/>
          <w:highlight w:val="none"/>
        </w:rPr>
      </w:pPr>
      <w:bookmarkStart w:id="62" w:name="_Toc2107582711"/>
      <w:bookmarkStart w:id="63" w:name="_Toc15396625"/>
      <w:r>
        <w:rPr>
          <w:rStyle w:val="21"/>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般公共预算财政拨款支出决算明细表</w:t>
      </w:r>
      <w:bookmarkEnd w:id="62"/>
      <w:bookmarkEnd w:id="63"/>
    </w:p>
    <w:p>
      <w:pPr>
        <w:pStyle w:val="4"/>
        <w:rPr>
          <w:rFonts w:hint="eastAsia" w:ascii="仿宋_GB2312" w:hAnsi="仿宋_GB2312" w:eastAsia="仿宋_GB2312" w:cs="仿宋_GB2312"/>
          <w:color w:val="auto"/>
          <w:highlight w:val="none"/>
        </w:rPr>
      </w:pPr>
      <w:bookmarkStart w:id="64" w:name="_Toc2066462068"/>
      <w:bookmarkStart w:id="65" w:name="_Toc15396626"/>
      <w:r>
        <w:rPr>
          <w:rStyle w:val="21"/>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般公共预算财政拨款基本支出决算表</w:t>
      </w:r>
      <w:bookmarkEnd w:id="64"/>
      <w:bookmarkEnd w:id="65"/>
    </w:p>
    <w:p>
      <w:pPr>
        <w:pStyle w:val="4"/>
        <w:rPr>
          <w:rFonts w:hint="eastAsia" w:ascii="仿宋_GB2312" w:hAnsi="仿宋_GB2312" w:eastAsia="仿宋_GB2312" w:cs="仿宋_GB2312"/>
          <w:color w:val="auto"/>
          <w:highlight w:val="none"/>
        </w:rPr>
      </w:pPr>
      <w:bookmarkStart w:id="66" w:name="_Toc978984965"/>
      <w:bookmarkStart w:id="67" w:name="_Toc15396627"/>
      <w:r>
        <w:rPr>
          <w:rStyle w:val="21"/>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般公共预算财政拨款项目支出决算表</w:t>
      </w:r>
      <w:bookmarkEnd w:id="66"/>
      <w:bookmarkEnd w:id="67"/>
    </w:p>
    <w:p>
      <w:pPr>
        <w:pStyle w:val="4"/>
        <w:rPr>
          <w:rFonts w:hint="eastAsia" w:ascii="仿宋_GB2312" w:hAnsi="仿宋_GB2312" w:eastAsia="仿宋_GB2312" w:cs="仿宋_GB2312"/>
          <w:color w:val="auto"/>
          <w:highlight w:val="none"/>
        </w:rPr>
      </w:pPr>
      <w:bookmarkStart w:id="68" w:name="_Toc15396628"/>
      <w:bookmarkStart w:id="69" w:name="_Toc1810063473"/>
      <w:r>
        <w:rPr>
          <w:rStyle w:val="21"/>
          <w:rFonts w:hint="eastAsia" w:ascii="仿宋_GB2312" w:hAnsi="仿宋_GB2312" w:eastAsia="仿宋_GB2312" w:cs="仿宋_GB2312"/>
          <w:b w:val="0"/>
          <w:bCs w:val="0"/>
          <w:color w:val="auto"/>
          <w:highlight w:val="none"/>
        </w:rPr>
        <w:t>十、</w:t>
      </w:r>
      <w:bookmarkEnd w:id="68"/>
      <w:r>
        <w:rPr>
          <w:rFonts w:hint="eastAsia" w:ascii="仿宋_GB2312" w:hAnsi="仿宋_GB2312" w:eastAsia="仿宋_GB2312" w:cs="仿宋_GB2312"/>
          <w:b w:val="0"/>
          <w:color w:val="auto"/>
          <w:highlight w:val="none"/>
        </w:rPr>
        <w:t>政</w:t>
      </w:r>
      <w:r>
        <w:rPr>
          <w:rStyle w:val="21"/>
          <w:rFonts w:hint="eastAsia" w:ascii="仿宋_GB2312" w:hAnsi="仿宋_GB2312" w:eastAsia="仿宋_GB2312" w:cs="仿宋_GB2312"/>
          <w:b w:val="0"/>
          <w:bCs w:val="0"/>
          <w:color w:val="auto"/>
          <w:highlight w:val="none"/>
        </w:rPr>
        <w:t>府性基金预算财政拨款收入支出决算表</w:t>
      </w:r>
      <w:bookmarkEnd w:id="69"/>
    </w:p>
    <w:p>
      <w:pPr>
        <w:pStyle w:val="4"/>
        <w:rPr>
          <w:rFonts w:hint="eastAsia" w:ascii="仿宋_GB2312" w:hAnsi="仿宋_GB2312" w:eastAsia="仿宋_GB2312" w:cs="仿宋_GB2312"/>
          <w:color w:val="auto"/>
          <w:highlight w:val="none"/>
        </w:rPr>
      </w:pPr>
      <w:bookmarkStart w:id="70" w:name="_Toc15396629"/>
      <w:bookmarkStart w:id="71" w:name="_Toc307111675"/>
      <w:r>
        <w:rPr>
          <w:rStyle w:val="21"/>
          <w:rFonts w:hint="eastAsia" w:ascii="仿宋_GB2312" w:hAnsi="仿宋_GB2312" w:eastAsia="仿宋_GB2312" w:cs="仿宋_GB2312"/>
          <w:b w:val="0"/>
          <w:bCs w:val="0"/>
          <w:color w:val="auto"/>
          <w:highlight w:val="none"/>
        </w:rPr>
        <w:t>十一、</w:t>
      </w:r>
      <w:bookmarkEnd w:id="70"/>
      <w:r>
        <w:rPr>
          <w:rFonts w:hint="eastAsia" w:ascii="仿宋_GB2312" w:hAnsi="仿宋_GB2312" w:eastAsia="仿宋_GB2312" w:cs="仿宋_GB2312"/>
          <w:b w:val="0"/>
          <w:color w:val="auto"/>
          <w:highlight w:val="none"/>
        </w:rPr>
        <w:t>国</w:t>
      </w:r>
      <w:r>
        <w:rPr>
          <w:rStyle w:val="21"/>
          <w:rFonts w:hint="eastAsia" w:ascii="仿宋_GB2312" w:hAnsi="仿宋_GB2312" w:eastAsia="仿宋_GB2312" w:cs="仿宋_GB2312"/>
          <w:b w:val="0"/>
          <w:bCs w:val="0"/>
          <w:color w:val="auto"/>
          <w:highlight w:val="none"/>
        </w:rPr>
        <w:t>有资本经营预算</w:t>
      </w:r>
      <w:r>
        <w:rPr>
          <w:rStyle w:val="21"/>
          <w:rFonts w:hint="eastAsia" w:ascii="仿宋_GB2312" w:hAnsi="仿宋_GB2312" w:eastAsia="仿宋_GB2312" w:cs="仿宋_GB2312"/>
          <w:b w:val="0"/>
          <w:bCs w:val="0"/>
          <w:color w:val="auto"/>
          <w:highlight w:val="none"/>
          <w:lang w:eastAsia="zh-CN"/>
        </w:rPr>
        <w:t>财政拨款收入</w:t>
      </w:r>
      <w:r>
        <w:rPr>
          <w:rStyle w:val="21"/>
          <w:rFonts w:hint="eastAsia" w:ascii="仿宋_GB2312" w:hAnsi="仿宋_GB2312" w:eastAsia="仿宋_GB2312" w:cs="仿宋_GB2312"/>
          <w:b w:val="0"/>
          <w:bCs w:val="0"/>
          <w:color w:val="auto"/>
          <w:highlight w:val="none"/>
        </w:rPr>
        <w:t>支出决算表</w:t>
      </w:r>
      <w:bookmarkEnd w:id="71"/>
    </w:p>
    <w:p>
      <w:pPr>
        <w:pStyle w:val="4"/>
        <w:rPr>
          <w:rFonts w:hint="eastAsia" w:ascii="仿宋_GB2312" w:hAnsi="仿宋_GB2312" w:eastAsia="仿宋_GB2312" w:cs="仿宋_GB2312"/>
          <w:color w:val="auto"/>
          <w:highlight w:val="none"/>
        </w:rPr>
      </w:pPr>
      <w:bookmarkStart w:id="72" w:name="_Toc15396630"/>
      <w:bookmarkStart w:id="73" w:name="_Toc1751225771"/>
      <w:r>
        <w:rPr>
          <w:rStyle w:val="21"/>
          <w:rFonts w:hint="eastAsia" w:ascii="仿宋_GB2312" w:hAnsi="仿宋_GB2312" w:eastAsia="仿宋_GB2312" w:cs="仿宋_GB2312"/>
          <w:b w:val="0"/>
          <w:bCs w:val="0"/>
          <w:color w:val="auto"/>
          <w:highlight w:val="none"/>
        </w:rPr>
        <w:t>十二、</w:t>
      </w:r>
      <w:bookmarkEnd w:id="72"/>
      <w:r>
        <w:rPr>
          <w:rStyle w:val="21"/>
          <w:rFonts w:hint="eastAsia" w:ascii="仿宋_GB2312" w:hAnsi="仿宋_GB2312" w:eastAsia="仿宋_GB2312" w:cs="仿宋_GB2312"/>
          <w:b w:val="0"/>
          <w:bCs w:val="0"/>
          <w:color w:val="auto"/>
          <w:highlight w:val="none"/>
          <w:lang w:eastAsia="zh-CN"/>
        </w:rPr>
        <w:t>国有资本经营预算财政拨款支出决算表</w:t>
      </w:r>
      <w:bookmarkEnd w:id="73"/>
    </w:p>
    <w:p>
      <w:bookmarkStart w:id="74" w:name="_Toc15396631"/>
      <w:bookmarkStart w:id="75" w:name="_Toc1785915781"/>
      <w:r>
        <w:rPr>
          <w:rStyle w:val="21"/>
          <w:rFonts w:hint="eastAsia" w:ascii="仿宋_GB2312" w:hAnsi="仿宋_GB2312" w:eastAsia="仿宋_GB2312" w:cs="仿宋_GB2312"/>
          <w:b w:val="0"/>
          <w:bCs w:val="0"/>
          <w:color w:val="auto"/>
          <w:highlight w:val="none"/>
        </w:rPr>
        <w:t>十三、</w:t>
      </w:r>
      <w:bookmarkEnd w:id="74"/>
      <w:r>
        <w:rPr>
          <w:rStyle w:val="21"/>
          <w:rFonts w:hint="eastAsia" w:ascii="仿宋_GB2312" w:hAnsi="仿宋_GB2312" w:eastAsia="仿宋_GB2312" w:cs="仿宋_GB2312"/>
          <w:b w:val="0"/>
          <w:bCs w:val="0"/>
          <w:color w:val="auto"/>
          <w:highlight w:val="none"/>
          <w:lang w:eastAsia="zh-CN"/>
        </w:rPr>
        <w:t>财政拨款“三公”经费支出决算表</w:t>
      </w:r>
      <w:bookmarkEnd w:id="75"/>
    </w:p>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script"/>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Arial" w:hAnsi="Arial" w:cs="Arial"/>
        <w:sz w:val="24"/>
        <w:szCs w:val="24"/>
      </w:rP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Arial" w:hAnsi="Arial" w:cs="Arial"/>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aGmCS9MAAAAFAQAADwAAAAAAAAABACAAAAA4AAAA&#10;ZHJzL2Rvd25yZXYueG1sUEsBAhQAFAAAAAgAh07iQPDpHYq9AQAAXAMAAA4AAAAAAAAAAQAgAAAA&#10;OAEAAGRycy9lMm9Eb2MueG1sUEsFBgAAAAAGAAYAWQEAAGcFAAAAAA==&#10;">
              <v:fill on="f" focussize="0,0"/>
              <v:stroke on="f" weight="1.25pt"/>
              <v:imagedata o:title=""/>
              <o:lock v:ext="edit" aspectratio="f"/>
              <v:textbox inset="0mm,0mm,0mm,0mm" style="mso-fit-shape-to-text:t;">
                <w:txbxContent>
                  <w:p>
                    <w:pPr>
                      <w:pStyle w:val="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86FA5"/>
    <w:multiLevelType w:val="singleLevel"/>
    <w:tmpl w:val="83186FA5"/>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EEF37BD"/>
    <w:multiLevelType w:val="singleLevel"/>
    <w:tmpl w:val="EEEF37BD"/>
    <w:lvl w:ilvl="0" w:tentative="0">
      <w:start w:val="2"/>
      <w:numFmt w:val="chineseCounting"/>
      <w:suff w:val="nothing"/>
      <w:lvlText w:val="（%1）"/>
      <w:lvlJc w:val="left"/>
      <w:rPr>
        <w:rFonts w:hint="eastAsia"/>
      </w:rPr>
    </w:lvl>
  </w:abstractNum>
  <w:abstractNum w:abstractNumId="3">
    <w:nsid w:val="EEF94FAB"/>
    <w:multiLevelType w:val="singleLevel"/>
    <w:tmpl w:val="EEF94FAB"/>
    <w:lvl w:ilvl="0" w:tentative="0">
      <w:start w:val="5"/>
      <w:numFmt w:val="chineseCounting"/>
      <w:suff w:val="nothing"/>
      <w:lvlText w:val="%1、"/>
      <w:lvlJc w:val="left"/>
      <w:rPr>
        <w:rFonts w:hint="eastAsia"/>
      </w:rPr>
    </w:lvl>
  </w:abstractNum>
  <w:abstractNum w:abstractNumId="4">
    <w:nsid w:val="EF6F57EF"/>
    <w:multiLevelType w:val="singleLevel"/>
    <w:tmpl w:val="EF6F57EF"/>
    <w:lvl w:ilvl="0" w:tentative="0">
      <w:start w:val="4"/>
      <w:numFmt w:val="chineseCounting"/>
      <w:suff w:val="space"/>
      <w:lvlText w:val="第%1部分"/>
      <w:lvlJc w:val="left"/>
      <w:rPr>
        <w:rFonts w:hint="eastAsia"/>
      </w:rPr>
    </w:lvl>
  </w:abstractNum>
  <w:abstractNum w:abstractNumId="5">
    <w:nsid w:val="78FB5ED3"/>
    <w:multiLevelType w:val="singleLevel"/>
    <w:tmpl w:val="78FB5ED3"/>
    <w:lvl w:ilvl="0" w:tentative="0">
      <w:start w:val="1"/>
      <w:numFmt w:val="decimal"/>
      <w:suff w:val="nothing"/>
      <w:lvlText w:val="%1．"/>
      <w:lvlJc w:val="left"/>
      <w:pPr>
        <w:ind w:left="0" w:firstLine="400"/>
      </w:pPr>
      <w:rPr>
        <w:rFonts w:hint="default"/>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MzhjYTcxN2YxZGYyYmQ5ZDhlNmM4NDI3NmQzNmIifQ=="/>
  </w:docVars>
  <w:rsids>
    <w:rsidRoot w:val="7F3720F0"/>
    <w:rsid w:val="02126424"/>
    <w:rsid w:val="06AEC4B4"/>
    <w:rsid w:val="08393BA7"/>
    <w:rsid w:val="0871262C"/>
    <w:rsid w:val="0CF51947"/>
    <w:rsid w:val="0ED76E23"/>
    <w:rsid w:val="0F6F1AF3"/>
    <w:rsid w:val="0FED7751"/>
    <w:rsid w:val="0FFA5C25"/>
    <w:rsid w:val="11A454C7"/>
    <w:rsid w:val="1211658E"/>
    <w:rsid w:val="12A75CD9"/>
    <w:rsid w:val="136C64DB"/>
    <w:rsid w:val="174D067B"/>
    <w:rsid w:val="1767EC87"/>
    <w:rsid w:val="177D624C"/>
    <w:rsid w:val="19775AC2"/>
    <w:rsid w:val="198472B0"/>
    <w:rsid w:val="1CED452B"/>
    <w:rsid w:val="1E094AED"/>
    <w:rsid w:val="1F816607"/>
    <w:rsid w:val="1FD638AF"/>
    <w:rsid w:val="2131602D"/>
    <w:rsid w:val="253B256B"/>
    <w:rsid w:val="25F7554A"/>
    <w:rsid w:val="26E8081A"/>
    <w:rsid w:val="28BF09DE"/>
    <w:rsid w:val="290E3720"/>
    <w:rsid w:val="2A4E38F9"/>
    <w:rsid w:val="2D2E75B0"/>
    <w:rsid w:val="2DFFB035"/>
    <w:rsid w:val="2EDED04D"/>
    <w:rsid w:val="2EFA7E4F"/>
    <w:rsid w:val="2FF6F5E7"/>
    <w:rsid w:val="2FFE765E"/>
    <w:rsid w:val="33548B2C"/>
    <w:rsid w:val="33CB2D29"/>
    <w:rsid w:val="368E4F3A"/>
    <w:rsid w:val="39DB7920"/>
    <w:rsid w:val="3A2B43BC"/>
    <w:rsid w:val="3B15796E"/>
    <w:rsid w:val="3BFF151B"/>
    <w:rsid w:val="3CBF23F6"/>
    <w:rsid w:val="3D7E3CA7"/>
    <w:rsid w:val="3DEC1C86"/>
    <w:rsid w:val="3DEDEA75"/>
    <w:rsid w:val="3E9F7F53"/>
    <w:rsid w:val="3F6F2574"/>
    <w:rsid w:val="3FDD74E9"/>
    <w:rsid w:val="3FE74985"/>
    <w:rsid w:val="3FEF6C8B"/>
    <w:rsid w:val="3FF3D470"/>
    <w:rsid w:val="3FF65578"/>
    <w:rsid w:val="3FFF84F9"/>
    <w:rsid w:val="43FF94FA"/>
    <w:rsid w:val="447F5D46"/>
    <w:rsid w:val="44DFC1DC"/>
    <w:rsid w:val="45572B91"/>
    <w:rsid w:val="48AD79E8"/>
    <w:rsid w:val="49402257"/>
    <w:rsid w:val="499C2DA3"/>
    <w:rsid w:val="4DFF015C"/>
    <w:rsid w:val="4ED24BF2"/>
    <w:rsid w:val="4FDCB2AA"/>
    <w:rsid w:val="4FFF26C8"/>
    <w:rsid w:val="50C20B64"/>
    <w:rsid w:val="50E373F7"/>
    <w:rsid w:val="51DF1DD9"/>
    <w:rsid w:val="54DB083B"/>
    <w:rsid w:val="56893385"/>
    <w:rsid w:val="56EB3FA6"/>
    <w:rsid w:val="57B4EB9F"/>
    <w:rsid w:val="57D3E111"/>
    <w:rsid w:val="57DE9368"/>
    <w:rsid w:val="59B74B14"/>
    <w:rsid w:val="5A424A86"/>
    <w:rsid w:val="5B3DA263"/>
    <w:rsid w:val="5B861F55"/>
    <w:rsid w:val="5B941DAD"/>
    <w:rsid w:val="5BCE3576"/>
    <w:rsid w:val="5BD631BA"/>
    <w:rsid w:val="5BFBB8B5"/>
    <w:rsid w:val="5DA865A8"/>
    <w:rsid w:val="5EFC929B"/>
    <w:rsid w:val="5F5DAC2C"/>
    <w:rsid w:val="5FF73C8D"/>
    <w:rsid w:val="5FFBDA31"/>
    <w:rsid w:val="5FFF4FC9"/>
    <w:rsid w:val="637FDA01"/>
    <w:rsid w:val="6745C536"/>
    <w:rsid w:val="67BFEC6A"/>
    <w:rsid w:val="67E873BF"/>
    <w:rsid w:val="67FF0912"/>
    <w:rsid w:val="67FFAAE9"/>
    <w:rsid w:val="686B3F10"/>
    <w:rsid w:val="69480CB5"/>
    <w:rsid w:val="6A970118"/>
    <w:rsid w:val="6AAF03FE"/>
    <w:rsid w:val="6C7FB782"/>
    <w:rsid w:val="6D54DC25"/>
    <w:rsid w:val="6ECE9107"/>
    <w:rsid w:val="6F3E886A"/>
    <w:rsid w:val="6F4F5B18"/>
    <w:rsid w:val="6F67F04C"/>
    <w:rsid w:val="6FCA2D2B"/>
    <w:rsid w:val="6FCF8C37"/>
    <w:rsid w:val="6FE0FA25"/>
    <w:rsid w:val="733D60BC"/>
    <w:rsid w:val="7397F338"/>
    <w:rsid w:val="73E4502A"/>
    <w:rsid w:val="73F6C9AD"/>
    <w:rsid w:val="73FB36D9"/>
    <w:rsid w:val="74550902"/>
    <w:rsid w:val="75FA536C"/>
    <w:rsid w:val="75FF744B"/>
    <w:rsid w:val="75FFB3A6"/>
    <w:rsid w:val="75FFC324"/>
    <w:rsid w:val="75FFEF43"/>
    <w:rsid w:val="767EFC8C"/>
    <w:rsid w:val="76BF0AF5"/>
    <w:rsid w:val="76DF06D9"/>
    <w:rsid w:val="76EE0A8A"/>
    <w:rsid w:val="76FE384F"/>
    <w:rsid w:val="77558D02"/>
    <w:rsid w:val="77BF6A30"/>
    <w:rsid w:val="77E164A6"/>
    <w:rsid w:val="77EF026D"/>
    <w:rsid w:val="77FD9581"/>
    <w:rsid w:val="77FFF1D6"/>
    <w:rsid w:val="78176D2A"/>
    <w:rsid w:val="795229CA"/>
    <w:rsid w:val="795D8776"/>
    <w:rsid w:val="7974FA7B"/>
    <w:rsid w:val="79DDF0E9"/>
    <w:rsid w:val="7A272045"/>
    <w:rsid w:val="7ABF3DD5"/>
    <w:rsid w:val="7ADF18CF"/>
    <w:rsid w:val="7B7FD141"/>
    <w:rsid w:val="7CD00437"/>
    <w:rsid w:val="7D4F9BE2"/>
    <w:rsid w:val="7D6FCA88"/>
    <w:rsid w:val="7DFD9EF8"/>
    <w:rsid w:val="7E77FAB1"/>
    <w:rsid w:val="7E7AA8B1"/>
    <w:rsid w:val="7E8F3F94"/>
    <w:rsid w:val="7EDB3F6F"/>
    <w:rsid w:val="7EDDC821"/>
    <w:rsid w:val="7EEEF4C6"/>
    <w:rsid w:val="7EFF8878"/>
    <w:rsid w:val="7F3720F0"/>
    <w:rsid w:val="7F5B7482"/>
    <w:rsid w:val="7F736EED"/>
    <w:rsid w:val="7F7FF874"/>
    <w:rsid w:val="7F97A750"/>
    <w:rsid w:val="7F9F959F"/>
    <w:rsid w:val="7FAA0F67"/>
    <w:rsid w:val="7FABAAF2"/>
    <w:rsid w:val="7FB53B08"/>
    <w:rsid w:val="7FD7EC35"/>
    <w:rsid w:val="7FDBE942"/>
    <w:rsid w:val="7FDF2B09"/>
    <w:rsid w:val="7FDF4A2C"/>
    <w:rsid w:val="7FDF82F6"/>
    <w:rsid w:val="7FE1FBEC"/>
    <w:rsid w:val="7FEC7013"/>
    <w:rsid w:val="7FEDBAE1"/>
    <w:rsid w:val="7FEF1112"/>
    <w:rsid w:val="7FEF220D"/>
    <w:rsid w:val="7FEF374F"/>
    <w:rsid w:val="7FF73E9A"/>
    <w:rsid w:val="7FFE92FB"/>
    <w:rsid w:val="7FFEA3E0"/>
    <w:rsid w:val="7FFF8DB6"/>
    <w:rsid w:val="7FFFDC84"/>
    <w:rsid w:val="97BDE161"/>
    <w:rsid w:val="995731F1"/>
    <w:rsid w:val="99DF0E89"/>
    <w:rsid w:val="9B7F7452"/>
    <w:rsid w:val="9F7F1103"/>
    <w:rsid w:val="9FFD683A"/>
    <w:rsid w:val="A7FD0564"/>
    <w:rsid w:val="A7FEBE67"/>
    <w:rsid w:val="A87CC160"/>
    <w:rsid w:val="A9DE10F0"/>
    <w:rsid w:val="AF1775A6"/>
    <w:rsid w:val="AF79F247"/>
    <w:rsid w:val="B377083D"/>
    <w:rsid w:val="B3B3E66C"/>
    <w:rsid w:val="B73FAD46"/>
    <w:rsid w:val="BAFFFB6F"/>
    <w:rsid w:val="BBD31FC3"/>
    <w:rsid w:val="BBDF79C6"/>
    <w:rsid w:val="BBEF3CEE"/>
    <w:rsid w:val="BBFD5397"/>
    <w:rsid w:val="BD5B815B"/>
    <w:rsid w:val="BE8E0083"/>
    <w:rsid w:val="C1EE7A13"/>
    <w:rsid w:val="C7F6A33D"/>
    <w:rsid w:val="CCD308FE"/>
    <w:rsid w:val="CEFB2F54"/>
    <w:rsid w:val="CF267801"/>
    <w:rsid w:val="CFCDAD70"/>
    <w:rsid w:val="D576E47D"/>
    <w:rsid w:val="D9B77199"/>
    <w:rsid w:val="DBBFA632"/>
    <w:rsid w:val="DBCDFD6B"/>
    <w:rsid w:val="DCF770AA"/>
    <w:rsid w:val="DD1EC1E3"/>
    <w:rsid w:val="DEB7B66D"/>
    <w:rsid w:val="DEBF9BEA"/>
    <w:rsid w:val="DFBFBF50"/>
    <w:rsid w:val="DFEF2E1F"/>
    <w:rsid w:val="DFF47B47"/>
    <w:rsid w:val="E3FFAC2E"/>
    <w:rsid w:val="E4E4E6FA"/>
    <w:rsid w:val="E5FF9B27"/>
    <w:rsid w:val="E6983608"/>
    <w:rsid w:val="E87D81F4"/>
    <w:rsid w:val="EA59EC1F"/>
    <w:rsid w:val="EBBFD11A"/>
    <w:rsid w:val="ED7367FF"/>
    <w:rsid w:val="EDBF50E5"/>
    <w:rsid w:val="EDFEE5A0"/>
    <w:rsid w:val="EE993AFD"/>
    <w:rsid w:val="EFE0A343"/>
    <w:rsid w:val="EFFF2B3B"/>
    <w:rsid w:val="EFFF667C"/>
    <w:rsid w:val="F2B5C160"/>
    <w:rsid w:val="F2C32AA8"/>
    <w:rsid w:val="F31DFC49"/>
    <w:rsid w:val="F3FC2F20"/>
    <w:rsid w:val="F5DE3122"/>
    <w:rsid w:val="F63FEB23"/>
    <w:rsid w:val="F6FE84F9"/>
    <w:rsid w:val="F7BCBBE3"/>
    <w:rsid w:val="F7F7109D"/>
    <w:rsid w:val="F8BD4318"/>
    <w:rsid w:val="FB5DEA51"/>
    <w:rsid w:val="FBBE0E9E"/>
    <w:rsid w:val="FBFB4161"/>
    <w:rsid w:val="FBFC4584"/>
    <w:rsid w:val="FD3E1C31"/>
    <w:rsid w:val="FDBEED8B"/>
    <w:rsid w:val="FEAE7004"/>
    <w:rsid w:val="FEF6583F"/>
    <w:rsid w:val="FEF688D2"/>
    <w:rsid w:val="FF7F5B15"/>
    <w:rsid w:val="FF7FAD2B"/>
    <w:rsid w:val="FF8C5303"/>
    <w:rsid w:val="FFBD924D"/>
    <w:rsid w:val="FFBF90A2"/>
    <w:rsid w:val="FFF340D0"/>
    <w:rsid w:val="FFFBF10D"/>
    <w:rsid w:val="FFFFA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before="100" w:beforeAutospacing="1" w:after="100" w:afterAutospacing="1"/>
      <w:jc w:val="left"/>
    </w:pPr>
    <w:rPr>
      <w:rFonts w:ascii="宋体" w:hAnsi="宋体" w:cs="宋体"/>
      <w:kern w:val="0"/>
      <w:sz w:val="24"/>
    </w:rPr>
  </w:style>
  <w:style w:type="paragraph" w:styleId="5">
    <w:name w:val="index 5"/>
    <w:basedOn w:val="1"/>
    <w:next w:val="1"/>
    <w:qFormat/>
    <w:uiPriority w:val="0"/>
    <w:pPr>
      <w:widowControl w:val="0"/>
      <w:spacing w:line="360" w:lineRule="auto"/>
      <w:ind w:left="1680" w:firstLine="200" w:firstLineChars="200"/>
      <w:jc w:val="left"/>
    </w:pPr>
    <w:rPr>
      <w:rFonts w:ascii="方正黑体_GBK" w:eastAsia="方正黑体_GBK" w:cs="Times New Roman"/>
      <w:kern w:val="2"/>
      <w:sz w:val="32"/>
      <w:szCs w:val="32"/>
      <w:lang w:val="en-US" w:eastAsia="zh-CN" w:bidi="ar-SA"/>
    </w:rPr>
  </w:style>
  <w:style w:type="paragraph" w:styleId="6">
    <w:name w:val="Body Text Indent"/>
    <w:basedOn w:val="1"/>
    <w:qFormat/>
    <w:uiPriority w:val="0"/>
    <w:pPr>
      <w:spacing w:after="120"/>
      <w:ind w:leftChars="200"/>
    </w:pPr>
    <w:rPr>
      <w:rFonts w:ascii="仿宋_GB2312"/>
      <w:szCs w:val="32"/>
    </w:rPr>
  </w:style>
  <w:style w:type="paragraph" w:styleId="7">
    <w:name w:val="Plain Text"/>
    <w:basedOn w:val="1"/>
    <w:qFormat/>
    <w:uiPriority w:val="0"/>
    <w:pPr>
      <w:suppressAutoHyphens w:val="0"/>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Body Text 2"/>
    <w:basedOn w:val="1"/>
    <w:qFormat/>
    <w:uiPriority w:val="0"/>
    <w:pPr>
      <w:spacing w:after="120" w:line="480" w:lineRule="auto"/>
    </w:pPr>
    <w:rPr>
      <w:rFonts w:eastAsia="仿宋_GB2312"/>
      <w:sz w:val="32"/>
      <w:szCs w:val="20"/>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6"/>
    <w:next w:val="1"/>
    <w:unhideWhenUsed/>
    <w:qFormat/>
    <w:uiPriority w:val="99"/>
    <w:pPr>
      <w:ind w:firstLine="420" w:firstLineChars="200"/>
    </w:pPr>
  </w:style>
  <w:style w:type="character" w:styleId="18">
    <w:name w:val="Strong"/>
    <w:basedOn w:val="17"/>
    <w:qFormat/>
    <w:uiPriority w:val="99"/>
    <w:rPr>
      <w:b/>
    </w:rPr>
  </w:style>
  <w:style w:type="character" w:styleId="19">
    <w:name w:val="Emphasis"/>
    <w:basedOn w:val="17"/>
    <w:qFormat/>
    <w:uiPriority w:val="0"/>
    <w:rPr>
      <w:i/>
    </w:rPr>
  </w:style>
  <w:style w:type="character" w:customStyle="1" w:styleId="20">
    <w:name w:val="标题 1 Char"/>
    <w:basedOn w:val="17"/>
    <w:link w:val="3"/>
    <w:qFormat/>
    <w:uiPriority w:val="9"/>
    <w:rPr>
      <w:b/>
      <w:bCs/>
      <w:kern w:val="44"/>
      <w:sz w:val="44"/>
      <w:szCs w:val="44"/>
    </w:rPr>
  </w:style>
  <w:style w:type="character" w:customStyle="1" w:styleId="21">
    <w:name w:val="标题 2 Char"/>
    <w:basedOn w:val="17"/>
    <w:link w:val="4"/>
    <w:qFormat/>
    <w:uiPriority w:val="9"/>
    <w:rPr>
      <w:rFonts w:ascii="Cambria" w:hAnsi="Cambria" w:eastAsia="宋体" w:cs="Times New Roman"/>
      <w:b/>
      <w:bCs/>
      <w:sz w:val="32"/>
      <w:szCs w:val="32"/>
    </w:rPr>
  </w:style>
  <w:style w:type="paragraph" w:styleId="22">
    <w:name w:val="List Paragraph"/>
    <w:basedOn w:val="1"/>
    <w:qFormat/>
    <w:uiPriority w:val="34"/>
    <w:pPr>
      <w:ind w:firstLine="420" w:firstLineChars="200"/>
    </w:pPr>
  </w:style>
  <w:style w:type="character" w:customStyle="1" w:styleId="23">
    <w:name w:val="font91"/>
    <w:basedOn w:val="17"/>
    <w:qFormat/>
    <w:uiPriority w:val="0"/>
    <w:rPr>
      <w:rFonts w:ascii="Arial" w:hAnsi="Arial" w:cs="Arial"/>
      <w:color w:val="000000"/>
      <w:sz w:val="18"/>
      <w:szCs w:val="18"/>
      <w:u w:val="none"/>
    </w:rPr>
  </w:style>
  <w:style w:type="character" w:customStyle="1" w:styleId="24">
    <w:name w:val="font51"/>
    <w:basedOn w:val="17"/>
    <w:qFormat/>
    <w:uiPriority w:val="0"/>
    <w:rPr>
      <w:rFonts w:hint="default" w:ascii="黑体" w:hAnsi="黑体" w:eastAsia="黑体" w:cs="黑体"/>
      <w:color w:val="000000"/>
      <w:sz w:val="18"/>
      <w:szCs w:val="18"/>
      <w:u w:val="none"/>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 w:type="paragraph" w:customStyle="1" w:styleId="27">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29">
    <w:name w:val="正文2"/>
    <w:basedOn w:val="1"/>
    <w:next w:val="1"/>
    <w:qFormat/>
    <w:uiPriority w:val="0"/>
  </w:style>
  <w:style w:type="character" w:customStyle="1" w:styleId="30">
    <w:name w:val="font71"/>
    <w:basedOn w:val="17"/>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Sheet1!#REF!</c:f>
              <c:strCache>
                <c:ptCount val="1"/>
                <c:pt idx="0">
                  <c:v/>
                </c:pt>
              </c:strCache>
            </c:strRef>
          </c:tx>
          <c:spPr>
            <a:solidFill>
              <a:schemeClr val="accent1"/>
            </a:solidFill>
            <a:ln>
              <a:noFill/>
            </a:ln>
            <a:effectLst/>
          </c:spPr>
          <c:invertIfNegative val="false"/>
          <c:dLbls>
            <c:delete val="true"/>
          </c:dLbls>
          <c:cat>
            <c:strRef>
              <c:f>Sheet1!$A$1:$A$2</c:f>
              <c:strCache>
                <c:ptCount val="2"/>
                <c:pt idx="0">
                  <c:v>2022年</c:v>
                </c:pt>
                <c:pt idx="1">
                  <c:v>2023年</c:v>
                </c:pt>
              </c:strCache>
            </c:strRef>
          </c:cat>
          <c:val>
            <c:numRef>
              <c:f>Sheet1!$B$1:$B$2</c:f>
              <c:numCache>
                <c:formatCode>General</c:formatCode>
                <c:ptCount val="2"/>
                <c:pt idx="0">
                  <c:v>522.06</c:v>
                </c:pt>
                <c:pt idx="1">
                  <c:v>528.67</c:v>
                </c:pt>
              </c:numCache>
            </c:numRef>
          </c:val>
        </c:ser>
        <c:ser>
          <c:idx val="1"/>
          <c:order val="1"/>
          <c:tx>
            <c:strRef>
              <c:f>Sheet1!#REF!</c:f>
              <c:strCache>
                <c:ptCount val="1"/>
                <c:pt idx="0">
                  <c:v/>
                </c:pt>
              </c:strCache>
            </c:strRef>
          </c:tx>
          <c:spPr>
            <a:solidFill>
              <a:schemeClr val="accent2"/>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19"/>
        <c:overlap val="-27"/>
        <c:axId val="577841591"/>
        <c:axId val="320846604"/>
      </c:barChart>
      <c:catAx>
        <c:axId val="57784159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20846604"/>
        <c:crosses val="autoZero"/>
        <c:auto val="true"/>
        <c:lblAlgn val="ctr"/>
        <c:lblOffset val="100"/>
        <c:noMultiLvlLbl val="false"/>
      </c:catAx>
      <c:valAx>
        <c:axId val="32084660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77841591"/>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2023年收入</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elete val="true"/>
          </c:dLbls>
          <c:cat>
            <c:strRef>
              <c:f>Sheet1!$A$2:$A$3</c:f>
              <c:strCache>
                <c:ptCount val="2"/>
                <c:pt idx="0">
                  <c:v>一般公共预算财政拨款</c:v>
                </c:pt>
                <c:pt idx="1">
                  <c:v>其他收入</c:v>
                </c:pt>
              </c:strCache>
            </c:strRef>
          </c:cat>
          <c:val>
            <c:numRef>
              <c:f>Sheet1!$B$2:$B$3</c:f>
              <c:numCache>
                <c:formatCode>General</c:formatCode>
                <c:ptCount val="2"/>
                <c:pt idx="0">
                  <c:v>519.19</c:v>
                </c:pt>
                <c:pt idx="1">
                  <c:v>0.57</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elete val="true"/>
          </c:dLbls>
          <c:cat>
            <c:strRef>
              <c:f>Sheet1!$A$2:$A$3</c:f>
              <c:strCache>
                <c:ptCount val="2"/>
                <c:pt idx="0">
                  <c:v>基本支出</c:v>
                </c:pt>
                <c:pt idx="1">
                  <c:v>项目支出</c:v>
                </c:pt>
              </c:strCache>
            </c:strRef>
          </c:cat>
          <c:val>
            <c:numRef>
              <c:f>Sheet1!$B$2:$B$3</c:f>
              <c:numCache>
                <c:formatCode>General</c:formatCode>
                <c:ptCount val="2"/>
                <c:pt idx="0">
                  <c:v>443.53</c:v>
                </c:pt>
                <c:pt idx="1">
                  <c:v>84.66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clustered"/>
        <c:varyColors val="false"/>
        <c:ser>
          <c:idx val="0"/>
          <c:order val="0"/>
          <c:tx>
            <c:strRef>
              <c:f>Sheet1!#REF!</c:f>
              <c:strCache>
                <c:ptCount val="1"/>
                <c:pt idx="0">
                  <c:v/>
                </c:pt>
              </c:strCache>
            </c:strRef>
          </c:tx>
          <c:spPr>
            <a:solidFill>
              <a:schemeClr val="accent1"/>
            </a:solidFill>
            <a:ln>
              <a:noFill/>
            </a:ln>
            <a:effectLst/>
          </c:spPr>
          <c:invertIfNegative val="false"/>
          <c:dLbls>
            <c:delete val="true"/>
          </c:dLbls>
          <c:cat>
            <c:strRef>
              <c:f>Sheet1!$A$1:$A$2</c:f>
              <c:strCache>
                <c:ptCount val="2"/>
                <c:pt idx="0">
                  <c:v>2022年</c:v>
                </c:pt>
                <c:pt idx="1">
                  <c:v>2023年</c:v>
                </c:pt>
              </c:strCache>
            </c:strRef>
          </c:cat>
          <c:val>
            <c:numRef>
              <c:f>Sheet1!$B$1:$B$2</c:f>
              <c:numCache>
                <c:formatCode>General</c:formatCode>
                <c:ptCount val="2"/>
                <c:pt idx="0">
                  <c:v>500.12</c:v>
                </c:pt>
                <c:pt idx="1">
                  <c:v>518.63</c:v>
                </c:pt>
              </c:numCache>
            </c:numRef>
          </c:val>
        </c:ser>
        <c:ser>
          <c:idx val="1"/>
          <c:order val="1"/>
          <c:tx>
            <c:strRef>
              <c:f>Sheet1!#REF!</c:f>
              <c:strCache>
                <c:ptCount val="1"/>
                <c:pt idx="0">
                  <c:v/>
                </c:pt>
              </c:strCache>
            </c:strRef>
          </c:tx>
          <c:spPr>
            <a:solidFill>
              <a:schemeClr val="accent2"/>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19"/>
        <c:overlap val="-27"/>
        <c:axId val="577841591"/>
        <c:axId val="320846604"/>
      </c:barChart>
      <c:catAx>
        <c:axId val="57784159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20846604"/>
        <c:crosses val="autoZero"/>
        <c:auto val="true"/>
        <c:lblAlgn val="ctr"/>
        <c:lblOffset val="100"/>
        <c:noMultiLvlLbl val="false"/>
      </c:catAx>
      <c:valAx>
        <c:axId val="32084660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77841591"/>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clustered"/>
        <c:varyColors val="false"/>
        <c:ser>
          <c:idx val="0"/>
          <c:order val="0"/>
          <c:tx>
            <c:strRef>
              <c:f>Sheet1!$A$1</c:f>
              <c:strCache>
                <c:ptCount val="1"/>
                <c:pt idx="0">
                  <c:v>2023年</c:v>
                </c:pt>
              </c:strCache>
            </c:strRef>
          </c:tx>
          <c:spPr>
            <a:solidFill>
              <a:schemeClr val="accent1"/>
            </a:solidFill>
            <a:ln>
              <a:noFill/>
            </a:ln>
            <a:effectLst/>
          </c:spPr>
          <c:invertIfNegative val="false"/>
          <c:dLbls>
            <c:delete val="true"/>
          </c:dLbls>
          <c:cat>
            <c:numRef>
              <c:f>Sheet1!#REF!</c:f>
              <c:numCache>
                <c:formatCode>General</c:formatCode>
                <c:ptCount val="3"/>
              </c:numCache>
            </c:numRef>
          </c:cat>
          <c:val>
            <c:numRef>
              <c:f>Sheet1!$A$2:$A$4</c:f>
              <c:numCache>
                <c:formatCode>General</c:formatCode>
                <c:ptCount val="3"/>
                <c:pt idx="0">
                  <c:v>528.67</c:v>
                </c:pt>
              </c:numCache>
            </c:numRef>
          </c:val>
        </c:ser>
        <c:ser>
          <c:idx val="1"/>
          <c:order val="1"/>
          <c:tx>
            <c:strRef>
              <c:f>Sheet1!$B$1</c:f>
              <c:strCache>
                <c:ptCount val="1"/>
                <c:pt idx="0">
                  <c:v>2022年</c:v>
                </c:pt>
              </c:strCache>
            </c:strRef>
          </c:tx>
          <c:spPr>
            <a:solidFill>
              <a:schemeClr val="accent2"/>
            </a:solidFill>
            <a:ln>
              <a:noFill/>
            </a:ln>
            <a:effectLst/>
          </c:spPr>
          <c:invertIfNegative val="false"/>
          <c:dLbls>
            <c:delete val="true"/>
          </c:dLbls>
          <c:cat>
            <c:numRef>
              <c:f>Sheet1!#REF!</c:f>
              <c:numCache>
                <c:formatCode>General</c:formatCode>
                <c:ptCount val="3"/>
              </c:numCache>
            </c:numRef>
          </c:cat>
          <c:val>
            <c:numRef>
              <c:f>Sheet1!$B$2:$B$4</c:f>
              <c:numCache>
                <c:formatCode>General</c:formatCode>
                <c:ptCount val="3"/>
                <c:pt idx="0">
                  <c:v>500.12</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numRef>
              <c:f>Sheet1!#REF!</c:f>
              <c:numCache>
                <c:formatCode>General</c:formatCode>
                <c:ptCount val="3"/>
              </c:numCache>
            </c:num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150"/>
        <c:overlap val="0"/>
        <c:axId val="312416718"/>
        <c:axId val="337590943"/>
      </c:barChart>
      <c:catAx>
        <c:axId val="31241671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37590943"/>
        <c:crosses val="autoZero"/>
        <c:auto val="true"/>
        <c:lblAlgn val="ctr"/>
        <c:lblOffset val="100"/>
        <c:noMultiLvlLbl val="false"/>
      </c:catAx>
      <c:valAx>
        <c:axId val="337590943"/>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12416718"/>
        <c:crosses val="autoZero"/>
        <c:crossBetween val="between"/>
      </c:valAx>
      <c:spPr>
        <a:noFill/>
        <a:ln>
          <a:noFill/>
        </a:ln>
        <a:effectLst/>
      </c:spPr>
    </c:plotArea>
    <c:legend>
      <c:legendPos val="b"/>
      <c:legendEntry>
        <c:idx val="2"/>
        <c:delete val="true"/>
      </c:legendEntry>
      <c:layout>
        <c:manualLayout>
          <c:xMode val="edge"/>
          <c:yMode val="edge"/>
          <c:x val="0.2885625"/>
          <c:y val="0.9245"/>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359.93</c:v>
                </c:pt>
                <c:pt idx="1">
                  <c:v>112.06</c:v>
                </c:pt>
                <c:pt idx="2">
                  <c:v>13.14</c:v>
                </c:pt>
                <c:pt idx="3">
                  <c:v>33.5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0%</c:formatCode>
                <c:ptCount val="3"/>
                <c:pt idx="0">
                  <c:v>0</c:v>
                </c:pt>
                <c:pt idx="1">
                  <c:v>0</c:v>
                </c:pt>
                <c:pt idx="2">
                  <c:v>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21054</Words>
  <Characters>22104</Characters>
  <Lines>0</Lines>
  <Paragraphs>0</Paragraphs>
  <TotalTime>1</TotalTime>
  <ScaleCrop>false</ScaleCrop>
  <LinksUpToDate>false</LinksUpToDate>
  <CharactersWithSpaces>22238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2024-03-09T18:44:00Z</dcterms:created>
  <dc:creator>川川</dc:creator>
  <cp:lastModifiedBy> </cp:lastModifiedBy>
  <cp:lastPrinted>2024-09-11T03:43:00Z</cp:lastPrinted>
  <dcterms:modified xsi:type="dcterms:W3CDTF">2024-10-16T20:14:01Z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9719E9508330EE441AF2D566101EA631_43</vt:lpwstr>
  </property>
</Properties>
</file>