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宋体" w:eastAsia="方正小标宋简体"/>
          <w:sz w:val="72"/>
          <w:szCs w:val="72"/>
        </w:rPr>
      </w:pPr>
      <w:bookmarkStart w:id="0" w:name="_Toc15377425"/>
      <w:bookmarkStart w:id="1" w:name="_Toc15396597"/>
      <w:bookmarkStart w:id="2" w:name="_Toc15377193"/>
      <w:bookmarkStart w:id="3" w:name="_Toc15378441"/>
      <w:bookmarkStart w:id="4" w:name="_Toc15396475"/>
      <w:bookmarkStart w:id="5" w:name="_Toc15306267"/>
    </w:p>
    <w:p>
      <w:pPr>
        <w:spacing w:line="576" w:lineRule="exact"/>
        <w:jc w:val="center"/>
        <w:rPr>
          <w:rFonts w:ascii="方正小标宋简体" w:hAnsi="宋体" w:eastAsia="方正小标宋简体"/>
          <w:sz w:val="72"/>
          <w:szCs w:val="72"/>
        </w:rPr>
      </w:pPr>
    </w:p>
    <w:p>
      <w:pPr>
        <w:spacing w:line="576" w:lineRule="exact"/>
        <w:jc w:val="center"/>
        <w:rPr>
          <w:rFonts w:ascii="方正小标宋简体" w:hAnsi="宋体" w:eastAsia="方正小标宋简体"/>
          <w:sz w:val="72"/>
          <w:szCs w:val="72"/>
        </w:rPr>
      </w:pPr>
    </w:p>
    <w:p>
      <w:pPr>
        <w:spacing w:line="360" w:lineRule="auto"/>
        <w:jc w:val="center"/>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5225"/>
      <w:bookmarkStart w:id="7" w:name="_Toc6769"/>
      <w:bookmarkStart w:id="8" w:name="_Toc2670"/>
      <w:bookmarkStart w:id="9" w:name="_Toc18001"/>
      <w:bookmarkStart w:id="10" w:name="_Toc20027"/>
      <w:r>
        <w:rPr>
          <w:rFonts w:hint="eastAsia" w:ascii="方正小标宋简体" w:hAnsi="方正小标宋简体" w:eastAsia="方正小标宋简体" w:cs="方正小标宋简体"/>
          <w:sz w:val="72"/>
          <w:szCs w:val="72"/>
        </w:rPr>
        <w:t>2021年度</w:t>
      </w:r>
      <w:bookmarkEnd w:id="0"/>
      <w:bookmarkEnd w:id="1"/>
      <w:bookmarkEnd w:id="2"/>
      <w:bookmarkEnd w:id="3"/>
      <w:bookmarkEnd w:id="4"/>
      <w:bookmarkEnd w:id="6"/>
      <w:bookmarkEnd w:id="7"/>
      <w:bookmarkEnd w:id="8"/>
      <w:bookmarkEnd w:id="9"/>
      <w:bookmarkEnd w:id="10"/>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1" w:name="_Toc6649"/>
      <w:bookmarkStart w:id="12" w:name="_Toc23881"/>
      <w:bookmarkStart w:id="13" w:name="_Toc28290"/>
      <w:bookmarkStart w:id="14" w:name="_Toc15378442"/>
      <w:bookmarkStart w:id="15" w:name="_Toc15396476"/>
      <w:bookmarkStart w:id="16" w:name="_Toc15377426"/>
      <w:bookmarkStart w:id="17" w:name="_Toc35"/>
      <w:bookmarkStart w:id="18" w:name="_Toc15396598"/>
      <w:bookmarkStart w:id="19" w:name="_Toc13891"/>
      <w:bookmarkStart w:id="20" w:name="_Toc15377194"/>
      <w:r>
        <w:rPr>
          <w:rFonts w:hint="eastAsia" w:ascii="方正小标宋简体" w:hAnsi="方正小标宋简体" w:eastAsia="方正小标宋简体" w:cs="方正小标宋简体"/>
          <w:sz w:val="72"/>
          <w:szCs w:val="72"/>
        </w:rPr>
        <w:t>广元市</w:t>
      </w:r>
      <w:bookmarkEnd w:id="5"/>
      <w:bookmarkStart w:id="21" w:name="_Toc15306268"/>
      <w:r>
        <w:rPr>
          <w:rFonts w:hint="eastAsia" w:ascii="方正小标宋简体" w:hAnsi="方正小标宋简体" w:eastAsia="方正小标宋简体" w:cs="方正小标宋简体"/>
          <w:sz w:val="72"/>
          <w:szCs w:val="72"/>
        </w:rPr>
        <w:t>国土空间</w:t>
      </w:r>
      <w:bookmarkEnd w:id="11"/>
      <w:bookmarkEnd w:id="12"/>
      <w:bookmarkEnd w:id="13"/>
      <w:bookmarkStart w:id="408" w:name="_GoBack"/>
      <w:bookmarkEnd w:id="408"/>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22" w:name="_Toc575"/>
      <w:bookmarkStart w:id="23" w:name="_Toc110"/>
      <w:bookmarkStart w:id="24" w:name="_Toc12241"/>
      <w:r>
        <w:rPr>
          <w:rFonts w:hint="eastAsia" w:ascii="方正小标宋简体" w:hAnsi="方正小标宋简体" w:eastAsia="方正小标宋简体" w:cs="方正小标宋简体"/>
          <w:sz w:val="72"/>
          <w:szCs w:val="72"/>
        </w:rPr>
        <w:t>规划编制研究中心部门决算</w:t>
      </w:r>
      <w:bookmarkEnd w:id="14"/>
      <w:bookmarkEnd w:id="15"/>
      <w:bookmarkEnd w:id="16"/>
      <w:bookmarkEnd w:id="17"/>
      <w:bookmarkEnd w:id="18"/>
      <w:bookmarkEnd w:id="19"/>
      <w:bookmarkEnd w:id="20"/>
      <w:bookmarkEnd w:id="21"/>
      <w:bookmarkEnd w:id="22"/>
      <w:bookmarkEnd w:id="23"/>
      <w:bookmarkEnd w:id="24"/>
    </w:p>
    <w:p>
      <w:pPr>
        <w:pStyle w:val="2"/>
        <w:spacing w:before="93"/>
        <w:jc w:val="center"/>
        <w:rPr>
          <w:rFonts w:eastAsia="方正小标宋简体"/>
        </w:rPr>
      </w:pPr>
      <w:r>
        <w:rPr>
          <w:rFonts w:hint="eastAsia" w:ascii="方正小标宋简体" w:hAnsi="方正小标宋简体" w:eastAsia="方正小标宋简体" w:cs="方正小标宋简体"/>
          <w:sz w:val="72"/>
          <w:szCs w:val="72"/>
        </w:rPr>
        <w:t>（本级）</w:t>
      </w:r>
    </w:p>
    <w:p>
      <w:pPr>
        <w:widowControl/>
        <w:spacing w:line="576" w:lineRule="exact"/>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pStyle w:val="10"/>
        <w:spacing w:before="0" w:line="576" w:lineRule="exact"/>
      </w:pPr>
    </w:p>
    <w:p>
      <w:pPr>
        <w:pStyle w:val="10"/>
        <w:spacing w:before="0" w:line="576" w:lineRule="exact"/>
      </w:pPr>
      <w:r>
        <w:rPr>
          <w:rFonts w:hint="eastAsia"/>
        </w:rPr>
        <w:t>公开时间：2022年9月27日</w:t>
      </w:r>
    </w:p>
    <w:p>
      <w:pPr>
        <w:pStyle w:val="10"/>
        <w:spacing w:before="0" w:line="576" w:lineRule="exact"/>
        <w:rPr>
          <w:rFonts w:cs="仿宋"/>
        </w:rPr>
      </w:pPr>
      <w:r>
        <w:rPr>
          <w:rFonts w:hint="eastAsia" w:cs="仿宋"/>
        </w:rPr>
        <w:fldChar w:fldCharType="begin"/>
      </w:r>
      <w:r>
        <w:rPr>
          <w:rFonts w:hint="eastAsia" w:cs="仿宋"/>
        </w:rPr>
        <w:instrText xml:space="preserve">TOC \o "1-2" \h \u </w:instrText>
      </w:r>
      <w:r>
        <w:rPr>
          <w:rFonts w:hint="eastAsia" w:cs="仿宋"/>
        </w:rPr>
        <w:fldChar w:fldCharType="separate"/>
      </w:r>
    </w:p>
    <w:p>
      <w:pPr>
        <w:pStyle w:val="30"/>
        <w:tabs>
          <w:tab w:val="right" w:leader="dot" w:pos="8845"/>
        </w:tabs>
        <w:rPr>
          <w:rFonts w:ascii="仿宋" w:hAnsi="仿宋" w:eastAsia="仿宋" w:cs="仿宋"/>
          <w:sz w:val="28"/>
          <w:szCs w:val="28"/>
        </w:rPr>
      </w:pPr>
      <w:r>
        <w:fldChar w:fldCharType="begin"/>
      </w:r>
      <w:r>
        <w:instrText xml:space="preserve"> HYPERLINK \l "_Toc21660" </w:instrText>
      </w:r>
      <w:r>
        <w:fldChar w:fldCharType="separate"/>
      </w:r>
      <w:r>
        <w:rPr>
          <w:rFonts w:hint="eastAsia" w:ascii="仿宋" w:hAnsi="仿宋" w:eastAsia="仿宋" w:cs="仿宋"/>
          <w:sz w:val="28"/>
          <w:szCs w:val="28"/>
        </w:rPr>
        <w:t>第一部分 部门概况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_Toc21660 \h </w:instrText>
      </w:r>
      <w:r>
        <w:rPr>
          <w:rFonts w:hint="eastAsia" w:ascii="仿宋" w:hAnsi="仿宋" w:eastAsia="仿宋" w:cs="仿宋"/>
          <w:sz w:val="28"/>
          <w:szCs w:val="28"/>
        </w:rPr>
        <w:fldChar w:fldCharType="separate"/>
      </w:r>
      <w:r>
        <w:rPr>
          <w:rFonts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1"/>
        <w:tabs>
          <w:tab w:val="right" w:leader="dot" w:pos="8845"/>
        </w:tabs>
        <w:ind w:left="420"/>
        <w:rPr>
          <w:rFonts w:ascii="仿宋" w:hAnsi="仿宋" w:eastAsia="仿宋" w:cs="仿宋"/>
          <w:sz w:val="28"/>
          <w:szCs w:val="28"/>
        </w:rPr>
      </w:pPr>
      <w:r>
        <w:fldChar w:fldCharType="begin"/>
      </w:r>
      <w:r>
        <w:instrText xml:space="preserve"> HYPERLINK \l "_Toc13027" </w:instrText>
      </w:r>
      <w:r>
        <w:fldChar w:fldCharType="separate"/>
      </w:r>
      <w:r>
        <w:rPr>
          <w:rFonts w:hint="eastAsia" w:ascii="仿宋" w:hAnsi="仿宋" w:eastAsia="仿宋" w:cs="仿宋"/>
          <w:sz w:val="28"/>
          <w:szCs w:val="28"/>
        </w:rPr>
        <w:t>一、基本职能及主要工作</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_Toc13027 \h </w:instrText>
      </w:r>
      <w:r>
        <w:rPr>
          <w:rFonts w:hint="eastAsia" w:ascii="仿宋" w:hAnsi="仿宋" w:eastAsia="仿宋" w:cs="仿宋"/>
          <w:sz w:val="28"/>
          <w:szCs w:val="28"/>
        </w:rPr>
        <w:fldChar w:fldCharType="separate"/>
      </w:r>
      <w:r>
        <w:rPr>
          <w:rFonts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1"/>
        <w:tabs>
          <w:tab w:val="right" w:leader="dot" w:pos="8845"/>
        </w:tabs>
        <w:ind w:left="420"/>
        <w:rPr>
          <w:rFonts w:ascii="仿宋" w:hAnsi="仿宋" w:eastAsia="仿宋" w:cs="仿宋"/>
          <w:sz w:val="28"/>
          <w:szCs w:val="28"/>
        </w:rPr>
      </w:pPr>
      <w:r>
        <w:fldChar w:fldCharType="begin"/>
      </w:r>
      <w:r>
        <w:instrText xml:space="preserve"> HYPERLINK \l "_Toc29479" </w:instrText>
      </w:r>
      <w:r>
        <w:fldChar w:fldCharType="separate"/>
      </w:r>
      <w:r>
        <w:rPr>
          <w:rFonts w:hint="eastAsia" w:ascii="仿宋" w:hAnsi="仿宋" w:eastAsia="仿宋" w:cs="仿宋"/>
          <w:sz w:val="28"/>
          <w:szCs w:val="28"/>
        </w:rPr>
        <w:t>二、机构设置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_Toc29479 \h </w:instrText>
      </w:r>
      <w:r>
        <w:rPr>
          <w:rFonts w:hint="eastAsia" w:ascii="仿宋" w:hAnsi="仿宋" w:eastAsia="仿宋" w:cs="仿宋"/>
          <w:sz w:val="28"/>
          <w:szCs w:val="28"/>
        </w:rPr>
        <w:fldChar w:fldCharType="separate"/>
      </w:r>
      <w:r>
        <w:rPr>
          <w:rFonts w:ascii="仿宋" w:hAnsi="仿宋" w:eastAsia="仿宋" w:cs="仿宋"/>
          <w:sz w:val="28"/>
          <w:szCs w:val="28"/>
        </w:rPr>
        <w:t>10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0"/>
        <w:tabs>
          <w:tab w:val="right" w:leader="dot" w:pos="8845"/>
        </w:tabs>
        <w:rPr>
          <w:rFonts w:ascii="仿宋" w:hAnsi="仿宋" w:eastAsia="仿宋" w:cs="仿宋"/>
          <w:sz w:val="28"/>
          <w:szCs w:val="28"/>
        </w:rPr>
      </w:pPr>
      <w:r>
        <w:fldChar w:fldCharType="begin"/>
      </w:r>
      <w:r>
        <w:instrText xml:space="preserve"> HYPERLINK \l "_Toc6070" </w:instrText>
      </w:r>
      <w:r>
        <w:fldChar w:fldCharType="separate"/>
      </w:r>
      <w:r>
        <w:rPr>
          <w:rFonts w:hint="eastAsia" w:ascii="仿宋" w:hAnsi="仿宋" w:eastAsia="仿宋" w:cs="仿宋"/>
          <w:sz w:val="28"/>
          <w:szCs w:val="28"/>
        </w:rPr>
        <w:t>第二部分 2021年度部门决算情况说明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_Toc6070 \h </w:instrText>
      </w:r>
      <w:r>
        <w:rPr>
          <w:rFonts w:hint="eastAsia" w:ascii="仿宋" w:hAnsi="仿宋" w:eastAsia="仿宋" w:cs="仿宋"/>
          <w:sz w:val="28"/>
          <w:szCs w:val="28"/>
        </w:rPr>
        <w:fldChar w:fldCharType="separate"/>
      </w:r>
      <w:r>
        <w:rPr>
          <w:rFonts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1"/>
        <w:tabs>
          <w:tab w:val="right" w:leader="dot" w:pos="8845"/>
        </w:tabs>
        <w:ind w:left="420"/>
        <w:rPr>
          <w:rFonts w:ascii="仿宋" w:hAnsi="仿宋" w:eastAsia="仿宋" w:cs="仿宋"/>
          <w:sz w:val="28"/>
          <w:szCs w:val="28"/>
        </w:rPr>
      </w:pPr>
      <w:r>
        <w:fldChar w:fldCharType="begin"/>
      </w:r>
      <w:r>
        <w:instrText xml:space="preserve"> HYPERLINK \l "_Toc18756" </w:instrText>
      </w:r>
      <w:r>
        <w:fldChar w:fldCharType="separate"/>
      </w:r>
      <w:r>
        <w:rPr>
          <w:rFonts w:hint="eastAsia" w:ascii="仿宋" w:hAnsi="仿宋" w:eastAsia="仿宋" w:cs="仿宋"/>
          <w:sz w:val="28"/>
          <w:szCs w:val="28"/>
        </w:rPr>
        <w:t>一、收入支出决算总体情况说明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_Toc18756 \h </w:instrText>
      </w:r>
      <w:r>
        <w:rPr>
          <w:rFonts w:hint="eastAsia" w:ascii="仿宋" w:hAnsi="仿宋" w:eastAsia="仿宋" w:cs="仿宋"/>
          <w:sz w:val="28"/>
          <w:szCs w:val="28"/>
        </w:rPr>
        <w:fldChar w:fldCharType="separate"/>
      </w:r>
      <w:r>
        <w:rPr>
          <w:rFonts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1"/>
        <w:tabs>
          <w:tab w:val="right" w:leader="dot" w:pos="8845"/>
        </w:tabs>
        <w:ind w:left="420"/>
        <w:rPr>
          <w:rFonts w:ascii="仿宋" w:hAnsi="仿宋" w:eastAsia="仿宋" w:cs="仿宋"/>
          <w:sz w:val="28"/>
          <w:szCs w:val="28"/>
        </w:rPr>
      </w:pPr>
      <w:r>
        <w:fldChar w:fldCharType="begin"/>
      </w:r>
      <w:r>
        <w:instrText xml:space="preserve"> HYPERLINK \l "_Toc28728" </w:instrText>
      </w:r>
      <w:r>
        <w:fldChar w:fldCharType="separate"/>
      </w:r>
      <w:r>
        <w:rPr>
          <w:rFonts w:hint="eastAsia" w:ascii="仿宋" w:hAnsi="仿宋" w:eastAsia="仿宋" w:cs="仿宋"/>
          <w:sz w:val="28"/>
          <w:szCs w:val="28"/>
        </w:rPr>
        <w:t>二、收入决算情况说明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_Toc28728 \h </w:instrText>
      </w:r>
      <w:r>
        <w:rPr>
          <w:rFonts w:hint="eastAsia" w:ascii="仿宋" w:hAnsi="仿宋" w:eastAsia="仿宋" w:cs="仿宋"/>
          <w:sz w:val="28"/>
          <w:szCs w:val="28"/>
        </w:rPr>
        <w:fldChar w:fldCharType="separate"/>
      </w:r>
      <w:r>
        <w:rPr>
          <w:rFonts w:ascii="仿宋" w:hAnsi="仿宋" w:eastAsia="仿宋" w:cs="仿宋"/>
          <w:sz w:val="28"/>
          <w:szCs w:val="28"/>
        </w:rPr>
        <w:t>11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1"/>
        <w:tabs>
          <w:tab w:val="right" w:leader="dot" w:pos="8845"/>
        </w:tabs>
        <w:ind w:left="420"/>
        <w:rPr>
          <w:rFonts w:ascii="仿宋" w:hAnsi="仿宋" w:eastAsia="仿宋" w:cs="仿宋"/>
          <w:sz w:val="28"/>
          <w:szCs w:val="28"/>
        </w:rPr>
      </w:pPr>
      <w:r>
        <w:fldChar w:fldCharType="begin"/>
      </w:r>
      <w:r>
        <w:instrText xml:space="preserve"> HYPERLINK \l "_Toc3248" </w:instrText>
      </w:r>
      <w:r>
        <w:fldChar w:fldCharType="separate"/>
      </w:r>
      <w:r>
        <w:rPr>
          <w:rFonts w:hint="eastAsia" w:ascii="仿宋" w:hAnsi="仿宋" w:eastAsia="仿宋" w:cs="仿宋"/>
          <w:sz w:val="28"/>
          <w:szCs w:val="28"/>
        </w:rPr>
        <w:t>三、支出决算情况说明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_Toc3248 \h </w:instrText>
      </w:r>
      <w:r>
        <w:rPr>
          <w:rFonts w:hint="eastAsia" w:ascii="仿宋" w:hAnsi="仿宋" w:eastAsia="仿宋" w:cs="仿宋"/>
          <w:sz w:val="28"/>
          <w:szCs w:val="28"/>
        </w:rPr>
        <w:fldChar w:fldCharType="separate"/>
      </w:r>
      <w:r>
        <w:rPr>
          <w:rFonts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1"/>
        <w:tabs>
          <w:tab w:val="right" w:leader="dot" w:pos="8845"/>
        </w:tabs>
        <w:ind w:left="420"/>
        <w:rPr>
          <w:rFonts w:ascii="仿宋" w:hAnsi="仿宋" w:eastAsia="仿宋" w:cs="仿宋"/>
          <w:sz w:val="28"/>
          <w:szCs w:val="28"/>
        </w:rPr>
      </w:pPr>
      <w:r>
        <w:fldChar w:fldCharType="begin"/>
      </w:r>
      <w:r>
        <w:instrText xml:space="preserve"> HYPERLINK \l "_Toc9311" </w:instrText>
      </w:r>
      <w:r>
        <w:fldChar w:fldCharType="separate"/>
      </w:r>
      <w:r>
        <w:rPr>
          <w:rFonts w:hint="eastAsia" w:ascii="仿宋" w:hAnsi="仿宋" w:eastAsia="仿宋" w:cs="仿宋"/>
          <w:sz w:val="28"/>
          <w:szCs w:val="28"/>
        </w:rPr>
        <w:t>四、财政拨款收入支出决算总体情况说明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_Toc9311 \h </w:instrText>
      </w:r>
      <w:r>
        <w:rPr>
          <w:rFonts w:hint="eastAsia" w:ascii="仿宋" w:hAnsi="仿宋" w:eastAsia="仿宋" w:cs="仿宋"/>
          <w:sz w:val="28"/>
          <w:szCs w:val="28"/>
        </w:rPr>
        <w:fldChar w:fldCharType="separate"/>
      </w:r>
      <w:r>
        <w:rPr>
          <w:rFonts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1"/>
        <w:tabs>
          <w:tab w:val="right" w:leader="dot" w:pos="8845"/>
        </w:tabs>
        <w:ind w:left="420"/>
        <w:rPr>
          <w:rFonts w:ascii="仿宋" w:hAnsi="仿宋" w:eastAsia="仿宋" w:cs="仿宋"/>
          <w:sz w:val="28"/>
          <w:szCs w:val="28"/>
        </w:rPr>
      </w:pPr>
      <w:r>
        <w:fldChar w:fldCharType="begin"/>
      </w:r>
      <w:r>
        <w:instrText xml:space="preserve"> HYPERLINK \l "_Toc23502" </w:instrText>
      </w:r>
      <w:r>
        <w:fldChar w:fldCharType="separate"/>
      </w:r>
      <w:r>
        <w:rPr>
          <w:rFonts w:hint="eastAsia" w:ascii="仿宋" w:hAnsi="仿宋" w:eastAsia="仿宋" w:cs="仿宋"/>
          <w:sz w:val="28"/>
          <w:szCs w:val="28"/>
        </w:rPr>
        <w:t>五、一般公共预算财政拨款支出决算情况说明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_Toc23502 \h </w:instrText>
      </w:r>
      <w:r>
        <w:rPr>
          <w:rFonts w:hint="eastAsia" w:ascii="仿宋" w:hAnsi="仿宋" w:eastAsia="仿宋" w:cs="仿宋"/>
          <w:sz w:val="28"/>
          <w:szCs w:val="28"/>
        </w:rPr>
        <w:fldChar w:fldCharType="separate"/>
      </w:r>
      <w:r>
        <w:rPr>
          <w:rFonts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1"/>
        <w:tabs>
          <w:tab w:val="right" w:leader="dot" w:pos="8845"/>
        </w:tabs>
        <w:ind w:left="420"/>
        <w:rPr>
          <w:rFonts w:ascii="仿宋" w:hAnsi="仿宋" w:eastAsia="仿宋" w:cs="仿宋"/>
          <w:sz w:val="28"/>
          <w:szCs w:val="28"/>
        </w:rPr>
      </w:pPr>
      <w:r>
        <w:fldChar w:fldCharType="begin"/>
      </w:r>
      <w:r>
        <w:instrText xml:space="preserve"> HYPERLINK \l "_Toc10609" </w:instrText>
      </w:r>
      <w:r>
        <w:fldChar w:fldCharType="separate"/>
      </w:r>
      <w:r>
        <w:rPr>
          <w:rFonts w:hint="eastAsia" w:ascii="仿宋" w:hAnsi="仿宋" w:eastAsia="仿宋" w:cs="仿宋"/>
          <w:sz w:val="28"/>
          <w:szCs w:val="28"/>
        </w:rPr>
        <w:t>六、一般公共预算财政拨款基本支出决算情况说明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_Toc10609 \h </w:instrText>
      </w:r>
      <w:r>
        <w:rPr>
          <w:rFonts w:hint="eastAsia" w:ascii="仿宋" w:hAnsi="仿宋" w:eastAsia="仿宋" w:cs="仿宋"/>
          <w:sz w:val="28"/>
          <w:szCs w:val="28"/>
        </w:rPr>
        <w:fldChar w:fldCharType="separate"/>
      </w:r>
      <w:r>
        <w:rPr>
          <w:rFonts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1"/>
        <w:tabs>
          <w:tab w:val="right" w:leader="dot" w:pos="8845"/>
        </w:tabs>
        <w:ind w:left="420"/>
        <w:rPr>
          <w:rFonts w:ascii="仿宋" w:hAnsi="仿宋" w:eastAsia="仿宋" w:cs="仿宋"/>
          <w:sz w:val="28"/>
          <w:szCs w:val="28"/>
        </w:rPr>
      </w:pPr>
      <w:r>
        <w:fldChar w:fldCharType="begin"/>
      </w:r>
      <w:r>
        <w:instrText xml:space="preserve"> HYPERLINK \l "_Toc11428" </w:instrText>
      </w:r>
      <w:r>
        <w:fldChar w:fldCharType="separate"/>
      </w:r>
      <w:r>
        <w:rPr>
          <w:rFonts w:hint="eastAsia" w:ascii="仿宋" w:hAnsi="仿宋" w:eastAsia="仿宋" w:cs="仿宋"/>
          <w:sz w:val="28"/>
          <w:szCs w:val="28"/>
        </w:rPr>
        <w:t>七、“三公”经费财政拨款支出决算情况说明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_Toc11428 \h </w:instrText>
      </w:r>
      <w:r>
        <w:rPr>
          <w:rFonts w:hint="eastAsia" w:ascii="仿宋" w:hAnsi="仿宋" w:eastAsia="仿宋" w:cs="仿宋"/>
          <w:sz w:val="28"/>
          <w:szCs w:val="28"/>
        </w:rPr>
        <w:fldChar w:fldCharType="separate"/>
      </w:r>
      <w:r>
        <w:rPr>
          <w:rFonts w:ascii="仿宋" w:hAnsi="仿宋" w:eastAsia="仿宋" w:cs="仿宋"/>
          <w:sz w:val="28"/>
          <w:szCs w:val="28"/>
        </w:rPr>
        <w:t>16</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1"/>
        <w:tabs>
          <w:tab w:val="right" w:leader="dot" w:pos="8845"/>
        </w:tabs>
        <w:ind w:left="420"/>
        <w:rPr>
          <w:rFonts w:ascii="仿宋" w:hAnsi="仿宋" w:eastAsia="仿宋" w:cs="仿宋"/>
          <w:sz w:val="28"/>
          <w:szCs w:val="28"/>
        </w:rPr>
      </w:pPr>
      <w:r>
        <w:fldChar w:fldCharType="begin"/>
      </w:r>
      <w:r>
        <w:instrText xml:space="preserve"> HYPERLINK \l "_Toc18149" </w:instrText>
      </w:r>
      <w:r>
        <w:fldChar w:fldCharType="separate"/>
      </w:r>
      <w:r>
        <w:rPr>
          <w:rFonts w:hint="eastAsia" w:ascii="仿宋" w:hAnsi="仿宋" w:eastAsia="仿宋" w:cs="仿宋"/>
          <w:sz w:val="28"/>
          <w:szCs w:val="28"/>
        </w:rPr>
        <w:t>八、政府性基金预算支出决算情况说明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_Toc18149 \h </w:instrText>
      </w:r>
      <w:r>
        <w:rPr>
          <w:rFonts w:hint="eastAsia" w:ascii="仿宋" w:hAnsi="仿宋" w:eastAsia="仿宋" w:cs="仿宋"/>
          <w:sz w:val="28"/>
          <w:szCs w:val="28"/>
        </w:rPr>
        <w:fldChar w:fldCharType="separate"/>
      </w:r>
      <w:r>
        <w:rPr>
          <w:rFonts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1"/>
        <w:tabs>
          <w:tab w:val="right" w:leader="dot" w:pos="8845"/>
        </w:tabs>
        <w:ind w:left="420"/>
        <w:rPr>
          <w:rFonts w:ascii="仿宋" w:hAnsi="仿宋" w:eastAsia="仿宋" w:cs="仿宋"/>
          <w:sz w:val="28"/>
          <w:szCs w:val="28"/>
        </w:rPr>
      </w:pPr>
      <w:r>
        <w:fldChar w:fldCharType="begin"/>
      </w:r>
      <w:r>
        <w:instrText xml:space="preserve"> HYPERLINK \l "_Toc5123" </w:instrText>
      </w:r>
      <w:r>
        <w:fldChar w:fldCharType="separate"/>
      </w:r>
      <w:r>
        <w:rPr>
          <w:rFonts w:hint="eastAsia" w:ascii="仿宋" w:hAnsi="仿宋" w:eastAsia="仿宋" w:cs="仿宋"/>
          <w:sz w:val="28"/>
          <w:szCs w:val="28"/>
        </w:rPr>
        <w:t>九、 国有资本经营预算支出决算情况说明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_Toc5123 \h </w:instrText>
      </w:r>
      <w:r>
        <w:rPr>
          <w:rFonts w:hint="eastAsia" w:ascii="仿宋" w:hAnsi="仿宋" w:eastAsia="仿宋" w:cs="仿宋"/>
          <w:sz w:val="28"/>
          <w:szCs w:val="28"/>
        </w:rPr>
        <w:fldChar w:fldCharType="separate"/>
      </w:r>
      <w:r>
        <w:rPr>
          <w:rFonts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1"/>
        <w:tabs>
          <w:tab w:val="right" w:leader="dot" w:pos="8845"/>
        </w:tabs>
        <w:ind w:left="420"/>
        <w:rPr>
          <w:rFonts w:ascii="仿宋" w:hAnsi="仿宋" w:eastAsia="仿宋" w:cs="仿宋"/>
          <w:sz w:val="28"/>
          <w:szCs w:val="28"/>
        </w:rPr>
      </w:pPr>
      <w:r>
        <w:fldChar w:fldCharType="begin"/>
      </w:r>
      <w:r>
        <w:instrText xml:space="preserve"> HYPERLINK \l "_Toc700" </w:instrText>
      </w:r>
      <w:r>
        <w:fldChar w:fldCharType="separate"/>
      </w:r>
      <w:r>
        <w:rPr>
          <w:rFonts w:hint="eastAsia" w:ascii="仿宋" w:hAnsi="仿宋" w:eastAsia="仿宋" w:cs="仿宋"/>
          <w:sz w:val="28"/>
          <w:szCs w:val="28"/>
        </w:rPr>
        <w:t>十、 预算绩效管理情况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_Toc700 \h </w:instrText>
      </w:r>
      <w:r>
        <w:rPr>
          <w:rFonts w:hint="eastAsia" w:ascii="仿宋" w:hAnsi="仿宋" w:eastAsia="仿宋" w:cs="仿宋"/>
          <w:sz w:val="28"/>
          <w:szCs w:val="28"/>
        </w:rPr>
        <w:fldChar w:fldCharType="separate"/>
      </w:r>
      <w:r>
        <w:rPr>
          <w:rFonts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1"/>
        <w:tabs>
          <w:tab w:val="right" w:leader="dot" w:pos="8845"/>
        </w:tabs>
        <w:ind w:left="420"/>
        <w:rPr>
          <w:rFonts w:ascii="仿宋" w:hAnsi="仿宋" w:eastAsia="仿宋" w:cs="仿宋"/>
          <w:sz w:val="28"/>
          <w:szCs w:val="28"/>
        </w:rPr>
      </w:pPr>
      <w:r>
        <w:fldChar w:fldCharType="begin"/>
      </w:r>
      <w:r>
        <w:instrText xml:space="preserve"> HYPERLINK \l "_Toc20162" </w:instrText>
      </w:r>
      <w:r>
        <w:fldChar w:fldCharType="separate"/>
      </w:r>
      <w:r>
        <w:rPr>
          <w:rFonts w:hint="eastAsia" w:ascii="仿宋" w:hAnsi="仿宋" w:eastAsia="仿宋" w:cs="仿宋"/>
          <w:sz w:val="28"/>
          <w:szCs w:val="28"/>
        </w:rPr>
        <w:t>十一、 其他重要事项的情况说明</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_Toc20162 \h </w:instrText>
      </w:r>
      <w:r>
        <w:rPr>
          <w:rFonts w:hint="eastAsia" w:ascii="仿宋" w:hAnsi="仿宋" w:eastAsia="仿宋" w:cs="仿宋"/>
          <w:sz w:val="28"/>
          <w:szCs w:val="28"/>
        </w:rPr>
        <w:fldChar w:fldCharType="separate"/>
      </w:r>
      <w:r>
        <w:rPr>
          <w:rFonts w:ascii="仿宋" w:hAnsi="仿宋" w:eastAsia="仿宋" w:cs="仿宋"/>
          <w:sz w:val="28"/>
          <w:szCs w:val="28"/>
        </w:rPr>
        <w:t>18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0"/>
        <w:tabs>
          <w:tab w:val="right" w:leader="dot" w:pos="8845"/>
        </w:tabs>
        <w:rPr>
          <w:rFonts w:ascii="仿宋" w:hAnsi="仿宋" w:eastAsia="仿宋" w:cs="仿宋"/>
          <w:sz w:val="28"/>
          <w:szCs w:val="28"/>
        </w:rPr>
      </w:pPr>
      <w:r>
        <w:fldChar w:fldCharType="begin"/>
      </w:r>
      <w:r>
        <w:instrText xml:space="preserve"> HYPERLINK \l "_Toc891" </w:instrText>
      </w:r>
      <w:r>
        <w:fldChar w:fldCharType="separate"/>
      </w:r>
      <w:r>
        <w:rPr>
          <w:rFonts w:hint="eastAsia" w:ascii="仿宋" w:hAnsi="仿宋" w:eastAsia="仿宋" w:cs="仿宋"/>
          <w:sz w:val="28"/>
          <w:szCs w:val="28"/>
        </w:rPr>
        <w:t>第三部分 名词解释</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_Toc891 \h </w:instrText>
      </w:r>
      <w:r>
        <w:rPr>
          <w:rFonts w:hint="eastAsia" w:ascii="仿宋" w:hAnsi="仿宋" w:eastAsia="仿宋" w:cs="仿宋"/>
          <w:sz w:val="28"/>
          <w:szCs w:val="28"/>
        </w:rPr>
        <w:fldChar w:fldCharType="separate"/>
      </w:r>
      <w:r>
        <w:rPr>
          <w:rFonts w:ascii="仿宋" w:hAnsi="仿宋" w:eastAsia="仿宋" w:cs="仿宋"/>
          <w:sz w:val="28"/>
          <w:szCs w:val="28"/>
        </w:rPr>
        <w:t>20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0"/>
        <w:tabs>
          <w:tab w:val="right" w:leader="dot" w:pos="8845"/>
        </w:tabs>
        <w:rPr>
          <w:rFonts w:ascii="仿宋" w:hAnsi="仿宋" w:eastAsia="仿宋" w:cs="仿宋"/>
          <w:sz w:val="28"/>
          <w:szCs w:val="28"/>
        </w:rPr>
      </w:pPr>
      <w:r>
        <w:fldChar w:fldCharType="begin"/>
      </w:r>
      <w:r>
        <w:instrText xml:space="preserve"> HYPERLINK \l "_Toc25699" </w:instrText>
      </w:r>
      <w:r>
        <w:fldChar w:fldCharType="separate"/>
      </w:r>
      <w:r>
        <w:rPr>
          <w:rFonts w:hint="eastAsia" w:ascii="仿宋" w:hAnsi="仿宋" w:eastAsia="仿宋" w:cs="仿宋"/>
          <w:sz w:val="28"/>
          <w:szCs w:val="28"/>
        </w:rPr>
        <w:t>第四部分 附件</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_Toc25699 \h </w:instrText>
      </w:r>
      <w:r>
        <w:rPr>
          <w:rFonts w:hint="eastAsia" w:ascii="仿宋" w:hAnsi="仿宋" w:eastAsia="仿宋" w:cs="仿宋"/>
          <w:sz w:val="28"/>
          <w:szCs w:val="28"/>
        </w:rPr>
        <w:fldChar w:fldCharType="separate"/>
      </w:r>
      <w:r>
        <w:rPr>
          <w:rFonts w:ascii="仿宋" w:hAnsi="仿宋" w:eastAsia="仿宋" w:cs="仿宋"/>
          <w:sz w:val="28"/>
          <w:szCs w:val="28"/>
        </w:rPr>
        <w:t>23</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pPr>
        <w:pStyle w:val="30"/>
        <w:tabs>
          <w:tab w:val="right" w:leader="dot" w:pos="8845"/>
        </w:tabs>
        <w:rPr>
          <w:rFonts w:ascii="仿宋" w:hAnsi="仿宋" w:eastAsia="仿宋" w:cs="仿宋"/>
          <w:sz w:val="28"/>
          <w:szCs w:val="28"/>
        </w:rPr>
      </w:pPr>
      <w:r>
        <w:fldChar w:fldCharType="begin"/>
      </w:r>
      <w:r>
        <w:instrText xml:space="preserve"> HYPERLINK \l "_Toc12325" </w:instrText>
      </w:r>
      <w:r>
        <w:fldChar w:fldCharType="separate"/>
      </w:r>
      <w:r>
        <w:rPr>
          <w:rFonts w:hint="eastAsia" w:ascii="仿宋" w:hAnsi="仿宋" w:eastAsia="仿宋" w:cs="仿宋"/>
          <w:sz w:val="28"/>
          <w:szCs w:val="28"/>
        </w:rPr>
        <w:t>第五部分 附表</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8</w:t>
      </w:r>
    </w:p>
    <w:p>
      <w:pPr>
        <w:pStyle w:val="31"/>
        <w:tabs>
          <w:tab w:val="right" w:leader="dot" w:pos="8845"/>
        </w:tabs>
        <w:ind w:left="420"/>
        <w:rPr>
          <w:rFonts w:ascii="仿宋" w:hAnsi="仿宋" w:eastAsia="仿宋" w:cs="仿宋"/>
          <w:sz w:val="28"/>
          <w:szCs w:val="28"/>
        </w:rPr>
      </w:pPr>
      <w:r>
        <w:fldChar w:fldCharType="begin"/>
      </w:r>
      <w:r>
        <w:instrText xml:space="preserve"> HYPERLINK \l "_Toc1584" </w:instrText>
      </w:r>
      <w:r>
        <w:fldChar w:fldCharType="separate"/>
      </w:r>
      <w:r>
        <w:rPr>
          <w:rFonts w:hint="eastAsia" w:ascii="仿宋" w:hAnsi="仿宋" w:eastAsia="仿宋" w:cs="仿宋"/>
          <w:sz w:val="28"/>
          <w:szCs w:val="28"/>
        </w:rPr>
        <w:t>一、收入支出决算总表</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8</w:t>
      </w:r>
    </w:p>
    <w:p>
      <w:pPr>
        <w:pStyle w:val="31"/>
        <w:tabs>
          <w:tab w:val="right" w:leader="dot" w:pos="8845"/>
        </w:tabs>
        <w:ind w:left="420"/>
        <w:rPr>
          <w:rFonts w:ascii="仿宋" w:hAnsi="仿宋" w:eastAsia="仿宋" w:cs="仿宋"/>
          <w:sz w:val="28"/>
          <w:szCs w:val="28"/>
        </w:rPr>
      </w:pPr>
      <w:r>
        <w:fldChar w:fldCharType="begin"/>
      </w:r>
      <w:r>
        <w:instrText xml:space="preserve"> HYPERLINK \l "_Toc15145" </w:instrText>
      </w:r>
      <w:r>
        <w:fldChar w:fldCharType="separate"/>
      </w:r>
      <w:r>
        <w:rPr>
          <w:rFonts w:hint="eastAsia" w:ascii="仿宋" w:hAnsi="仿宋" w:eastAsia="仿宋" w:cs="仿宋"/>
          <w:sz w:val="28"/>
          <w:szCs w:val="28"/>
        </w:rPr>
        <w:t>二、收入决算表</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8</w:t>
      </w:r>
    </w:p>
    <w:p>
      <w:pPr>
        <w:pStyle w:val="31"/>
        <w:tabs>
          <w:tab w:val="right" w:leader="dot" w:pos="8845"/>
        </w:tabs>
        <w:ind w:left="420"/>
        <w:rPr>
          <w:rFonts w:ascii="仿宋" w:hAnsi="仿宋" w:eastAsia="仿宋" w:cs="仿宋"/>
          <w:sz w:val="28"/>
          <w:szCs w:val="28"/>
        </w:rPr>
      </w:pPr>
      <w:r>
        <w:fldChar w:fldCharType="begin"/>
      </w:r>
      <w:r>
        <w:instrText xml:space="preserve"> HYPERLINK \l "_Toc22247" </w:instrText>
      </w:r>
      <w:r>
        <w:fldChar w:fldCharType="separate"/>
      </w:r>
      <w:r>
        <w:rPr>
          <w:rFonts w:hint="eastAsia" w:ascii="仿宋" w:hAnsi="仿宋" w:eastAsia="仿宋" w:cs="仿宋"/>
          <w:sz w:val="28"/>
          <w:szCs w:val="28"/>
        </w:rPr>
        <w:t>三、支出决算表</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8</w:t>
      </w:r>
    </w:p>
    <w:p>
      <w:pPr>
        <w:pStyle w:val="31"/>
        <w:tabs>
          <w:tab w:val="right" w:leader="dot" w:pos="8845"/>
        </w:tabs>
        <w:ind w:left="420"/>
        <w:rPr>
          <w:rFonts w:ascii="仿宋" w:hAnsi="仿宋" w:eastAsia="仿宋" w:cs="仿宋"/>
          <w:sz w:val="28"/>
          <w:szCs w:val="28"/>
        </w:rPr>
      </w:pPr>
      <w:r>
        <w:fldChar w:fldCharType="begin"/>
      </w:r>
      <w:r>
        <w:instrText xml:space="preserve"> HYPERLINK \l "_Toc29660" </w:instrText>
      </w:r>
      <w:r>
        <w:fldChar w:fldCharType="separate"/>
      </w:r>
      <w:r>
        <w:rPr>
          <w:rFonts w:hint="eastAsia" w:ascii="仿宋" w:hAnsi="仿宋" w:eastAsia="仿宋" w:cs="仿宋"/>
          <w:sz w:val="28"/>
          <w:szCs w:val="28"/>
        </w:rPr>
        <w:t>四、财政拨款收入支出决算总表</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8</w:t>
      </w:r>
    </w:p>
    <w:p>
      <w:pPr>
        <w:pStyle w:val="31"/>
        <w:tabs>
          <w:tab w:val="right" w:leader="dot" w:pos="8845"/>
        </w:tabs>
        <w:ind w:left="420"/>
        <w:rPr>
          <w:rFonts w:ascii="仿宋" w:hAnsi="仿宋" w:eastAsia="仿宋" w:cs="仿宋"/>
          <w:sz w:val="28"/>
          <w:szCs w:val="28"/>
        </w:rPr>
      </w:pPr>
      <w:r>
        <w:fldChar w:fldCharType="begin"/>
      </w:r>
      <w:r>
        <w:instrText xml:space="preserve"> HYPERLINK \l "_Toc11226" </w:instrText>
      </w:r>
      <w:r>
        <w:fldChar w:fldCharType="separate"/>
      </w:r>
      <w:r>
        <w:rPr>
          <w:rFonts w:hint="eastAsia" w:ascii="仿宋" w:hAnsi="仿宋" w:eastAsia="仿宋" w:cs="仿宋"/>
          <w:sz w:val="28"/>
          <w:szCs w:val="28"/>
        </w:rPr>
        <w:t>五、财政拨款支出决算明细表</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8</w:t>
      </w:r>
    </w:p>
    <w:p>
      <w:pPr>
        <w:pStyle w:val="31"/>
        <w:tabs>
          <w:tab w:val="right" w:leader="dot" w:pos="8845"/>
        </w:tabs>
        <w:ind w:left="420"/>
        <w:rPr>
          <w:rFonts w:ascii="仿宋" w:hAnsi="仿宋" w:eastAsia="仿宋" w:cs="仿宋"/>
          <w:sz w:val="28"/>
          <w:szCs w:val="28"/>
        </w:rPr>
      </w:pPr>
      <w:r>
        <w:fldChar w:fldCharType="begin"/>
      </w:r>
      <w:r>
        <w:instrText xml:space="preserve"> HYPERLINK \l "_Toc30970" </w:instrText>
      </w:r>
      <w:r>
        <w:fldChar w:fldCharType="separate"/>
      </w:r>
      <w:r>
        <w:rPr>
          <w:rFonts w:hint="eastAsia" w:ascii="仿宋" w:hAnsi="仿宋" w:eastAsia="仿宋" w:cs="仿宋"/>
          <w:sz w:val="28"/>
          <w:szCs w:val="28"/>
        </w:rPr>
        <w:t>六、一般公共预算财政拨款支出决算表</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8</w:t>
      </w:r>
    </w:p>
    <w:p>
      <w:pPr>
        <w:pStyle w:val="31"/>
        <w:tabs>
          <w:tab w:val="right" w:leader="dot" w:pos="8845"/>
        </w:tabs>
        <w:ind w:left="420"/>
        <w:rPr>
          <w:rFonts w:ascii="仿宋" w:hAnsi="仿宋" w:eastAsia="仿宋" w:cs="仿宋"/>
          <w:sz w:val="28"/>
          <w:szCs w:val="28"/>
        </w:rPr>
      </w:pPr>
      <w:r>
        <w:fldChar w:fldCharType="begin"/>
      </w:r>
      <w:r>
        <w:instrText xml:space="preserve"> HYPERLINK \l "_Toc3389" </w:instrText>
      </w:r>
      <w:r>
        <w:fldChar w:fldCharType="separate"/>
      </w:r>
      <w:r>
        <w:rPr>
          <w:rFonts w:hint="eastAsia" w:ascii="仿宋" w:hAnsi="仿宋" w:eastAsia="仿宋" w:cs="仿宋"/>
          <w:sz w:val="28"/>
          <w:szCs w:val="28"/>
        </w:rPr>
        <w:t>七、一般公共预算财政拨款支出决算明细表</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8</w:t>
      </w:r>
    </w:p>
    <w:p>
      <w:pPr>
        <w:pStyle w:val="31"/>
        <w:tabs>
          <w:tab w:val="right" w:leader="dot" w:pos="8845"/>
        </w:tabs>
        <w:ind w:left="420"/>
        <w:rPr>
          <w:rFonts w:ascii="仿宋" w:hAnsi="仿宋" w:eastAsia="仿宋" w:cs="仿宋"/>
          <w:sz w:val="28"/>
          <w:szCs w:val="28"/>
        </w:rPr>
      </w:pPr>
      <w:r>
        <w:fldChar w:fldCharType="begin"/>
      </w:r>
      <w:r>
        <w:instrText xml:space="preserve"> HYPERLINK \l "_Toc3261" </w:instrText>
      </w:r>
      <w:r>
        <w:fldChar w:fldCharType="separate"/>
      </w:r>
      <w:r>
        <w:rPr>
          <w:rFonts w:hint="eastAsia" w:ascii="仿宋" w:hAnsi="仿宋" w:eastAsia="仿宋" w:cs="仿宋"/>
          <w:sz w:val="28"/>
          <w:szCs w:val="28"/>
        </w:rPr>
        <w:t>八、一般公共预算财政拨款基本支出决算表</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8</w:t>
      </w:r>
    </w:p>
    <w:p>
      <w:pPr>
        <w:pStyle w:val="31"/>
        <w:tabs>
          <w:tab w:val="right" w:leader="dot" w:pos="8845"/>
        </w:tabs>
        <w:ind w:left="420"/>
        <w:rPr>
          <w:rFonts w:ascii="仿宋" w:hAnsi="仿宋" w:eastAsia="仿宋" w:cs="仿宋"/>
          <w:sz w:val="28"/>
          <w:szCs w:val="28"/>
        </w:rPr>
      </w:pPr>
      <w:r>
        <w:fldChar w:fldCharType="begin"/>
      </w:r>
      <w:r>
        <w:instrText xml:space="preserve"> HYPERLINK \l "_Toc3025" </w:instrText>
      </w:r>
      <w:r>
        <w:fldChar w:fldCharType="separate"/>
      </w:r>
      <w:r>
        <w:rPr>
          <w:rFonts w:hint="eastAsia" w:ascii="仿宋" w:hAnsi="仿宋" w:eastAsia="仿宋" w:cs="仿宋"/>
          <w:sz w:val="28"/>
          <w:szCs w:val="28"/>
        </w:rPr>
        <w:t>九、一般公共预算财政拨款项目支出决算表</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8</w:t>
      </w:r>
    </w:p>
    <w:p>
      <w:pPr>
        <w:pStyle w:val="31"/>
        <w:tabs>
          <w:tab w:val="right" w:leader="dot" w:pos="8845"/>
        </w:tabs>
        <w:ind w:left="420"/>
        <w:rPr>
          <w:rFonts w:ascii="仿宋" w:hAnsi="仿宋" w:eastAsia="仿宋" w:cs="仿宋"/>
          <w:sz w:val="28"/>
          <w:szCs w:val="28"/>
        </w:rPr>
      </w:pPr>
      <w:r>
        <w:fldChar w:fldCharType="begin"/>
      </w:r>
      <w:r>
        <w:instrText xml:space="preserve"> HYPERLINK \l "_Toc16014" </w:instrText>
      </w:r>
      <w:r>
        <w:fldChar w:fldCharType="separate"/>
      </w:r>
      <w:r>
        <w:rPr>
          <w:rFonts w:hint="eastAsia" w:ascii="仿宋" w:hAnsi="仿宋" w:eastAsia="仿宋" w:cs="仿宋"/>
          <w:sz w:val="28"/>
          <w:szCs w:val="28"/>
        </w:rPr>
        <w:t>十、一般公共预算财政拨款“三公”经费支出决算表</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8</w:t>
      </w:r>
    </w:p>
    <w:p>
      <w:pPr>
        <w:pStyle w:val="31"/>
        <w:tabs>
          <w:tab w:val="right" w:leader="dot" w:pos="8845"/>
        </w:tabs>
        <w:ind w:left="420"/>
        <w:rPr>
          <w:rFonts w:ascii="仿宋" w:hAnsi="仿宋" w:eastAsia="仿宋" w:cs="仿宋"/>
          <w:sz w:val="28"/>
          <w:szCs w:val="28"/>
        </w:rPr>
      </w:pPr>
      <w:r>
        <w:fldChar w:fldCharType="begin"/>
      </w:r>
      <w:r>
        <w:instrText xml:space="preserve"> HYPERLINK \l "_Toc23644" </w:instrText>
      </w:r>
      <w:r>
        <w:fldChar w:fldCharType="separate"/>
      </w:r>
      <w:r>
        <w:rPr>
          <w:rFonts w:hint="eastAsia" w:ascii="仿宋" w:hAnsi="仿宋" w:eastAsia="仿宋" w:cs="仿宋"/>
          <w:sz w:val="28"/>
          <w:szCs w:val="28"/>
        </w:rPr>
        <w:t>十一、政府性基金预算财政拨款收入支出决算表</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8</w:t>
      </w:r>
    </w:p>
    <w:p>
      <w:pPr>
        <w:pStyle w:val="31"/>
        <w:tabs>
          <w:tab w:val="right" w:leader="dot" w:pos="8845"/>
        </w:tabs>
        <w:ind w:left="420"/>
        <w:rPr>
          <w:rFonts w:ascii="仿宋" w:hAnsi="仿宋" w:eastAsia="仿宋" w:cs="仿宋"/>
          <w:sz w:val="28"/>
          <w:szCs w:val="28"/>
        </w:rPr>
      </w:pPr>
      <w:r>
        <w:fldChar w:fldCharType="begin"/>
      </w:r>
      <w:r>
        <w:instrText xml:space="preserve"> HYPERLINK \l "_Toc20241" </w:instrText>
      </w:r>
      <w:r>
        <w:fldChar w:fldCharType="separate"/>
      </w:r>
      <w:r>
        <w:rPr>
          <w:rFonts w:hint="eastAsia" w:ascii="仿宋" w:hAnsi="仿宋" w:eastAsia="仿宋" w:cs="仿宋"/>
          <w:sz w:val="28"/>
          <w:szCs w:val="28"/>
        </w:rPr>
        <w:t>十二、政府性基金预算财政拨款“三公”经费支出决算表</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8</w:t>
      </w:r>
    </w:p>
    <w:p>
      <w:pPr>
        <w:pStyle w:val="31"/>
        <w:tabs>
          <w:tab w:val="right" w:leader="dot" w:pos="8845"/>
        </w:tabs>
        <w:ind w:left="420"/>
        <w:rPr>
          <w:rFonts w:ascii="仿宋" w:hAnsi="仿宋" w:eastAsia="仿宋" w:cs="仿宋"/>
          <w:sz w:val="28"/>
          <w:szCs w:val="28"/>
        </w:rPr>
      </w:pPr>
      <w:r>
        <w:fldChar w:fldCharType="begin"/>
      </w:r>
      <w:r>
        <w:instrText xml:space="preserve"> HYPERLINK \l "_Toc2054" </w:instrText>
      </w:r>
      <w:r>
        <w:fldChar w:fldCharType="separate"/>
      </w:r>
      <w:r>
        <w:rPr>
          <w:rFonts w:hint="eastAsia" w:ascii="仿宋" w:hAnsi="仿宋" w:eastAsia="仿宋" w:cs="仿宋"/>
          <w:sz w:val="28"/>
          <w:szCs w:val="28"/>
        </w:rPr>
        <w:t>十三、国有资本经营预算财政拨款收入支出决算表</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8</w:t>
      </w:r>
    </w:p>
    <w:p>
      <w:pPr>
        <w:pStyle w:val="31"/>
        <w:tabs>
          <w:tab w:val="right" w:leader="dot" w:pos="8845"/>
        </w:tabs>
        <w:ind w:left="420"/>
        <w:rPr>
          <w:rFonts w:ascii="仿宋" w:hAnsi="仿宋" w:eastAsia="仿宋" w:cs="仿宋"/>
          <w:sz w:val="28"/>
          <w:szCs w:val="28"/>
        </w:rPr>
      </w:pPr>
      <w:r>
        <w:fldChar w:fldCharType="begin"/>
      </w:r>
      <w:r>
        <w:instrText xml:space="preserve"> HYPERLINK \l "_Toc2458" </w:instrText>
      </w:r>
      <w:r>
        <w:fldChar w:fldCharType="separate"/>
      </w:r>
      <w:r>
        <w:rPr>
          <w:rFonts w:hint="eastAsia" w:ascii="仿宋" w:hAnsi="仿宋" w:eastAsia="仿宋" w:cs="仿宋"/>
          <w:sz w:val="28"/>
          <w:szCs w:val="28"/>
        </w:rPr>
        <w:t>十四、国有资本经营预算财政拨款支出决算表</w:t>
      </w:r>
      <w:r>
        <w:rPr>
          <w:rFonts w:hint="eastAsia" w:ascii="仿宋" w:hAnsi="仿宋" w:eastAsia="仿宋" w:cs="仿宋"/>
          <w:sz w:val="28"/>
          <w:szCs w:val="28"/>
        </w:rPr>
        <w:tab/>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t>8</w:t>
      </w:r>
    </w:p>
    <w:p>
      <w:pPr>
        <w:jc w:val="center"/>
        <w:rPr>
          <w:rFonts w:ascii="仿宋" w:hAnsi="仿宋" w:eastAsia="仿宋" w:cs="仿宋"/>
          <w:sz w:val="28"/>
          <w:szCs w:val="28"/>
        </w:rPr>
      </w:pPr>
      <w:r>
        <w:rPr>
          <w:rFonts w:hint="eastAsia" w:ascii="仿宋" w:hAnsi="仿宋" w:eastAsia="仿宋" w:cs="仿宋"/>
          <w:sz w:val="28"/>
          <w:szCs w:val="28"/>
        </w:rPr>
        <w:fldChar w:fldCharType="end"/>
      </w:r>
    </w:p>
    <w:p>
      <w:pPr>
        <w:pStyle w:val="30"/>
        <w:tabs>
          <w:tab w:val="right" w:leader="dot" w:pos="8845"/>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"1-2" \h \u </w:instrText>
      </w:r>
      <w:r>
        <w:rPr>
          <w:rFonts w:hint="eastAsia" w:ascii="仿宋" w:hAnsi="仿宋" w:eastAsia="仿宋" w:cs="仿宋"/>
          <w:sz w:val="28"/>
          <w:szCs w:val="28"/>
        </w:rPr>
        <w:fldChar w:fldCharType="separate"/>
      </w:r>
    </w:p>
    <w:p>
      <w:pPr>
        <w:rPr>
          <w:rFonts w:ascii="仿宋" w:hAnsi="仿宋" w:eastAsia="仿宋" w:cs="仿宋"/>
          <w:sz w:val="28"/>
          <w:szCs w:val="28"/>
        </w:rPr>
      </w:pPr>
      <w:r>
        <w:rPr>
          <w:rFonts w:hint="eastAsia" w:ascii="仿宋" w:hAnsi="仿宋" w:eastAsia="仿宋" w:cs="仿宋"/>
          <w:sz w:val="28"/>
          <w:szCs w:val="28"/>
        </w:rPr>
        <w:fldChar w:fldCharType="end"/>
      </w:r>
    </w:p>
    <w:p>
      <w:pPr>
        <w:spacing w:line="576" w:lineRule="exact"/>
      </w:pPr>
    </w:p>
    <w:p>
      <w:pPr>
        <w:pStyle w:val="2"/>
        <w:spacing w:before="93"/>
      </w:pPr>
    </w:p>
    <w:p>
      <w:pPr>
        <w:pStyle w:val="3"/>
        <w:spacing w:before="0" w:after="0" w:line="576" w:lineRule="exact"/>
        <w:jc w:val="center"/>
        <w:rPr>
          <w:rFonts w:ascii="黑体" w:eastAsia="黑体"/>
          <w:sz w:val="32"/>
          <w:szCs w:val="32"/>
        </w:rPr>
      </w:pPr>
      <w:bookmarkStart w:id="25" w:name="_Toc29198"/>
      <w:bookmarkStart w:id="26" w:name="_Toc26028"/>
      <w:bookmarkStart w:id="27" w:name="_Toc24886"/>
      <w:bookmarkStart w:id="28" w:name="_Toc23179"/>
      <w:bookmarkStart w:id="29" w:name="_Toc21660"/>
      <w:bookmarkStart w:id="30" w:name="_Toc15377196"/>
      <w:bookmarkStart w:id="31" w:name="_Toc15396599"/>
      <w:r>
        <w:rPr>
          <w:rFonts w:hint="eastAsia" w:ascii="黑体" w:hAnsi="黑体" w:eastAsia="黑体"/>
          <w:b w:val="0"/>
        </w:rPr>
        <w:t xml:space="preserve">第一部分 </w:t>
      </w:r>
      <w:r>
        <w:rPr>
          <w:rStyle w:val="26"/>
          <w:rFonts w:hint="eastAsia" w:ascii="黑体" w:hAnsi="黑体" w:eastAsia="黑体"/>
          <w:b w:val="0"/>
          <w:bCs w:val="0"/>
        </w:rPr>
        <w:t>部门概况</w:t>
      </w:r>
      <w:bookmarkEnd w:id="25"/>
      <w:bookmarkEnd w:id="26"/>
      <w:bookmarkEnd w:id="27"/>
      <w:bookmarkEnd w:id="28"/>
      <w:bookmarkEnd w:id="29"/>
      <w:bookmarkEnd w:id="30"/>
      <w:bookmarkEnd w:id="31"/>
    </w:p>
    <w:p>
      <w:pPr>
        <w:pStyle w:val="4"/>
        <w:spacing w:before="0" w:after="0" w:line="576" w:lineRule="exact"/>
        <w:rPr>
          <w:rFonts w:ascii="黑体" w:hAnsi="黑体" w:eastAsia="黑体"/>
          <w:b w:val="0"/>
        </w:rPr>
      </w:pPr>
      <w:bookmarkStart w:id="32" w:name="_Toc15377197"/>
      <w:bookmarkStart w:id="33" w:name="_Toc15396600"/>
    </w:p>
    <w:p>
      <w:pPr>
        <w:pStyle w:val="4"/>
        <w:spacing w:before="0" w:after="0" w:line="576" w:lineRule="exact"/>
        <w:ind w:firstLine="640" w:firstLineChars="200"/>
        <w:rPr>
          <w:rStyle w:val="27"/>
          <w:rFonts w:ascii="仿宋" w:hAnsi="仿宋" w:eastAsia="仿宋"/>
          <w:b w:val="0"/>
          <w:bCs w:val="0"/>
        </w:rPr>
      </w:pPr>
      <w:bookmarkStart w:id="34" w:name="_Toc13027"/>
      <w:bookmarkStart w:id="35" w:name="_Toc20152"/>
      <w:bookmarkStart w:id="36" w:name="_Toc16754"/>
      <w:bookmarkStart w:id="37" w:name="_Toc11406"/>
      <w:bookmarkStart w:id="38" w:name="_Toc8311"/>
      <w:r>
        <w:rPr>
          <w:rFonts w:hint="eastAsia" w:ascii="黑体" w:hAnsi="黑体" w:eastAsia="黑体"/>
          <w:b w:val="0"/>
        </w:rPr>
        <w:t>一、基</w:t>
      </w:r>
      <w:r>
        <w:rPr>
          <w:rStyle w:val="27"/>
          <w:rFonts w:hint="eastAsia" w:ascii="黑体" w:hAnsi="黑体" w:eastAsia="黑体"/>
          <w:b w:val="0"/>
          <w:bCs w:val="0"/>
        </w:rPr>
        <w:t>本职能及主要工作</w:t>
      </w:r>
      <w:bookmarkEnd w:id="32"/>
      <w:bookmarkEnd w:id="33"/>
      <w:bookmarkEnd w:id="34"/>
      <w:bookmarkEnd w:id="35"/>
      <w:bookmarkEnd w:id="36"/>
      <w:bookmarkEnd w:id="37"/>
      <w:bookmarkEnd w:id="38"/>
    </w:p>
    <w:p>
      <w:pPr>
        <w:pStyle w:val="2"/>
        <w:adjustRightInd w:val="0"/>
        <w:snapToGrid w:val="0"/>
        <w:spacing w:beforeLines="0" w:line="576" w:lineRule="exact"/>
        <w:ind w:firstLine="674" w:firstLineChars="210"/>
        <w:outlineLvl w:val="2"/>
        <w:rPr>
          <w:rFonts w:ascii="楷体_GB2312" w:hAnsi="楷体_GB2312" w:eastAsia="楷体_GB2312" w:cs="楷体_GB2312"/>
          <w:b/>
          <w:sz w:val="32"/>
          <w:szCs w:val="32"/>
        </w:rPr>
      </w:pPr>
      <w:bookmarkStart w:id="39" w:name="_Toc15378445"/>
      <w:bookmarkStart w:id="40" w:name="_Toc15377198"/>
      <w:r>
        <w:rPr>
          <w:rFonts w:hint="eastAsia" w:ascii="楷体_GB2312" w:hAnsi="楷体_GB2312" w:eastAsia="楷体_GB2312" w:cs="楷体_GB2312"/>
          <w:b/>
          <w:sz w:val="32"/>
          <w:szCs w:val="32"/>
        </w:rPr>
        <w:t>（一）主要职能。</w:t>
      </w:r>
    </w:p>
    <w:bookmarkEnd w:id="39"/>
    <w:bookmarkEnd w:id="40"/>
    <w:p>
      <w:pPr>
        <w:spacing w:line="576"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sz w:val="32"/>
          <w:szCs w:val="32"/>
        </w:rPr>
        <w:t>贯彻执行国家、省、市有关国土空间规划编制管理的方针、政策和法律、法规；承担市国土空间发展战略规划、公共政策、项目和计划的研究；拟订市国土空间规划管理相关技术标准和技术规定。受市人民政府或市自然资源局委托，组织编制、维护市级国土空间总体规划、中心城区详细规划、专项规划及城市设计、相关概念性规划。负责各县（区）国土空间规划、镇（乡）国土空间规划、村规划编制的技术指导工作。协调跨县（区）重大村镇项目规划编制工作。负责历史文化名城保护规划编制相关事务工作，指导名镇、名村和历史文化街区、传统村落规划编制工作。负责组织多部门、多行业技术联审，承办市国土空间规划专业委员会工作，承担市国土空间规划委员会办公室相关事务工作。承担中心城区项目的规划选址、论证、规划设计前期研究和规划设计方案审查。负责市国土空间规划信息数据平台实施维护和国土空间总体规划、详细规划等数据更新工作。完成市委、市政府和市自然资源局交办的其他任务。</w:t>
      </w:r>
    </w:p>
    <w:p>
      <w:pPr>
        <w:pStyle w:val="2"/>
        <w:adjustRightInd w:val="0"/>
        <w:snapToGrid w:val="0"/>
        <w:spacing w:beforeLines="0" w:line="576" w:lineRule="exact"/>
        <w:ind w:firstLine="674" w:firstLineChars="210"/>
        <w:outlineLvl w:val="2"/>
        <w:rPr>
          <w:rFonts w:ascii="楷体_GB2312" w:hAnsi="楷体_GB2312" w:eastAsia="楷体_GB2312" w:cs="楷体_GB2312"/>
          <w:b/>
          <w:sz w:val="32"/>
          <w:szCs w:val="32"/>
        </w:rPr>
      </w:pPr>
      <w:bookmarkStart w:id="41" w:name="_Toc15378446"/>
      <w:bookmarkStart w:id="42" w:name="_Toc15377199"/>
      <w:r>
        <w:rPr>
          <w:rFonts w:hint="eastAsia" w:ascii="楷体_GB2312" w:hAnsi="楷体_GB2312" w:eastAsia="楷体_GB2312" w:cs="楷体_GB2312"/>
          <w:b/>
          <w:sz w:val="32"/>
          <w:szCs w:val="32"/>
        </w:rPr>
        <w:t>（二）2021年重点工作完成情况。</w:t>
      </w:r>
      <w:bookmarkEnd w:id="41"/>
      <w:bookmarkEnd w:id="42"/>
    </w:p>
    <w:p>
      <w:pPr>
        <w:spacing w:line="576" w:lineRule="exact"/>
        <w:ind w:right="-313" w:rightChars="-149" w:firstLine="642" w:firstLineChars="200"/>
        <w:rPr>
          <w:rFonts w:ascii="仿宋_GB2312" w:hAnsi="仿宋" w:eastAsia="仿宋_GB2312" w:cs="黑体"/>
          <w:bCs/>
          <w:kern w:val="0"/>
          <w:sz w:val="32"/>
          <w:szCs w:val="32"/>
        </w:rPr>
      </w:pPr>
      <w:bookmarkStart w:id="43" w:name="_Toc15377200"/>
      <w:bookmarkStart w:id="44" w:name="_Toc15396601"/>
      <w:r>
        <w:rPr>
          <w:rFonts w:hint="eastAsia" w:ascii="楷体_GB2312" w:hAnsi="楷体_GB2312" w:eastAsia="楷体_GB2312" w:cs="楷体_GB2312"/>
          <w:b/>
          <w:bCs/>
          <w:sz w:val="32"/>
          <w:szCs w:val="32"/>
        </w:rPr>
        <w:t>1.全力抓好疫情防控，保稳定促发展。</w:t>
      </w:r>
      <w:r>
        <w:rPr>
          <w:rFonts w:hint="eastAsia" w:ascii="仿宋_GB2312" w:hAnsi="仿宋" w:eastAsia="仿宋_GB2312" w:cs="黑体"/>
          <w:b/>
          <w:bCs/>
          <w:kern w:val="0"/>
          <w:sz w:val="32"/>
          <w:szCs w:val="32"/>
        </w:rPr>
        <w:t>一是</w:t>
      </w:r>
      <w:r>
        <w:rPr>
          <w:rFonts w:hint="eastAsia" w:ascii="仿宋_GB2312" w:hAnsi="仿宋" w:eastAsia="仿宋_GB2312" w:cs="黑体"/>
          <w:bCs/>
          <w:kern w:val="0"/>
          <w:sz w:val="32"/>
          <w:szCs w:val="32"/>
        </w:rPr>
        <w:t>强化干部职工新冠肺炎疫情防控政策宣传教育，加强机关疫情防控，做好疫情期间值班值守、防护物资储备和消杀防疫等工作，严格办公场所体温监测及出入管控。</w:t>
      </w:r>
      <w:r>
        <w:rPr>
          <w:rFonts w:hint="eastAsia" w:ascii="仿宋_GB2312" w:hAnsi="仿宋" w:eastAsia="仿宋_GB2312" w:cs="黑体"/>
          <w:b/>
          <w:bCs/>
          <w:kern w:val="0"/>
          <w:sz w:val="32"/>
          <w:szCs w:val="32"/>
        </w:rPr>
        <w:t>二是</w:t>
      </w:r>
      <w:r>
        <w:rPr>
          <w:rFonts w:hint="eastAsia" w:ascii="仿宋_GB2312" w:hAnsi="宋体" w:eastAsia="仿宋_GB2312" w:cs="宋体"/>
          <w:bCs/>
          <w:spacing w:val="-10"/>
          <w:sz w:val="32"/>
          <w:szCs w:val="32"/>
        </w:rPr>
        <w:t>按照省、市工作要求，组织全中心和经开区规划中心干部职工接种新冠肺炎疫苗，并及时上报相关信息。</w:t>
      </w:r>
      <w:r>
        <w:rPr>
          <w:rFonts w:hint="eastAsia" w:ascii="仿宋_GB2312" w:hAnsi="宋体" w:eastAsia="仿宋_GB2312" w:cs="宋体"/>
          <w:b/>
          <w:bCs/>
          <w:spacing w:val="-10"/>
          <w:sz w:val="32"/>
          <w:szCs w:val="32"/>
        </w:rPr>
        <w:t>三是</w:t>
      </w:r>
      <w:r>
        <w:rPr>
          <w:rFonts w:hint="eastAsia" w:ascii="仿宋_GB2312" w:hAnsi="仿宋" w:eastAsia="仿宋_GB2312" w:cs="黑体"/>
          <w:bCs/>
          <w:kern w:val="0"/>
          <w:sz w:val="32"/>
          <w:szCs w:val="32"/>
        </w:rPr>
        <w:t>组织全体干部职工下沉主城区兴安路开展疫情防控工作。</w:t>
      </w:r>
    </w:p>
    <w:p>
      <w:pPr>
        <w:spacing w:line="576" w:lineRule="exact"/>
        <w:ind w:right="-313" w:rightChars="-149" w:firstLine="642" w:firstLineChars="200"/>
        <w:rPr>
          <w:rFonts w:ascii="仿宋_GB2312" w:eastAsia="仿宋_GB2312"/>
          <w:b/>
          <w:sz w:val="32"/>
          <w:szCs w:val="32"/>
        </w:rPr>
      </w:pPr>
      <w:r>
        <w:rPr>
          <w:rFonts w:hint="eastAsia" w:ascii="楷体_GB2312" w:hAnsi="楷体_GB2312" w:eastAsia="楷体_GB2312" w:cs="楷体_GB2312"/>
          <w:b/>
          <w:bCs/>
          <w:sz w:val="32"/>
          <w:szCs w:val="32"/>
        </w:rPr>
        <w:t>2.全力抓好机构改革“后半篇文章”，理顺管理体制。</w:t>
      </w:r>
      <w:r>
        <w:rPr>
          <w:rFonts w:hint="eastAsia" w:ascii="仿宋_GB2312" w:hAnsi="宋体" w:eastAsia="仿宋_GB2312" w:cs="宋体"/>
          <w:b/>
          <w:bCs/>
          <w:spacing w:val="-10"/>
          <w:sz w:val="32"/>
          <w:szCs w:val="32"/>
        </w:rPr>
        <w:t>一是</w:t>
      </w:r>
      <w:r>
        <w:rPr>
          <w:rFonts w:hint="eastAsia" w:ascii="仿宋_GB2312" w:eastAsia="仿宋_GB2312"/>
          <w:sz w:val="32"/>
          <w:szCs w:val="32"/>
        </w:rPr>
        <w:t>起草上报并经市委编办审定出台《广元市国土空间规划编制研究中心职能配置、内设机构和人员编制规定》《关于调整市辖区国土空间规划编研机构有关事项的通知》，明确市区国土空间规划中心机构设置、主要职责、人员编制、人事管理及经费保障。</w:t>
      </w:r>
      <w:r>
        <w:rPr>
          <w:rFonts w:hint="eastAsia" w:ascii="仿宋_GB2312" w:eastAsia="仿宋_GB2312"/>
          <w:b/>
          <w:sz w:val="32"/>
          <w:szCs w:val="32"/>
        </w:rPr>
        <w:t>二是</w:t>
      </w:r>
      <w:r>
        <w:rPr>
          <w:rFonts w:hint="eastAsia" w:ascii="仿宋_GB2312" w:hAnsi="仿宋" w:eastAsia="仿宋_GB2312" w:cs="仿宋"/>
          <w:sz w:val="32"/>
          <w:szCs w:val="32"/>
        </w:rPr>
        <w:t>按照审查和审批分离原则，</w:t>
      </w:r>
      <w:r>
        <w:rPr>
          <w:rFonts w:hint="eastAsia" w:ascii="仿宋_GB2312" w:eastAsia="仿宋_GB2312"/>
          <w:sz w:val="32"/>
          <w:szCs w:val="32"/>
        </w:rPr>
        <w:t>完成市国土空间规划中心挂牌</w:t>
      </w:r>
      <w:r>
        <w:rPr>
          <w:rFonts w:hint="eastAsia" w:ascii="仿宋_GB2312" w:hAnsi="仿宋" w:eastAsia="仿宋_GB2312" w:cs="仿宋"/>
          <w:sz w:val="32"/>
          <w:szCs w:val="32"/>
        </w:rPr>
        <w:t>和8个内设科室组建及负责人配备工作。</w:t>
      </w:r>
      <w:r>
        <w:rPr>
          <w:rFonts w:hint="eastAsia" w:ascii="仿宋_GB2312" w:eastAsia="仿宋_GB2312"/>
          <w:sz w:val="32"/>
          <w:szCs w:val="32"/>
        </w:rPr>
        <w:t>推进利州区、昭化区、朝天区国土空间规划中心挂牌和人员划转、领导任命等工作，基本理顺市区国土空间规划管理体制。</w:t>
      </w:r>
      <w:r>
        <w:rPr>
          <w:rFonts w:hint="eastAsia" w:ascii="仿宋_GB2312" w:eastAsia="仿宋_GB2312"/>
          <w:b/>
          <w:sz w:val="32"/>
          <w:szCs w:val="32"/>
        </w:rPr>
        <w:t>三是</w:t>
      </w:r>
      <w:r>
        <w:rPr>
          <w:rFonts w:hint="eastAsia" w:ascii="仿宋_GB2312" w:eastAsia="仿宋_GB2312"/>
          <w:sz w:val="32"/>
          <w:szCs w:val="32"/>
        </w:rPr>
        <w:t>在市自然资源局的统筹下，会同市城管局、利州区政府完成市城区规划执法体制改革。</w:t>
      </w:r>
    </w:p>
    <w:p>
      <w:pPr>
        <w:spacing w:line="576" w:lineRule="exact"/>
        <w:ind w:right="-313" w:rightChars="-149" w:firstLine="642" w:firstLineChars="200"/>
        <w:rPr>
          <w:rFonts w:ascii="仿宋_GB2312" w:hAnsi="微软雅黑" w:eastAsia="仿宋_GB2312"/>
          <w:b/>
          <w:sz w:val="32"/>
          <w:szCs w:val="32"/>
          <w:shd w:val="clear" w:color="auto" w:fill="FFFFFF"/>
        </w:rPr>
      </w:pPr>
      <w:r>
        <w:rPr>
          <w:rFonts w:hint="eastAsia" w:ascii="楷体_GB2312" w:hAnsi="楷体_GB2312" w:eastAsia="楷体_GB2312" w:cs="楷体_GB2312"/>
          <w:b/>
          <w:bCs/>
          <w:sz w:val="32"/>
          <w:szCs w:val="32"/>
        </w:rPr>
        <w:t>3.全力抓好规划编制研究，突出规划引领。</w:t>
      </w:r>
      <w:r>
        <w:rPr>
          <w:rFonts w:hint="eastAsia" w:ascii="仿宋_GB2312" w:hAnsi="微软雅黑" w:eastAsia="仿宋_GB2312"/>
          <w:b/>
          <w:sz w:val="32"/>
          <w:szCs w:val="32"/>
          <w:shd w:val="clear" w:color="auto" w:fill="FFFFFF"/>
        </w:rPr>
        <w:t>一是</w:t>
      </w:r>
      <w:r>
        <w:rPr>
          <w:rFonts w:hint="eastAsia" w:ascii="仿宋_GB2312" w:hAnsi="微软雅黑" w:eastAsia="仿宋_GB2312"/>
          <w:sz w:val="32"/>
          <w:szCs w:val="32"/>
          <w:shd w:val="clear" w:color="auto" w:fill="FFFFFF"/>
        </w:rPr>
        <w:t>深度参与市区国土空间总体规划、</w:t>
      </w:r>
      <w:r>
        <w:rPr>
          <w:rFonts w:hint="eastAsia" w:ascii="仿宋_GB2312" w:hAnsi="仿宋" w:eastAsia="仿宋_GB2312" w:cs="仿宋"/>
          <w:sz w:val="32"/>
          <w:szCs w:val="32"/>
        </w:rPr>
        <w:t>广元市2021-2022年过渡期国土空间规划、广元市国民经济和社会发展第十四个五年规划和二</w:t>
      </w:r>
      <w:r>
        <w:rPr>
          <w:rFonts w:hint="eastAsia" w:ascii="宋体" w:hAnsi="宋体" w:cs="宋体"/>
          <w:sz w:val="32"/>
          <w:szCs w:val="32"/>
        </w:rPr>
        <w:t>〇</w:t>
      </w:r>
      <w:r>
        <w:rPr>
          <w:rFonts w:hint="eastAsia" w:ascii="仿宋_GB2312" w:hAnsi="仿宋_GB2312" w:eastAsia="仿宋_GB2312" w:cs="仿宋_GB2312"/>
          <w:sz w:val="32"/>
          <w:szCs w:val="32"/>
        </w:rPr>
        <w:t>三五年远景目标纲要等</w:t>
      </w:r>
      <w:r>
        <w:rPr>
          <w:rFonts w:hint="eastAsia" w:ascii="仿宋_GB2312" w:hAnsi="仿宋" w:eastAsia="仿宋_GB2312" w:cs="仿宋"/>
          <w:sz w:val="32"/>
          <w:szCs w:val="32"/>
        </w:rPr>
        <w:t>编制。</w:t>
      </w:r>
      <w:r>
        <w:rPr>
          <w:rFonts w:hint="eastAsia" w:ascii="仿宋_GB2312" w:hAnsi="微软雅黑" w:eastAsia="仿宋_GB2312"/>
          <w:b/>
          <w:sz w:val="32"/>
          <w:szCs w:val="32"/>
          <w:shd w:val="clear" w:color="auto" w:fill="FFFFFF"/>
        </w:rPr>
        <w:t>二是</w:t>
      </w:r>
      <w:r>
        <w:rPr>
          <w:rFonts w:hint="eastAsia" w:ascii="仿宋_GB2312" w:hAnsi="仿宋_GB2312" w:eastAsia="仿宋_GB2312" w:cs="仿宋_GB2312"/>
          <w:sz w:val="32"/>
          <w:szCs w:val="32"/>
        </w:rPr>
        <w:t>启动《广元历史文化名城保护规划（2017-2035）》修编，并通过省住建厅组织召开的保护规划评估报告评审会</w:t>
      </w:r>
      <w:r>
        <w:rPr>
          <w:rFonts w:hint="eastAsia" w:ascii="仿宋_GB2312" w:hAnsi="黑体" w:eastAsia="仿宋_GB2312"/>
          <w:b/>
          <w:sz w:val="32"/>
          <w:szCs w:val="32"/>
        </w:rPr>
        <w:t>。</w:t>
      </w:r>
      <w:r>
        <w:rPr>
          <w:rFonts w:hint="eastAsia" w:ascii="仿宋_GB2312" w:hAnsi="黑体" w:eastAsia="仿宋_GB2312"/>
          <w:sz w:val="32"/>
          <w:szCs w:val="32"/>
        </w:rPr>
        <w:t>完成家居产业城用地规划优化方案、</w:t>
      </w:r>
      <w:r>
        <w:rPr>
          <w:rFonts w:hint="eastAsia" w:ascii="仿宋_GB2312" w:hAnsi="仿宋" w:eastAsia="仿宋_GB2312" w:cs="仿宋_GB2312"/>
          <w:sz w:val="32"/>
          <w:szCs w:val="32"/>
        </w:rPr>
        <w:t>经开区石龙工业园等园区扩园空间布局及土地利用方案</w:t>
      </w:r>
      <w:r>
        <w:rPr>
          <w:rFonts w:hint="eastAsia" w:ascii="仿宋_GB2312" w:hAnsi="黑体" w:eastAsia="仿宋_GB2312"/>
          <w:sz w:val="32"/>
          <w:szCs w:val="32"/>
        </w:rPr>
        <w:t>编制，启动</w:t>
      </w:r>
      <w:r>
        <w:rPr>
          <w:rFonts w:hint="eastAsia" w:ascii="仿宋_GB2312" w:hAnsi="黑体" w:eastAsia="仿宋_GB2312"/>
          <w:bCs/>
          <w:sz w:val="32"/>
          <w:szCs w:val="32"/>
        </w:rPr>
        <w:t>下西片区城市更新策划及概念规划</w:t>
      </w:r>
      <w:r>
        <w:rPr>
          <w:rFonts w:hint="eastAsia" w:ascii="仿宋_GB2312" w:hAnsi="仿宋" w:eastAsia="仿宋_GB2312" w:cs="仿宋_GB2312"/>
          <w:sz w:val="32"/>
          <w:szCs w:val="32"/>
        </w:rPr>
        <w:t>、秦巴生物医药产业园策划及概念规划编制</w:t>
      </w:r>
      <w:r>
        <w:rPr>
          <w:rFonts w:hint="eastAsia" w:ascii="仿宋_GB2312" w:hAnsi="黑体" w:eastAsia="仿宋_GB2312"/>
          <w:sz w:val="32"/>
          <w:szCs w:val="32"/>
        </w:rPr>
        <w:t>。</w:t>
      </w:r>
      <w:r>
        <w:rPr>
          <w:rFonts w:hint="eastAsia" w:ascii="仿宋_GB2312" w:hAnsi="微软雅黑" w:eastAsia="仿宋_GB2312"/>
          <w:b/>
          <w:sz w:val="32"/>
          <w:szCs w:val="32"/>
          <w:shd w:val="clear" w:color="auto" w:fill="FFFFFF"/>
        </w:rPr>
        <w:t>三是</w:t>
      </w:r>
      <w:r>
        <w:rPr>
          <w:rStyle w:val="32"/>
          <w:rFonts w:hint="eastAsia" w:ascii="仿宋_GB2312" w:hAnsi="仿宋" w:eastAsia="仿宋_GB2312"/>
          <w:sz w:val="32"/>
          <w:szCs w:val="32"/>
        </w:rPr>
        <w:t>完成广元主城区—曾家山一体化、基于TOD开发模式的广元火车站片区更新策略、中心城区街区风貌提升和管控等研究，形成《基于TOD开发模式的广元火车站片区更新策略研究》《曾家山康养旅游度假区与主城区一体化发展策略研究》《城市设计视野下的广元市城市风貌管控提升策略研究》等专题报告。</w:t>
      </w:r>
      <w:r>
        <w:rPr>
          <w:rFonts w:hint="eastAsia" w:ascii="仿宋_GB2312" w:hAnsi="微软雅黑" w:eastAsia="仿宋_GB2312"/>
          <w:b/>
          <w:sz w:val="32"/>
          <w:szCs w:val="32"/>
          <w:shd w:val="clear" w:color="auto" w:fill="FFFFFF"/>
        </w:rPr>
        <w:t>四是</w:t>
      </w:r>
      <w:r>
        <w:rPr>
          <w:rStyle w:val="32"/>
          <w:rFonts w:hint="eastAsia" w:ascii="仿宋_GB2312" w:hAnsi="仿宋" w:eastAsia="仿宋_GB2312"/>
          <w:sz w:val="32"/>
          <w:szCs w:val="32"/>
        </w:rPr>
        <w:t>启动中心城区、大稻坝、小稻坝、元坝、东部新城等重点区域开发、栖凤湖滨河地带开发、万缘片区交通组织改善等研究，积极参与广元市“十四五”综合交通运输发展规划、广元市“十四五”综合物流枢纽建设规划、广元市主城区系统化推进城市更新实施方案等课题研究。</w:t>
      </w:r>
    </w:p>
    <w:p>
      <w:pPr>
        <w:spacing w:line="576" w:lineRule="exact"/>
        <w:ind w:right="-313" w:rightChars="-149" w:firstLine="642" w:firstLineChars="200"/>
        <w:rPr>
          <w:rFonts w:ascii="仿宋_GB2312" w:eastAsia="仿宋_GB2312"/>
          <w:sz w:val="32"/>
          <w:szCs w:val="32"/>
        </w:rPr>
      </w:pPr>
      <w:r>
        <w:rPr>
          <w:rFonts w:hint="eastAsia" w:ascii="楷体_GB2312" w:hAnsi="楷体_GB2312" w:eastAsia="楷体_GB2312" w:cs="楷体_GB2312"/>
          <w:b/>
          <w:bCs/>
          <w:sz w:val="32"/>
          <w:szCs w:val="32"/>
        </w:rPr>
        <w:t>4.全力抓好要素保障，服务项目规划建设。</w:t>
      </w:r>
      <w:r>
        <w:rPr>
          <w:rFonts w:hint="eastAsia" w:ascii="仿宋_GB2312" w:eastAsia="仿宋_GB2312"/>
          <w:b/>
          <w:sz w:val="32"/>
          <w:szCs w:val="32"/>
        </w:rPr>
        <w:t>一是</w:t>
      </w:r>
      <w:r>
        <w:rPr>
          <w:rFonts w:hint="eastAsia" w:ascii="仿宋_GB2312" w:eastAsia="仿宋_GB2312"/>
          <w:sz w:val="32"/>
          <w:szCs w:val="32"/>
        </w:rPr>
        <w:t>完成</w:t>
      </w:r>
      <w:r>
        <w:rPr>
          <w:rFonts w:hint="eastAsia" w:ascii="仿宋_GB2312" w:hAnsi="仿宋" w:eastAsia="仿宋_GB2312" w:cs="仿宋_GB2312"/>
          <w:sz w:val="32"/>
          <w:szCs w:val="32"/>
        </w:rPr>
        <w:t>“女儿节”永久承办地</w:t>
      </w:r>
      <w:r>
        <w:rPr>
          <w:rFonts w:hint="eastAsia" w:ascii="仿宋_GB2312" w:eastAsia="仿宋_GB2312"/>
          <w:sz w:val="32"/>
          <w:szCs w:val="32"/>
        </w:rPr>
        <w:t>、</w:t>
      </w:r>
      <w:r>
        <w:rPr>
          <w:rFonts w:ascii="仿宋_GB2312" w:eastAsia="仿宋_GB2312"/>
          <w:sz w:val="32"/>
          <w:szCs w:val="32"/>
        </w:rPr>
        <w:t>凤凰山动物园搬迁</w:t>
      </w:r>
      <w:r>
        <w:rPr>
          <w:rFonts w:hint="eastAsia" w:ascii="仿宋_GB2312" w:hAnsi="仿宋_GB2312" w:eastAsia="仿宋_GB2312" w:cs="仿宋_GB2312"/>
          <w:sz w:val="32"/>
          <w:szCs w:val="32"/>
        </w:rPr>
        <w:t>等50余个项目</w:t>
      </w:r>
      <w:r>
        <w:rPr>
          <w:rFonts w:ascii="仿宋_GB2312" w:eastAsia="仿宋_GB2312"/>
          <w:sz w:val="32"/>
          <w:szCs w:val="32"/>
        </w:rPr>
        <w:t>选址</w:t>
      </w:r>
      <w:r>
        <w:rPr>
          <w:rFonts w:hint="eastAsia" w:ascii="仿宋_GB2312" w:eastAsia="仿宋_GB2312"/>
          <w:sz w:val="32"/>
          <w:szCs w:val="32"/>
        </w:rPr>
        <w:t>。</w:t>
      </w:r>
      <w:r>
        <w:rPr>
          <w:rFonts w:hint="eastAsia" w:ascii="仿宋_GB2312" w:hAnsi="仿宋" w:eastAsia="仿宋_GB2312" w:cs="宋体"/>
          <w:kern w:val="0"/>
          <w:sz w:val="32"/>
          <w:szCs w:val="32"/>
        </w:rPr>
        <w:t>市委党校新校区建设项目、利州区疾控中心迁建及物资储备中心项目、雪峰客运中心及璀璨滨江项目、</w:t>
      </w:r>
      <w:r>
        <w:rPr>
          <w:rFonts w:hint="eastAsia" w:ascii="仿宋_GB2312" w:hAnsi="黑体" w:eastAsia="仿宋_GB2312"/>
          <w:sz w:val="32"/>
          <w:szCs w:val="32"/>
        </w:rPr>
        <w:t>安全坝滨水景观绿化方案等80</w:t>
      </w:r>
      <w:r>
        <w:rPr>
          <w:rFonts w:hint="eastAsia" w:ascii="仿宋_GB2312" w:hAnsi="仿宋_GB2312" w:eastAsia="仿宋_GB2312" w:cs="仿宋_GB2312"/>
          <w:sz w:val="32"/>
          <w:szCs w:val="32"/>
        </w:rPr>
        <w:t>余个项目审查工作。</w:t>
      </w:r>
      <w:r>
        <w:rPr>
          <w:rFonts w:hint="eastAsia" w:ascii="仿宋_GB2312" w:eastAsia="仿宋_GB2312"/>
          <w:b/>
          <w:sz w:val="32"/>
          <w:szCs w:val="32"/>
        </w:rPr>
        <w:t>二是</w:t>
      </w:r>
      <w:r>
        <w:rPr>
          <w:rFonts w:hint="eastAsia" w:ascii="仿宋_GB2312" w:eastAsia="仿宋_GB2312"/>
          <w:sz w:val="32"/>
          <w:szCs w:val="32"/>
        </w:rPr>
        <w:t>完成市政府市人大居住小区、公交公司和市交通局用地、通大道周边用地等项目改造测算方案研究工作。</w:t>
      </w:r>
      <w:r>
        <w:rPr>
          <w:rFonts w:hint="eastAsia" w:ascii="仿宋_GB2312" w:eastAsia="仿宋_GB2312"/>
          <w:b/>
          <w:sz w:val="32"/>
          <w:szCs w:val="32"/>
        </w:rPr>
        <w:t>三是</w:t>
      </w:r>
      <w:r>
        <w:rPr>
          <w:rFonts w:hint="eastAsia" w:ascii="仿宋_GB2312" w:eastAsia="仿宋_GB2312"/>
          <w:sz w:val="32"/>
          <w:szCs w:val="32"/>
        </w:rPr>
        <w:t>完成上西片区C-b-04-03等地块、南河片区A-b-4-02地块、工农片区J-b-1-01/02地块等8个控规调整，加快推进081工业园日航南侧地块、北出口CNG加气站、城北片区（I.B）-b-03-07地块等4个控规调整。协助利州区完成大东英才迁建、回龙河综合能源站等13个</w:t>
      </w:r>
      <w:r>
        <w:rPr>
          <w:rFonts w:ascii="仿宋_GB2312" w:eastAsia="仿宋_GB2312"/>
          <w:sz w:val="32"/>
          <w:szCs w:val="32"/>
        </w:rPr>
        <w:t>控规</w:t>
      </w:r>
      <w:r>
        <w:rPr>
          <w:rFonts w:hint="eastAsia" w:ascii="仿宋_GB2312" w:eastAsia="仿宋_GB2312"/>
          <w:sz w:val="32"/>
          <w:szCs w:val="32"/>
        </w:rPr>
        <w:t>调整。</w:t>
      </w:r>
      <w:r>
        <w:rPr>
          <w:rFonts w:hint="eastAsia" w:ascii="仿宋_GB2312" w:hAnsi="仿宋_GB2312" w:eastAsia="仿宋_GB2312" w:cs="仿宋_GB2312"/>
          <w:b/>
          <w:sz w:val="32"/>
          <w:szCs w:val="32"/>
        </w:rPr>
        <w:t>四是</w:t>
      </w:r>
      <w:r>
        <w:rPr>
          <w:rFonts w:hint="eastAsia" w:ascii="仿宋_GB2312" w:hAnsi="仿宋_GB2312" w:eastAsia="仿宋_GB2312" w:cs="仿宋_GB2312"/>
          <w:sz w:val="32"/>
          <w:szCs w:val="32"/>
        </w:rPr>
        <w:t>继续推行“并联审查”，</w:t>
      </w:r>
      <w:r>
        <w:rPr>
          <w:rFonts w:hint="eastAsia" w:ascii="仿宋_GB2312" w:hAnsi="仿宋_GB2312" w:eastAsia="仿宋_GB2312" w:cs="仿宋_GB2312"/>
          <w:bCs/>
          <w:sz w:val="32"/>
          <w:szCs w:val="32"/>
          <w:shd w:val="clear" w:color="auto" w:fill="FFFFFF"/>
        </w:rPr>
        <w:t>“小批量、多频次”组织召开市专委会及规委会，大力提高审查效率</w:t>
      </w:r>
      <w:r>
        <w:rPr>
          <w:rFonts w:hint="eastAsia" w:ascii="仿宋_GB2312" w:hAnsi="仿宋_GB2312" w:eastAsia="仿宋_GB2312" w:cs="仿宋_GB2312"/>
          <w:sz w:val="32"/>
          <w:szCs w:val="32"/>
        </w:rPr>
        <w:t>。全年</w:t>
      </w:r>
      <w:r>
        <w:rPr>
          <w:rStyle w:val="32"/>
          <w:rFonts w:ascii="仿宋_GB2312" w:eastAsia="仿宋_GB2312"/>
          <w:sz w:val="32"/>
          <w:szCs w:val="32"/>
        </w:rPr>
        <w:t>共召开市专委会</w:t>
      </w:r>
      <w:r>
        <w:rPr>
          <w:rStyle w:val="32"/>
          <w:rFonts w:hint="eastAsia" w:ascii="仿宋_GB2312" w:eastAsia="仿宋_GB2312"/>
          <w:sz w:val="32"/>
          <w:szCs w:val="32"/>
        </w:rPr>
        <w:t>53</w:t>
      </w:r>
      <w:r>
        <w:rPr>
          <w:rStyle w:val="32"/>
          <w:rFonts w:ascii="仿宋_GB2312" w:eastAsia="仿宋_GB2312"/>
          <w:sz w:val="32"/>
          <w:szCs w:val="32"/>
        </w:rPr>
        <w:t>期，审查项目</w:t>
      </w:r>
      <w:r>
        <w:rPr>
          <w:rStyle w:val="32"/>
          <w:rFonts w:hint="eastAsia" w:ascii="仿宋_GB2312" w:eastAsia="仿宋_GB2312"/>
          <w:sz w:val="32"/>
          <w:szCs w:val="32"/>
        </w:rPr>
        <w:t>237</w:t>
      </w:r>
      <w:r>
        <w:rPr>
          <w:rStyle w:val="32"/>
          <w:rFonts w:ascii="仿宋_GB2312" w:eastAsia="仿宋_GB2312"/>
          <w:sz w:val="32"/>
          <w:szCs w:val="32"/>
        </w:rPr>
        <w:t>个，项目上会通过率</w:t>
      </w:r>
      <w:r>
        <w:rPr>
          <w:rStyle w:val="32"/>
          <w:rFonts w:hint="eastAsia" w:ascii="仿宋_GB2312" w:eastAsia="仿宋_GB2312"/>
          <w:sz w:val="32"/>
          <w:szCs w:val="32"/>
        </w:rPr>
        <w:t>80</w:t>
      </w:r>
      <w:r>
        <w:rPr>
          <w:rStyle w:val="32"/>
          <w:rFonts w:ascii="仿宋_GB2312" w:eastAsia="仿宋_GB2312"/>
          <w:sz w:val="32"/>
          <w:szCs w:val="32"/>
        </w:rPr>
        <w:t>%，审查</w:t>
      </w:r>
      <w:r>
        <w:rPr>
          <w:rStyle w:val="32"/>
          <w:rFonts w:ascii="仿宋_GB2312" w:hAnsi="仿宋_GB2312" w:eastAsia="仿宋_GB2312"/>
          <w:sz w:val="32"/>
          <w:szCs w:val="32"/>
        </w:rPr>
        <w:t>质量大幅提升</w:t>
      </w:r>
      <w:r>
        <w:rPr>
          <w:rStyle w:val="32"/>
          <w:rFonts w:ascii="仿宋_GB2312" w:eastAsia="仿宋_GB2312"/>
          <w:sz w:val="32"/>
          <w:szCs w:val="32"/>
        </w:rPr>
        <w:t>；共筹备召开市规委会</w:t>
      </w:r>
      <w:r>
        <w:rPr>
          <w:rStyle w:val="32"/>
          <w:rFonts w:hint="eastAsia" w:ascii="仿宋_GB2312" w:hAnsi="Calibri" w:eastAsia="仿宋_GB2312"/>
          <w:sz w:val="32"/>
          <w:szCs w:val="32"/>
        </w:rPr>
        <w:t>19</w:t>
      </w:r>
      <w:r>
        <w:rPr>
          <w:rStyle w:val="32"/>
          <w:rFonts w:ascii="仿宋_GB2312" w:eastAsia="仿宋_GB2312"/>
          <w:sz w:val="32"/>
          <w:szCs w:val="32"/>
        </w:rPr>
        <w:t>期，审议项目</w:t>
      </w:r>
      <w:r>
        <w:rPr>
          <w:rStyle w:val="32"/>
          <w:rFonts w:hint="eastAsia" w:ascii="仿宋_GB2312" w:eastAsia="仿宋_GB2312"/>
          <w:sz w:val="32"/>
          <w:szCs w:val="32"/>
        </w:rPr>
        <w:t>123</w:t>
      </w:r>
      <w:r>
        <w:rPr>
          <w:rStyle w:val="32"/>
          <w:rFonts w:ascii="仿宋_GB2312" w:eastAsia="仿宋_GB2312"/>
          <w:sz w:val="32"/>
          <w:szCs w:val="32"/>
        </w:rPr>
        <w:t>个，召开频率较去年同期提高</w:t>
      </w:r>
      <w:r>
        <w:rPr>
          <w:rStyle w:val="32"/>
          <w:rFonts w:hint="eastAsia" w:ascii="仿宋_GB2312" w:eastAsia="仿宋_GB2312"/>
          <w:sz w:val="32"/>
          <w:szCs w:val="32"/>
        </w:rPr>
        <w:t>27</w:t>
      </w:r>
      <w:r>
        <w:rPr>
          <w:rStyle w:val="32"/>
          <w:rFonts w:ascii="仿宋_GB2312" w:eastAsia="仿宋_GB2312"/>
          <w:sz w:val="32"/>
          <w:szCs w:val="32"/>
        </w:rPr>
        <w:t>%。</w:t>
      </w:r>
      <w:r>
        <w:rPr>
          <w:rFonts w:hint="eastAsia" w:ascii="仿宋_GB2312" w:hAnsi="仿宋_GB2312" w:eastAsia="仿宋_GB2312" w:cs="仿宋_GB2312"/>
          <w:b/>
          <w:sz w:val="32"/>
          <w:szCs w:val="32"/>
        </w:rPr>
        <w:t>五是</w:t>
      </w:r>
      <w:r>
        <w:rPr>
          <w:rFonts w:hint="eastAsia" w:ascii="仿宋_GB2312" w:hAnsi="仿宋_GB2312" w:eastAsia="仿宋_GB2312" w:cs="仿宋_GB2312"/>
          <w:sz w:val="32"/>
          <w:szCs w:val="32"/>
        </w:rPr>
        <w:t>密切配合市自然资源局，加强规划审查审批，全面提高规划管理水平。全年</w:t>
      </w:r>
      <w:r>
        <w:rPr>
          <w:rFonts w:hint="eastAsia" w:ascii="仿宋_GB2312" w:hAnsi="仿宋" w:eastAsia="仿宋_GB2312" w:cs="楷体_GB2312"/>
          <w:bCs/>
          <w:sz w:val="32"/>
          <w:szCs w:val="32"/>
        </w:rPr>
        <w:t>办理各类规划许可210余个,各类规划核实和土地核验项目40余个，出具</w:t>
      </w:r>
      <w:r>
        <w:rPr>
          <w:rFonts w:hint="eastAsia" w:ascii="仿宋_GB2312" w:hAnsi="仿宋" w:eastAsia="仿宋_GB2312" w:cs="仿宋"/>
          <w:sz w:val="32"/>
          <w:szCs w:val="32"/>
        </w:rPr>
        <w:t>用地规划</w:t>
      </w:r>
      <w:r>
        <w:rPr>
          <w:rFonts w:hint="eastAsia" w:ascii="仿宋_GB2312" w:hAnsi="仿宋" w:eastAsia="仿宋_GB2312" w:cs="楷体_GB2312"/>
          <w:bCs/>
          <w:sz w:val="32"/>
          <w:szCs w:val="32"/>
        </w:rPr>
        <w:t>红线图250余份。</w:t>
      </w:r>
    </w:p>
    <w:p>
      <w:pPr>
        <w:spacing w:line="576" w:lineRule="exact"/>
        <w:ind w:right="-313" w:rightChars="-149" w:firstLine="642" w:firstLineChars="200"/>
        <w:rPr>
          <w:rFonts w:ascii="仿宋_GB2312" w:eastAsia="仿宋_GB2312"/>
          <w:sz w:val="32"/>
          <w:szCs w:val="32"/>
        </w:rPr>
      </w:pPr>
      <w:r>
        <w:rPr>
          <w:rFonts w:hint="eastAsia" w:ascii="楷体_GB2312" w:hAnsi="楷体_GB2312" w:eastAsia="楷体_GB2312" w:cs="楷体_GB2312"/>
          <w:b/>
          <w:bCs/>
          <w:sz w:val="32"/>
          <w:szCs w:val="32"/>
        </w:rPr>
        <w:t>5.全力抓好纪律作风整顿，进一步优化营商环境。</w:t>
      </w:r>
      <w:r>
        <w:rPr>
          <w:rFonts w:hint="eastAsia" w:ascii="仿宋_GB2312" w:hAnsi="楷体" w:eastAsia="仿宋_GB2312" w:cs="楷体_GB2312"/>
          <w:b/>
          <w:sz w:val="32"/>
          <w:szCs w:val="32"/>
        </w:rPr>
        <w:t>一是</w:t>
      </w:r>
      <w:r>
        <w:rPr>
          <w:rFonts w:hint="eastAsia" w:ascii="仿宋_GB2312" w:hAnsi="楷体" w:eastAsia="仿宋_GB2312" w:cs="楷体_GB2312"/>
          <w:sz w:val="32"/>
          <w:szCs w:val="32"/>
        </w:rPr>
        <w:t>成立主要领导为组长、分管领导为副组长、相关科室和区规划中心主要负责人为成员的干部纪律作风整顿领导小组，统筹推进工作开展。</w:t>
      </w:r>
      <w:r>
        <w:rPr>
          <w:rFonts w:hint="eastAsia" w:ascii="仿宋_GB2312" w:hAnsi="楷体" w:eastAsia="仿宋_GB2312" w:cs="楷体_GB2312"/>
          <w:b/>
          <w:sz w:val="32"/>
          <w:szCs w:val="32"/>
        </w:rPr>
        <w:t>二是</w:t>
      </w:r>
      <w:r>
        <w:rPr>
          <w:rFonts w:hint="eastAsia" w:ascii="仿宋_GB2312" w:eastAsia="仿宋_GB2312"/>
          <w:sz w:val="32"/>
          <w:szCs w:val="32"/>
        </w:rPr>
        <w:t>召开持续深化规划领域突出问题系统治理暨干部纪律作风整顿工作会议，</w:t>
      </w:r>
      <w:r>
        <w:rPr>
          <w:rFonts w:hint="eastAsia" w:ascii="仿宋_GB2312" w:hAnsi="楷体" w:eastAsia="仿宋_GB2312" w:cs="楷体_GB2312"/>
          <w:sz w:val="32"/>
          <w:szCs w:val="32"/>
        </w:rPr>
        <w:t>印发《广元市国土空间规划编制研究中心干部纪律作风整顿工作方案》，</w:t>
      </w:r>
      <w:r>
        <w:rPr>
          <w:rFonts w:hint="eastAsia" w:ascii="仿宋_GB2312" w:eastAsia="仿宋_GB2312"/>
          <w:sz w:val="32"/>
          <w:szCs w:val="32"/>
        </w:rPr>
        <w:t>明确目标任务、整治重点、落实任务分工。</w:t>
      </w:r>
      <w:r>
        <w:rPr>
          <w:rFonts w:hint="eastAsia" w:ascii="仿宋_GB2312" w:hAnsi="楷体" w:eastAsia="仿宋_GB2312" w:cs="楷体_GB2312"/>
          <w:b/>
          <w:sz w:val="32"/>
          <w:szCs w:val="32"/>
        </w:rPr>
        <w:t>三是</w:t>
      </w:r>
      <w:r>
        <w:rPr>
          <w:rFonts w:hint="eastAsia" w:ascii="仿宋_GB2312" w:hAnsi="仿宋_GB2312" w:eastAsia="仿宋_GB2312" w:cs="仿宋_GB2312"/>
          <w:sz w:val="32"/>
          <w:szCs w:val="32"/>
        </w:rPr>
        <w:t>组织干部职工对照12项整治内容，梳理排查</w:t>
      </w:r>
      <w:r>
        <w:rPr>
          <w:rFonts w:ascii="仿宋_GB2312" w:hAnsi="仿宋_GB2312" w:eastAsia="仿宋_GB2312" w:cs="仿宋_GB2312"/>
          <w:sz w:val="32"/>
          <w:szCs w:val="32"/>
          <w:shd w:val="clear" w:color="auto" w:fill="FFFFFF"/>
        </w:rPr>
        <w:t>7</w:t>
      </w:r>
      <w:r>
        <w:rPr>
          <w:rFonts w:hint="eastAsia" w:ascii="仿宋_GB2312" w:hAnsi="仿宋_GB2312" w:eastAsia="仿宋_GB2312" w:cs="仿宋_GB2312"/>
          <w:sz w:val="32"/>
          <w:szCs w:val="32"/>
          <w:shd w:val="clear" w:color="auto" w:fill="FFFFFF"/>
        </w:rPr>
        <w:t>个方面</w:t>
      </w:r>
      <w:r>
        <w:rPr>
          <w:rFonts w:hint="eastAsia" w:ascii="仿宋_GB2312" w:hAnsi="仿宋_GB2312" w:eastAsia="仿宋_GB2312" w:cs="仿宋_GB2312"/>
          <w:sz w:val="32"/>
          <w:szCs w:val="32"/>
        </w:rPr>
        <w:t>112个问题，</w:t>
      </w:r>
      <w:r>
        <w:rPr>
          <w:rFonts w:hint="eastAsia" w:ascii="仿宋_GB2312" w:hAnsi="仿宋_GB2312" w:eastAsia="仿宋_GB2312" w:cs="仿宋_GB2312"/>
          <w:bCs/>
          <w:sz w:val="32"/>
          <w:szCs w:val="32"/>
        </w:rPr>
        <w:t>建立问题整改台账，</w:t>
      </w:r>
      <w:r>
        <w:rPr>
          <w:rFonts w:hint="eastAsia" w:ascii="仿宋_GB2312" w:hAnsi="仿宋_GB2312" w:eastAsia="仿宋_GB2312" w:cs="仿宋_GB2312"/>
          <w:sz w:val="32"/>
          <w:szCs w:val="32"/>
        </w:rPr>
        <w:t>一一进行整改，坚决革除损害群众利益、破坏干群关系、阻碍规划工作的突出问题。</w:t>
      </w:r>
      <w:r>
        <w:rPr>
          <w:rFonts w:hint="eastAsia" w:ascii="仿宋_GB2312" w:hAnsi="仿宋_GB2312" w:eastAsia="仿宋_GB2312" w:cs="仿宋_GB2312"/>
          <w:b/>
          <w:sz w:val="32"/>
          <w:szCs w:val="32"/>
        </w:rPr>
        <w:t>四是</w:t>
      </w:r>
      <w:r>
        <w:rPr>
          <w:rFonts w:hint="eastAsia" w:ascii="仿宋_GB2312" w:hAnsi="仿宋_GB2312" w:eastAsia="仿宋_GB2312" w:cs="仿宋_GB2312"/>
          <w:sz w:val="32"/>
          <w:szCs w:val="32"/>
        </w:rPr>
        <w:t>创新建立服务提前介入、联合审查、带(代)办、容缺后补、提醒催办、主动回访六项制度，从项目招商、可行性研究、立项到规划许可量身订制服务方案，促进项目早落实、早开工、早见效。今年以来，为项目靠前服务120余次，现场办公40余次，化解项目难题70余个。</w:t>
      </w:r>
    </w:p>
    <w:p>
      <w:pPr>
        <w:spacing w:line="576" w:lineRule="exact"/>
        <w:ind w:firstLine="642" w:firstLineChars="200"/>
        <w:rPr>
          <w:rFonts w:ascii="楷体_GB2312" w:hAnsi="楷体" w:eastAsia="楷体_GB2312" w:cs="仿宋"/>
          <w:b/>
          <w:sz w:val="32"/>
          <w:szCs w:val="32"/>
        </w:rPr>
      </w:pPr>
      <w:r>
        <w:rPr>
          <w:rFonts w:hint="eastAsia" w:ascii="楷体_GB2312" w:hAnsi="楷体_GB2312" w:eastAsia="楷体_GB2312" w:cs="楷体_GB2312"/>
          <w:b/>
          <w:bCs/>
          <w:sz w:val="32"/>
          <w:szCs w:val="32"/>
        </w:rPr>
        <w:t>6.全力抓好规划系统治理，净化政治生态。</w:t>
      </w:r>
      <w:r>
        <w:rPr>
          <w:rFonts w:hint="eastAsia" w:ascii="仿宋_GB2312" w:eastAsia="仿宋_GB2312"/>
          <w:b/>
          <w:sz w:val="32"/>
          <w:szCs w:val="32"/>
        </w:rPr>
        <w:t>一是</w:t>
      </w:r>
      <w:r>
        <w:rPr>
          <w:rFonts w:hint="eastAsia" w:ascii="仿宋_GB2312" w:eastAsia="仿宋_GB2312"/>
          <w:bCs/>
          <w:sz w:val="32"/>
          <w:szCs w:val="32"/>
        </w:rPr>
        <w:t>牵头起草《广元市自然资源局</w:t>
      </w:r>
      <w:r>
        <w:rPr>
          <w:rFonts w:ascii="仿宋_GB2312" w:eastAsia="仿宋_GB2312"/>
          <w:sz w:val="32"/>
          <w:szCs w:val="32"/>
        </w:rPr>
        <w:t>关于持续深化规划领域突出问题系统治理工作方案》</w:t>
      </w:r>
      <w:r>
        <w:rPr>
          <w:rFonts w:hint="eastAsia" w:ascii="仿宋_GB2312" w:eastAsia="仿宋_GB2312"/>
          <w:sz w:val="32"/>
          <w:szCs w:val="32"/>
        </w:rPr>
        <w:t>，制定市规划中心持续深化规划领域突出问题系统治理工作任务分解表，进一步明确责任科室、责任人和时间节点。</w:t>
      </w:r>
      <w:r>
        <w:rPr>
          <w:rFonts w:hint="eastAsia" w:ascii="仿宋_GB2312" w:eastAsia="仿宋_GB2312"/>
          <w:b/>
          <w:sz w:val="32"/>
          <w:szCs w:val="32"/>
        </w:rPr>
        <w:t>二是</w:t>
      </w:r>
      <w:r>
        <w:rPr>
          <w:rFonts w:hint="eastAsia" w:ascii="仿宋_GB2312" w:eastAsia="仿宋_GB2312"/>
          <w:bCs/>
          <w:sz w:val="32"/>
          <w:szCs w:val="32"/>
        </w:rPr>
        <w:t>加快</w:t>
      </w:r>
      <w:r>
        <w:rPr>
          <w:rFonts w:hint="eastAsia" w:ascii="仿宋_GB2312" w:eastAsia="仿宋_GB2312"/>
          <w:sz w:val="32"/>
          <w:szCs w:val="32"/>
        </w:rPr>
        <w:t>2021年未完成的33个问题整改，截至目前累计完成53个问题整改，剩余13个</w:t>
      </w:r>
      <w:r>
        <w:rPr>
          <w:rFonts w:hint="eastAsia" w:ascii="仿宋_GB2312" w:hAnsi="仿宋" w:eastAsia="仿宋_GB2312" w:cs="仿宋"/>
          <w:sz w:val="32"/>
          <w:szCs w:val="32"/>
        </w:rPr>
        <w:t>涉及用地性质、容积率调整等问题纳入下一步</w:t>
      </w:r>
      <w:r>
        <w:rPr>
          <w:rFonts w:hint="eastAsia" w:ascii="仿宋_GB2312" w:eastAsia="仿宋_GB2312"/>
          <w:sz w:val="32"/>
          <w:szCs w:val="32"/>
        </w:rPr>
        <w:t>国土空间规划中解决。</w:t>
      </w:r>
      <w:r>
        <w:rPr>
          <w:rFonts w:hint="eastAsia" w:ascii="仿宋_GB2312" w:eastAsia="仿宋_GB2312"/>
          <w:b/>
          <w:sz w:val="32"/>
          <w:szCs w:val="32"/>
        </w:rPr>
        <w:t>三是</w:t>
      </w:r>
      <w:r>
        <w:rPr>
          <w:rFonts w:hint="eastAsia" w:ascii="仿宋_GB2312" w:eastAsia="仿宋_GB2312"/>
          <w:sz w:val="32"/>
          <w:szCs w:val="32"/>
        </w:rPr>
        <w:t>围绕市纪委反馈四个方面的突出问题，在对2021年系统治理排查</w:t>
      </w:r>
      <w:r>
        <w:rPr>
          <w:rFonts w:hint="eastAsia" w:ascii="仿宋_GB2312" w:hAnsi="仿宋" w:eastAsia="仿宋_GB2312"/>
          <w:bCs/>
          <w:sz w:val="32"/>
          <w:szCs w:val="32"/>
        </w:rPr>
        <w:t>844个</w:t>
      </w:r>
      <w:r>
        <w:rPr>
          <w:rFonts w:hint="eastAsia" w:ascii="仿宋_GB2312" w:eastAsia="仿宋_GB2312"/>
          <w:sz w:val="32"/>
          <w:szCs w:val="32"/>
        </w:rPr>
        <w:t>项目清单和66个问题线索台账基础上，对2020年新审查审批项目进行再排查，</w:t>
      </w:r>
      <w:r>
        <w:rPr>
          <w:rFonts w:hint="eastAsia" w:ascii="仿宋_GB2312" w:hAnsi="仿宋" w:eastAsia="仿宋_GB2312" w:cs="仿宋"/>
          <w:sz w:val="32"/>
          <w:szCs w:val="32"/>
        </w:rPr>
        <w:t>配合市纪委对李维君商务楼、万融盛世等项目规划审批情况进行核查。</w:t>
      </w:r>
      <w:r>
        <w:rPr>
          <w:rFonts w:hint="eastAsia" w:ascii="仿宋_GB2312" w:hAnsi="仿宋" w:eastAsia="仿宋_GB2312" w:cs="仿宋"/>
          <w:b/>
          <w:sz w:val="32"/>
          <w:szCs w:val="32"/>
        </w:rPr>
        <w:t>四是</w:t>
      </w:r>
      <w:r>
        <w:rPr>
          <w:rFonts w:hint="eastAsia" w:ascii="仿宋_GB2312" w:eastAsia="仿宋_GB2312"/>
          <w:sz w:val="32"/>
          <w:szCs w:val="32"/>
        </w:rPr>
        <w:t>研究制定《广元市规划管理技术规定（试行2021版）》</w:t>
      </w:r>
      <w:r>
        <w:rPr>
          <w:rFonts w:hint="eastAsia" w:ascii="仿宋_GB2312" w:hAnsi="仿宋_GB2312" w:eastAsia="仿宋_GB2312" w:cs="仿宋_GB2312"/>
          <w:sz w:val="32"/>
          <w:szCs w:val="32"/>
        </w:rPr>
        <w:t>《广元市国土空间规划专业委员会工作规则》《广元市国土空间规划编制研究中心档案管理制度（试行）》《关于进一步规范规划编制单位自行采购工作的通知》</w:t>
      </w:r>
      <w:r>
        <w:rPr>
          <w:rFonts w:hint="eastAsia" w:ascii="仿宋_GB2312" w:eastAsia="仿宋_GB2312"/>
          <w:sz w:val="32"/>
          <w:szCs w:val="32"/>
        </w:rPr>
        <w:t>等制度规范，</w:t>
      </w:r>
      <w:r>
        <w:rPr>
          <w:rFonts w:hint="eastAsia" w:ascii="仿宋_GB2312" w:eastAsia="仿宋_GB2312"/>
          <w:bCs/>
          <w:sz w:val="32"/>
          <w:szCs w:val="32"/>
        </w:rPr>
        <w:t>完成部门法制台账、法治导图、业务流程图编制工作，建立规划管理风险防控长效机制，堵塞廉政风险点。</w:t>
      </w:r>
      <w:r>
        <w:rPr>
          <w:rFonts w:hint="eastAsia" w:ascii="仿宋_GB2312" w:eastAsia="仿宋_GB2312"/>
          <w:b/>
          <w:bCs/>
          <w:sz w:val="32"/>
          <w:szCs w:val="32"/>
        </w:rPr>
        <w:t>五是</w:t>
      </w:r>
      <w:r>
        <w:rPr>
          <w:rFonts w:hint="eastAsia" w:ascii="仿宋_GB2312" w:eastAsia="仿宋_GB2312"/>
          <w:sz w:val="32"/>
          <w:szCs w:val="32"/>
        </w:rPr>
        <w:t>通过主任办公会、干部大会、支部会等会议，组织干部职工观看《迷失的初心》等警示教育片，传达学习省市通报的违纪违法警示教育案例，以案为戒，强化干部职工廉洁从政的意识。</w:t>
      </w:r>
    </w:p>
    <w:p>
      <w:pPr>
        <w:spacing w:line="576" w:lineRule="exact"/>
        <w:ind w:firstLine="642" w:firstLineChars="200"/>
        <w:rPr>
          <w:rFonts w:ascii="仿宋_GB2312" w:hAnsi="仿宋" w:eastAsia="仿宋_GB2312" w:cs="宋体"/>
          <w:kern w:val="0"/>
          <w:sz w:val="32"/>
          <w:szCs w:val="32"/>
        </w:rPr>
      </w:pPr>
      <w:r>
        <w:rPr>
          <w:rFonts w:hint="eastAsia" w:ascii="楷体_GB2312" w:hAnsi="楷体" w:eastAsia="楷体_GB2312" w:cs="仿宋"/>
          <w:b/>
          <w:sz w:val="32"/>
          <w:szCs w:val="32"/>
        </w:rPr>
        <w:t>7.</w:t>
      </w:r>
      <w:r>
        <w:rPr>
          <w:rFonts w:hint="eastAsia" w:ascii="楷体_GB2312" w:hAnsi="楷体_GB2312" w:eastAsia="楷体_GB2312" w:cs="楷体_GB2312"/>
          <w:b/>
          <w:bCs/>
          <w:sz w:val="32"/>
          <w:szCs w:val="32"/>
        </w:rPr>
        <w:t>全力抓好</w:t>
      </w:r>
      <w:r>
        <w:rPr>
          <w:rFonts w:hint="eastAsia" w:ascii="楷体_GB2312" w:hAnsi="楷体" w:eastAsia="楷体_GB2312" w:cs="仿宋"/>
          <w:b/>
          <w:sz w:val="32"/>
          <w:szCs w:val="32"/>
        </w:rPr>
        <w:t>党史学习教育，规划为民办实事。</w:t>
      </w:r>
      <w:r>
        <w:rPr>
          <w:rFonts w:hint="eastAsia" w:ascii="仿宋_GB2312" w:hAnsi="楷体" w:eastAsia="仿宋_GB2312"/>
          <w:b/>
          <w:sz w:val="32"/>
          <w:szCs w:val="32"/>
        </w:rPr>
        <w:t>一是</w:t>
      </w:r>
      <w:r>
        <w:rPr>
          <w:rFonts w:hint="eastAsia" w:ascii="仿宋_GB2312" w:hAnsi="黑体" w:eastAsia="仿宋_GB2312"/>
          <w:sz w:val="32"/>
          <w:szCs w:val="32"/>
        </w:rPr>
        <w:t>深入开展</w:t>
      </w:r>
      <w:r>
        <w:rPr>
          <w:rFonts w:hint="eastAsia" w:ascii="仿宋_GB2312" w:hAnsi="仿宋" w:eastAsia="仿宋_GB2312" w:cs="仿宋"/>
          <w:sz w:val="32"/>
          <w:szCs w:val="32"/>
        </w:rPr>
        <w:t>党史学习教育。组织干部职工深入学习习近平总书记在中国共产党成立一百周年大会上的重要讲话精神、习近平总书记关于党的历史重要论述和</w:t>
      </w:r>
      <w:r>
        <w:rPr>
          <w:rFonts w:hint="eastAsia" w:ascii="仿宋_GB2312" w:hAnsi="仿宋" w:eastAsia="仿宋_GB2312" w:cs="仿宋"/>
          <w:sz w:val="32"/>
          <w:szCs w:val="32"/>
          <w:lang w:eastAsia="zh-CN"/>
        </w:rPr>
        <w:t>习近平《论中国共产党历史》</w:t>
      </w:r>
      <w:r>
        <w:rPr>
          <w:rFonts w:hint="eastAsia" w:ascii="仿宋_GB2312" w:hAnsi="仿宋" w:eastAsia="仿宋_GB2312" w:cs="仿宋"/>
          <w:sz w:val="32"/>
          <w:szCs w:val="32"/>
        </w:rPr>
        <w:t>《中国共产党简史》等指定学习资料，观看《党史故事100讲》等红色教育片，参观红四方面军旺苍旧址，参加“六个一百”系列</w:t>
      </w:r>
      <w:r>
        <w:rPr>
          <w:rFonts w:hint="eastAsia" w:ascii="仿宋_GB2312" w:hAnsi="仿宋" w:eastAsia="仿宋_GB2312" w:cs="仿宋"/>
          <w:sz w:val="32"/>
          <w:szCs w:val="32"/>
          <w:lang w:eastAsia="zh-CN"/>
        </w:rPr>
        <w:t>党史学习教育</w:t>
      </w:r>
      <w:r>
        <w:rPr>
          <w:rFonts w:hint="eastAsia" w:ascii="仿宋_GB2312" w:hAnsi="仿宋" w:eastAsia="仿宋_GB2312" w:cs="仿宋"/>
          <w:sz w:val="32"/>
          <w:szCs w:val="32"/>
        </w:rPr>
        <w:t>，</w:t>
      </w:r>
      <w:r>
        <w:rPr>
          <w:rFonts w:hint="eastAsia" w:ascii="仿宋_GB2312" w:hAnsi="仿宋" w:eastAsia="仿宋_GB2312" w:cs="仿宋_GB2312"/>
          <w:kern w:val="0"/>
          <w:sz w:val="32"/>
          <w:szCs w:val="32"/>
        </w:rPr>
        <w:t>共</w:t>
      </w:r>
      <w:r>
        <w:rPr>
          <w:rFonts w:hint="eastAsia" w:ascii="仿宋_GB2312" w:hAnsi="仿宋_GB2312" w:eastAsia="仿宋_GB2312" w:cs="仿宋_GB2312"/>
          <w:kern w:val="0"/>
          <w:sz w:val="32"/>
          <w:szCs w:val="32"/>
        </w:rPr>
        <w:t>召开党史专题学习会9次、主题党日活动1</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次、党员大会</w:t>
      </w:r>
      <w:r>
        <w:rPr>
          <w:rFonts w:ascii="仿宋_GB2312" w:hAnsi="仿宋_GB2312" w:eastAsia="仿宋_GB2312" w:cs="仿宋_GB2312"/>
          <w:kern w:val="0"/>
          <w:sz w:val="32"/>
          <w:szCs w:val="32"/>
        </w:rPr>
        <w:t>4</w:t>
      </w:r>
      <w:r>
        <w:rPr>
          <w:rFonts w:hint="eastAsia" w:ascii="仿宋_GB2312" w:hAnsi="仿宋_GB2312" w:eastAsia="仿宋_GB2312" w:cs="仿宋_GB2312"/>
          <w:kern w:val="0"/>
          <w:sz w:val="32"/>
          <w:szCs w:val="32"/>
        </w:rPr>
        <w:t>次、支委会1</w:t>
      </w:r>
      <w:r>
        <w:rPr>
          <w:rFonts w:ascii="仿宋_GB2312" w:hAnsi="仿宋_GB2312" w:eastAsia="仿宋_GB2312" w:cs="仿宋_GB2312"/>
          <w:kern w:val="0"/>
          <w:sz w:val="32"/>
          <w:szCs w:val="32"/>
        </w:rPr>
        <w:t>2</w:t>
      </w:r>
      <w:r>
        <w:rPr>
          <w:rFonts w:hint="eastAsia" w:ascii="仿宋_GB2312" w:hAnsi="仿宋_GB2312" w:eastAsia="仿宋_GB2312" w:cs="仿宋_GB2312"/>
          <w:kern w:val="0"/>
          <w:sz w:val="32"/>
          <w:szCs w:val="32"/>
        </w:rPr>
        <w:t>次、</w:t>
      </w:r>
      <w:r>
        <w:rPr>
          <w:rFonts w:hint="eastAsia" w:ascii="仿宋_GB2312" w:hAnsi="仿宋" w:eastAsia="仿宋_GB2312" w:cs="仿宋"/>
          <w:sz w:val="32"/>
          <w:szCs w:val="32"/>
        </w:rPr>
        <w:t>专题党课1次</w:t>
      </w:r>
      <w:r>
        <w:rPr>
          <w:rFonts w:hint="eastAsia" w:ascii="仿宋_GB2312" w:hAnsi="仿宋_GB2312" w:eastAsia="仿宋_GB2312" w:cs="仿宋_GB2312"/>
          <w:kern w:val="0"/>
          <w:sz w:val="32"/>
          <w:szCs w:val="32"/>
        </w:rPr>
        <w:t>，</w:t>
      </w:r>
      <w:r>
        <w:rPr>
          <w:rFonts w:hint="eastAsia" w:ascii="仿宋_GB2312" w:hAnsi="仿宋" w:eastAsia="仿宋_GB2312" w:cs="仿宋"/>
          <w:sz w:val="32"/>
          <w:szCs w:val="32"/>
        </w:rPr>
        <w:t>党员撰写学习心得体会131篇。</w:t>
      </w:r>
      <w:r>
        <w:rPr>
          <w:rFonts w:hint="eastAsia" w:ascii="仿宋_GB2312" w:hAnsi="仿宋" w:eastAsia="仿宋_GB2312" w:cs="仿宋"/>
          <w:b/>
          <w:sz w:val="32"/>
          <w:szCs w:val="32"/>
        </w:rPr>
        <w:t>二是</w:t>
      </w:r>
      <w:r>
        <w:rPr>
          <w:rFonts w:hint="eastAsia" w:ascii="仿宋_GB2312" w:hAnsi="仿宋" w:eastAsia="仿宋_GB2312" w:cs="仿宋"/>
          <w:sz w:val="32"/>
          <w:szCs w:val="32"/>
        </w:rPr>
        <w:t>深入开展“学党史、规划为民办实事”主题实践活动。聚焦解决民生热点难点，开展口袋公园、城区风貌改造、城市道路系统提升、拥堵治理等民生问题进行规划研究工作，形成研究成果4篇，为市委、市政府决策提供依据和参考。</w:t>
      </w:r>
      <w:r>
        <w:rPr>
          <w:rFonts w:hint="eastAsia" w:ascii="仿宋_GB2312" w:hAnsi="仿宋" w:eastAsia="仿宋_GB2312" w:cs="仿宋"/>
          <w:b/>
          <w:sz w:val="32"/>
          <w:szCs w:val="32"/>
        </w:rPr>
        <w:t>三是</w:t>
      </w:r>
      <w:r>
        <w:rPr>
          <w:rFonts w:hint="eastAsia" w:ascii="仿宋_GB2312" w:eastAsia="仿宋_GB2312"/>
          <w:sz w:val="32"/>
          <w:szCs w:val="32"/>
        </w:rPr>
        <w:t>全力做好群众接访工作，全年共完成</w:t>
      </w:r>
      <w:r>
        <w:rPr>
          <w:rFonts w:hint="eastAsia" w:ascii="仿宋_GB2312" w:hAnsi="仿宋_GB2312" w:eastAsia="仿宋_GB2312" w:cs="仿宋_GB2312"/>
          <w:sz w:val="32"/>
          <w:szCs w:val="32"/>
        </w:rPr>
        <w:t>12345政务服务热线、麻辣社区、大话利州论坛、书记市长信箱、领导信箱等</w:t>
      </w:r>
      <w:r>
        <w:rPr>
          <w:rFonts w:hint="eastAsia" w:ascii="仿宋_GB2312" w:eastAsia="仿宋_GB2312"/>
          <w:sz w:val="32"/>
          <w:szCs w:val="32"/>
        </w:rPr>
        <w:t>群众来电信访处理63件，现场接访40余人次。</w:t>
      </w:r>
      <w:r>
        <w:rPr>
          <w:rFonts w:hint="eastAsia" w:ascii="仿宋_GB2312" w:hAnsi="仿宋" w:eastAsia="仿宋_GB2312" w:cs="仿宋"/>
          <w:b/>
          <w:sz w:val="32"/>
          <w:szCs w:val="32"/>
        </w:rPr>
        <w:t>四是</w:t>
      </w:r>
      <w:r>
        <w:rPr>
          <w:rFonts w:hint="eastAsia" w:ascii="仿宋_GB2312" w:hAnsi="仿宋" w:eastAsia="仿宋_GB2312" w:cs="宋体"/>
          <w:kern w:val="0"/>
          <w:sz w:val="32"/>
          <w:szCs w:val="32"/>
        </w:rPr>
        <w:t>加强历史遗留问题处置为民纾困解忧。出台《广元市主城区棚户区及旧城改造项目涉及规划相关遗留问题处置意见》，加强凤凰山棚户区、新民棚户区、义乌小商品城B幢等棚户区和旧城改造项目规划要素保障，化解项目建设难题，助推项目建设速度。完成椰岛公馆、天润·新天地一期等10余个项目规划核实和土地核验工作，解决项目长期无法办理不动产权登记的问题，化解一批潜在信访矛盾。</w:t>
      </w:r>
    </w:p>
    <w:p>
      <w:pPr>
        <w:spacing w:line="576" w:lineRule="exact"/>
        <w:ind w:firstLine="642" w:firstLineChars="200"/>
        <w:rPr>
          <w:rFonts w:ascii="仿宋" w:hAnsi="仿宋" w:eastAsia="仿宋" w:cs="Courier New"/>
          <w:sz w:val="32"/>
          <w:szCs w:val="32"/>
        </w:rPr>
      </w:pPr>
      <w:r>
        <w:rPr>
          <w:rFonts w:hint="eastAsia" w:ascii="楷体_GB2312" w:hAnsi="楷体" w:eastAsia="楷体_GB2312" w:cs="仿宋"/>
          <w:b/>
          <w:sz w:val="32"/>
          <w:szCs w:val="32"/>
        </w:rPr>
        <w:t>8.全力抓好人才队伍建设，提高整体素质。</w:t>
      </w:r>
      <w:r>
        <w:rPr>
          <w:rFonts w:hint="eastAsia" w:ascii="仿宋_GB2312" w:hAnsi="仿宋" w:eastAsia="仿宋_GB2312" w:cs="仿宋"/>
          <w:b/>
          <w:sz w:val="32"/>
          <w:szCs w:val="32"/>
        </w:rPr>
        <w:t>一是</w:t>
      </w:r>
      <w:r>
        <w:rPr>
          <w:rFonts w:hint="eastAsia" w:ascii="仿宋_GB2312" w:eastAsia="仿宋_GB2312"/>
          <w:sz w:val="32"/>
          <w:szCs w:val="32"/>
        </w:rPr>
        <w:t>制定《广元市国土空间规划编制研究中心开展“全面提升年”主题实践活动的实施方案》，深入开展“全面提升年”主题实践活动，组织干部职工制定了个人提升计划，举办“国土空间规划大讲堂”，加强干部职工政治素质和业务能力。</w:t>
      </w:r>
      <w:r>
        <w:rPr>
          <w:rFonts w:hint="eastAsia" w:ascii="仿宋_GB2312" w:hAnsi="仿宋" w:eastAsia="仿宋_GB2312" w:cs="仿宋"/>
          <w:b/>
          <w:sz w:val="32"/>
          <w:szCs w:val="32"/>
        </w:rPr>
        <w:t>二是</w:t>
      </w:r>
      <w:r>
        <w:rPr>
          <w:rFonts w:hint="eastAsia" w:ascii="仿宋_GB2312" w:eastAsia="仿宋_GB2312"/>
          <w:sz w:val="32"/>
          <w:szCs w:val="32"/>
        </w:rPr>
        <w:t>进一步充实干部队伍，全年共公开招引（招考）专业技术人员7名，专业人才队伍不断壮，</w:t>
      </w:r>
      <w:r>
        <w:rPr>
          <w:rFonts w:hint="eastAsia" w:ascii="仿宋_GB2312" w:hAnsi="仿宋" w:eastAsia="仿宋_GB2312" w:cs="Courier New"/>
          <w:sz w:val="32"/>
          <w:szCs w:val="32"/>
        </w:rPr>
        <w:t>队伍呈专业化、年轻化发展态势。</w:t>
      </w:r>
      <w:r>
        <w:rPr>
          <w:rFonts w:hint="eastAsia" w:ascii="仿宋_GB2312" w:hAnsi="仿宋" w:eastAsia="仿宋_GB2312" w:cs="仿宋"/>
          <w:b/>
          <w:sz w:val="32"/>
          <w:szCs w:val="32"/>
        </w:rPr>
        <w:t>三是</w:t>
      </w:r>
      <w:r>
        <w:rPr>
          <w:rFonts w:hint="eastAsia" w:ascii="仿宋_GB2312" w:hAnsi="仿宋" w:eastAsia="仿宋_GB2312" w:cs="Courier New"/>
          <w:sz w:val="32"/>
          <w:szCs w:val="32"/>
        </w:rPr>
        <w:t>抓好继续教育工作，鼓励职工报考注册规划师，组织干部职工到外出考察学习。</w:t>
      </w:r>
    </w:p>
    <w:p>
      <w:pPr>
        <w:spacing w:line="576" w:lineRule="exact"/>
        <w:ind w:firstLine="642" w:firstLineChars="200"/>
      </w:pPr>
      <w:r>
        <w:rPr>
          <w:rFonts w:hint="eastAsia" w:ascii="楷体_GB2312" w:hAnsi="楷体" w:eastAsia="楷体_GB2312" w:cs="仿宋"/>
          <w:b/>
          <w:sz w:val="32"/>
          <w:szCs w:val="32"/>
        </w:rPr>
        <w:t>9.全力推进乡村振兴，进一步巩固脱贫攻坚成效。</w:t>
      </w:r>
      <w:r>
        <w:rPr>
          <w:rFonts w:hint="eastAsia" w:ascii="仿宋_GB2312" w:hAnsi="仿宋" w:eastAsia="仿宋_GB2312" w:cs="仿宋_GB2312"/>
          <w:b/>
          <w:sz w:val="32"/>
          <w:szCs w:val="32"/>
        </w:rPr>
        <w:t>一是</w:t>
      </w:r>
      <w:r>
        <w:rPr>
          <w:rFonts w:hint="eastAsia" w:ascii="仿宋_GB2312" w:hAnsi="仿宋" w:eastAsia="仿宋_GB2312" w:cs="Courier New"/>
          <w:sz w:val="32"/>
          <w:szCs w:val="32"/>
        </w:rPr>
        <w:t>按照全市关于巩固拓展脱贫攻坚成果全面推进乡村振兴的工作安排，先后</w:t>
      </w:r>
      <w:r>
        <w:rPr>
          <w:rFonts w:hint="eastAsia" w:ascii="仿宋_GB2312" w:eastAsia="仿宋_GB2312"/>
          <w:sz w:val="32"/>
          <w:szCs w:val="32"/>
        </w:rPr>
        <w:t>抽调2名干部全脱产驻村负责石庙村乡村振兴帮扶工作。</w:t>
      </w:r>
      <w:r>
        <w:rPr>
          <w:rFonts w:hint="eastAsia" w:ascii="仿宋_GB2312" w:eastAsia="仿宋_GB2312"/>
          <w:b/>
          <w:sz w:val="32"/>
          <w:szCs w:val="32"/>
        </w:rPr>
        <w:t>二是</w:t>
      </w:r>
      <w:r>
        <w:rPr>
          <w:rFonts w:hint="eastAsia" w:ascii="仿宋_GB2312" w:eastAsia="仿宋_GB2312"/>
          <w:sz w:val="32"/>
          <w:szCs w:val="32"/>
        </w:rPr>
        <w:t>积极开展入户走访，全面掌握石庙村和村民情况，</w:t>
      </w:r>
      <w:r>
        <w:rPr>
          <w:rFonts w:ascii="仿宋_GB2312" w:hAnsi="仿宋_GB2312" w:eastAsia="仿宋_GB2312" w:cs="仿宋_GB2312"/>
          <w:sz w:val="32"/>
          <w:szCs w:val="32"/>
        </w:rPr>
        <w:t>常态化开展扶贫对象“回头看”“回头帮”工作，确保脱贫人口持续稳定达到脱贫退出标准。</w:t>
      </w:r>
      <w:r>
        <w:rPr>
          <w:rFonts w:hint="eastAsia" w:ascii="仿宋_GB2312" w:eastAsia="仿宋_GB2312"/>
          <w:b/>
          <w:sz w:val="32"/>
          <w:szCs w:val="32"/>
        </w:rPr>
        <w:t>三是</w:t>
      </w:r>
      <w:r>
        <w:rPr>
          <w:rFonts w:hint="eastAsia" w:ascii="仿宋_GB2312" w:eastAsia="仿宋_GB2312"/>
          <w:sz w:val="32"/>
          <w:szCs w:val="32"/>
        </w:rPr>
        <w:t>协助清水镇党委政府和石庙村两委，先后完成新冠肺炎疫情防控、汛期安全防范、兰渝铁路废弃场遗留问题处置、</w:t>
      </w:r>
      <w:r>
        <w:rPr>
          <w:rFonts w:ascii="仿宋_GB2312" w:eastAsia="仿宋_GB2312"/>
          <w:sz w:val="32"/>
          <w:szCs w:val="32"/>
        </w:rPr>
        <w:t>城乡医疗</w:t>
      </w:r>
      <w:r>
        <w:rPr>
          <w:rFonts w:hint="eastAsia" w:ascii="仿宋_GB2312" w:eastAsia="仿宋_GB2312"/>
          <w:sz w:val="32"/>
          <w:szCs w:val="32"/>
        </w:rPr>
        <w:t>和</w:t>
      </w:r>
      <w:r>
        <w:rPr>
          <w:rFonts w:ascii="仿宋_GB2312" w:eastAsia="仿宋_GB2312"/>
          <w:sz w:val="32"/>
          <w:szCs w:val="32"/>
        </w:rPr>
        <w:t>养老保险</w:t>
      </w:r>
      <w:r>
        <w:rPr>
          <w:rFonts w:hint="eastAsia" w:ascii="仿宋_GB2312" w:eastAsia="仿宋_GB2312"/>
          <w:sz w:val="32"/>
          <w:szCs w:val="32"/>
        </w:rPr>
        <w:t>政策宣传等工作。</w:t>
      </w:r>
      <w:r>
        <w:rPr>
          <w:rFonts w:hint="eastAsia" w:ascii="仿宋_GB2312" w:eastAsia="仿宋_GB2312"/>
          <w:b/>
          <w:sz w:val="32"/>
          <w:szCs w:val="32"/>
        </w:rPr>
        <w:t>四是</w:t>
      </w:r>
      <w:r>
        <w:rPr>
          <w:rFonts w:hint="eastAsia" w:ascii="仿宋_GB2312" w:eastAsia="仿宋_GB2312"/>
          <w:sz w:val="32"/>
          <w:szCs w:val="32"/>
        </w:rPr>
        <w:t>开展干部职工与帮扶</w:t>
      </w:r>
      <w:r>
        <w:rPr>
          <w:rFonts w:ascii="仿宋_GB2312" w:eastAsia="仿宋_GB2312"/>
          <w:sz w:val="32"/>
          <w:szCs w:val="32"/>
        </w:rPr>
        <w:t>对象</w:t>
      </w:r>
      <w:r>
        <w:rPr>
          <w:rFonts w:hint="eastAsia" w:ascii="仿宋_GB2312" w:eastAsia="仿宋_GB2312"/>
          <w:sz w:val="32"/>
          <w:szCs w:val="32"/>
        </w:rPr>
        <w:t>一对一结对帮扶，</w:t>
      </w:r>
      <w:r>
        <w:rPr>
          <w:rFonts w:ascii="仿宋_GB2312" w:eastAsia="仿宋_GB2312"/>
          <w:sz w:val="32"/>
          <w:szCs w:val="32"/>
        </w:rPr>
        <w:t>组织帮扶干部开展“三同”活动，</w:t>
      </w:r>
      <w:r>
        <w:rPr>
          <w:rFonts w:hint="eastAsia" w:ascii="仿宋_GB2312" w:eastAsia="仿宋_GB2312"/>
          <w:sz w:val="32"/>
          <w:szCs w:val="32"/>
        </w:rPr>
        <w:t>帮助产业发展，完成</w:t>
      </w:r>
      <w:r>
        <w:rPr>
          <w:rFonts w:ascii="仿宋_GB2312" w:hAnsi="仿宋_GB2312" w:eastAsia="仿宋_GB2312" w:cs="仿宋_GB2312"/>
          <w:sz w:val="32"/>
          <w:szCs w:val="32"/>
        </w:rPr>
        <w:t>2021年度收入测算</w:t>
      </w:r>
      <w:r>
        <w:rPr>
          <w:rFonts w:hint="eastAsia" w:ascii="仿宋_GB2312" w:hAnsi="仿宋_GB2312" w:eastAsia="仿宋_GB2312" w:cs="仿宋_GB2312"/>
          <w:sz w:val="32"/>
          <w:szCs w:val="32"/>
        </w:rPr>
        <w:t>，</w:t>
      </w:r>
      <w:r>
        <w:rPr>
          <w:rFonts w:ascii="仿宋_GB2312" w:eastAsia="仿宋_GB2312"/>
          <w:sz w:val="32"/>
          <w:szCs w:val="32"/>
        </w:rPr>
        <w:t>做好脱贫成果的巩固</w:t>
      </w:r>
      <w:r>
        <w:rPr>
          <w:rFonts w:hint="eastAsia" w:ascii="仿宋_GB2312" w:eastAsia="仿宋_GB2312"/>
          <w:sz w:val="32"/>
          <w:szCs w:val="32"/>
        </w:rPr>
        <w:t>提升。</w:t>
      </w:r>
    </w:p>
    <w:p>
      <w:pPr>
        <w:pStyle w:val="4"/>
        <w:spacing w:before="0" w:after="0" w:line="576" w:lineRule="exact"/>
        <w:ind w:firstLine="640" w:firstLineChars="200"/>
        <w:rPr>
          <w:rFonts w:ascii="黑体" w:hAnsi="黑体" w:eastAsia="黑体"/>
          <w:b w:val="0"/>
        </w:rPr>
      </w:pPr>
      <w:bookmarkStart w:id="45" w:name="_Toc29479"/>
      <w:bookmarkStart w:id="46" w:name="_Toc1578"/>
      <w:bookmarkStart w:id="47" w:name="_Toc24746"/>
      <w:bookmarkStart w:id="48" w:name="_Toc15858"/>
      <w:bookmarkStart w:id="49" w:name="_Toc26608"/>
      <w:r>
        <w:rPr>
          <w:rFonts w:hint="eastAsia" w:ascii="黑体" w:hAnsi="黑体" w:eastAsia="黑体"/>
          <w:b w:val="0"/>
        </w:rPr>
        <w:t>二、机构设置</w:t>
      </w:r>
      <w:bookmarkEnd w:id="43"/>
      <w:bookmarkEnd w:id="44"/>
      <w:bookmarkEnd w:id="45"/>
      <w:bookmarkEnd w:id="46"/>
      <w:bookmarkEnd w:id="47"/>
      <w:bookmarkEnd w:id="48"/>
      <w:bookmarkEnd w:id="49"/>
    </w:p>
    <w:p>
      <w:pPr>
        <w:pStyle w:val="2"/>
        <w:adjustRightInd w:val="0"/>
        <w:snapToGrid w:val="0"/>
        <w:spacing w:before="93" w:line="600" w:lineRule="exact"/>
        <w:ind w:firstLine="640" w:firstLineChars="200"/>
        <w:outlineLvl w:val="0"/>
        <w:rPr>
          <w:rFonts w:ascii="仿宋" w:hAnsi="仿宋" w:eastAsia="仿宋"/>
          <w:color w:val="000000"/>
          <w:sz w:val="32"/>
          <w:szCs w:val="32"/>
        </w:rPr>
      </w:pPr>
      <w:bookmarkStart w:id="50" w:name="_Toc4891"/>
      <w:bookmarkStart w:id="51" w:name="_Toc20352"/>
      <w:bookmarkStart w:id="52" w:name="_Toc73"/>
      <w:r>
        <w:rPr>
          <w:rFonts w:hint="eastAsia" w:hAnsi="仿宋_GB2312" w:cs="仿宋_GB2312"/>
          <w:sz w:val="32"/>
          <w:szCs w:val="32"/>
        </w:rPr>
        <w:t>广元市国土空间规划编制研究中心</w:t>
      </w:r>
      <w:r>
        <w:rPr>
          <w:rFonts w:hint="eastAsia" w:ascii="仿宋" w:hAnsi="仿宋" w:eastAsia="仿宋"/>
          <w:sz w:val="32"/>
          <w:szCs w:val="32"/>
        </w:rPr>
        <w:t>属于财政一级预算单位，内设8个科室在编人数36人。</w:t>
      </w:r>
      <w:bookmarkEnd w:id="50"/>
      <w:bookmarkEnd w:id="51"/>
      <w:bookmarkEnd w:id="52"/>
    </w:p>
    <w:p>
      <w:pPr>
        <w:widowControl/>
        <w:spacing w:line="576" w:lineRule="exact"/>
        <w:ind w:firstLine="640" w:firstLineChars="200"/>
        <w:jc w:val="left"/>
        <w:rPr>
          <w:rFonts w:ascii="仿宋_GB2312" w:hAnsi="仿宋_GB2312" w:eastAsia="仿宋_GB2312" w:cs="仿宋_GB2312"/>
          <w:sz w:val="32"/>
          <w:szCs w:val="32"/>
        </w:rPr>
      </w:pPr>
    </w:p>
    <w:p>
      <w:pPr>
        <w:widowControl/>
        <w:spacing w:line="576" w:lineRule="exact"/>
        <w:ind w:firstLine="640" w:firstLineChars="200"/>
        <w:jc w:val="left"/>
        <w:rPr>
          <w:rFonts w:ascii="仿宋" w:hAnsi="仿宋" w:eastAsia="仿宋"/>
          <w:kern w:val="0"/>
          <w:sz w:val="32"/>
          <w:szCs w:val="32"/>
        </w:rPr>
      </w:pPr>
      <w:r>
        <w:rPr>
          <w:rFonts w:ascii="仿宋" w:hAnsi="仿宋" w:eastAsia="仿宋"/>
          <w:sz w:val="32"/>
          <w:szCs w:val="32"/>
        </w:rPr>
        <w:br w:type="page"/>
      </w:r>
    </w:p>
    <w:p>
      <w:pPr>
        <w:pStyle w:val="3"/>
        <w:spacing w:before="0" w:after="0" w:line="576" w:lineRule="exact"/>
        <w:jc w:val="center"/>
        <w:rPr>
          <w:rStyle w:val="26"/>
          <w:rFonts w:ascii="黑体" w:hAnsi="黑体" w:eastAsia="黑体"/>
          <w:b w:val="0"/>
          <w:bCs/>
        </w:rPr>
      </w:pPr>
      <w:bookmarkStart w:id="53" w:name="_Toc1341"/>
      <w:bookmarkStart w:id="54" w:name="_Toc6070"/>
      <w:bookmarkStart w:id="55" w:name="_Toc15377204"/>
      <w:bookmarkStart w:id="56" w:name="_Toc3228"/>
      <w:bookmarkStart w:id="57" w:name="_Toc15396602"/>
      <w:bookmarkStart w:id="58" w:name="_Toc25790"/>
      <w:bookmarkStart w:id="59" w:name="_Toc22090"/>
      <w:r>
        <w:rPr>
          <w:rFonts w:hint="eastAsia" w:ascii="黑体" w:hAnsi="黑体" w:eastAsia="黑体"/>
          <w:b w:val="0"/>
        </w:rPr>
        <w:t>第二部分 2021年度</w:t>
      </w:r>
      <w:r>
        <w:rPr>
          <w:rStyle w:val="26"/>
          <w:rFonts w:hint="eastAsia" w:ascii="黑体" w:hAnsi="黑体" w:eastAsia="黑体"/>
          <w:b w:val="0"/>
          <w:bCs/>
        </w:rPr>
        <w:t>部门决算情况说明</w:t>
      </w:r>
      <w:bookmarkEnd w:id="53"/>
      <w:bookmarkEnd w:id="54"/>
      <w:bookmarkEnd w:id="55"/>
      <w:bookmarkEnd w:id="56"/>
      <w:bookmarkEnd w:id="57"/>
      <w:bookmarkEnd w:id="58"/>
      <w:bookmarkEnd w:id="59"/>
    </w:p>
    <w:p>
      <w:pPr>
        <w:spacing w:line="576" w:lineRule="exact"/>
      </w:pPr>
    </w:p>
    <w:p>
      <w:pPr>
        <w:pStyle w:val="17"/>
        <w:spacing w:line="576" w:lineRule="exact"/>
        <w:ind w:firstLine="640"/>
        <w:outlineLvl w:val="1"/>
        <w:rPr>
          <w:rStyle w:val="27"/>
          <w:rFonts w:ascii="黑体" w:hAnsi="黑体" w:eastAsia="黑体"/>
          <w:b w:val="0"/>
        </w:rPr>
      </w:pPr>
      <w:bookmarkStart w:id="60" w:name="_Toc20450"/>
      <w:bookmarkStart w:id="61" w:name="_Toc28569"/>
      <w:bookmarkStart w:id="62" w:name="_Toc10931"/>
      <w:bookmarkStart w:id="63" w:name="_Toc22503"/>
      <w:bookmarkStart w:id="64" w:name="_Toc18756"/>
      <w:bookmarkStart w:id="65" w:name="_Toc15377205"/>
      <w:bookmarkStart w:id="66" w:name="_Toc15396603"/>
      <w:r>
        <w:rPr>
          <w:rFonts w:hint="eastAsia" w:ascii="黑体" w:hAnsi="黑体" w:eastAsia="黑体"/>
          <w:sz w:val="32"/>
          <w:szCs w:val="32"/>
        </w:rPr>
        <w:t>一、收</w:t>
      </w:r>
      <w:r>
        <w:rPr>
          <w:rStyle w:val="27"/>
          <w:rFonts w:hint="eastAsia" w:ascii="黑体" w:hAnsi="黑体" w:eastAsia="黑体"/>
          <w:b w:val="0"/>
        </w:rPr>
        <w:t>入支出决算总体情况说明</w:t>
      </w:r>
      <w:bookmarkEnd w:id="60"/>
      <w:bookmarkEnd w:id="61"/>
      <w:bookmarkEnd w:id="62"/>
      <w:bookmarkEnd w:id="63"/>
      <w:bookmarkEnd w:id="64"/>
      <w:bookmarkEnd w:id="65"/>
      <w:bookmarkEnd w:id="66"/>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2021年度</w:t>
      </w:r>
      <w:bookmarkStart w:id="67" w:name="OLE_LINK1"/>
      <w:r>
        <w:rPr>
          <w:rFonts w:hint="eastAsia" w:ascii="仿宋_GB2312" w:hAnsi="仿宋_GB2312" w:eastAsia="仿宋_GB2312" w:cs="仿宋_GB2312"/>
          <w:sz w:val="32"/>
          <w:szCs w:val="32"/>
        </w:rPr>
        <w:t>收、支总计</w:t>
      </w:r>
      <w:bookmarkEnd w:id="67"/>
      <w:r>
        <w:rPr>
          <w:rFonts w:hint="eastAsia" w:ascii="仿宋_GB2312" w:hAnsi="仿宋_GB2312" w:eastAsia="仿宋_GB2312" w:cs="仿宋_GB2312"/>
          <w:sz w:val="32"/>
          <w:szCs w:val="32"/>
        </w:rPr>
        <w:t>1141.34万元。与2020年相比，收、支总计各减少354.02万元，下降23.67%。主要变动原因是2020年初结转规划设计费等1006.61万元，2021年初结转455.56万元导致。</w:t>
      </w:r>
    </w:p>
    <w:p>
      <w:pPr>
        <w:pStyle w:val="2"/>
        <w:spacing w:before="93"/>
        <w:jc w:val="center"/>
        <w:rPr>
          <w:rFonts w:hint="eastAsia" w:hAnsi="仿宋_GB2312" w:eastAsia="仿宋_GB2312" w:cs="仿宋_GB2312"/>
          <w:sz w:val="32"/>
          <w:szCs w:val="32"/>
          <w:lang w:eastAsia="zh-CN"/>
        </w:rPr>
      </w:pPr>
      <w:r>
        <w:object>
          <v:shape id="_x0000_i1025" o:spt="75" type="#_x0000_t75" style="height:231pt;width:372pt;" o:ole="t" filled="f" coordsize="21600,21600" o:gfxdata="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">
            <v:path/>
            <v:fill on="f" focussize="0,0"/>
            <v:stroke/>
            <v:imagedata r:id="rId7" o:title=""/>
            <o:lock v:ext="edit" aspectratio="t"/>
            <w10:wrap type="none"/>
            <w10:anchorlock/>
          </v:shape>
          <o:OLEObject Type="Embed" ProgID="excel.sheet.8" ShapeID="_x0000_i1025" DrawAspect="Content" ObjectID="_1468075725" r:id="rId6">
            <o:LockedField>false</o:LockedField>
          </o:OLEObject>
        </w:object>
      </w:r>
    </w:p>
    <w:p>
      <w:pPr>
        <w:spacing w:line="576" w:lineRule="exact"/>
        <w:jc w:val="center"/>
        <w:rPr>
          <w:rFonts w:ascii="仿宋_GB2312" w:eastAsia="仿宋_GB2312"/>
          <w:sz w:val="32"/>
          <w:szCs w:val="32"/>
        </w:rPr>
      </w:pPr>
      <w:r>
        <w:rPr>
          <w:rFonts w:hint="eastAsia" w:ascii="仿宋_GB2312" w:hAnsi="仿宋_GB2312" w:eastAsia="仿宋_GB2312" w:cs="仿宋_GB2312"/>
          <w:sz w:val="32"/>
          <w:szCs w:val="32"/>
        </w:rPr>
        <w:t>图1：收、支决算总计变动情况图</w:t>
      </w:r>
    </w:p>
    <w:p>
      <w:pPr>
        <w:pStyle w:val="17"/>
        <w:spacing w:line="576" w:lineRule="exact"/>
        <w:ind w:firstLine="640"/>
        <w:outlineLvl w:val="1"/>
        <w:rPr>
          <w:rStyle w:val="27"/>
          <w:rFonts w:ascii="黑体" w:hAnsi="黑体" w:eastAsia="黑体"/>
          <w:b w:val="0"/>
        </w:rPr>
      </w:pPr>
      <w:bookmarkStart w:id="68" w:name="_Toc22630"/>
      <w:bookmarkStart w:id="69" w:name="_Toc4338"/>
      <w:bookmarkStart w:id="70" w:name="_Toc28728"/>
      <w:bookmarkStart w:id="71" w:name="_Toc14560"/>
      <w:bookmarkStart w:id="72" w:name="_Toc15377206"/>
      <w:bookmarkStart w:id="73" w:name="_Toc5295"/>
      <w:bookmarkStart w:id="74" w:name="_Toc15396604"/>
      <w:r>
        <w:rPr>
          <w:rStyle w:val="27"/>
          <w:rFonts w:hint="eastAsia" w:ascii="黑体" w:hAnsi="黑体" w:eastAsia="黑体"/>
          <w:b w:val="0"/>
        </w:rPr>
        <w:t>二、收入决算情况说明</w:t>
      </w:r>
      <w:bookmarkEnd w:id="68"/>
      <w:bookmarkEnd w:id="69"/>
      <w:bookmarkEnd w:id="70"/>
      <w:bookmarkEnd w:id="71"/>
      <w:bookmarkEnd w:id="72"/>
      <w:bookmarkEnd w:id="73"/>
      <w:bookmarkEnd w:id="74"/>
    </w:p>
    <w:p>
      <w:pPr>
        <w:spacing w:line="576" w:lineRule="exact"/>
        <w:ind w:firstLine="640" w:firstLineChars="200"/>
        <w:outlineLvl w:val="1"/>
        <w:rPr>
          <w:rFonts w:ascii="仿宋_GB2312" w:eastAsia="仿宋_GB2312"/>
          <w:sz w:val="32"/>
          <w:szCs w:val="32"/>
        </w:rPr>
      </w:pPr>
      <w:bookmarkStart w:id="75" w:name="_Toc16649"/>
      <w:bookmarkStart w:id="76" w:name="_Toc31218"/>
      <w:bookmarkStart w:id="77" w:name="_Toc11200"/>
      <w:bookmarkStart w:id="78" w:name="_Toc7628"/>
      <w:bookmarkStart w:id="79" w:name="_Toc19598"/>
      <w:r>
        <w:rPr>
          <w:rFonts w:hint="eastAsia" w:ascii="仿宋_GB2312" w:hAnsi="仿宋_GB2312" w:eastAsia="仿宋_GB2312" w:cs="仿宋_GB2312"/>
          <w:sz w:val="32"/>
          <w:szCs w:val="32"/>
        </w:rPr>
        <w:t>2021年本年收入合计685.78万元，其中：一般公共预算财政拨款收入503.21万元，占73.38%；政府性基金预算财政拨款收入160万元，占23.33%；其他收入22.57万元，占3.29%。</w:t>
      </w:r>
      <w:bookmarkEnd w:id="75"/>
      <w:bookmarkEnd w:id="76"/>
      <w:bookmarkEnd w:id="77"/>
      <w:bookmarkEnd w:id="78"/>
      <w:bookmarkEnd w:id="79"/>
    </w:p>
    <w:p>
      <w:pPr>
        <w:pStyle w:val="2"/>
        <w:spacing w:before="93"/>
        <w:jc w:val="center"/>
        <w:rPr>
          <w:sz w:val="32"/>
          <w:szCs w:val="32"/>
        </w:rPr>
      </w:pPr>
      <w:r>
        <w:pict>
          <v:shape id="_x0000_i1026" o:spt="75" type="#_x0000_t75" style="height:195.6pt;width:355.9pt;" filled="f" o:preferrelative="t" stroked="f" coordsize="21600,21600">
            <v:path/>
            <v:fill on="f" focussize="0,0"/>
            <v:stroke on="f" joinstyle="miter"/>
            <v:imagedata r:id="rId8" croptop="6539f" cropright="979f" chromakey="#FFFFFF" o:title=""/>
            <o:lock v:ext="edit" aspectratio="t"/>
            <w10:wrap type="none"/>
            <w10:anchorlock/>
          </v:shape>
        </w:pict>
      </w:r>
    </w:p>
    <w:p>
      <w:pPr>
        <w:spacing w:line="600" w:lineRule="exact"/>
        <w:jc w:val="center"/>
        <w:rPr>
          <w:rFonts w:ascii="仿宋_GB2312" w:eastAsia="仿宋_GB2312"/>
          <w:sz w:val="32"/>
          <w:szCs w:val="32"/>
        </w:rPr>
      </w:pPr>
      <w:r>
        <w:rPr>
          <w:rFonts w:hint="eastAsia" w:ascii="仿宋" w:hAnsi="仿宋" w:eastAsia="仿宋"/>
          <w:sz w:val="32"/>
          <w:szCs w:val="32"/>
        </w:rPr>
        <w:t>图2：收入决算结构图</w:t>
      </w:r>
    </w:p>
    <w:p>
      <w:pPr>
        <w:pStyle w:val="17"/>
        <w:spacing w:line="576" w:lineRule="exact"/>
        <w:ind w:firstLine="640"/>
        <w:outlineLvl w:val="1"/>
        <w:rPr>
          <w:rStyle w:val="27"/>
          <w:rFonts w:ascii="黑体" w:hAnsi="黑体" w:eastAsia="黑体"/>
          <w:b w:val="0"/>
        </w:rPr>
      </w:pPr>
      <w:bookmarkStart w:id="80" w:name="_Toc15377207"/>
      <w:bookmarkStart w:id="81" w:name="_Toc3248"/>
      <w:bookmarkStart w:id="82" w:name="_Toc17566"/>
      <w:bookmarkStart w:id="83" w:name="_Toc22528"/>
      <w:bookmarkStart w:id="84" w:name="_Toc27316"/>
      <w:bookmarkStart w:id="85" w:name="_Toc32515"/>
      <w:bookmarkStart w:id="86" w:name="_Toc15396605"/>
      <w:r>
        <w:rPr>
          <w:rStyle w:val="27"/>
          <w:rFonts w:hint="eastAsia" w:ascii="黑体" w:hAnsi="黑体" w:eastAsia="黑体"/>
          <w:b w:val="0"/>
        </w:rPr>
        <w:t>三、支出决算情况说明</w:t>
      </w:r>
      <w:bookmarkEnd w:id="80"/>
      <w:bookmarkEnd w:id="81"/>
      <w:bookmarkEnd w:id="82"/>
      <w:bookmarkEnd w:id="83"/>
      <w:bookmarkEnd w:id="84"/>
      <w:bookmarkEnd w:id="85"/>
      <w:bookmarkEnd w:id="86"/>
    </w:p>
    <w:p>
      <w:pPr>
        <w:spacing w:line="576" w:lineRule="exact"/>
        <w:ind w:firstLine="640" w:firstLineChars="200"/>
        <w:outlineLvl w:val="1"/>
        <w:rPr>
          <w:rFonts w:ascii="仿宋_GB2312" w:hAnsi="仿宋_GB2312" w:eastAsia="仿宋_GB2312" w:cs="仿宋_GB2312"/>
          <w:sz w:val="32"/>
          <w:szCs w:val="32"/>
          <w:shd w:val="pct10" w:color="auto" w:fill="FFFFFF"/>
        </w:rPr>
      </w:pPr>
      <w:bookmarkStart w:id="87" w:name="_Toc12980"/>
      <w:bookmarkStart w:id="88" w:name="_Toc21234"/>
      <w:bookmarkStart w:id="89" w:name="_Toc423"/>
      <w:bookmarkStart w:id="90" w:name="_Toc21175"/>
      <w:bookmarkStart w:id="91" w:name="_Toc19633"/>
      <w:r>
        <w:rPr>
          <w:rFonts w:hint="eastAsia" w:ascii="仿宋_GB2312" w:hAnsi="仿宋_GB2312" w:eastAsia="仿宋_GB2312" w:cs="仿宋_GB2312"/>
          <w:sz w:val="32"/>
          <w:szCs w:val="32"/>
        </w:rPr>
        <w:t>2021年本年支出合计778.25万元，其中：基本支出505.5万元，占64.95%；项目支出272.74万元，占35.05%。</w:t>
      </w:r>
      <w:bookmarkEnd w:id="87"/>
      <w:bookmarkEnd w:id="88"/>
      <w:bookmarkEnd w:id="89"/>
      <w:bookmarkEnd w:id="90"/>
      <w:bookmarkEnd w:id="91"/>
    </w:p>
    <w:p>
      <w:pPr>
        <w:pStyle w:val="2"/>
        <w:spacing w:before="93"/>
        <w:jc w:val="center"/>
      </w:pPr>
      <w:r>
        <w:pict>
          <v:shape id="_x0000_i1027" o:spt="75" type="#_x0000_t75" style="height:194.95pt;width:357.3pt;" filled="f" o:preferrelative="t" stroked="f" coordsize="21600,21600">
            <v:path/>
            <v:fill on="f" focussize="0,0"/>
            <v:stroke on="f" joinstyle="miter"/>
            <v:imagedata r:id="rId9" croptop="6840f" cropright="707f" o:title=""/>
            <o:lock v:ext="edit" aspectratio="t"/>
            <w10:wrap type="none"/>
            <w10:anchorlock/>
          </v:shape>
        </w:pict>
      </w:r>
    </w:p>
    <w:p>
      <w:pPr>
        <w:spacing w:line="576"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w:t>
      </w:r>
    </w:p>
    <w:p>
      <w:pPr>
        <w:spacing w:line="576" w:lineRule="exact"/>
        <w:ind w:firstLine="640" w:firstLineChars="200"/>
        <w:rPr>
          <w:rFonts w:ascii="仿宋_GB2312" w:eastAsia="仿宋_GB2312"/>
          <w:sz w:val="32"/>
          <w:szCs w:val="32"/>
        </w:rPr>
      </w:pPr>
    </w:p>
    <w:p>
      <w:pPr>
        <w:spacing w:line="576" w:lineRule="exact"/>
        <w:ind w:firstLine="640" w:firstLineChars="200"/>
        <w:outlineLvl w:val="1"/>
        <w:rPr>
          <w:rStyle w:val="27"/>
          <w:rFonts w:ascii="黑体" w:hAnsi="黑体" w:eastAsia="黑体"/>
          <w:b w:val="0"/>
        </w:rPr>
      </w:pPr>
      <w:bookmarkStart w:id="92" w:name="_Toc31232"/>
      <w:bookmarkStart w:id="93" w:name="_Toc9311"/>
      <w:bookmarkStart w:id="94" w:name="_Toc15377208"/>
      <w:bookmarkStart w:id="95" w:name="_Toc22088"/>
      <w:bookmarkStart w:id="96" w:name="_Toc1428"/>
      <w:bookmarkStart w:id="97" w:name="_Toc23076"/>
      <w:bookmarkStart w:id="98" w:name="_Toc15396606"/>
      <w:r>
        <w:rPr>
          <w:rFonts w:hint="eastAsia" w:ascii="黑体" w:hAnsi="黑体" w:eastAsia="黑体"/>
          <w:sz w:val="32"/>
          <w:szCs w:val="32"/>
        </w:rPr>
        <w:t>四、财</w:t>
      </w:r>
      <w:r>
        <w:rPr>
          <w:rStyle w:val="27"/>
          <w:rFonts w:hint="eastAsia" w:ascii="黑体" w:hAnsi="黑体" w:eastAsia="黑体"/>
          <w:b w:val="0"/>
        </w:rPr>
        <w:t>政拨款收入支出决算总体情况说明</w:t>
      </w:r>
      <w:bookmarkEnd w:id="92"/>
      <w:bookmarkEnd w:id="93"/>
      <w:bookmarkEnd w:id="94"/>
      <w:bookmarkEnd w:id="95"/>
      <w:bookmarkEnd w:id="96"/>
      <w:bookmarkEnd w:id="97"/>
      <w:bookmarkEnd w:id="98"/>
    </w:p>
    <w:p>
      <w:pPr>
        <w:spacing w:line="576"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2021年财政拨款收、支总计668.01万元。与2020年相比，财政拨款收、支总计各增加103.44万元，增长18.32%。主要变动原因一是2021年在职人数较2020年增加9人；二是2021年财政拨入规划设计专项资金160万元。</w:t>
      </w:r>
    </w:p>
    <w:p>
      <w:pPr>
        <w:pStyle w:val="2"/>
        <w:spacing w:before="93"/>
        <w:jc w:val="center"/>
        <w:rPr>
          <w:rFonts w:ascii="仿宋" w:hAnsi="仿宋" w:eastAsia="仿宋"/>
          <w:sz w:val="32"/>
          <w:szCs w:val="32"/>
        </w:rPr>
      </w:pPr>
      <w:r>
        <w:rPr>
          <w:rFonts w:hint="eastAsia" w:hAnsi="仿宋"/>
          <w:color w:val="auto"/>
          <w:sz w:val="32"/>
          <w:szCs w:val="32"/>
        </w:rPr>
        <w:object>
          <v:shape id="_x0000_i1028" o:spt="75" type="#_x0000_t75" style="height:204pt;width:412.5pt;" o:ole="t" filled="f" coordsize="21600,21600" o:gfxdata="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">
            <v:path/>
            <v:fill on="f" focussize="0,0"/>
            <v:stroke/>
            <v:imagedata r:id="rId11" o:title=""/>
            <o:lock v:ext="edit" aspectratio="t"/>
            <w10:wrap type="none"/>
            <w10:anchorlock/>
          </v:shape>
          <o:OLEObject Type="Embed" ProgID="excel.sheet.8" ShapeID="_x0000_i1028" DrawAspect="Content" ObjectID="_1468075726" r:id="rId10">
            <o:LockedField>false</o:LockedField>
          </o:OLEObject>
        </w:object>
      </w:r>
    </w:p>
    <w:p>
      <w:pPr>
        <w:spacing w:line="576" w:lineRule="exact"/>
        <w:jc w:val="center"/>
        <w:rPr>
          <w:rFonts w:ascii="仿宋" w:hAnsi="仿宋" w:eastAsia="仿宋"/>
          <w:b/>
          <w:sz w:val="32"/>
          <w:szCs w:val="32"/>
        </w:rPr>
      </w:pPr>
      <w:r>
        <w:rPr>
          <w:rFonts w:hint="eastAsia" w:ascii="仿宋" w:hAnsi="仿宋" w:eastAsia="仿宋"/>
          <w:sz w:val="32"/>
          <w:szCs w:val="32"/>
        </w:rPr>
        <w:t>图4：财政拨款收、支决算总计变动情况</w:t>
      </w:r>
    </w:p>
    <w:p>
      <w:pPr>
        <w:spacing w:line="576" w:lineRule="exact"/>
        <w:ind w:firstLine="640" w:firstLineChars="200"/>
        <w:outlineLvl w:val="1"/>
        <w:rPr>
          <w:rStyle w:val="27"/>
          <w:rFonts w:ascii="黑体" w:hAnsi="黑体" w:eastAsia="黑体"/>
          <w:b w:val="0"/>
        </w:rPr>
      </w:pPr>
      <w:bookmarkStart w:id="99" w:name="_Toc23879"/>
      <w:bookmarkStart w:id="100" w:name="_Toc15186"/>
      <w:bookmarkStart w:id="101" w:name="_Toc15396607"/>
      <w:bookmarkStart w:id="102" w:name="_Toc15377209"/>
      <w:bookmarkStart w:id="103" w:name="_Toc21886"/>
      <w:bookmarkStart w:id="104" w:name="_Toc23502"/>
      <w:bookmarkStart w:id="105" w:name="_Toc10163"/>
      <w:r>
        <w:rPr>
          <w:rFonts w:hint="eastAsia" w:ascii="黑体" w:hAnsi="黑体" w:eastAsia="黑体"/>
          <w:sz w:val="32"/>
          <w:szCs w:val="32"/>
        </w:rPr>
        <w:t>五、</w:t>
      </w:r>
      <w:r>
        <w:rPr>
          <w:rFonts w:hint="eastAsia" w:ascii="黑体" w:hAnsi="黑体" w:eastAsia="黑体"/>
          <w:b/>
          <w:sz w:val="32"/>
          <w:szCs w:val="32"/>
        </w:rPr>
        <w:t>一</w:t>
      </w:r>
      <w:r>
        <w:rPr>
          <w:rStyle w:val="27"/>
          <w:rFonts w:hint="eastAsia" w:ascii="黑体" w:hAnsi="黑体" w:eastAsia="黑体"/>
          <w:b w:val="0"/>
        </w:rPr>
        <w:t>般公共预算财政拨款支出决算情况说明</w:t>
      </w:r>
      <w:bookmarkEnd w:id="99"/>
      <w:bookmarkEnd w:id="100"/>
      <w:bookmarkEnd w:id="101"/>
      <w:bookmarkEnd w:id="102"/>
      <w:bookmarkEnd w:id="103"/>
      <w:bookmarkEnd w:id="104"/>
      <w:bookmarkEnd w:id="105"/>
    </w:p>
    <w:p>
      <w:pPr>
        <w:spacing w:line="576" w:lineRule="exact"/>
        <w:ind w:firstLine="642" w:firstLineChars="200"/>
        <w:outlineLvl w:val="2"/>
        <w:rPr>
          <w:rFonts w:ascii="仿宋" w:hAnsi="仿宋" w:eastAsia="仿宋"/>
          <w:b/>
          <w:sz w:val="32"/>
          <w:szCs w:val="32"/>
        </w:rPr>
      </w:pPr>
      <w:bookmarkStart w:id="106" w:name="_Toc15377210"/>
      <w:r>
        <w:rPr>
          <w:rFonts w:hint="eastAsia" w:ascii="仿宋" w:hAnsi="仿宋" w:eastAsia="仿宋"/>
          <w:b/>
          <w:sz w:val="32"/>
          <w:szCs w:val="32"/>
        </w:rPr>
        <w:t>（一）一般公共预算财政拨款支出决算总体情况</w:t>
      </w:r>
      <w:bookmarkEnd w:id="106"/>
      <w:r>
        <w:rPr>
          <w:rFonts w:hint="eastAsia" w:ascii="仿宋" w:hAnsi="仿宋" w:eastAsia="仿宋"/>
          <w:b/>
          <w:sz w:val="32"/>
          <w:szCs w:val="32"/>
        </w:rPr>
        <w:t>。</w:t>
      </w:r>
    </w:p>
    <w:p>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2021年一般公共预算财政拨款支出505.50万元，占本年支出合计的97%。与2020年相比，一般公共预算财政拨款支出减少54.27万元，</w:t>
      </w:r>
      <w:r>
        <w:rPr>
          <w:rFonts w:hint="eastAsia" w:ascii="仿宋_GB2312" w:hAnsi="仿宋_GB2312" w:eastAsia="仿宋_GB2312" w:cs="仿宋_GB2312"/>
          <w:sz w:val="32"/>
          <w:szCs w:val="32"/>
          <w:lang w:eastAsia="zh-CN"/>
        </w:rPr>
        <w:t>减少</w:t>
      </w:r>
      <w:r>
        <w:rPr>
          <w:rFonts w:hint="eastAsia" w:ascii="仿宋_GB2312" w:hAnsi="仿宋_GB2312" w:eastAsia="仿宋_GB2312" w:cs="仿宋_GB2312"/>
          <w:sz w:val="32"/>
          <w:szCs w:val="32"/>
        </w:rPr>
        <w:t>10%。主要变动原因是2020年支付“规管信息平台建设”费欠款59.68万元导致。</w:t>
      </w:r>
    </w:p>
    <w:p>
      <w:pPr>
        <w:jc w:val="center"/>
        <w:rPr>
          <w:rFonts w:ascii="仿宋" w:hAnsi="仿宋" w:eastAsia="仿宋"/>
          <w:sz w:val="32"/>
          <w:szCs w:val="32"/>
        </w:rPr>
      </w:pPr>
      <w:r>
        <w:rPr>
          <w:rFonts w:hint="eastAsia" w:hAnsi="仿宋"/>
          <w:color w:val="auto"/>
          <w:sz w:val="32"/>
          <w:szCs w:val="32"/>
        </w:rPr>
        <w:object>
          <v:shape id="_x0000_i1029" o:spt="75" type="#_x0000_t75" style="height:201pt;width:435pt;" o:ole="t" filled="f" coordsize="21600,21600" o:gfxdata="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">
            <v:path/>
            <v:fill on="f" focussize="0,0"/>
            <v:stroke/>
            <v:imagedata r:id="rId13" o:title=""/>
            <o:lock v:ext="edit" aspectratio="t"/>
            <w10:wrap type="none"/>
            <w10:anchorlock/>
          </v:shape>
          <o:OLEObject Type="Embed" ProgID="excel.sheet.8" ShapeID="_x0000_i1029" DrawAspect="Content" ObjectID="_1468075727" r:id="rId12">
            <o:LockedField>false</o:LockedField>
          </o:OLEObject>
        </w:object>
      </w:r>
    </w:p>
    <w:p>
      <w:pPr>
        <w:spacing w:line="576" w:lineRule="exact"/>
        <w:jc w:val="center"/>
        <w:rPr>
          <w:rFonts w:ascii="仿宋" w:hAnsi="仿宋" w:eastAsia="仿宋"/>
          <w:sz w:val="32"/>
          <w:szCs w:val="32"/>
        </w:rPr>
      </w:pPr>
      <w:r>
        <w:rPr>
          <w:rFonts w:hint="eastAsia" w:ascii="仿宋" w:hAnsi="仿宋" w:eastAsia="仿宋"/>
          <w:sz w:val="32"/>
          <w:szCs w:val="32"/>
        </w:rPr>
        <w:t>图5：一般公共预算财政拨款支出决算变动情况</w:t>
      </w:r>
    </w:p>
    <w:p>
      <w:pPr>
        <w:spacing w:line="576" w:lineRule="exact"/>
        <w:ind w:firstLine="640" w:firstLineChars="200"/>
        <w:rPr>
          <w:rFonts w:ascii="仿宋" w:hAnsi="仿宋" w:eastAsia="仿宋"/>
          <w:sz w:val="32"/>
          <w:szCs w:val="32"/>
        </w:rPr>
      </w:pPr>
    </w:p>
    <w:p>
      <w:pPr>
        <w:spacing w:line="576" w:lineRule="exact"/>
        <w:ind w:firstLine="642" w:firstLineChars="200"/>
        <w:outlineLvl w:val="2"/>
        <w:rPr>
          <w:rFonts w:ascii="仿宋" w:hAnsi="仿宋" w:eastAsia="仿宋"/>
          <w:b/>
          <w:sz w:val="32"/>
          <w:szCs w:val="32"/>
        </w:rPr>
      </w:pPr>
      <w:bookmarkStart w:id="107" w:name="_Toc15377211"/>
      <w:r>
        <w:rPr>
          <w:rFonts w:hint="eastAsia" w:ascii="仿宋" w:hAnsi="仿宋" w:eastAsia="仿宋"/>
          <w:b/>
          <w:sz w:val="32"/>
          <w:szCs w:val="32"/>
        </w:rPr>
        <w:t>（二）一般公共预算财政拨款支出决算结构情况</w:t>
      </w:r>
      <w:bookmarkEnd w:id="107"/>
      <w:r>
        <w:rPr>
          <w:rFonts w:hint="eastAsia" w:ascii="仿宋" w:hAnsi="仿宋" w:eastAsia="仿宋"/>
          <w:b/>
          <w:sz w:val="32"/>
          <w:szCs w:val="32"/>
        </w:rPr>
        <w:t>。</w:t>
      </w:r>
    </w:p>
    <w:p>
      <w:pPr>
        <w:spacing w:line="576"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21年一般公共预算财政拨款支出505.50万元（因系统四舍五入原因各项合计为505.49万元），主要用于以下方面</w:t>
      </w:r>
      <w:r>
        <w:rPr>
          <w:rFonts w:ascii="仿宋" w:hAnsi="仿宋" w:eastAsia="仿宋"/>
          <w:sz w:val="32"/>
          <w:szCs w:val="32"/>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支出38.24万元</w:t>
      </w:r>
      <w:r>
        <w:rPr>
          <w:rFonts w:hint="eastAsia" w:ascii="仿宋" w:hAnsi="仿宋" w:eastAsia="仿宋"/>
          <w:sz w:val="32"/>
          <w:szCs w:val="32"/>
        </w:rPr>
        <w:t>，占7.56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b/>
          <w:color w:val="000000"/>
          <w:sz w:val="32"/>
          <w:szCs w:val="32"/>
        </w:rPr>
        <w:t>（类）</w:t>
      </w:r>
      <w:r>
        <w:rPr>
          <w:rFonts w:hint="eastAsia" w:ascii="仿宋" w:hAnsi="仿宋" w:eastAsia="仿宋"/>
          <w:color w:val="000000"/>
          <w:sz w:val="32"/>
          <w:szCs w:val="32"/>
        </w:rPr>
        <w:t>支出</w:t>
      </w:r>
      <w:r>
        <w:rPr>
          <w:rFonts w:hint="eastAsia" w:ascii="仿宋" w:hAnsi="仿宋" w:eastAsia="仿宋"/>
          <w:sz w:val="32"/>
          <w:szCs w:val="32"/>
        </w:rPr>
        <w:t>21.57万元，占4.27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城乡社区（类）</w:t>
      </w:r>
      <w:r>
        <w:rPr>
          <w:rFonts w:hint="eastAsia" w:ascii="仿宋" w:hAnsi="仿宋" w:eastAsia="仿宋"/>
          <w:sz w:val="32"/>
          <w:szCs w:val="32"/>
        </w:rPr>
        <w:t>支出399.84万元，占79.01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color w:val="000000"/>
          <w:sz w:val="32"/>
          <w:szCs w:val="32"/>
        </w:rPr>
        <w:t>住房保障支出（类）</w:t>
      </w:r>
      <w:r>
        <w:rPr>
          <w:rFonts w:hint="eastAsia" w:ascii="仿宋" w:hAnsi="仿宋" w:eastAsia="仿宋"/>
          <w:color w:val="000000"/>
          <w:sz w:val="32"/>
          <w:szCs w:val="32"/>
        </w:rPr>
        <w:t>支出45.84</w:t>
      </w:r>
      <w:r>
        <w:rPr>
          <w:rFonts w:hint="eastAsia" w:ascii="仿宋" w:hAnsi="仿宋" w:eastAsia="仿宋"/>
          <w:sz w:val="32"/>
          <w:szCs w:val="32"/>
        </w:rPr>
        <w:t>万元，占9.16</w:t>
      </w:r>
      <w:r>
        <w:rPr>
          <w:rFonts w:ascii="仿宋" w:hAnsi="仿宋" w:eastAsia="仿宋"/>
          <w:sz w:val="32"/>
          <w:szCs w:val="32"/>
        </w:rPr>
        <w:t>%</w:t>
      </w:r>
      <w:r>
        <w:rPr>
          <w:rFonts w:hint="eastAsia" w:ascii="仿宋" w:hAnsi="仿宋" w:eastAsia="仿宋"/>
          <w:sz w:val="32"/>
          <w:szCs w:val="32"/>
        </w:rPr>
        <w:t>。</w:t>
      </w:r>
    </w:p>
    <w:p>
      <w:pPr>
        <w:spacing w:line="576" w:lineRule="exact"/>
      </w:pPr>
    </w:p>
    <w:p>
      <w:pPr>
        <w:spacing w:line="576" w:lineRule="exact"/>
        <w:ind w:firstLine="640"/>
      </w:pPr>
    </w:p>
    <w:p>
      <w:pPr>
        <w:spacing w:line="576" w:lineRule="exact"/>
      </w:pPr>
    </w:p>
    <w:p>
      <w:pPr>
        <w:spacing w:line="576" w:lineRule="exact"/>
        <w:ind w:firstLine="640"/>
      </w:pPr>
    </w:p>
    <w:p>
      <w:pPr>
        <w:pStyle w:val="2"/>
        <w:spacing w:before="93"/>
      </w:pPr>
    </w:p>
    <w:p>
      <w:pPr>
        <w:pStyle w:val="2"/>
        <w:spacing w:before="93"/>
      </w:pPr>
    </w:p>
    <w:p>
      <w:pPr>
        <w:spacing w:line="576" w:lineRule="exact"/>
        <w:ind w:firstLine="640"/>
        <w:rPr>
          <w:rFonts w:ascii="仿宋" w:hAnsi="仿宋" w:eastAsia="仿宋"/>
          <w:sz w:val="32"/>
          <w:szCs w:val="32"/>
        </w:rPr>
      </w:pPr>
    </w:p>
    <w:p>
      <w:pPr>
        <w:pStyle w:val="2"/>
        <w:spacing w:before="93"/>
      </w:pPr>
    </w:p>
    <w:p>
      <w:pPr>
        <w:pStyle w:val="2"/>
        <w:spacing w:before="93"/>
      </w:pPr>
    </w:p>
    <w:p>
      <w:pPr>
        <w:spacing w:line="576" w:lineRule="exact"/>
        <w:ind w:firstLine="640"/>
        <w:rPr>
          <w:rFonts w:ascii="仿宋" w:hAnsi="仿宋" w:eastAsia="仿宋"/>
          <w:sz w:val="32"/>
          <w:szCs w:val="32"/>
        </w:rPr>
      </w:pPr>
      <w:r>
        <w:pict>
          <v:shape id="图表 5" o:spid="_x0000_s1027" o:spt="75" type="#_x0000_t75" style="position:absolute;left:0pt;margin-left:32.75pt;margin-top:-104.9pt;height:231pt;width:388.45pt;mso-wrap-distance-left:9pt;mso-wrap-distance-right:9pt;z-index:-251658240;mso-width-relative:page;mso-height-relative:page;" filled="f" o:preferrelative="t" stroked="f" coordsize="21600,21600" wrapcoords="21591 -2 0 0 0 21600 21591 21602 8 21602 21599 21600 21599 0 8 -2 21591 -2" o:gfxdata="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&#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">
            <v:path/>
            <v:fill on="f" focussize="0,0"/>
            <v:stroke on="f" joinstyle="miter"/>
            <v:imagedata r:id="rId14" o:title=""/>
            <o:lock v:ext="edit" aspectratio="f"/>
            <w10:wrap type="tight"/>
          </v:shape>
        </w:pict>
      </w:r>
    </w:p>
    <w:p>
      <w:pPr>
        <w:pStyle w:val="2"/>
        <w:spacing w:before="93"/>
        <w:rPr>
          <w:rFonts w:ascii="仿宋" w:hAnsi="仿宋" w:eastAsia="仿宋"/>
          <w:sz w:val="32"/>
          <w:szCs w:val="32"/>
        </w:rPr>
      </w:pPr>
    </w:p>
    <w:p>
      <w:pPr>
        <w:pStyle w:val="2"/>
        <w:spacing w:before="93"/>
        <w:jc w:val="center"/>
        <w:rPr>
          <w:rFonts w:ascii="仿宋" w:hAnsi="仿宋" w:eastAsia="仿宋"/>
          <w:sz w:val="32"/>
          <w:szCs w:val="32"/>
        </w:rPr>
      </w:pPr>
    </w:p>
    <w:p>
      <w:pPr>
        <w:spacing w:line="576" w:lineRule="exact"/>
        <w:jc w:val="center"/>
        <w:rPr>
          <w:rFonts w:ascii="仿宋" w:hAnsi="仿宋" w:eastAsia="仿宋"/>
          <w:sz w:val="32"/>
          <w:szCs w:val="32"/>
        </w:rPr>
      </w:pPr>
    </w:p>
    <w:p>
      <w:pPr>
        <w:spacing w:line="576" w:lineRule="exact"/>
        <w:jc w:val="center"/>
        <w:rPr>
          <w:rFonts w:ascii="仿宋" w:hAnsi="仿宋" w:eastAsia="仿宋"/>
          <w:sz w:val="32"/>
          <w:szCs w:val="32"/>
        </w:rPr>
      </w:pPr>
      <w:r>
        <w:rPr>
          <w:rFonts w:hint="eastAsia" w:ascii="仿宋" w:hAnsi="仿宋" w:eastAsia="仿宋"/>
          <w:sz w:val="32"/>
          <w:szCs w:val="32"/>
        </w:rPr>
        <w:t>图6：一般公共预算财政拨款支出决算结构</w:t>
      </w:r>
    </w:p>
    <w:p>
      <w:pPr>
        <w:spacing w:line="576" w:lineRule="exact"/>
        <w:ind w:firstLine="642" w:firstLineChars="200"/>
        <w:outlineLvl w:val="2"/>
        <w:rPr>
          <w:rFonts w:ascii="仿宋" w:hAnsi="仿宋" w:eastAsia="仿宋"/>
          <w:b/>
          <w:sz w:val="32"/>
          <w:szCs w:val="32"/>
        </w:rPr>
      </w:pPr>
      <w:bookmarkStart w:id="108" w:name="_Toc15377212"/>
      <w:r>
        <w:rPr>
          <w:rFonts w:hint="eastAsia" w:ascii="仿宋" w:hAnsi="仿宋" w:eastAsia="仿宋"/>
          <w:b/>
          <w:sz w:val="32"/>
          <w:szCs w:val="32"/>
        </w:rPr>
        <w:t>（三）一般公共预算财政拨款支出决算具体情况</w:t>
      </w:r>
      <w:bookmarkEnd w:id="108"/>
      <w:r>
        <w:rPr>
          <w:rFonts w:hint="eastAsia" w:ascii="仿宋" w:hAnsi="仿宋" w:eastAsia="仿宋"/>
          <w:b/>
          <w:sz w:val="32"/>
          <w:szCs w:val="32"/>
        </w:rPr>
        <w:t>。</w:t>
      </w:r>
    </w:p>
    <w:p>
      <w:pPr>
        <w:spacing w:line="576" w:lineRule="exact"/>
        <w:ind w:firstLine="642" w:firstLineChars="200"/>
        <w:outlineLvl w:val="2"/>
        <w:rPr>
          <w:rFonts w:ascii="仿宋" w:hAnsi="仿宋" w:eastAsia="仿宋"/>
          <w:color w:val="FF0000"/>
          <w:sz w:val="32"/>
          <w:szCs w:val="32"/>
        </w:rPr>
      </w:pPr>
      <w:bookmarkStart w:id="109" w:name="_Toc15377213"/>
      <w:bookmarkStart w:id="110" w:name="_Toc15377444"/>
      <w:bookmarkStart w:id="111" w:name="_Toc15378460"/>
      <w:r>
        <w:rPr>
          <w:rFonts w:hint="eastAsia" w:ascii="仿宋" w:hAnsi="仿宋" w:eastAsia="仿宋"/>
          <w:b/>
          <w:sz w:val="32"/>
          <w:szCs w:val="32"/>
        </w:rPr>
        <w:t>2021年一般公共预算支出决算数为505.5万元</w:t>
      </w:r>
      <w:r>
        <w:rPr>
          <w:rFonts w:hint="eastAsia" w:ascii="仿宋" w:hAnsi="仿宋" w:eastAsia="仿宋"/>
          <w:sz w:val="32"/>
          <w:szCs w:val="32"/>
        </w:rPr>
        <w:t>（因系统四舍五入原因各项合计为505.49万元），</w:t>
      </w:r>
      <w:r>
        <w:rPr>
          <w:rStyle w:val="14"/>
          <w:rFonts w:hint="eastAsia" w:ascii="仿宋" w:hAnsi="仿宋" w:eastAsia="仿宋"/>
          <w:bCs/>
          <w:sz w:val="32"/>
          <w:szCs w:val="32"/>
        </w:rPr>
        <w:t>完成预算99.51</w:t>
      </w:r>
      <w:r>
        <w:rPr>
          <w:rStyle w:val="14"/>
          <w:rFonts w:ascii="仿宋" w:hAnsi="仿宋" w:eastAsia="仿宋"/>
          <w:bCs/>
          <w:sz w:val="32"/>
          <w:szCs w:val="32"/>
        </w:rPr>
        <w:t>%</w:t>
      </w:r>
      <w:r>
        <w:rPr>
          <w:rStyle w:val="14"/>
          <w:rFonts w:hint="eastAsia" w:ascii="仿宋" w:hAnsi="仿宋" w:eastAsia="仿宋"/>
          <w:bCs/>
          <w:sz w:val="32"/>
          <w:szCs w:val="32"/>
        </w:rPr>
        <w:t>。其中：</w:t>
      </w:r>
      <w:bookmarkEnd w:id="109"/>
      <w:bookmarkEnd w:id="110"/>
      <w:bookmarkEnd w:id="111"/>
    </w:p>
    <w:p>
      <w:pPr>
        <w:spacing w:line="576" w:lineRule="exact"/>
        <w:ind w:firstLine="642" w:firstLineChars="200"/>
        <w:rPr>
          <w:rFonts w:ascii="仿宋" w:hAnsi="仿宋" w:eastAsia="仿宋"/>
          <w:b/>
          <w:sz w:val="32"/>
          <w:szCs w:val="32"/>
        </w:rPr>
      </w:pPr>
      <w:r>
        <w:rPr>
          <w:rStyle w:val="14"/>
          <w:rFonts w:ascii="仿宋" w:hAnsi="仿宋" w:eastAsia="仿宋"/>
          <w:bCs/>
          <w:color w:val="000000"/>
          <w:sz w:val="32"/>
          <w:szCs w:val="32"/>
        </w:rPr>
        <w:t>1.</w:t>
      </w:r>
      <w:r>
        <w:rPr>
          <w:rStyle w:val="14"/>
          <w:rFonts w:hint="eastAsia" w:ascii="仿宋" w:hAnsi="仿宋" w:eastAsia="仿宋"/>
          <w:bCs/>
          <w:color w:val="000000"/>
          <w:sz w:val="32"/>
          <w:szCs w:val="32"/>
        </w:rPr>
        <w:t>社会保障和就业支出（类）行政事业单位养老支出（款）机关事业单位基本养老保险缴费支出（项）</w:t>
      </w:r>
      <w:r>
        <w:rPr>
          <w:rStyle w:val="14"/>
          <w:rFonts w:ascii="仿宋" w:hAnsi="仿宋" w:eastAsia="仿宋"/>
          <w:bCs/>
          <w:color w:val="000000"/>
          <w:sz w:val="32"/>
          <w:szCs w:val="32"/>
        </w:rPr>
        <w:t>:</w:t>
      </w:r>
      <w:r>
        <w:rPr>
          <w:rStyle w:val="14"/>
          <w:rFonts w:hint="eastAsia" w:ascii="仿宋" w:hAnsi="仿宋" w:eastAsia="仿宋"/>
          <w:b w:val="0"/>
          <w:bCs/>
          <w:color w:val="000000"/>
          <w:sz w:val="32"/>
          <w:szCs w:val="32"/>
        </w:rPr>
        <w:t>支出决算为38.24万元，完成预算100</w:t>
      </w:r>
      <w:r>
        <w:rPr>
          <w:rStyle w:val="14"/>
          <w:rFonts w:ascii="仿宋" w:hAnsi="仿宋" w:eastAsia="仿宋"/>
          <w:b w:val="0"/>
          <w:bCs/>
          <w:color w:val="000000"/>
          <w:sz w:val="32"/>
          <w:szCs w:val="32"/>
        </w:rPr>
        <w:t>%</w:t>
      </w:r>
      <w:r>
        <w:rPr>
          <w:rStyle w:val="14"/>
          <w:rFonts w:hint="eastAsia" w:ascii="仿宋" w:hAnsi="仿宋" w:eastAsia="仿宋"/>
          <w:b w:val="0"/>
          <w:bCs/>
          <w:sz w:val="32"/>
          <w:szCs w:val="32"/>
        </w:rPr>
        <w:t>。</w:t>
      </w:r>
    </w:p>
    <w:p>
      <w:pPr>
        <w:spacing w:line="576" w:lineRule="exact"/>
        <w:ind w:firstLine="642" w:firstLineChars="200"/>
        <w:rPr>
          <w:rFonts w:ascii="仿宋" w:hAnsi="仿宋" w:eastAsia="仿宋"/>
          <w:b/>
          <w:sz w:val="32"/>
          <w:szCs w:val="32"/>
        </w:rPr>
      </w:pPr>
      <w:r>
        <w:rPr>
          <w:rStyle w:val="14"/>
          <w:rFonts w:ascii="仿宋" w:hAnsi="仿宋" w:eastAsia="仿宋"/>
          <w:bCs/>
          <w:sz w:val="32"/>
          <w:szCs w:val="32"/>
        </w:rPr>
        <w:t>2.</w:t>
      </w:r>
      <w:r>
        <w:rPr>
          <w:rStyle w:val="14"/>
          <w:rFonts w:hint="eastAsia" w:ascii="仿宋" w:hAnsi="仿宋" w:eastAsia="仿宋"/>
          <w:bCs/>
          <w:color w:val="000000"/>
          <w:sz w:val="32"/>
          <w:szCs w:val="32"/>
        </w:rPr>
        <w:t>医疗卫生与计划生育（类）行政事业单位医疗（款）事业单位医疗（项）</w:t>
      </w:r>
      <w:r>
        <w:rPr>
          <w:rStyle w:val="14"/>
          <w:rFonts w:ascii="仿宋" w:hAnsi="仿宋" w:eastAsia="仿宋"/>
          <w:bCs/>
          <w:sz w:val="32"/>
          <w:szCs w:val="32"/>
        </w:rPr>
        <w:t>:</w:t>
      </w:r>
      <w:r>
        <w:rPr>
          <w:rStyle w:val="14"/>
          <w:rFonts w:hint="eastAsia" w:ascii="仿宋" w:hAnsi="仿宋" w:eastAsia="仿宋"/>
          <w:b w:val="0"/>
          <w:bCs/>
          <w:sz w:val="32"/>
          <w:szCs w:val="32"/>
        </w:rPr>
        <w:t>支出决算为21.57万元，完成预算100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spacing w:line="576" w:lineRule="exact"/>
        <w:ind w:firstLine="642" w:firstLineChars="200"/>
        <w:rPr>
          <w:rFonts w:ascii="仿宋" w:hAnsi="仿宋" w:eastAsia="仿宋"/>
          <w:b/>
          <w:sz w:val="32"/>
          <w:szCs w:val="32"/>
        </w:rPr>
      </w:pPr>
      <w:r>
        <w:rPr>
          <w:rStyle w:val="14"/>
          <w:rFonts w:ascii="仿宋" w:hAnsi="仿宋" w:eastAsia="仿宋"/>
          <w:bCs/>
          <w:sz w:val="32"/>
          <w:szCs w:val="32"/>
        </w:rPr>
        <w:t>3.</w:t>
      </w:r>
      <w:r>
        <w:rPr>
          <w:rStyle w:val="14"/>
          <w:rFonts w:hint="eastAsia" w:ascii="仿宋" w:hAnsi="仿宋" w:eastAsia="仿宋"/>
          <w:bCs/>
          <w:color w:val="000000"/>
          <w:sz w:val="32"/>
          <w:szCs w:val="32"/>
        </w:rPr>
        <w:t>城乡社区（类）城乡社区规划与管理（款）城乡社区</w:t>
      </w:r>
      <w:r>
        <w:rPr>
          <w:rStyle w:val="14"/>
          <w:rFonts w:hint="eastAsia" w:ascii="仿宋" w:hAnsi="仿宋" w:eastAsia="仿宋"/>
          <w:bCs/>
          <w:sz w:val="32"/>
          <w:szCs w:val="32"/>
        </w:rPr>
        <w:t>规划与管理（项）</w:t>
      </w:r>
      <w:r>
        <w:rPr>
          <w:rStyle w:val="14"/>
          <w:rFonts w:ascii="仿宋" w:hAnsi="仿宋" w:eastAsia="仿宋"/>
          <w:bCs/>
          <w:sz w:val="32"/>
          <w:szCs w:val="32"/>
        </w:rPr>
        <w:t>:</w:t>
      </w:r>
      <w:r>
        <w:rPr>
          <w:rStyle w:val="14"/>
          <w:rFonts w:hint="eastAsia" w:ascii="仿宋" w:hAnsi="仿宋" w:eastAsia="仿宋"/>
          <w:b w:val="0"/>
          <w:bCs/>
          <w:sz w:val="32"/>
          <w:szCs w:val="32"/>
        </w:rPr>
        <w:t>支出决算为399.84万元，完成预算99.37</w:t>
      </w:r>
      <w:r>
        <w:rPr>
          <w:rStyle w:val="14"/>
          <w:rFonts w:ascii="仿宋" w:hAnsi="仿宋" w:eastAsia="仿宋"/>
          <w:b w:val="0"/>
          <w:bCs/>
          <w:sz w:val="32"/>
          <w:szCs w:val="32"/>
        </w:rPr>
        <w:t>%</w:t>
      </w:r>
      <w:r>
        <w:rPr>
          <w:rStyle w:val="14"/>
          <w:rFonts w:hint="eastAsia" w:ascii="仿宋" w:hAnsi="仿宋" w:eastAsia="仿宋"/>
          <w:b w:val="0"/>
          <w:bCs/>
          <w:sz w:val="32"/>
          <w:szCs w:val="32"/>
        </w:rPr>
        <w:t>，决算数小于预算数的主要原因是剩余部分采购指标及未支付完毕的部分基本支出。</w:t>
      </w:r>
    </w:p>
    <w:p>
      <w:pPr>
        <w:spacing w:line="576" w:lineRule="exact"/>
        <w:ind w:firstLine="642" w:firstLineChars="200"/>
        <w:rPr>
          <w:rFonts w:ascii="仿宋" w:hAnsi="仿宋" w:eastAsia="仿宋"/>
          <w:b/>
          <w:sz w:val="32"/>
          <w:szCs w:val="32"/>
        </w:rPr>
      </w:pPr>
      <w:r>
        <w:rPr>
          <w:rStyle w:val="14"/>
          <w:rFonts w:ascii="仿宋" w:hAnsi="仿宋" w:eastAsia="仿宋"/>
          <w:bCs/>
          <w:sz w:val="32"/>
          <w:szCs w:val="32"/>
        </w:rPr>
        <w:t>4.</w:t>
      </w:r>
      <w:r>
        <w:rPr>
          <w:rStyle w:val="14"/>
          <w:rFonts w:hint="eastAsia" w:ascii="仿宋" w:hAnsi="仿宋" w:eastAsia="仿宋" w:cs="仿宋"/>
          <w:bCs/>
          <w:color w:val="000000"/>
          <w:sz w:val="32"/>
          <w:szCs w:val="32"/>
        </w:rPr>
        <w:t>住房保障（类）住房改革支出（款）住房公积金（项）</w:t>
      </w:r>
      <w:r>
        <w:rPr>
          <w:rStyle w:val="14"/>
          <w:rFonts w:ascii="仿宋" w:hAnsi="仿宋" w:eastAsia="仿宋"/>
          <w:bCs/>
          <w:sz w:val="32"/>
          <w:szCs w:val="32"/>
        </w:rPr>
        <w:t>:</w:t>
      </w:r>
      <w:r>
        <w:rPr>
          <w:rStyle w:val="14"/>
          <w:rFonts w:hint="eastAsia" w:ascii="仿宋" w:hAnsi="仿宋" w:eastAsia="仿宋"/>
          <w:b w:val="0"/>
          <w:bCs/>
          <w:sz w:val="32"/>
          <w:szCs w:val="32"/>
        </w:rPr>
        <w:t>支出决算为45.84万元，完成预算100</w:t>
      </w:r>
      <w:r>
        <w:rPr>
          <w:rStyle w:val="14"/>
          <w:rFonts w:ascii="仿宋" w:hAnsi="仿宋" w:eastAsia="仿宋"/>
          <w:b w:val="0"/>
          <w:bCs/>
          <w:sz w:val="32"/>
          <w:szCs w:val="32"/>
        </w:rPr>
        <w:t>%</w:t>
      </w:r>
      <w:r>
        <w:rPr>
          <w:rStyle w:val="14"/>
          <w:rFonts w:hint="eastAsia" w:ascii="仿宋" w:hAnsi="仿宋" w:eastAsia="仿宋"/>
          <w:b w:val="0"/>
          <w:bCs/>
          <w:sz w:val="32"/>
          <w:szCs w:val="32"/>
        </w:rPr>
        <w:t>。</w:t>
      </w:r>
    </w:p>
    <w:p>
      <w:pPr>
        <w:tabs>
          <w:tab w:val="right" w:pos="8306"/>
        </w:tabs>
        <w:spacing w:line="576" w:lineRule="exact"/>
        <w:ind w:firstLine="640"/>
        <w:outlineLvl w:val="1"/>
        <w:rPr>
          <w:rStyle w:val="27"/>
        </w:rPr>
      </w:pPr>
      <w:bookmarkStart w:id="112" w:name="_Toc6506"/>
      <w:bookmarkStart w:id="113" w:name="_Toc26748"/>
      <w:bookmarkStart w:id="114" w:name="_Toc5353"/>
      <w:bookmarkStart w:id="115" w:name="_Toc15396608"/>
      <w:bookmarkStart w:id="116" w:name="_Toc1463"/>
      <w:bookmarkStart w:id="117" w:name="_Toc10609"/>
      <w:bookmarkStart w:id="118"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7"/>
          <w:rFonts w:hint="eastAsia" w:ascii="黑体" w:hAnsi="黑体" w:eastAsia="黑体"/>
          <w:b w:val="0"/>
        </w:rPr>
        <w:t>般公共预算财政拨款基本支出决算情况说明</w:t>
      </w:r>
      <w:bookmarkEnd w:id="112"/>
      <w:bookmarkEnd w:id="113"/>
      <w:bookmarkEnd w:id="114"/>
      <w:bookmarkEnd w:id="115"/>
      <w:bookmarkEnd w:id="116"/>
      <w:bookmarkEnd w:id="117"/>
      <w:bookmarkEnd w:id="118"/>
      <w:r>
        <w:rPr>
          <w:rStyle w:val="27"/>
          <w:rFonts w:ascii="黑体" w:hAnsi="黑体" w:eastAsia="黑体"/>
          <w:b w:val="0"/>
        </w:rPr>
        <w:tab/>
      </w:r>
    </w:p>
    <w:p>
      <w:pPr>
        <w:spacing w:line="576"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21年一般公共预算财政拨款基本支出505.50万元，其中：</w:t>
      </w:r>
    </w:p>
    <w:p>
      <w:pPr>
        <w:spacing w:line="576" w:lineRule="exact"/>
        <w:ind w:firstLine="645"/>
        <w:rPr>
          <w:rFonts w:ascii="仿宋" w:hAnsi="仿宋" w:eastAsia="仿宋"/>
          <w:sz w:val="32"/>
          <w:szCs w:val="32"/>
        </w:rPr>
      </w:pPr>
      <w:r>
        <w:rPr>
          <w:rFonts w:hint="eastAsia" w:ascii="仿宋" w:hAnsi="仿宋" w:eastAsia="仿宋"/>
          <w:sz w:val="32"/>
          <w:szCs w:val="32"/>
        </w:rPr>
        <w:t>人员经费418.19万元，主要包括：基本工资、津贴补贴、奖金、绩效工资、机关事业单位基本养老保险缴费、职业年金缴费、职工基本医疗保险缴费、其他工资福利支出、奖励金、生活补助、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87.31万元，主要包括：办公费、印刷费、手续费、水费、电费、邮电费、物业管理费、差旅费、维修（护）费、、培训费、公务接待费、劳务费、工会经费、福利费、其他交通费、其他商品和服务支出、办公设备购置等。</w:t>
      </w:r>
    </w:p>
    <w:p>
      <w:pPr>
        <w:spacing w:line="576" w:lineRule="exact"/>
        <w:ind w:firstLine="640"/>
        <w:outlineLvl w:val="1"/>
        <w:rPr>
          <w:rStyle w:val="27"/>
          <w:rFonts w:ascii="黑体" w:hAnsi="黑体" w:eastAsia="黑体"/>
          <w:b w:val="0"/>
        </w:rPr>
      </w:pPr>
      <w:bookmarkStart w:id="119" w:name="_Toc18483"/>
      <w:bookmarkStart w:id="120" w:name="_Toc20254"/>
      <w:bookmarkStart w:id="121" w:name="_Toc15396609"/>
      <w:bookmarkStart w:id="122" w:name="_Toc11428"/>
      <w:bookmarkStart w:id="123" w:name="_Toc17107"/>
      <w:bookmarkStart w:id="124" w:name="_Toc15377215"/>
      <w:bookmarkStart w:id="125" w:name="_Toc8681"/>
      <w:r>
        <w:rPr>
          <w:rFonts w:hint="eastAsia" w:ascii="黑体" w:eastAsia="黑体"/>
          <w:sz w:val="32"/>
          <w:szCs w:val="32"/>
        </w:rPr>
        <w:t>七、</w:t>
      </w:r>
      <w:r>
        <w:rPr>
          <w:rStyle w:val="27"/>
          <w:rFonts w:hint="eastAsia" w:ascii="黑体" w:hAnsi="黑体" w:eastAsia="黑体"/>
        </w:rPr>
        <w:t>“</w:t>
      </w:r>
      <w:r>
        <w:rPr>
          <w:rStyle w:val="27"/>
          <w:rFonts w:hint="eastAsia" w:ascii="黑体" w:hAnsi="黑体" w:eastAsia="黑体"/>
          <w:b w:val="0"/>
        </w:rPr>
        <w:t>三公”经费财政拨款支出决算情况说明</w:t>
      </w:r>
      <w:bookmarkEnd w:id="119"/>
      <w:bookmarkEnd w:id="120"/>
      <w:bookmarkEnd w:id="121"/>
      <w:bookmarkEnd w:id="122"/>
      <w:bookmarkEnd w:id="123"/>
      <w:bookmarkEnd w:id="124"/>
      <w:bookmarkEnd w:id="125"/>
    </w:p>
    <w:p>
      <w:pPr>
        <w:spacing w:line="576" w:lineRule="exact"/>
        <w:ind w:firstLine="640"/>
        <w:outlineLvl w:val="2"/>
        <w:rPr>
          <w:rFonts w:ascii="仿宋" w:hAnsi="仿宋" w:eastAsia="仿宋"/>
          <w:b/>
          <w:sz w:val="32"/>
          <w:szCs w:val="32"/>
        </w:rPr>
      </w:pPr>
      <w:bookmarkStart w:id="126" w:name="_Toc15377216"/>
      <w:r>
        <w:rPr>
          <w:rFonts w:hint="eastAsia" w:ascii="仿宋" w:hAnsi="仿宋" w:eastAsia="仿宋"/>
          <w:b/>
          <w:sz w:val="32"/>
          <w:szCs w:val="32"/>
        </w:rPr>
        <w:t>（一）“三公”经费财政拨款支出决算总体情况说明</w:t>
      </w:r>
      <w:bookmarkEnd w:id="126"/>
    </w:p>
    <w:p>
      <w:pPr>
        <w:spacing w:line="576"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21年“三公”经费财政拨款支出决算为0.22万元，完成预算10</w:t>
      </w:r>
      <w:r>
        <w:rPr>
          <w:rFonts w:ascii="仿宋" w:hAnsi="仿宋" w:eastAsia="仿宋"/>
          <w:sz w:val="32"/>
          <w:szCs w:val="32"/>
        </w:rPr>
        <w:t>%</w:t>
      </w:r>
      <w:r>
        <w:rPr>
          <w:rFonts w:hint="eastAsia" w:ascii="仿宋" w:hAnsi="仿宋" w:eastAsia="仿宋"/>
          <w:sz w:val="32"/>
          <w:szCs w:val="32"/>
        </w:rPr>
        <w:t>，决算数小于预算数的主要原因是</w:t>
      </w:r>
      <w:r>
        <w:rPr>
          <w:rFonts w:hint="eastAsia" w:ascii="仿宋" w:hAnsi="仿宋" w:eastAsia="仿宋"/>
          <w:color w:val="000000"/>
          <w:sz w:val="32"/>
          <w:szCs w:val="32"/>
        </w:rPr>
        <w:t>按照市委市政府要求厉行节约压减经费支出，本年度只发生两次公务接待支出。</w:t>
      </w:r>
    </w:p>
    <w:p>
      <w:pPr>
        <w:spacing w:line="576" w:lineRule="exact"/>
        <w:ind w:firstLine="640"/>
        <w:outlineLvl w:val="2"/>
        <w:rPr>
          <w:rFonts w:ascii="仿宋" w:hAnsi="仿宋" w:eastAsia="仿宋"/>
          <w:b/>
          <w:sz w:val="32"/>
          <w:szCs w:val="32"/>
        </w:rPr>
      </w:pPr>
      <w:bookmarkStart w:id="127" w:name="_Toc15377217"/>
      <w:r>
        <w:rPr>
          <w:rFonts w:hint="eastAsia" w:ascii="仿宋" w:hAnsi="仿宋" w:eastAsia="仿宋"/>
          <w:b/>
          <w:sz w:val="32"/>
          <w:szCs w:val="32"/>
        </w:rPr>
        <w:t>（二）“三公”经费财政拨款支出决算具体情况说明</w:t>
      </w:r>
      <w:bookmarkEnd w:id="127"/>
    </w:p>
    <w:p>
      <w:pPr>
        <w:spacing w:line="576"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21年“三公”经费财政拨款支出决算中，因公出国（境）费支出决算0万元，占0</w:t>
      </w:r>
      <w:r>
        <w:rPr>
          <w:rFonts w:ascii="仿宋" w:hAnsi="仿宋" w:eastAsia="仿宋"/>
          <w:sz w:val="32"/>
          <w:szCs w:val="32"/>
        </w:rPr>
        <w:t>%</w:t>
      </w:r>
      <w:r>
        <w:rPr>
          <w:rFonts w:hint="eastAsia" w:ascii="仿宋" w:hAnsi="仿宋" w:eastAsia="仿宋"/>
          <w:sz w:val="32"/>
          <w:szCs w:val="32"/>
        </w:rPr>
        <w:t>；公务用车购置及运行维护费支出决算0万元，占0</w:t>
      </w:r>
      <w:r>
        <w:rPr>
          <w:rFonts w:ascii="仿宋" w:hAnsi="仿宋" w:eastAsia="仿宋"/>
          <w:sz w:val="32"/>
          <w:szCs w:val="32"/>
        </w:rPr>
        <w:t>%</w:t>
      </w:r>
      <w:r>
        <w:rPr>
          <w:rFonts w:hint="eastAsia" w:ascii="仿宋" w:hAnsi="仿宋" w:eastAsia="仿宋"/>
          <w:sz w:val="32"/>
          <w:szCs w:val="32"/>
        </w:rPr>
        <w:t>；公务接待费支出决算0.22万元，占100</w:t>
      </w:r>
      <w:r>
        <w:rPr>
          <w:rFonts w:ascii="仿宋" w:hAnsi="仿宋" w:eastAsia="仿宋"/>
          <w:sz w:val="32"/>
          <w:szCs w:val="32"/>
        </w:rPr>
        <w:t>%</w:t>
      </w:r>
      <w:r>
        <w:rPr>
          <w:rFonts w:hint="eastAsia" w:ascii="仿宋" w:hAnsi="仿宋" w:eastAsia="仿宋"/>
          <w:sz w:val="32"/>
          <w:szCs w:val="32"/>
        </w:rPr>
        <w:t>。具体情况如下：</w:t>
      </w:r>
    </w:p>
    <w:p>
      <w:pPr>
        <w:spacing w:line="576" w:lineRule="exact"/>
        <w:ind w:firstLine="640"/>
        <w:rPr>
          <w:rFonts w:ascii="仿宋" w:hAnsi="仿宋" w:eastAsia="仿宋"/>
          <w:sz w:val="32"/>
          <w:szCs w:val="32"/>
        </w:rPr>
      </w:pPr>
    </w:p>
    <w:p>
      <w:pPr>
        <w:pStyle w:val="2"/>
        <w:spacing w:before="93"/>
        <w:jc w:val="center"/>
        <w:rPr>
          <w:rFonts w:ascii="仿宋" w:hAnsi="仿宋" w:eastAsia="仿宋"/>
          <w:sz w:val="32"/>
          <w:szCs w:val="32"/>
        </w:rPr>
      </w:pPr>
      <w:r>
        <w:pict>
          <v:shape id="_x0000_i1030" o:spt="75" type="#_x0000_t75" style="height:217.35pt;width:361.35pt;" filled="f" o:preferrelative="t" stroked="f" coordsize="21600,21600">
            <v:path/>
            <v:fill on="f" focussize="0,0"/>
            <v:stroke on="f" joinstyle="miter"/>
            <v:imagedata r:id="rId15" o:title=""/>
            <o:lock v:ext="edit" aspectratio="t"/>
            <w10:wrap type="none"/>
            <w10:anchorlock/>
          </v:shape>
        </w:pict>
      </w:r>
    </w:p>
    <w:p>
      <w:pPr>
        <w:spacing w:line="576" w:lineRule="exact"/>
        <w:jc w:val="center"/>
        <w:rPr>
          <w:rFonts w:ascii="仿宋" w:hAnsi="仿宋" w:eastAsia="仿宋"/>
          <w:sz w:val="32"/>
          <w:szCs w:val="32"/>
        </w:rPr>
      </w:pPr>
      <w:r>
        <w:rPr>
          <w:rFonts w:hint="eastAsia" w:ascii="仿宋" w:hAnsi="仿宋" w:eastAsia="仿宋"/>
          <w:sz w:val="32"/>
          <w:szCs w:val="32"/>
        </w:rPr>
        <w:t>图7：“三公”经费财政拨款支出结构</w:t>
      </w:r>
    </w:p>
    <w:p>
      <w:pPr>
        <w:spacing w:line="576" w:lineRule="exact"/>
        <w:ind w:firstLine="642" w:firstLineChars="200"/>
        <w:rPr>
          <w:rStyle w:val="14"/>
          <w:rFonts w:ascii="仿宋" w:hAnsi="仿宋" w:eastAsia="仿宋" w:cs="仿宋"/>
          <w:b w:val="0"/>
          <w:bCs/>
          <w:color w:val="000000"/>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Style w:val="14"/>
          <w:rFonts w:hint="eastAsia" w:ascii="仿宋" w:hAnsi="仿宋" w:eastAsia="仿宋" w:cs="仿宋"/>
          <w:b w:val="0"/>
          <w:bCs/>
          <w:color w:val="000000"/>
          <w:sz w:val="32"/>
          <w:szCs w:val="32"/>
        </w:rPr>
        <w:t>年初未安排预算。</w:t>
      </w:r>
    </w:p>
    <w:p>
      <w:pPr>
        <w:spacing w:line="576"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Style w:val="14"/>
          <w:rFonts w:hint="eastAsia" w:ascii="仿宋" w:hAnsi="仿宋" w:eastAsia="仿宋" w:cs="仿宋"/>
          <w:b w:val="0"/>
          <w:bCs/>
          <w:color w:val="000000"/>
          <w:sz w:val="32"/>
          <w:szCs w:val="32"/>
        </w:rPr>
        <w:t>年初未安排预算。</w:t>
      </w:r>
    </w:p>
    <w:p>
      <w:pPr>
        <w:spacing w:line="576"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0万元。全年按规定更新购置公务用车0辆。截至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w:t>
      </w:r>
    </w:p>
    <w:p>
      <w:pPr>
        <w:spacing w:line="576"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576"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rPr>
        <w:t>0.22万元，完成预算10</w:t>
      </w:r>
      <w:r>
        <w:rPr>
          <w:rFonts w:ascii="仿宋_GB2312" w:eastAsia="仿宋_GB2312"/>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20年增加0.09万元，增长69.2</w:t>
      </w:r>
      <w:r>
        <w:rPr>
          <w:rFonts w:ascii="仿宋_GB2312" w:eastAsia="仿宋_GB2312"/>
          <w:sz w:val="32"/>
          <w:szCs w:val="32"/>
        </w:rPr>
        <w:t>%</w:t>
      </w:r>
      <w:r>
        <w:rPr>
          <w:rFonts w:hint="eastAsia" w:ascii="仿宋_GB2312" w:eastAsia="仿宋_GB2312"/>
          <w:sz w:val="32"/>
          <w:szCs w:val="32"/>
        </w:rPr>
        <w:t>。主要原因是因工作需要产生2次公务接待活动。其中：</w:t>
      </w:r>
    </w:p>
    <w:p>
      <w:pPr>
        <w:spacing w:line="576"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rPr>
        <w:t>0.22</w:t>
      </w:r>
      <w:r>
        <w:rPr>
          <w:rFonts w:hint="eastAsia" w:ascii="仿宋_GB2312" w:eastAsia="仿宋_GB2312"/>
          <w:sz w:val="32"/>
          <w:szCs w:val="32"/>
        </w:rPr>
        <w:t>万元，</w:t>
      </w:r>
      <w:r>
        <w:rPr>
          <w:rFonts w:hint="eastAsia" w:ascii="仿宋" w:hAnsi="仿宋" w:eastAsia="仿宋" w:cs="仿宋"/>
          <w:sz w:val="32"/>
          <w:szCs w:val="32"/>
        </w:rPr>
        <w:t>主要用于执行公务、开展业务活动开支的用餐费。国内公务接待2批次，</w:t>
      </w:r>
      <w:r>
        <w:rPr>
          <w:rFonts w:hint="eastAsia" w:ascii="仿宋_GB2312" w:eastAsia="仿宋_GB2312"/>
          <w:sz w:val="32"/>
          <w:szCs w:val="32"/>
        </w:rPr>
        <w:t>14人次（不包括陪同人员），共计支出0.22万元，具体内容包括：接待省住建厅来广现场考察广元历史文化名城保护规划实施情况支出0.11万元；接待省厅举行科技下乡万里行广元专家服务团支出0.11万元。</w:t>
      </w:r>
    </w:p>
    <w:p>
      <w:pPr>
        <w:spacing w:line="576" w:lineRule="exact"/>
        <w:ind w:firstLine="642" w:firstLineChars="200"/>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w:t>
      </w:r>
    </w:p>
    <w:p>
      <w:pPr>
        <w:spacing w:line="576" w:lineRule="exact"/>
        <w:ind w:firstLine="640"/>
        <w:outlineLvl w:val="1"/>
        <w:rPr>
          <w:rStyle w:val="27"/>
          <w:rFonts w:ascii="黑体" w:hAnsi="黑体" w:eastAsia="黑体"/>
        </w:rPr>
      </w:pPr>
      <w:bookmarkStart w:id="128" w:name="_Toc17733"/>
      <w:bookmarkStart w:id="129" w:name="_Toc23592"/>
      <w:bookmarkStart w:id="130" w:name="_Toc25935"/>
      <w:bookmarkStart w:id="131" w:name="_Toc15377218"/>
      <w:bookmarkStart w:id="132" w:name="_Toc10120"/>
      <w:bookmarkStart w:id="133" w:name="_Toc15396610"/>
      <w:bookmarkStart w:id="134" w:name="_Toc18149"/>
      <w:r>
        <w:rPr>
          <w:rFonts w:hint="eastAsia" w:ascii="黑体" w:eastAsia="黑体"/>
          <w:sz w:val="32"/>
          <w:szCs w:val="32"/>
        </w:rPr>
        <w:t>八、</w:t>
      </w:r>
      <w:r>
        <w:rPr>
          <w:rStyle w:val="27"/>
          <w:rFonts w:hint="eastAsia" w:ascii="黑体" w:hAnsi="黑体" w:eastAsia="黑体"/>
          <w:b w:val="0"/>
        </w:rPr>
        <w:t>政府性基金预算支出决算情况说明</w:t>
      </w:r>
      <w:bookmarkEnd w:id="128"/>
      <w:bookmarkEnd w:id="129"/>
      <w:bookmarkEnd w:id="130"/>
      <w:bookmarkEnd w:id="131"/>
      <w:bookmarkEnd w:id="132"/>
      <w:bookmarkEnd w:id="133"/>
      <w:bookmarkEnd w:id="134"/>
    </w:p>
    <w:p>
      <w:pPr>
        <w:spacing w:line="576" w:lineRule="exact"/>
        <w:ind w:firstLine="640"/>
      </w:pPr>
      <w:r>
        <w:rPr>
          <w:rFonts w:ascii="仿宋_GB2312" w:eastAsia="仿宋_GB2312"/>
          <w:sz w:val="32"/>
          <w:szCs w:val="32"/>
        </w:rPr>
        <w:t>20</w:t>
      </w:r>
      <w:r>
        <w:rPr>
          <w:rFonts w:hint="eastAsia" w:ascii="仿宋_GB2312" w:eastAsia="仿宋_GB2312"/>
          <w:sz w:val="32"/>
          <w:szCs w:val="32"/>
        </w:rPr>
        <w:t>21年政府性基金预算财政拨款支出15.6万元，</w:t>
      </w:r>
      <w:r>
        <w:rPr>
          <w:rFonts w:hint="eastAsia" w:ascii="仿宋" w:hAnsi="仿宋" w:eastAsia="仿宋"/>
          <w:color w:val="000000"/>
          <w:sz w:val="32"/>
          <w:szCs w:val="32"/>
        </w:rPr>
        <w:t>2021年本单位未在政府性基金预算拨款安排“三公经费”支出。</w:t>
      </w:r>
    </w:p>
    <w:p>
      <w:pPr>
        <w:numPr>
          <w:ilvl w:val="0"/>
          <w:numId w:val="1"/>
        </w:numPr>
        <w:spacing w:line="576" w:lineRule="exact"/>
        <w:ind w:firstLine="640"/>
        <w:outlineLvl w:val="1"/>
        <w:rPr>
          <w:rStyle w:val="27"/>
          <w:rFonts w:ascii="黑体" w:hAnsi="黑体" w:eastAsia="黑体"/>
          <w:b w:val="0"/>
        </w:rPr>
      </w:pPr>
      <w:bookmarkStart w:id="135" w:name="_Toc599"/>
      <w:bookmarkStart w:id="136" w:name="_Toc2494"/>
      <w:bookmarkStart w:id="137" w:name="_Toc15396611"/>
      <w:bookmarkStart w:id="138" w:name="_Toc5123"/>
      <w:bookmarkStart w:id="139" w:name="_Toc29974"/>
      <w:bookmarkStart w:id="140" w:name="_Toc15377219"/>
      <w:bookmarkStart w:id="141" w:name="_Toc8198"/>
      <w:r>
        <w:rPr>
          <w:rStyle w:val="27"/>
          <w:rFonts w:hint="eastAsia" w:ascii="黑体" w:hAnsi="黑体" w:eastAsia="黑体"/>
          <w:b w:val="0"/>
        </w:rPr>
        <w:t>国有资本经营预算支出决算情况说明</w:t>
      </w:r>
      <w:bookmarkEnd w:id="135"/>
      <w:bookmarkEnd w:id="136"/>
      <w:bookmarkEnd w:id="137"/>
      <w:bookmarkEnd w:id="138"/>
      <w:bookmarkEnd w:id="139"/>
      <w:bookmarkEnd w:id="140"/>
      <w:bookmarkEnd w:id="141"/>
    </w:p>
    <w:p>
      <w:pPr>
        <w:spacing w:line="576" w:lineRule="exact"/>
        <w:ind w:firstLine="640"/>
      </w:pPr>
      <w:r>
        <w:rPr>
          <w:rFonts w:ascii="仿宋_GB2312" w:eastAsia="仿宋_GB2312"/>
          <w:sz w:val="32"/>
          <w:szCs w:val="32"/>
        </w:rPr>
        <w:t>20</w:t>
      </w:r>
      <w:r>
        <w:rPr>
          <w:rFonts w:hint="eastAsia" w:ascii="仿宋_GB2312" w:eastAsia="仿宋_GB2312"/>
          <w:sz w:val="32"/>
          <w:szCs w:val="32"/>
        </w:rPr>
        <w:t>21年国有资本经营预算财政拨款支出0万元。</w:t>
      </w:r>
      <w:bookmarkStart w:id="142" w:name="_Toc15377221"/>
      <w:bookmarkStart w:id="143" w:name="_Toc15396612"/>
    </w:p>
    <w:p>
      <w:pPr>
        <w:numPr>
          <w:ilvl w:val="0"/>
          <w:numId w:val="1"/>
        </w:numPr>
        <w:spacing w:line="576" w:lineRule="exact"/>
        <w:ind w:firstLine="640"/>
        <w:outlineLvl w:val="1"/>
        <w:rPr>
          <w:rStyle w:val="27"/>
          <w:rFonts w:ascii="黑体" w:hAnsi="黑体" w:eastAsia="黑体"/>
          <w:b w:val="0"/>
        </w:rPr>
      </w:pPr>
      <w:bookmarkStart w:id="144" w:name="_Toc700"/>
      <w:bookmarkStart w:id="145" w:name="_Toc26278"/>
      <w:bookmarkStart w:id="146" w:name="_Toc15523"/>
      <w:bookmarkStart w:id="147" w:name="_Toc1813"/>
      <w:bookmarkStart w:id="148" w:name="_Toc32070"/>
      <w:r>
        <w:rPr>
          <w:rStyle w:val="27"/>
          <w:rFonts w:hint="eastAsia" w:ascii="黑体" w:hAnsi="黑体" w:eastAsia="黑体"/>
          <w:b w:val="0"/>
        </w:rPr>
        <w:t>预算绩效管理情况</w:t>
      </w:r>
      <w:bookmarkEnd w:id="144"/>
      <w:bookmarkEnd w:id="145"/>
      <w:bookmarkEnd w:id="146"/>
      <w:bookmarkEnd w:id="147"/>
      <w:bookmarkEnd w:id="148"/>
    </w:p>
    <w:p>
      <w:pPr>
        <w:spacing w:line="576" w:lineRule="exact"/>
        <w:ind w:firstLine="640" w:firstLineChars="200"/>
        <w:outlineLvl w:val="1"/>
      </w:pPr>
      <w:bookmarkStart w:id="149" w:name="_Toc11966"/>
      <w:bookmarkStart w:id="150" w:name="_Toc30532"/>
      <w:bookmarkStart w:id="151" w:name="_Toc13001"/>
      <w:bookmarkStart w:id="152" w:name="_Toc25307"/>
      <w:bookmarkStart w:id="153" w:name="_Toc12311"/>
      <w:r>
        <w:rPr>
          <w:rFonts w:hint="eastAsia" w:ascii="仿宋_GB2312" w:hAnsi="仿宋_GB2312" w:eastAsia="仿宋_GB2312" w:cs="仿宋_GB2312"/>
          <w:sz w:val="32"/>
          <w:szCs w:val="32"/>
        </w:rPr>
        <w:t>根据预算绩效管理要求，本部门在2021年度预算编制阶段，组织对“规划编制工作经费”、“专委会规委会工作经费”2个项目开展了预算事前绩效评估，对4个项目编制了绩效目标，预算执行过程中，选取5个项目开展绩效监控，年终执行完毕后，对5个项目开展了绩效自评。同时，本部门对2021年部门整体开展绩效自评，《2021年广元市国土空间规划编制研究中心部门整体绩效评价报告》见附件（第四部分）。</w:t>
      </w:r>
      <w:bookmarkEnd w:id="149"/>
      <w:bookmarkEnd w:id="150"/>
      <w:bookmarkEnd w:id="151"/>
      <w:bookmarkEnd w:id="152"/>
      <w:bookmarkEnd w:id="153"/>
    </w:p>
    <w:p>
      <w:pPr>
        <w:numPr>
          <w:ilvl w:val="0"/>
          <w:numId w:val="1"/>
        </w:numPr>
        <w:spacing w:line="576" w:lineRule="exact"/>
        <w:ind w:firstLine="640"/>
        <w:outlineLvl w:val="1"/>
        <w:rPr>
          <w:rStyle w:val="27"/>
          <w:rFonts w:ascii="黑体" w:hAnsi="黑体" w:eastAsia="黑体"/>
          <w:b w:val="0"/>
        </w:rPr>
      </w:pPr>
      <w:bookmarkStart w:id="154" w:name="_Toc16322"/>
      <w:bookmarkStart w:id="155" w:name="_Toc20162"/>
      <w:bookmarkStart w:id="156" w:name="_Toc17862"/>
      <w:bookmarkStart w:id="157" w:name="_Toc1576"/>
      <w:bookmarkStart w:id="158" w:name="_Toc28465"/>
      <w:r>
        <w:rPr>
          <w:rStyle w:val="27"/>
          <w:rFonts w:hint="eastAsia" w:ascii="黑体" w:hAnsi="黑体" w:eastAsia="黑体"/>
          <w:b w:val="0"/>
        </w:rPr>
        <w:t>其他重要事项的情况说明</w:t>
      </w:r>
      <w:bookmarkEnd w:id="142"/>
      <w:bookmarkEnd w:id="143"/>
      <w:bookmarkEnd w:id="154"/>
      <w:bookmarkEnd w:id="155"/>
      <w:bookmarkEnd w:id="156"/>
      <w:bookmarkEnd w:id="157"/>
      <w:bookmarkEnd w:id="158"/>
    </w:p>
    <w:p>
      <w:pPr>
        <w:spacing w:line="576" w:lineRule="exact"/>
        <w:ind w:firstLine="642" w:firstLineChars="200"/>
        <w:outlineLvl w:val="2"/>
        <w:rPr>
          <w:rFonts w:ascii="仿宋" w:hAnsi="仿宋" w:eastAsia="仿宋"/>
          <w:sz w:val="32"/>
          <w:szCs w:val="32"/>
        </w:rPr>
      </w:pPr>
      <w:bookmarkStart w:id="159" w:name="_Toc15377222"/>
      <w:r>
        <w:rPr>
          <w:rFonts w:hint="eastAsia" w:ascii="仿宋" w:hAnsi="仿宋" w:eastAsia="仿宋"/>
          <w:b/>
          <w:sz w:val="32"/>
          <w:szCs w:val="32"/>
        </w:rPr>
        <w:t>（一）机关运行经费支出情况</w:t>
      </w:r>
      <w:bookmarkEnd w:id="159"/>
    </w:p>
    <w:p>
      <w:pPr>
        <w:autoSpaceDE w:val="0"/>
        <w:autoSpaceDN w:val="0"/>
        <w:adjustRightInd w:val="0"/>
        <w:spacing w:line="576" w:lineRule="exact"/>
        <w:ind w:firstLine="640" w:firstLineChars="200"/>
        <w:jc w:val="left"/>
        <w:outlineLvl w:val="2"/>
        <w:rPr>
          <w:rFonts w:ascii="仿宋" w:hAnsi="仿宋" w:eastAsia="仿宋"/>
          <w:sz w:val="32"/>
          <w:szCs w:val="32"/>
        </w:rPr>
      </w:pPr>
      <w:bookmarkStart w:id="160" w:name="_Toc15377223"/>
      <w:r>
        <w:rPr>
          <w:rFonts w:hint="eastAsia" w:ascii="仿宋" w:hAnsi="仿宋" w:eastAsia="仿宋"/>
          <w:sz w:val="32"/>
          <w:szCs w:val="32"/>
        </w:rPr>
        <w:t xml:space="preserve">2021年未发生机关运行经费支出，与2020年决算数持平。    </w:t>
      </w:r>
    </w:p>
    <w:p>
      <w:pPr>
        <w:autoSpaceDE w:val="0"/>
        <w:autoSpaceDN w:val="0"/>
        <w:adjustRightInd w:val="0"/>
        <w:spacing w:line="576" w:lineRule="exact"/>
        <w:ind w:firstLine="642" w:firstLineChars="200"/>
        <w:jc w:val="left"/>
        <w:outlineLvl w:val="2"/>
        <w:rPr>
          <w:rFonts w:ascii="仿宋" w:hAnsi="仿宋" w:eastAsia="仿宋"/>
          <w:b/>
          <w:sz w:val="32"/>
          <w:szCs w:val="32"/>
        </w:rPr>
      </w:pPr>
      <w:r>
        <w:rPr>
          <w:rFonts w:hint="eastAsia" w:ascii="仿宋" w:hAnsi="仿宋" w:eastAsia="仿宋"/>
          <w:b/>
          <w:sz w:val="32"/>
          <w:szCs w:val="32"/>
        </w:rPr>
        <w:t>（二）政府采购支出情况</w:t>
      </w:r>
      <w:bookmarkEnd w:id="160"/>
    </w:p>
    <w:p>
      <w:pPr>
        <w:spacing w:line="576"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广元市国土空间规划编制研究中心政府采购支出总额15.6万元，其中：政府采购服务支出15.6万元。主要用于“广元历史文化名城保护规划修编”规划设计方案编制采购。授予中小企业合同金额0万元，占政府采购支出总额的0</w:t>
      </w:r>
      <w:r>
        <w:rPr>
          <w:rFonts w:ascii="仿宋_GB2312" w:eastAsia="仿宋_GB2312"/>
          <w:sz w:val="32"/>
          <w:szCs w:val="32"/>
        </w:rPr>
        <w:t>%</w:t>
      </w:r>
      <w:r>
        <w:rPr>
          <w:rFonts w:hint="eastAsia" w:ascii="仿宋_GB2312" w:eastAsia="仿宋_GB2312"/>
          <w:sz w:val="32"/>
          <w:szCs w:val="32"/>
        </w:rPr>
        <w:t>，其中：授予小微企业合同金额0万元，占政府采购支出总额的0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576" w:lineRule="exact"/>
        <w:ind w:firstLine="642" w:firstLineChars="200"/>
        <w:jc w:val="left"/>
        <w:outlineLvl w:val="2"/>
        <w:rPr>
          <w:rFonts w:ascii="仿宋" w:hAnsi="仿宋" w:eastAsia="仿宋"/>
          <w:b/>
          <w:sz w:val="32"/>
          <w:szCs w:val="32"/>
        </w:rPr>
      </w:pPr>
      <w:bookmarkStart w:id="161" w:name="_Toc15377224"/>
      <w:r>
        <w:rPr>
          <w:rFonts w:hint="eastAsia" w:ascii="仿宋" w:hAnsi="仿宋" w:eastAsia="仿宋"/>
          <w:b/>
          <w:sz w:val="32"/>
          <w:szCs w:val="32"/>
        </w:rPr>
        <w:t>（三）国有资产占有使用情况</w:t>
      </w:r>
      <w:bookmarkEnd w:id="161"/>
    </w:p>
    <w:p>
      <w:pPr>
        <w:autoSpaceDE w:val="0"/>
        <w:autoSpaceDN w:val="0"/>
        <w:adjustRightInd w:val="0"/>
        <w:spacing w:line="576"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日，共有车辆0辆。单价</w:t>
      </w:r>
      <w:r>
        <w:rPr>
          <w:rFonts w:ascii="仿宋_GB2312" w:eastAsia="仿宋_GB2312"/>
          <w:sz w:val="32"/>
          <w:szCs w:val="32"/>
        </w:rPr>
        <w:t>50</w:t>
      </w:r>
      <w:r>
        <w:rPr>
          <w:rFonts w:hint="eastAsia" w:ascii="仿宋_GB2312" w:eastAsia="仿宋_GB2312"/>
          <w:sz w:val="32"/>
          <w:szCs w:val="32"/>
        </w:rPr>
        <w:t>万元以上通用设备0台（套），单价</w:t>
      </w:r>
      <w:r>
        <w:rPr>
          <w:rFonts w:ascii="仿宋_GB2312" w:eastAsia="仿宋_GB2312"/>
          <w:sz w:val="32"/>
          <w:szCs w:val="32"/>
        </w:rPr>
        <w:t>100</w:t>
      </w:r>
      <w:r>
        <w:rPr>
          <w:rFonts w:hint="eastAsia" w:ascii="仿宋_GB2312" w:eastAsia="仿宋_GB2312"/>
          <w:sz w:val="32"/>
          <w:szCs w:val="32"/>
        </w:rPr>
        <w:t>万元以上专用设备0台（套）。</w:t>
      </w: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pStyle w:val="2"/>
        <w:spacing w:before="93"/>
        <w:rPr>
          <w:sz w:val="32"/>
          <w:szCs w:val="32"/>
        </w:rPr>
      </w:pPr>
    </w:p>
    <w:p>
      <w:pPr>
        <w:numPr>
          <w:ilvl w:val="0"/>
          <w:numId w:val="2"/>
        </w:numPr>
        <w:spacing w:line="576" w:lineRule="exact"/>
        <w:ind w:left="0" w:firstLine="660" w:firstLineChars="150"/>
        <w:jc w:val="center"/>
        <w:outlineLvl w:val="0"/>
        <w:rPr>
          <w:rStyle w:val="26"/>
          <w:rFonts w:ascii="黑体" w:hAnsi="黑体" w:eastAsia="黑体"/>
          <w:b w:val="0"/>
        </w:rPr>
      </w:pPr>
      <w:bookmarkStart w:id="162" w:name="_Toc24345"/>
      <w:bookmarkStart w:id="163" w:name="_Toc27638"/>
      <w:bookmarkStart w:id="164" w:name="_Toc15377225"/>
      <w:bookmarkStart w:id="165" w:name="_Toc10219"/>
      <w:bookmarkStart w:id="166" w:name="_Toc15396613"/>
      <w:bookmarkStart w:id="167" w:name="_Toc14681"/>
      <w:bookmarkStart w:id="168" w:name="_Toc23390"/>
      <w:bookmarkStart w:id="169" w:name="_Toc891"/>
      <w:r>
        <w:rPr>
          <w:rFonts w:hint="eastAsia" w:ascii="黑体" w:hAnsi="黑体" w:eastAsia="黑体"/>
          <w:sz w:val="44"/>
          <w:szCs w:val="44"/>
        </w:rPr>
        <w:t>名</w:t>
      </w:r>
      <w:r>
        <w:rPr>
          <w:rStyle w:val="26"/>
          <w:rFonts w:hint="eastAsia" w:ascii="黑体" w:hAnsi="黑体" w:eastAsia="黑体"/>
          <w:b w:val="0"/>
        </w:rPr>
        <w:t>词解释</w:t>
      </w:r>
      <w:bookmarkEnd w:id="162"/>
      <w:bookmarkEnd w:id="163"/>
      <w:bookmarkEnd w:id="164"/>
      <w:bookmarkEnd w:id="165"/>
      <w:bookmarkEnd w:id="166"/>
      <w:bookmarkEnd w:id="167"/>
      <w:bookmarkEnd w:id="168"/>
      <w:bookmarkEnd w:id="169"/>
    </w:p>
    <w:p>
      <w:pPr>
        <w:spacing w:line="576" w:lineRule="exact"/>
        <w:jc w:val="left"/>
        <w:rPr>
          <w:rFonts w:ascii="宋体"/>
          <w:b/>
          <w:sz w:val="44"/>
          <w:szCs w:val="44"/>
        </w:rPr>
      </w:pPr>
    </w:p>
    <w:p>
      <w:pPr>
        <w:pStyle w:val="16"/>
        <w:spacing w:line="576" w:lineRule="exact"/>
        <w:ind w:firstLine="640" w:firstLineChars="200"/>
        <w:jc w:val="both"/>
        <w:rPr>
          <w:rFonts w:hAnsi="仿宋"/>
          <w:sz w:val="32"/>
          <w:szCs w:val="32"/>
        </w:rPr>
      </w:pPr>
      <w:bookmarkStart w:id="170" w:name="_Toc15396614"/>
      <w:bookmarkStart w:id="171" w:name="_Toc15377226"/>
      <w:r>
        <w:rPr>
          <w:rFonts w:hint="eastAsia" w:hAnsi="仿宋"/>
          <w:sz w:val="32"/>
          <w:szCs w:val="32"/>
        </w:rPr>
        <w:t>1.财政拨款收入：指单位从同级财政部门取得的财政预算资金。</w:t>
      </w:r>
    </w:p>
    <w:p>
      <w:pPr>
        <w:pStyle w:val="16"/>
        <w:spacing w:line="576" w:lineRule="exact"/>
        <w:ind w:firstLine="640" w:firstLineChars="200"/>
        <w:jc w:val="both"/>
        <w:rPr>
          <w:rFonts w:hAnsi="仿宋"/>
          <w:sz w:val="32"/>
          <w:szCs w:val="32"/>
        </w:rPr>
      </w:pPr>
      <w:r>
        <w:rPr>
          <w:rFonts w:hint="eastAsia" w:hAnsi="仿宋"/>
          <w:sz w:val="32"/>
          <w:szCs w:val="32"/>
        </w:rPr>
        <w:t>2.其他收入：指单位取得的除上述收入以外的各项收入，主要用于核算银行存款收入。</w:t>
      </w:r>
    </w:p>
    <w:p>
      <w:pPr>
        <w:pStyle w:val="16"/>
        <w:spacing w:line="576" w:lineRule="exact"/>
        <w:ind w:firstLine="640" w:firstLineChars="200"/>
        <w:jc w:val="both"/>
        <w:rPr>
          <w:rFonts w:hAnsi="仿宋"/>
          <w:sz w:val="32"/>
          <w:szCs w:val="32"/>
        </w:rPr>
      </w:pPr>
      <w:r>
        <w:rPr>
          <w:rFonts w:hint="eastAsia" w:hAnsi="仿宋"/>
          <w:sz w:val="32"/>
          <w:szCs w:val="32"/>
        </w:rPr>
        <w:t>3.年初结转和结余：指以前年度尚未完成、结转到本年按有关规定继续使用的资金。</w:t>
      </w:r>
    </w:p>
    <w:p>
      <w:pPr>
        <w:pStyle w:val="16"/>
        <w:spacing w:line="576" w:lineRule="exact"/>
        <w:ind w:firstLine="640" w:firstLineChars="200"/>
        <w:jc w:val="both"/>
        <w:rPr>
          <w:rFonts w:hAnsi="仿宋"/>
          <w:sz w:val="32"/>
          <w:szCs w:val="32"/>
        </w:rPr>
      </w:pPr>
      <w:r>
        <w:rPr>
          <w:rFonts w:hint="eastAsia" w:hAnsi="仿宋"/>
          <w:sz w:val="32"/>
          <w:szCs w:val="32"/>
        </w:rPr>
        <w:t>4、年末结转和结余：指单位按有关规定结转到下年或以后年度继续使用的资金。</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5.</w:t>
      </w:r>
      <w:r>
        <w:rPr>
          <w:rStyle w:val="14"/>
          <w:rFonts w:hint="eastAsia" w:ascii="仿宋" w:hAnsi="仿宋" w:eastAsia="仿宋" w:cs="仿宋"/>
          <w:b w:val="0"/>
          <w:bCs/>
          <w:color w:val="000000"/>
          <w:sz w:val="32"/>
          <w:szCs w:val="32"/>
        </w:rPr>
        <w:t>社会保障和就业支出（类）</w:t>
      </w:r>
      <w:r>
        <w:rPr>
          <w:rFonts w:hint="eastAsia" w:ascii="仿宋" w:hAnsi="仿宋" w:eastAsia="仿宋" w:cs="仿宋"/>
          <w:color w:val="000000"/>
          <w:kern w:val="0"/>
          <w:sz w:val="32"/>
          <w:szCs w:val="32"/>
          <w:lang w:val="en-US" w:eastAsia="zh-CN" w:bidi="ar-SA"/>
        </w:rPr>
        <w:t>行政事业单位养老支出（</w:t>
      </w:r>
      <w:r>
        <w:rPr>
          <w:rStyle w:val="14"/>
          <w:rFonts w:hint="eastAsia" w:ascii="仿宋" w:hAnsi="仿宋" w:eastAsia="仿宋" w:cs="仿宋"/>
          <w:b w:val="0"/>
          <w:bCs/>
          <w:color w:val="000000"/>
          <w:sz w:val="32"/>
          <w:szCs w:val="32"/>
        </w:rPr>
        <w:t>款）机关事业单位基本养老保险缴费支出（项）</w:t>
      </w:r>
      <w:r>
        <w:rPr>
          <w:rFonts w:hint="eastAsia" w:ascii="仿宋" w:hAnsi="仿宋" w:eastAsia="仿宋" w:cs="仿宋"/>
          <w:color w:val="000000"/>
          <w:sz w:val="32"/>
          <w:szCs w:val="32"/>
        </w:rPr>
        <w:t>：指反映机关事业单位实施养老保险制度由单位缴纳的基本养老保险支出。</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6.</w:t>
      </w:r>
      <w:r>
        <w:rPr>
          <w:rStyle w:val="14"/>
          <w:rFonts w:hint="eastAsia" w:ascii="仿宋" w:hAnsi="仿宋" w:eastAsia="仿宋" w:cs="仿宋"/>
          <w:b w:val="0"/>
          <w:bCs/>
          <w:color w:val="000000"/>
          <w:sz w:val="32"/>
          <w:szCs w:val="32"/>
        </w:rPr>
        <w:t>医疗卫生与计划生育（类）行政事业单位医疗（款）事业单位医疗（项）</w:t>
      </w:r>
      <w:r>
        <w:rPr>
          <w:rFonts w:hint="eastAsia" w:ascii="仿宋" w:hAnsi="仿宋" w:eastAsia="仿宋" w:cs="仿宋"/>
          <w:color w:val="000000"/>
          <w:sz w:val="32"/>
          <w:szCs w:val="32"/>
        </w:rPr>
        <w:t>：指反映财政部门集中安排的事业单位基本医疗保险缴费经费，未参加医疗保险的事业单位的公费医疗经费，按国家规定享受离休人员待遇的医疗经费。</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7.</w:t>
      </w:r>
      <w:r>
        <w:rPr>
          <w:rStyle w:val="14"/>
          <w:rFonts w:hint="eastAsia" w:ascii="仿宋" w:hAnsi="仿宋" w:eastAsia="仿宋" w:cs="仿宋"/>
          <w:b w:val="0"/>
          <w:bCs/>
          <w:color w:val="000000"/>
          <w:sz w:val="32"/>
          <w:szCs w:val="32"/>
        </w:rPr>
        <w:t>城乡社区（类）城乡社区规划与管理（款）城乡社区规划与管理（项）</w:t>
      </w:r>
      <w:r>
        <w:rPr>
          <w:rFonts w:hint="eastAsia" w:ascii="仿宋" w:hAnsi="仿宋" w:eastAsia="仿宋" w:cs="仿宋"/>
          <w:color w:val="000000"/>
          <w:sz w:val="32"/>
          <w:szCs w:val="32"/>
        </w:rPr>
        <w:t>：指反映城乡社区、名胜风景区、防灾减灾、历史名城规划制定与管理方面的支出。</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8.</w:t>
      </w:r>
      <w:r>
        <w:rPr>
          <w:rStyle w:val="14"/>
          <w:rFonts w:hint="eastAsia" w:ascii="仿宋" w:hAnsi="仿宋" w:eastAsia="仿宋" w:cs="仿宋"/>
          <w:b w:val="0"/>
          <w:bCs/>
          <w:sz w:val="32"/>
          <w:szCs w:val="32"/>
        </w:rPr>
        <w:t>住房保障</w:t>
      </w:r>
      <w:r>
        <w:rPr>
          <w:rStyle w:val="14"/>
          <w:rFonts w:hint="eastAsia" w:ascii="仿宋" w:hAnsi="仿宋" w:eastAsia="仿宋" w:cs="仿宋"/>
          <w:b w:val="0"/>
          <w:bCs/>
          <w:color w:val="000000"/>
          <w:sz w:val="32"/>
          <w:szCs w:val="32"/>
        </w:rPr>
        <w:t>（类）住房改革支出（款）住房公积金（项）</w:t>
      </w:r>
      <w:r>
        <w:rPr>
          <w:rFonts w:hint="eastAsia" w:ascii="仿宋" w:hAnsi="仿宋" w:eastAsia="仿宋" w:cs="仿宋"/>
          <w:color w:val="000000"/>
          <w:sz w:val="32"/>
          <w:szCs w:val="32"/>
        </w:rPr>
        <w:t>：指反映行政事业单位按人力资源和社会保障部、财政部规定的基本工资和津贴补贴以及规定比例为职工缴纳住房公积金。</w:t>
      </w:r>
    </w:p>
    <w:p>
      <w:pPr>
        <w:pStyle w:val="2"/>
        <w:spacing w:before="93"/>
        <w:ind w:firstLine="640"/>
        <w:rPr>
          <w:rStyle w:val="14"/>
          <w:rFonts w:ascii="仿宋" w:hAnsi="仿宋" w:eastAsia="仿宋" w:cs="仿宋"/>
          <w:b w:val="0"/>
          <w:bCs/>
          <w:color w:val="000000"/>
          <w:sz w:val="32"/>
          <w:szCs w:val="32"/>
        </w:rPr>
      </w:pPr>
      <w:r>
        <w:rPr>
          <w:rFonts w:hint="eastAsia" w:ascii="仿宋" w:hAnsi="仿宋" w:eastAsia="仿宋" w:cs="仿宋"/>
          <w:color w:val="000000"/>
          <w:sz w:val="32"/>
          <w:szCs w:val="32"/>
        </w:rPr>
        <w:t>9.</w:t>
      </w:r>
      <w:r>
        <w:rPr>
          <w:rStyle w:val="14"/>
          <w:rFonts w:hint="eastAsia" w:ascii="仿宋" w:hAnsi="仿宋" w:eastAsia="仿宋" w:cs="仿宋"/>
          <w:b w:val="0"/>
          <w:bCs/>
          <w:color w:val="000000"/>
          <w:sz w:val="32"/>
          <w:szCs w:val="32"/>
        </w:rPr>
        <w:t>城乡社区（类）农业土地开发资金安排的支出（款）农业土地开发资金安排的支出（项）：指反映</w:t>
      </w:r>
      <w:r>
        <w:rPr>
          <w:rFonts w:hint="eastAsia" w:ascii="仿宋" w:hAnsi="仿宋" w:eastAsia="仿宋" w:cs="仿宋"/>
          <w:color w:val="000000"/>
          <w:sz w:val="32"/>
          <w:szCs w:val="32"/>
        </w:rPr>
        <w:t>城乡社区</w:t>
      </w:r>
      <w:r>
        <w:rPr>
          <w:rStyle w:val="14"/>
          <w:rFonts w:hint="eastAsia" w:ascii="仿宋" w:hAnsi="仿宋" w:eastAsia="仿宋" w:cs="仿宋"/>
          <w:b w:val="0"/>
          <w:bCs/>
          <w:color w:val="000000"/>
          <w:sz w:val="32"/>
          <w:szCs w:val="32"/>
        </w:rPr>
        <w:t>农业土地开发支出。</w:t>
      </w:r>
    </w:p>
    <w:p>
      <w:pPr>
        <w:pStyle w:val="2"/>
        <w:spacing w:before="93"/>
        <w:ind w:firstLine="640"/>
        <w:rPr>
          <w:rStyle w:val="14"/>
          <w:rFonts w:ascii="仿宋" w:hAnsi="仿宋" w:eastAsia="仿宋" w:cs="仿宋"/>
          <w:b w:val="0"/>
          <w:bCs/>
          <w:color w:val="000000"/>
          <w:sz w:val="32"/>
          <w:szCs w:val="32"/>
        </w:rPr>
      </w:pPr>
      <w:r>
        <w:rPr>
          <w:rStyle w:val="14"/>
          <w:rFonts w:hint="eastAsia" w:ascii="仿宋" w:hAnsi="仿宋" w:eastAsia="仿宋" w:cs="仿宋"/>
          <w:b w:val="0"/>
          <w:bCs/>
          <w:color w:val="000000"/>
          <w:sz w:val="32"/>
          <w:szCs w:val="32"/>
        </w:rPr>
        <w:t>10.社会保障和就业支出（类）行政事业单位离退休（款）机关事业单位职业年金缴费支出（项）：</w:t>
      </w:r>
      <w:r>
        <w:rPr>
          <w:rFonts w:hint="eastAsia" w:ascii="仿宋" w:hAnsi="仿宋" w:eastAsia="仿宋" w:cs="仿宋"/>
          <w:color w:val="000000"/>
          <w:sz w:val="32"/>
          <w:szCs w:val="32"/>
        </w:rPr>
        <w:t>指反映机关事业单位实施养老保险制度由单位缴纳的职业年金支出。</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11.基本支出：指为保障机构正常运转、完成日常工作任务而发生的人员支出和公用支出。</w:t>
      </w:r>
    </w:p>
    <w:p>
      <w:pPr>
        <w:spacing w:line="576"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12.项目支出：指在基本支出之外为完成特定行政任务和事业发展目标所发生的支出。</w:t>
      </w:r>
    </w:p>
    <w:p>
      <w:pPr>
        <w:pStyle w:val="16"/>
        <w:spacing w:line="576" w:lineRule="exact"/>
        <w:ind w:firstLine="640" w:firstLineChars="200"/>
        <w:jc w:val="both"/>
        <w:rPr>
          <w:rFonts w:hAnsi="仿宋"/>
          <w:sz w:val="32"/>
          <w:szCs w:val="32"/>
        </w:rPr>
      </w:pPr>
      <w:r>
        <w:rPr>
          <w:rFonts w:hint="eastAsia" w:hAnsi="仿宋"/>
          <w:sz w:val="32"/>
          <w:szCs w:val="32"/>
        </w:rPr>
        <w:t>13.“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spacing w:line="576" w:lineRule="exact"/>
        <w:ind w:firstLine="640" w:firstLineChars="200"/>
        <w:jc w:val="both"/>
        <w:rPr>
          <w:rFonts w:hAnsi="仿宋"/>
          <w:sz w:val="32"/>
          <w:szCs w:val="32"/>
        </w:rPr>
      </w:pPr>
      <w:r>
        <w:rPr>
          <w:rFonts w:hint="eastAsia" w:hAnsi="仿宋"/>
          <w:sz w:val="32"/>
          <w:szCs w:val="32"/>
        </w:rPr>
        <w:t>14.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576" w:lineRule="exact"/>
        <w:jc w:val="center"/>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pStyle w:val="2"/>
        <w:spacing w:before="93"/>
        <w:rPr>
          <w:rFonts w:ascii="黑体" w:hAnsi="黑体" w:eastAsia="黑体"/>
          <w:sz w:val="44"/>
          <w:szCs w:val="44"/>
        </w:rPr>
      </w:pPr>
    </w:p>
    <w:p>
      <w:pPr>
        <w:spacing w:line="576" w:lineRule="exact"/>
        <w:jc w:val="center"/>
        <w:outlineLvl w:val="0"/>
        <w:rPr>
          <w:rStyle w:val="26"/>
          <w:rFonts w:ascii="黑体" w:hAnsi="黑体" w:eastAsia="黑体"/>
          <w:b w:val="0"/>
        </w:rPr>
      </w:pPr>
      <w:bookmarkStart w:id="172" w:name="_Toc17548"/>
      <w:bookmarkStart w:id="173" w:name="_Toc25699"/>
      <w:bookmarkStart w:id="174" w:name="_Toc30782"/>
      <w:bookmarkStart w:id="175" w:name="_Toc22663"/>
      <w:bookmarkStart w:id="176" w:name="_Toc20001"/>
      <w:bookmarkStart w:id="177" w:name="_Toc26741"/>
      <w:r>
        <w:rPr>
          <w:rFonts w:hint="eastAsia" w:ascii="黑体" w:hAnsi="黑体" w:eastAsia="黑体"/>
          <w:sz w:val="44"/>
          <w:szCs w:val="44"/>
        </w:rPr>
        <w:t>第</w:t>
      </w:r>
      <w:r>
        <w:rPr>
          <w:rStyle w:val="26"/>
          <w:rFonts w:hint="eastAsia" w:ascii="黑体" w:hAnsi="黑体" w:eastAsia="黑体"/>
          <w:b w:val="0"/>
        </w:rPr>
        <w:t>四部分 附件</w:t>
      </w:r>
      <w:bookmarkEnd w:id="170"/>
      <w:bookmarkEnd w:id="172"/>
      <w:bookmarkEnd w:id="173"/>
      <w:bookmarkEnd w:id="174"/>
      <w:bookmarkEnd w:id="175"/>
      <w:bookmarkEnd w:id="176"/>
      <w:bookmarkEnd w:id="177"/>
    </w:p>
    <w:p>
      <w:pPr>
        <w:spacing w:line="576" w:lineRule="exact"/>
        <w:jc w:val="left"/>
        <w:outlineLvl w:val="1"/>
        <w:rPr>
          <w:rFonts w:ascii="方正小标宋简体" w:hAnsi="方正小标宋简体" w:eastAsia="方正小标宋简体" w:cs="方正小标宋简体"/>
          <w:sz w:val="44"/>
          <w:szCs w:val="44"/>
        </w:rPr>
      </w:pPr>
      <w:bookmarkStart w:id="178" w:name="_Toc9019"/>
      <w:bookmarkStart w:id="179" w:name="_Toc6750"/>
      <w:bookmarkStart w:id="180" w:name="_Toc23003"/>
      <w:bookmarkStart w:id="181" w:name="_Toc18976"/>
      <w:bookmarkStart w:id="182" w:name="_Toc16198"/>
      <w:bookmarkStart w:id="183" w:name="_Toc29282"/>
      <w:r>
        <w:rPr>
          <w:rFonts w:hint="eastAsia" w:ascii="黑体" w:hAnsi="黑体" w:eastAsia="黑体" w:cs="黑体"/>
          <w:sz w:val="32"/>
          <w:szCs w:val="32"/>
        </w:rPr>
        <w:t>附件</w:t>
      </w:r>
      <w:bookmarkEnd w:id="178"/>
      <w:bookmarkEnd w:id="179"/>
      <w:bookmarkEnd w:id="180"/>
      <w:bookmarkEnd w:id="181"/>
      <w:bookmarkEnd w:id="182"/>
      <w:bookmarkEnd w:id="183"/>
    </w:p>
    <w:p>
      <w:pPr>
        <w:spacing w:line="576" w:lineRule="exact"/>
        <w:jc w:val="center"/>
        <w:rPr>
          <w:rFonts w:ascii="方正小标宋简体" w:hAnsi="宋体" w:eastAsia="方正小标宋简体"/>
          <w:kern w:val="0"/>
          <w:sz w:val="40"/>
          <w:szCs w:val="44"/>
        </w:rPr>
      </w:pPr>
      <w:r>
        <w:rPr>
          <w:rFonts w:hint="eastAsia" w:ascii="方正小标宋简体" w:hAnsi="宋体" w:eastAsia="方正小标宋简体"/>
          <w:kern w:val="0"/>
          <w:sz w:val="40"/>
          <w:szCs w:val="44"/>
        </w:rPr>
        <w:t>2021年广元市国土空间规划编制研究中心</w:t>
      </w:r>
    </w:p>
    <w:p>
      <w:pPr>
        <w:spacing w:line="576" w:lineRule="exact"/>
        <w:jc w:val="center"/>
        <w:rPr>
          <w:rFonts w:ascii="方正小标宋简体" w:hAnsi="宋体" w:eastAsia="方正小标宋简体"/>
          <w:kern w:val="0"/>
          <w:sz w:val="40"/>
          <w:szCs w:val="44"/>
          <w:lang w:val="zh-CN"/>
        </w:rPr>
      </w:pPr>
      <w:r>
        <w:rPr>
          <w:rFonts w:hint="eastAsia" w:ascii="方正小标宋简体" w:hAnsi="宋体" w:eastAsia="方正小标宋简体"/>
          <w:kern w:val="0"/>
          <w:sz w:val="40"/>
          <w:szCs w:val="44"/>
        </w:rPr>
        <w:t>部门整体绩效评价报告</w:t>
      </w:r>
    </w:p>
    <w:p>
      <w:pPr>
        <w:widowControl/>
        <w:adjustRightInd w:val="0"/>
        <w:snapToGrid w:val="0"/>
        <w:spacing w:line="576" w:lineRule="exact"/>
        <w:contextualSpacing/>
        <w:jc w:val="left"/>
        <w:rPr>
          <w:rFonts w:ascii="黑体" w:hAnsi="宋体" w:eastAsia="黑体" w:cs="宋体"/>
          <w:kern w:val="0"/>
          <w:sz w:val="24"/>
          <w:szCs w:val="32"/>
          <w:shd w:val="clear" w:color="auto" w:fill="FFFFFF"/>
        </w:rPr>
      </w:pPr>
    </w:p>
    <w:p>
      <w:pPr>
        <w:widowControl/>
        <w:adjustRightInd w:val="0"/>
        <w:snapToGrid w:val="0"/>
        <w:spacing w:line="576" w:lineRule="exact"/>
        <w:ind w:firstLine="640" w:firstLineChars="200"/>
        <w:contextualSpacing/>
        <w:jc w:val="left"/>
        <w:outlineLvl w:val="1"/>
        <w:rPr>
          <w:rFonts w:ascii="黑体" w:hAnsi="宋体" w:eastAsia="黑体" w:cs="宋体"/>
          <w:kern w:val="0"/>
          <w:sz w:val="32"/>
          <w:szCs w:val="32"/>
          <w:shd w:val="clear" w:color="auto" w:fill="FFFFFF"/>
          <w:lang w:val="zh-CN"/>
        </w:rPr>
      </w:pPr>
      <w:bookmarkStart w:id="184" w:name="_Toc10958"/>
      <w:bookmarkStart w:id="185" w:name="_Toc27758"/>
      <w:bookmarkStart w:id="186" w:name="_Toc31531"/>
      <w:bookmarkStart w:id="187" w:name="_Toc502"/>
      <w:bookmarkStart w:id="188" w:name="_Toc12789"/>
      <w:bookmarkStart w:id="189" w:name="_Toc27911"/>
      <w:r>
        <w:rPr>
          <w:rFonts w:hint="eastAsia" w:ascii="黑体" w:hAnsi="宋体" w:eastAsia="黑体" w:cs="宋体"/>
          <w:kern w:val="0"/>
          <w:sz w:val="32"/>
          <w:szCs w:val="32"/>
          <w:shd w:val="clear" w:color="auto" w:fill="FFFFFF"/>
        </w:rPr>
        <w:t>一、</w:t>
      </w:r>
      <w:r>
        <w:rPr>
          <w:rFonts w:hint="eastAsia" w:ascii="黑体" w:hAnsi="宋体" w:eastAsia="黑体" w:cs="宋体"/>
          <w:kern w:val="0"/>
          <w:sz w:val="32"/>
          <w:szCs w:val="32"/>
          <w:shd w:val="clear" w:color="auto" w:fill="FFFFFF"/>
          <w:lang w:val="zh-CN"/>
        </w:rPr>
        <w:t>部门（单位）概况</w:t>
      </w:r>
      <w:bookmarkEnd w:id="184"/>
      <w:bookmarkEnd w:id="185"/>
      <w:bookmarkEnd w:id="186"/>
      <w:bookmarkEnd w:id="187"/>
      <w:bookmarkEnd w:id="188"/>
      <w:bookmarkEnd w:id="189"/>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（一）机构组成</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广元市国土空间规划编制研究中心（市本级）。2020年9月，市规划局更名为市国土空间规划编制研究中心，2021年2月3日挂牌。按照“三定”方案，负责市级国土空间规划编制、技术审查、规划研究等工作，下设综合科、规划编制事务科、用地规划事务科、建筑规划事务科、市政规划事务科、村镇规划事务科、联合审查科、信息数据科8个科室。</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广元经济技术开发区国土空间规划编制研究中心（局属二级单位）2021年1月，市城乡规划局经济技术开发区分局更名为广元经济技术开发区国土空间规划编制研究中心，为市自然资源局管理的公益一类事业单位。</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（二）机构职能</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广元市国土空间规划编制研究中心（市本级）贯彻执行国家、省、市有关国土空间规划管理的方针、政策和法律、法规；承担市国土空间发展战略规划、公共政策、项目和计划的研究；拟订市国土空间规划管理相关技术标准和技术规定；受市人民政府或市自然资源局委托，组织编制、维护市级国土空间总体规划、中心城区详细规划、专项规划及城市设计、相关概念性规划；负责各县（区）国土空间规划、镇（乡）国土空间规划、村规划编制的技术指导工作。协调跨县（区）重大村镇项目规划编制工作；负责历史文化名城保护规划编制相关事务工作，指导名镇、名村和历史文化街区、传统村落规划编制工作；负责组织多部门、多行业技术联审，承办市国土空间规划专业委员会工作，承担市国土空间规划委员会办公室相关事务工作；承担中心城区项目的规划选址、论证、规划设计前期研究和规划设计方案审查；负责市国土空间规划信息数据平台实施维护和国土空间总体规划、详细规划等数据更新工作；完成市委、市政府和市自然资源局交办的其他任务。</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广元经济技术开发区国土空间规划编制研究中心（局属二级单位）。受市自然资源局、辖区人民政府委托，组织编制本辖区国土空间规划、城市设计、慨念规划等；负责指定管辖范围内的项目选址、规划设计前期研究和规划设计方案审查；承担辖区规划管理审批相关事务工作。</w:t>
      </w:r>
    </w:p>
    <w:p>
      <w:pPr>
        <w:widowControl/>
        <w:numPr>
          <w:ilvl w:val="0"/>
          <w:numId w:val="3"/>
        </w:numPr>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人员概况</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截止2021年末，市国土空间规划中心编制人数38人，实际在职人数36人；经开区国土空间规划中心编制人数18人，实际在职人数13人。</w:t>
      </w:r>
    </w:p>
    <w:p>
      <w:pPr>
        <w:widowControl/>
        <w:adjustRightInd w:val="0"/>
        <w:snapToGrid w:val="0"/>
        <w:spacing w:line="576" w:lineRule="exact"/>
        <w:ind w:firstLine="640" w:firstLineChars="200"/>
        <w:contextualSpacing/>
        <w:jc w:val="left"/>
        <w:outlineLvl w:val="1"/>
        <w:rPr>
          <w:rFonts w:ascii="黑体" w:hAnsi="宋体" w:eastAsia="黑体" w:cs="宋体"/>
          <w:kern w:val="0"/>
          <w:sz w:val="32"/>
          <w:szCs w:val="32"/>
          <w:shd w:val="clear" w:color="auto" w:fill="FFFFFF"/>
        </w:rPr>
      </w:pPr>
      <w:bookmarkStart w:id="190" w:name="_Toc5682"/>
      <w:bookmarkStart w:id="191" w:name="_Toc22798"/>
      <w:bookmarkStart w:id="192" w:name="_Toc12192"/>
      <w:bookmarkStart w:id="193" w:name="_Toc13038"/>
      <w:bookmarkStart w:id="194" w:name="_Toc7416"/>
      <w:bookmarkStart w:id="195" w:name="_Toc18880"/>
      <w:r>
        <w:rPr>
          <w:rFonts w:hint="eastAsia" w:ascii="黑体" w:hAnsi="宋体" w:eastAsia="黑体" w:cs="宋体"/>
          <w:kern w:val="0"/>
          <w:sz w:val="32"/>
          <w:szCs w:val="32"/>
          <w:shd w:val="clear" w:color="auto" w:fill="FFFFFF"/>
        </w:rPr>
        <w:t>二、部门财政资金收支情况</w:t>
      </w:r>
      <w:bookmarkEnd w:id="190"/>
      <w:bookmarkEnd w:id="191"/>
      <w:bookmarkEnd w:id="192"/>
      <w:bookmarkEnd w:id="193"/>
      <w:bookmarkEnd w:id="194"/>
      <w:bookmarkEnd w:id="195"/>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（一）部门财政资金收入情况</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lang w:val="zh-CN"/>
        </w:rPr>
        <w:t>2021年初结转结余463.14万元，本年收入合计922.50万元，其中：一般公共预算财政拨款收入704.55万元，占76.4%；政府性基金预算财政拨款收入160万元，占17.3%；其他收入57.95万元，占6.3%。</w:t>
      </w:r>
    </w:p>
    <w:p>
      <w:pPr>
        <w:widowControl/>
        <w:numPr>
          <w:ilvl w:val="0"/>
          <w:numId w:val="4"/>
        </w:numPr>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部门财政资金支出情况</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lang w:val="zh-CN"/>
        </w:rPr>
        <w:t>2021年本年支出合计1006.47万元，其中：基本支出733.73万元，占72.9%；项目支出272.74万元，占27.1%。；年末财政拨款结转结余379.17万元。</w:t>
      </w:r>
    </w:p>
    <w:p>
      <w:pPr>
        <w:widowControl/>
        <w:adjustRightInd w:val="0"/>
        <w:snapToGrid w:val="0"/>
        <w:spacing w:line="576" w:lineRule="exact"/>
        <w:ind w:firstLine="640" w:firstLineChars="200"/>
        <w:contextualSpacing/>
        <w:jc w:val="left"/>
        <w:outlineLvl w:val="1"/>
        <w:rPr>
          <w:rFonts w:ascii="黑体" w:hAnsi="宋体" w:eastAsia="黑体" w:cs="宋体"/>
          <w:kern w:val="0"/>
          <w:sz w:val="32"/>
          <w:szCs w:val="32"/>
          <w:shd w:val="clear" w:color="auto" w:fill="FFFFFF"/>
        </w:rPr>
      </w:pPr>
      <w:bookmarkStart w:id="196" w:name="_Toc14776"/>
      <w:bookmarkStart w:id="197" w:name="_Toc7496"/>
      <w:bookmarkStart w:id="198" w:name="_Toc27145"/>
      <w:bookmarkStart w:id="199" w:name="_Toc18802"/>
      <w:bookmarkStart w:id="200" w:name="_Toc22685"/>
      <w:bookmarkStart w:id="201" w:name="_Toc21567"/>
      <w:r>
        <w:rPr>
          <w:rFonts w:hint="eastAsia" w:ascii="黑体" w:hAnsi="宋体" w:eastAsia="黑体" w:cs="宋体"/>
          <w:kern w:val="0"/>
          <w:sz w:val="32"/>
          <w:szCs w:val="32"/>
          <w:shd w:val="clear" w:color="auto" w:fill="FFFFFF"/>
        </w:rPr>
        <w:t>三、部门整体预算绩效管理情况</w:t>
      </w:r>
      <w:bookmarkEnd w:id="196"/>
      <w:bookmarkEnd w:id="197"/>
      <w:bookmarkEnd w:id="198"/>
      <w:bookmarkEnd w:id="199"/>
      <w:bookmarkEnd w:id="200"/>
      <w:bookmarkEnd w:id="201"/>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（一）部门预算项目绩效管理</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我中心2021年初部门整体预算绩效共设置</w:t>
      </w:r>
      <w:r>
        <w:rPr>
          <w:rFonts w:hint="eastAsia" w:ascii="仿宋_GB2312" w:hAnsi="宋体" w:eastAsia="仿宋_GB2312" w:cs="宋体"/>
          <w:kern w:val="0"/>
          <w:sz w:val="32"/>
          <w:szCs w:val="32"/>
          <w:shd w:val="clear" w:color="auto" w:fill="FFFFFF"/>
        </w:rPr>
        <w:t>4</w:t>
      </w:r>
      <w:r>
        <w:rPr>
          <w:rFonts w:hint="eastAsia" w:ascii="仿宋_GB2312" w:hAnsi="宋体" w:eastAsia="仿宋_GB2312" w:cs="宋体"/>
          <w:kern w:val="0"/>
          <w:sz w:val="32"/>
          <w:szCs w:val="32"/>
          <w:shd w:val="clear" w:color="auto" w:fill="FFFFFF"/>
          <w:lang w:val="zh-CN"/>
        </w:rPr>
        <w:t>个绩效目标，年中追加</w:t>
      </w:r>
      <w:r>
        <w:rPr>
          <w:rFonts w:hint="eastAsia" w:ascii="仿宋_GB2312" w:hAnsi="宋体" w:eastAsia="仿宋_GB2312" w:cs="宋体"/>
          <w:kern w:val="0"/>
          <w:sz w:val="32"/>
          <w:szCs w:val="32"/>
          <w:shd w:val="clear" w:color="auto" w:fill="FFFFFF"/>
        </w:rPr>
        <w:t>“</w:t>
      </w:r>
      <w:r>
        <w:rPr>
          <w:rFonts w:hint="eastAsia" w:ascii="仿宋_GB2312" w:hAnsi="宋体" w:eastAsia="仿宋_GB2312" w:cs="宋体"/>
          <w:kern w:val="0"/>
          <w:sz w:val="32"/>
          <w:szCs w:val="32"/>
          <w:shd w:val="clear" w:color="auto" w:fill="FFFFFF"/>
          <w:lang w:val="zh-CN"/>
        </w:rPr>
        <w:t>历史文化名城保护规划修编</w:t>
      </w:r>
      <w:r>
        <w:rPr>
          <w:rFonts w:hint="eastAsia" w:ascii="仿宋_GB2312" w:hAnsi="宋体" w:eastAsia="仿宋_GB2312" w:cs="宋体"/>
          <w:kern w:val="0"/>
          <w:sz w:val="32"/>
          <w:szCs w:val="32"/>
          <w:shd w:val="clear" w:color="auto" w:fill="FFFFFF"/>
        </w:rPr>
        <w:t>”项目1个</w:t>
      </w:r>
      <w:r>
        <w:rPr>
          <w:rFonts w:hint="eastAsia" w:ascii="仿宋_GB2312" w:hAnsi="宋体" w:eastAsia="仿宋_GB2312" w:cs="宋体"/>
          <w:kern w:val="0"/>
          <w:sz w:val="32"/>
          <w:szCs w:val="32"/>
          <w:shd w:val="clear" w:color="auto" w:fill="FFFFFF"/>
          <w:lang w:val="zh-CN"/>
        </w:rPr>
        <w:t>，除基建项目“历史文化名城保护规划修编”需在2022年继续实施，其余相关目标均已完成。</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目标一：完成指标</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数量指标:1个专项规划“历史文化名城保护规划修编”；召开专委会53期，审查项目规划设计方案234个；筹备规委会19期，审议项目规划设计方案123个；完成10个中心城区地块控制性详细规划调整、完成3项专项规划调整；完成1个贫困村、1个非贫困村扶贫验收。</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时效指标：按期完成率，按进度完成。</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成本指标：“历史文化名城修编规划”项目规划编制第一阶段付费15.6万元，网络运行维护费29.1万元，设备维修维护费4.9万元，图纸打印、耗材等支出10.8万元，踏勘费支出7.5万元，专业技术人员培训费1.7万元，物业安保费2.2万元，第一书记生活补助0.5万元，支出合计72.3万元。</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目标二：效益指标</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社会效益指标：增强了城市规划的科学性和权威性，服务了广元城乡规划建设，做好了项目要素保障。</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目标三：满意度指标</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满意度指标：工作质量得到相关单位认可，通过扶贫验收。</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（2）目标实现。2021年度部门整体支出绩效目标指标已全部完成。</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（3）支出控制。与年初预算持平，无偏差。</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（4）及时处置。在预算执行过程中未调整预算项目，年度预算执行收支平衡。</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（5）执行进度。2021年12月实际支出72.3万元，支出进度达到53%。由于“历史文化名城修编规划”项目需根据成果交付情况按阶段付费，2021年仅验收支付第一阶段费用。</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（6）预算完成情况。2021年初预算56.4万元，追加80万元。实际支出72.3万元，总体支出执行进度53%。</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（7）资金结余率。2021年我中心部门预算项目5个，包含公用经费、政府购买服务。“历史文化名城修编规划”项目下达80万元，实际支付15.6万元，结余64.4万元，资金结余率80.5%。</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2021年，我中心认真开展预算编制，及时报送部门预算和项目绩效目标，预算编制完整无漏项，预算编制准确规范。在预算执行过程中规范财务管理，严格按照预算批复执行，强化预算执行的刚性约束，不随意改变财政预算资金的使用范围，严控预算执行进度和经费支出情况，提高资金使用效益。在预算执行过程中未存在违纪违规情况。</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（二）结果应用情况</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rPr>
        <w:t>1.</w:t>
      </w:r>
      <w:r>
        <w:rPr>
          <w:rFonts w:hint="eastAsia" w:ascii="仿宋_GB2312" w:hAnsi="宋体" w:eastAsia="仿宋_GB2312" w:cs="宋体"/>
          <w:kern w:val="0"/>
          <w:sz w:val="32"/>
          <w:szCs w:val="32"/>
          <w:shd w:val="clear" w:color="auto" w:fill="FFFFFF"/>
          <w:lang w:val="zh-CN"/>
        </w:rPr>
        <w:t>内部应用。通过强化预算编制和执行，规范项目实施。全面完成各项目标任务，助推国土空间规划编制管理工作，进一步提升城市规划建设水平。</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rPr>
        <w:t>2.</w:t>
      </w:r>
      <w:r>
        <w:rPr>
          <w:rFonts w:hint="eastAsia" w:ascii="仿宋_GB2312" w:hAnsi="宋体" w:eastAsia="仿宋_GB2312" w:cs="宋体"/>
          <w:kern w:val="0"/>
          <w:sz w:val="32"/>
          <w:szCs w:val="32"/>
          <w:shd w:val="clear" w:color="auto" w:fill="FFFFFF"/>
          <w:lang w:val="zh-CN"/>
        </w:rPr>
        <w:t>公开情况。2021年部门预算及绩效信息按照市财政要求，按时在单位官网予以公开。2021年预算编制说明在2021年3月23日公开。预算绩效管理将于本次公开。</w:t>
      </w:r>
    </w:p>
    <w:p>
      <w:pPr>
        <w:widowControl/>
        <w:numPr>
          <w:ilvl w:val="0"/>
          <w:numId w:val="5"/>
        </w:numPr>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自评质量</w:t>
      </w:r>
    </w:p>
    <w:p>
      <w:pPr>
        <w:widowControl/>
        <w:adjustRightInd w:val="0"/>
        <w:snapToGrid w:val="0"/>
        <w:spacing w:line="576" w:lineRule="exact"/>
        <w:contextualSpacing/>
        <w:jc w:val="left"/>
        <w:rPr>
          <w:rFonts w:ascii="仿宋_GB2312" w:hAnsi="宋体" w:eastAsia="仿宋_GB2312" w:cs="宋体"/>
          <w:kern w:val="0"/>
          <w:sz w:val="32"/>
          <w:szCs w:val="32"/>
          <w:shd w:val="clear" w:color="auto" w:fill="FFFFFF"/>
        </w:rPr>
      </w:pPr>
      <w:r>
        <w:rPr>
          <w:rFonts w:hint="eastAsia" w:ascii="仿宋_GB2312" w:hAnsi="宋体" w:eastAsia="仿宋_GB2312" w:cs="宋体"/>
          <w:kern w:val="0"/>
          <w:sz w:val="32"/>
          <w:szCs w:val="32"/>
          <w:shd w:val="clear" w:color="auto" w:fill="FFFFFF"/>
        </w:rPr>
        <w:t xml:space="preserve">   广元市国土空间规划编制研究中心部门整体支出自评得分与评价组抽查得分差异在5%以内。</w:t>
      </w:r>
    </w:p>
    <w:p>
      <w:pPr>
        <w:widowControl/>
        <w:adjustRightInd w:val="0"/>
        <w:snapToGrid w:val="0"/>
        <w:spacing w:line="576" w:lineRule="exact"/>
        <w:ind w:firstLine="640" w:firstLineChars="200"/>
        <w:contextualSpacing/>
        <w:jc w:val="left"/>
        <w:outlineLvl w:val="1"/>
        <w:rPr>
          <w:rFonts w:ascii="黑体" w:hAnsi="宋体" w:eastAsia="黑体" w:cs="宋体"/>
          <w:kern w:val="0"/>
          <w:sz w:val="32"/>
          <w:szCs w:val="32"/>
          <w:shd w:val="clear" w:color="auto" w:fill="FFFFFF"/>
        </w:rPr>
      </w:pPr>
      <w:bookmarkStart w:id="202" w:name="_Toc20781"/>
      <w:bookmarkStart w:id="203" w:name="_Toc10583"/>
      <w:bookmarkStart w:id="204" w:name="_Toc24667"/>
      <w:bookmarkStart w:id="205" w:name="_Toc28504"/>
      <w:bookmarkStart w:id="206" w:name="_Toc21159"/>
      <w:bookmarkStart w:id="207" w:name="_Toc13914"/>
      <w:r>
        <w:rPr>
          <w:rFonts w:hint="eastAsia" w:ascii="黑体" w:hAnsi="宋体" w:eastAsia="黑体" w:cs="宋体"/>
          <w:kern w:val="0"/>
          <w:sz w:val="32"/>
          <w:szCs w:val="32"/>
          <w:shd w:val="clear" w:color="auto" w:fill="FFFFFF"/>
        </w:rPr>
        <w:t>四、评价结论及建议</w:t>
      </w:r>
      <w:bookmarkEnd w:id="202"/>
      <w:bookmarkEnd w:id="203"/>
      <w:bookmarkEnd w:id="204"/>
      <w:bookmarkEnd w:id="205"/>
      <w:bookmarkEnd w:id="206"/>
      <w:bookmarkEnd w:id="207"/>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（一）评价结论</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lang w:val="zh-CN"/>
        </w:rPr>
        <w:t>总体来说，我中心2021年部门整体支出情况良好，项目决策符合国家政策方针，管理符合相关制度。从预算到执行和收入、支出等，都严格按相关制度要求进行，全年收支平衡。有效保证了机构运转，圆满完成了上级下达的目标任务。</w:t>
      </w:r>
    </w:p>
    <w:p>
      <w:pPr>
        <w:widowControl/>
        <w:numPr>
          <w:ilvl w:val="0"/>
          <w:numId w:val="6"/>
        </w:numPr>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存在问题</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rPr>
        <w:t>1.</w:t>
      </w:r>
      <w:r>
        <w:rPr>
          <w:rFonts w:hint="eastAsia" w:hAnsi="宋体" w:cs="宋体"/>
          <w:sz w:val="32"/>
          <w:szCs w:val="32"/>
          <w:shd w:val="clear" w:color="auto" w:fill="FFFFFF"/>
          <w:lang w:val="zh-CN"/>
        </w:rPr>
        <w:t>部分绩效指标及目标值有待进一步细化和量化。</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rPr>
        <w:t>2.</w:t>
      </w:r>
      <w:r>
        <w:rPr>
          <w:rFonts w:hint="eastAsia" w:hAnsi="宋体" w:cs="宋体"/>
          <w:sz w:val="32"/>
          <w:szCs w:val="32"/>
          <w:shd w:val="clear" w:color="auto" w:fill="FFFFFF"/>
          <w:lang w:val="zh-CN"/>
        </w:rPr>
        <w:t>尚未针对绩效考评制定比较明确的实施细则，有待进 一步完善</w:t>
      </w:r>
    </w:p>
    <w:p>
      <w:pPr>
        <w:widowControl/>
        <w:adjustRightInd w:val="0"/>
        <w:snapToGrid w:val="0"/>
        <w:spacing w:line="576" w:lineRule="exact"/>
        <w:ind w:firstLine="640" w:firstLineChars="200"/>
        <w:contextualSpacing/>
        <w:jc w:val="left"/>
        <w:rPr>
          <w:rFonts w:ascii="仿宋_GB2312" w:hAnsi="宋体" w:eastAsia="仿宋_GB2312" w:cs="宋体"/>
          <w:kern w:val="0"/>
          <w:sz w:val="32"/>
          <w:szCs w:val="32"/>
          <w:shd w:val="clear" w:color="auto" w:fill="FFFFFF"/>
          <w:lang w:val="zh-CN"/>
        </w:rPr>
      </w:pPr>
      <w:r>
        <w:rPr>
          <w:rFonts w:hint="eastAsia" w:ascii="仿宋_GB2312" w:hAnsi="宋体" w:eastAsia="仿宋_GB2312" w:cs="宋体"/>
          <w:kern w:val="0"/>
          <w:sz w:val="32"/>
          <w:szCs w:val="32"/>
          <w:shd w:val="clear" w:color="auto" w:fill="FFFFFF"/>
          <w:lang w:val="zh-CN"/>
        </w:rPr>
        <w:t>（三）改进建议</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rPr>
        <w:t>1.</w:t>
      </w:r>
      <w:r>
        <w:rPr>
          <w:rFonts w:hint="eastAsia" w:hAnsi="宋体" w:cs="宋体"/>
          <w:sz w:val="32"/>
          <w:szCs w:val="32"/>
          <w:shd w:val="clear" w:color="auto" w:fill="FFFFFF"/>
          <w:lang w:val="zh-CN"/>
        </w:rPr>
        <w:t>科学合理地设置绩效指标，提高预算绩效指标的针对性和可测性，充分发挥预算绩效目标管理的导向作用。</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rPr>
        <w:t>2.</w:t>
      </w:r>
      <w:r>
        <w:rPr>
          <w:rFonts w:hint="eastAsia" w:hAnsi="宋体" w:cs="宋体"/>
          <w:sz w:val="32"/>
          <w:szCs w:val="32"/>
          <w:shd w:val="clear" w:color="auto" w:fill="FFFFFF"/>
          <w:lang w:val="zh-CN"/>
        </w:rPr>
        <w:t>将预算编制与部门工作有机结合，进一步强化预算执行，提升财政资金使用效益。</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rPr>
        <w:t>3.</w:t>
      </w:r>
      <w:r>
        <w:rPr>
          <w:rFonts w:hint="eastAsia" w:hAnsi="宋体" w:cs="宋体"/>
          <w:sz w:val="32"/>
          <w:szCs w:val="32"/>
          <w:shd w:val="clear" w:color="auto" w:fill="FFFFFF"/>
          <w:lang w:val="zh-CN"/>
        </w:rPr>
        <w:t>建立和完善部门整体支出绩效考评实施细则，提高预算绩效管理水平。</w:t>
      </w:r>
    </w:p>
    <w:p>
      <w:pPr>
        <w:pStyle w:val="2"/>
        <w:spacing w:beforeLines="0" w:line="576" w:lineRule="exact"/>
        <w:ind w:firstLine="640" w:firstLineChars="200"/>
        <w:rPr>
          <w:rFonts w:hAnsi="宋体" w:cs="宋体"/>
          <w:sz w:val="32"/>
          <w:szCs w:val="32"/>
          <w:shd w:val="clear" w:color="auto" w:fill="FFFFFF"/>
          <w:lang w:val="zh-CN"/>
        </w:rPr>
      </w:pPr>
      <w:r>
        <w:rPr>
          <w:rFonts w:hint="eastAsia" w:hAnsi="宋体" w:cs="宋体"/>
          <w:sz w:val="32"/>
          <w:szCs w:val="32"/>
          <w:shd w:val="clear" w:color="auto" w:fill="FFFFFF"/>
        </w:rPr>
        <w:t>4.</w:t>
      </w:r>
      <w:r>
        <w:rPr>
          <w:rFonts w:hint="eastAsia" w:hAnsi="宋体" w:cs="宋体"/>
          <w:sz w:val="32"/>
          <w:szCs w:val="32"/>
          <w:shd w:val="clear" w:color="auto" w:fill="FFFFFF"/>
          <w:lang w:val="zh-CN"/>
        </w:rPr>
        <w:t>做好基础信息的收集和分析工作，建立相关数据库，为绩效指标值的设置提供有益参考。</w:t>
      </w:r>
    </w:p>
    <w:bookmarkEnd w:id="171"/>
    <w:p>
      <w:pPr>
        <w:pStyle w:val="2"/>
        <w:spacing w:beforeLines="0" w:line="576" w:lineRule="exact"/>
        <w:rPr>
          <w:lang w:val="zh-CN"/>
        </w:rPr>
      </w:pPr>
      <w:r>
        <w:rPr>
          <w:rFonts w:hint="eastAsia" w:hAnsi="宋体" w:cs="宋体"/>
          <w:sz w:val="32"/>
          <w:szCs w:val="32"/>
          <w:shd w:val="clear" w:color="auto" w:fill="FFFFFF"/>
          <w:lang w:val="zh-CN"/>
        </w:rPr>
        <w:t>附件</w:t>
      </w:r>
    </w:p>
    <w:p>
      <w:pPr>
        <w:spacing w:line="576"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p>
    <w:p>
      <w:pPr>
        <w:spacing w:line="576"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（国土空间规划编制工作经费）</w:t>
      </w:r>
    </w:p>
    <w:p>
      <w:pPr>
        <w:spacing w:line="576" w:lineRule="exact"/>
        <w:ind w:firstLine="640"/>
        <w:jc w:val="center"/>
        <w:rPr>
          <w:rFonts w:ascii="宋体" w:hAnsi="宋体"/>
          <w:sz w:val="32"/>
          <w:szCs w:val="32"/>
          <w:lang w:val="zh-CN"/>
        </w:rPr>
      </w:pPr>
    </w:p>
    <w:p>
      <w:pPr>
        <w:adjustRightInd w:val="0"/>
        <w:snapToGrid w:val="0"/>
        <w:spacing w:line="576" w:lineRule="exact"/>
        <w:ind w:firstLine="720"/>
        <w:outlineLvl w:val="1"/>
        <w:rPr>
          <w:rFonts w:ascii="黑体" w:hAnsi="宋体" w:eastAsia="黑体"/>
          <w:sz w:val="32"/>
          <w:szCs w:val="32"/>
          <w:lang w:val="zh-CN"/>
        </w:rPr>
      </w:pPr>
      <w:bookmarkStart w:id="208" w:name="_Toc26329"/>
      <w:bookmarkStart w:id="209" w:name="_Toc24724"/>
      <w:bookmarkStart w:id="210" w:name="_Toc22005"/>
      <w:bookmarkStart w:id="211" w:name="_Toc18934"/>
      <w:bookmarkStart w:id="212" w:name="_Toc16161"/>
      <w:bookmarkStart w:id="213" w:name="_Toc17923"/>
      <w:r>
        <w:rPr>
          <w:rFonts w:hint="eastAsia" w:ascii="黑体" w:hAnsi="宋体" w:eastAsia="黑体"/>
          <w:sz w:val="32"/>
          <w:szCs w:val="32"/>
        </w:rPr>
        <w:t>一、</w:t>
      </w:r>
      <w:r>
        <w:rPr>
          <w:rFonts w:hint="eastAsia" w:ascii="黑体" w:hAnsi="宋体" w:eastAsia="黑体"/>
          <w:sz w:val="32"/>
          <w:szCs w:val="32"/>
          <w:lang w:val="zh-CN"/>
        </w:rPr>
        <w:t>项目概况</w:t>
      </w:r>
      <w:bookmarkEnd w:id="208"/>
      <w:bookmarkEnd w:id="209"/>
      <w:bookmarkEnd w:id="210"/>
      <w:bookmarkEnd w:id="211"/>
      <w:bookmarkEnd w:id="212"/>
      <w:bookmarkEnd w:id="213"/>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承担市国土空间发展战略规划、公共政策、项目和计划的研究；拟订市国土空间规划管理相关技术标准和技术规定。受市人民政府或市自然资源局委托，组织编制、维护市级国土空间总体规划、中心城区详细规划、专项规划及城市设计、相关概念性规划。负责各县（区）国土空间规划、镇（乡）国土空间规划、村规划编制的技术指导工作。协调跨县（区）重大村镇项目规划编制工作。负责历史文化名城保护规划编制相关事务工作，指导名镇、名村和历史文化街区、传统村落规划编制工作。</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按照《中共中央、国务院关于建立国土空间规划体系并监督实施的若干意见》（中发〔2019〕18号）、《中共四川省委办公厅、四川省人民政府办公厅关于印发&lt;四川省建立国土空间规划体系并监督实施的实施方案&gt;的通知》（川委厅〔2020〕8号）文件要求，为保障2021年规划编制及监督实施顺利开展，我中心年初申报“国土空间规划编制监督实施工作经费”项目，主要用于国土空间规划编制前期调研评审、图纸打印展板制作、基础信息建设运行维护等支出，项目资金年初纳入部门预算，由中心领导审核报市财政局审批，经市人大批准下达30万元。</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我中心严格按照代管部门市自然资源局《广元市自然资源局财务管理制度（修订）》加强制度管理，规范使用资金；资金支持范围：主要用于开展规划编制工作前期实地调研勘察、图纸文本制作、会议室设备维修维护、网络运行维护等支出。项目资金支持方式：通过国库集中统一支付。</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4．资金分配的原则及考虑因素：优先考虑前期调研及规划方案图纸打印及展板制作、专业技术人员技术培训、设备维修维护及运转支出。</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认真履行规划编制职能职责，严格按照法定程序开展中心城区控规调整、专项规划调整、总体规划调整。邀请组织相关专家对项目进行现场踏勘指导，对经济技术指标充分论证，增强城市规划的科学性和权威性，服务广元城乡规划建设，做好项目要素保障。</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2．项目应实现2021年12月31日前，完成15个中心城区地块控制性详细规划调整、完成3项专项规划调整。</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对照《2022年市级专项预算项目支出绩效评价指标体系》，对2021年预算编制和执行情况、财政资金收支管理情况以及项目资金管理情况逐一核实、打分。</w:t>
      </w:r>
    </w:p>
    <w:p>
      <w:pPr>
        <w:adjustRightInd w:val="0"/>
        <w:snapToGrid w:val="0"/>
        <w:spacing w:line="576" w:lineRule="exact"/>
        <w:ind w:firstLine="720"/>
        <w:outlineLvl w:val="1"/>
        <w:rPr>
          <w:rFonts w:ascii="黑体" w:hAnsi="宋体" w:eastAsia="黑体"/>
          <w:sz w:val="32"/>
          <w:szCs w:val="32"/>
        </w:rPr>
      </w:pPr>
      <w:bookmarkStart w:id="214" w:name="_Toc22344"/>
      <w:bookmarkStart w:id="215" w:name="_Toc22437"/>
      <w:bookmarkStart w:id="216" w:name="_Toc6736"/>
      <w:bookmarkStart w:id="217" w:name="_Toc13018"/>
      <w:bookmarkStart w:id="218" w:name="_Toc11807"/>
      <w:bookmarkStart w:id="219" w:name="_Toc3628"/>
      <w:r>
        <w:rPr>
          <w:rFonts w:hint="eastAsia" w:ascii="黑体" w:hAnsi="宋体" w:eastAsia="黑体"/>
          <w:sz w:val="32"/>
          <w:szCs w:val="32"/>
        </w:rPr>
        <w:t>二、项目资金申报及使用情况</w:t>
      </w:r>
      <w:bookmarkEnd w:id="214"/>
      <w:bookmarkEnd w:id="215"/>
      <w:bookmarkEnd w:id="216"/>
      <w:bookmarkEnd w:id="217"/>
      <w:bookmarkEnd w:id="218"/>
      <w:bookmarkEnd w:id="219"/>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76" w:lineRule="exact"/>
        <w:ind w:firstLine="113"/>
        <w:rPr>
          <w:rFonts w:ascii="仿宋_GB2312" w:hAnsi="宋体" w:eastAsia="仿宋_GB2312"/>
          <w:sz w:val="32"/>
          <w:szCs w:val="32"/>
          <w:lang w:val="zh-CN"/>
        </w:rPr>
      </w:pPr>
      <w:r>
        <w:rPr>
          <w:rFonts w:hint="eastAsia" w:ascii="仿宋_GB2312" w:hAnsi="宋体" w:eastAsia="仿宋_GB2312"/>
          <w:sz w:val="32"/>
          <w:szCs w:val="32"/>
          <w:lang w:val="zh-CN"/>
        </w:rPr>
        <w:t>该项目资金年初纳入部门预算，由中心领导审核报市财政局审批，经市人大会批准下达30万元，当年无预算调整。</w:t>
      </w:r>
    </w:p>
    <w:p>
      <w:pPr>
        <w:adjustRightInd w:val="0"/>
        <w:snapToGrid w:val="0"/>
        <w:spacing w:line="576" w:lineRule="exact"/>
        <w:ind w:firstLine="113"/>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numPr>
          <w:ilvl w:val="0"/>
          <w:numId w:val="7"/>
        </w:numPr>
        <w:adjustRightInd w:val="0"/>
        <w:snapToGrid w:val="0"/>
        <w:spacing w:line="576"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年初预算30万元，其中中央、省财政资金0万元，市财政资金30万元，项目单位自筹资金0万元，其他渠道资金0万元。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该项目资金到位30万元。其中中央、省财政资金0万元，市财政资金30万元，项目单位自筹资金0万元，其他渠道资金0万元。</w:t>
      </w:r>
    </w:p>
    <w:p>
      <w:pPr>
        <w:adjustRightInd w:val="0"/>
        <w:snapToGrid w:val="0"/>
        <w:spacing w:line="576"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截止评价时该项目支出30万元，预算完成率100%。资金使用安全，符合规定，资金支付范围、支付标准、支付进度、支付依据等合规合法，与预算相符。</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中心内部财务管理制度健全，会计核算准确，会计档案管理规范。在财政资金管理中，一是实行国库集中支付;二是加强银行账户管理,严格执行账户开立、使用、管理有关规定，通过强化银行监管，遏制多头开户行为;三是强化财政监督管理，加强内部管理，规范财政行为，确保资金安全。</w:t>
      </w:r>
    </w:p>
    <w:p>
      <w:pPr>
        <w:adjustRightInd w:val="0"/>
        <w:snapToGrid w:val="0"/>
        <w:spacing w:line="576" w:lineRule="exact"/>
        <w:ind w:firstLine="720"/>
        <w:outlineLvl w:val="1"/>
        <w:rPr>
          <w:rFonts w:ascii="黑体" w:hAnsi="宋体" w:eastAsia="黑体"/>
          <w:sz w:val="32"/>
          <w:szCs w:val="32"/>
        </w:rPr>
      </w:pPr>
      <w:bookmarkStart w:id="220" w:name="_Toc17821"/>
      <w:bookmarkStart w:id="221" w:name="_Toc28157"/>
      <w:bookmarkStart w:id="222" w:name="_Toc7378"/>
      <w:bookmarkStart w:id="223" w:name="_Toc30035"/>
      <w:bookmarkStart w:id="224" w:name="_Toc21102"/>
      <w:bookmarkStart w:id="225" w:name="_Toc23109"/>
      <w:r>
        <w:rPr>
          <w:rFonts w:hint="eastAsia" w:ascii="黑体" w:hAnsi="宋体" w:eastAsia="黑体"/>
          <w:sz w:val="32"/>
          <w:szCs w:val="32"/>
        </w:rPr>
        <w:t>三、项目实施及管理情况</w:t>
      </w:r>
      <w:bookmarkEnd w:id="220"/>
      <w:bookmarkEnd w:id="221"/>
      <w:bookmarkEnd w:id="222"/>
      <w:bookmarkEnd w:id="223"/>
      <w:bookmarkEnd w:id="224"/>
      <w:bookmarkEnd w:id="225"/>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2"/>
        <w:spacing w:beforeLines="0" w:line="576" w:lineRule="exact"/>
        <w:ind w:firstLine="640" w:firstLineChars="200"/>
        <w:rPr>
          <w:lang w:val="zh-CN"/>
        </w:rPr>
      </w:pPr>
      <w:r>
        <w:rPr>
          <w:rFonts w:hint="eastAsia" w:hAnsi="宋体"/>
          <w:kern w:val="2"/>
          <w:sz w:val="32"/>
          <w:szCs w:val="32"/>
          <w:lang w:val="zh-CN"/>
        </w:rPr>
        <w:t>该项目主要用于维护国土空间规划编制工作日常运转，项目支付纳入部门预算统一核算监督，按照单位业务流程完成年初项目计划，按照单位财务管理制度支付资金，全年无招投标及政府采购支付情况。</w:t>
      </w:r>
    </w:p>
    <w:p>
      <w:pPr>
        <w:numPr>
          <w:ilvl w:val="0"/>
          <w:numId w:val="8"/>
        </w:num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项目管理情况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我中心严格按照代管部门市自然资源局《广元市自然资源局财务管理制度（修订）》加强制度管理，规范使用资金，为项目资金的使用管理提供制度保障。全年无招投标及政府采购支付情况。</w:t>
      </w:r>
    </w:p>
    <w:p>
      <w:pPr>
        <w:numPr>
          <w:ilvl w:val="0"/>
          <w:numId w:val="8"/>
        </w:numPr>
        <w:adjustRightInd w:val="0"/>
        <w:snapToGrid w:val="0"/>
        <w:spacing w:line="576" w:lineRule="exact"/>
        <w:ind w:firstLine="640"/>
        <w:rPr>
          <w:rFonts w:ascii="楷体_GB2312" w:hAnsi="宋体" w:eastAsia="楷体_GB2312"/>
          <w:b/>
          <w:sz w:val="32"/>
          <w:szCs w:val="32"/>
          <w:lang w:val="zh-CN"/>
        </w:rPr>
      </w:pPr>
      <w:r>
        <w:rPr>
          <w:rFonts w:hint="eastAsia" w:ascii="楷体_GB2312" w:hAnsi="宋体" w:eastAsia="楷体_GB2312"/>
          <w:b/>
          <w:sz w:val="32"/>
          <w:szCs w:val="32"/>
          <w:lang w:val="zh-CN"/>
        </w:rPr>
        <w:t>项目监管情况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申报通过报中心主任办公会集体讨论审议，同时积极主动配合市财政局填写项目绩效申报表，按时上交绩效目标自评报告，配合市财政局等部门监管监督，将绩效评估结果用于调整预算项目、资金规模、支出方向等。资金使用方面各项支出按照市委市政府和市财政局印发的各项管理办法严格执行。</w:t>
      </w:r>
    </w:p>
    <w:p>
      <w:pPr>
        <w:adjustRightInd w:val="0"/>
        <w:snapToGrid w:val="0"/>
        <w:spacing w:line="576" w:lineRule="exact"/>
        <w:ind w:firstLine="720"/>
        <w:outlineLvl w:val="1"/>
        <w:rPr>
          <w:rFonts w:ascii="仿宋_GB2312" w:hAnsi="宋体" w:eastAsia="仿宋_GB2312"/>
          <w:sz w:val="32"/>
          <w:szCs w:val="32"/>
          <w:lang w:val="zh-CN"/>
        </w:rPr>
      </w:pPr>
      <w:bookmarkStart w:id="226" w:name="_Toc27470"/>
      <w:bookmarkStart w:id="227" w:name="_Toc26855"/>
      <w:bookmarkStart w:id="228" w:name="_Toc3980"/>
      <w:bookmarkStart w:id="229" w:name="_Toc14777"/>
      <w:bookmarkStart w:id="230" w:name="_Toc4871"/>
      <w:bookmarkStart w:id="231" w:name="_Toc3030"/>
      <w:r>
        <w:rPr>
          <w:rFonts w:hint="eastAsia" w:ascii="黑体" w:hAnsi="宋体" w:eastAsia="黑体"/>
          <w:sz w:val="32"/>
          <w:szCs w:val="32"/>
        </w:rPr>
        <w:t>四、项目绩效情况</w:t>
      </w:r>
      <w:bookmarkEnd w:id="226"/>
      <w:bookmarkEnd w:id="227"/>
      <w:bookmarkEnd w:id="228"/>
      <w:bookmarkEnd w:id="229"/>
      <w:bookmarkEnd w:id="230"/>
      <w:bookmarkEnd w:id="231"/>
      <w:r>
        <w:rPr>
          <w:rFonts w:hint="eastAsia" w:ascii="仿宋_GB2312" w:hAnsi="宋体" w:eastAsia="仿宋_GB2312"/>
          <w:sz w:val="32"/>
          <w:szCs w:val="32"/>
          <w:lang w:val="zh-CN"/>
        </w:rPr>
        <w:tab/>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完成9个中心城区控制性详细规划调整、完成3项专项规划调整。</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从社会效益和可持续影响效益上看，优化广元城市规划建设、提升城市形象、助推城市发展同时对广元市城市建设规划具有长期影响。</w:t>
      </w:r>
    </w:p>
    <w:p>
      <w:pPr>
        <w:adjustRightInd w:val="0"/>
        <w:snapToGrid w:val="0"/>
        <w:spacing w:line="576" w:lineRule="exact"/>
        <w:ind w:firstLine="720"/>
        <w:outlineLvl w:val="1"/>
        <w:rPr>
          <w:rFonts w:ascii="黑体" w:hAnsi="宋体" w:eastAsia="黑体"/>
          <w:sz w:val="32"/>
          <w:szCs w:val="32"/>
        </w:rPr>
      </w:pPr>
      <w:bookmarkStart w:id="232" w:name="_Toc25093"/>
      <w:bookmarkStart w:id="233" w:name="_Toc6474"/>
      <w:bookmarkStart w:id="234" w:name="_Toc9475"/>
      <w:bookmarkStart w:id="235" w:name="_Toc1525"/>
      <w:bookmarkStart w:id="236" w:name="_Toc2514"/>
      <w:bookmarkStart w:id="237" w:name="_Toc21053"/>
      <w:r>
        <w:rPr>
          <w:rFonts w:hint="eastAsia" w:ascii="黑体" w:hAnsi="宋体" w:eastAsia="黑体"/>
          <w:sz w:val="32"/>
          <w:szCs w:val="32"/>
        </w:rPr>
        <w:t>五、评价结论及建议</w:t>
      </w:r>
      <w:bookmarkEnd w:id="232"/>
      <w:bookmarkEnd w:id="233"/>
      <w:bookmarkEnd w:id="234"/>
      <w:bookmarkEnd w:id="235"/>
      <w:bookmarkEnd w:id="236"/>
      <w:bookmarkEnd w:id="237"/>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中心预算编制完整，预算执行到位，做到了财务公开、会计核算真实、规范，没有截留、挪用财政资金、擅自扩大或缩小资金使用范围、改变资金用途等现象，未在项目申报中弄虚作假，套取财政资金，保证了专项资金专款专用。</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规划项目的特点是规划控制，实施过程长，经济效益、社会效益以及其他效益体现不明显，因此绩效评价工作需特殊处理。</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对仅纳入部门预算核算、未达到一定资金规模且项目内容主要用于支持单位运转的小型项目，开展项目绩效评价时应区别于基建预算的大型项目，对照《2022年市级专项预算项目支出绩效评价指标体系》大部分评分项也不适用于此类项目，建议简化此类项目绩效评价。</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进一步建立长效机制，落实好财政项资金的管理和使用，通过项目为载体发挥巨大的社会价值，继续探索好的做法，抓好项目后续管理工作，加强部门预算整体绩效管理的指导和培训，增强提高绩效管理业务人员绩效管理能力、专业素质和思想水平，争取把国家专项资金的有效价值发挥到最大化。</w:t>
      </w:r>
    </w:p>
    <w:p>
      <w:pPr>
        <w:pStyle w:val="2"/>
        <w:spacing w:before="93"/>
        <w:rPr>
          <w:rFonts w:hAnsi="宋体"/>
          <w:sz w:val="32"/>
          <w:szCs w:val="32"/>
          <w:lang w:val="zh-CN"/>
        </w:rPr>
      </w:pPr>
    </w:p>
    <w:p>
      <w:pPr>
        <w:pStyle w:val="2"/>
        <w:spacing w:before="93"/>
        <w:rPr>
          <w:rFonts w:hAnsi="宋体"/>
          <w:sz w:val="32"/>
          <w:szCs w:val="32"/>
          <w:lang w:val="zh-CN"/>
        </w:rPr>
      </w:pPr>
    </w:p>
    <w:p>
      <w:pPr>
        <w:pStyle w:val="2"/>
        <w:spacing w:before="93"/>
        <w:rPr>
          <w:rFonts w:hAnsi="宋体"/>
          <w:sz w:val="32"/>
          <w:szCs w:val="32"/>
          <w:lang w:val="zh-CN"/>
        </w:rPr>
      </w:pPr>
    </w:p>
    <w:tbl>
      <w:tblPr>
        <w:tblStyle w:val="12"/>
        <w:tblpPr w:leftFromText="180" w:rightFromText="180" w:vertAnchor="text" w:horzAnchor="page" w:tblpX="1281" w:tblpY="660"/>
        <w:tblOverlap w:val="never"/>
        <w:tblW w:w="9982" w:type="dxa"/>
        <w:tblInd w:w="0" w:type="dxa"/>
        <w:tblLayout w:type="fixed"/>
        <w:tblCellMar>
          <w:top w:w="0" w:type="dxa"/>
          <w:left w:w="108" w:type="dxa"/>
          <w:bottom w:w="0" w:type="dxa"/>
          <w:right w:w="108" w:type="dxa"/>
        </w:tblCellMar>
      </w:tblPr>
      <w:tblGrid>
        <w:gridCol w:w="1118"/>
        <w:gridCol w:w="1198"/>
        <w:gridCol w:w="1306"/>
        <w:gridCol w:w="1029"/>
        <w:gridCol w:w="1244"/>
        <w:gridCol w:w="1844"/>
        <w:gridCol w:w="215"/>
        <w:gridCol w:w="2028"/>
      </w:tblGrid>
      <w:tr>
        <w:tblPrEx>
          <w:tblCellMar>
            <w:top w:w="0" w:type="dxa"/>
            <w:left w:w="108" w:type="dxa"/>
            <w:bottom w:w="0" w:type="dxa"/>
            <w:right w:w="108" w:type="dxa"/>
          </w:tblCellMar>
        </w:tblPrEx>
        <w:trPr>
          <w:trHeight w:val="675" w:hRule="atLeast"/>
        </w:trPr>
        <w:tc>
          <w:tcPr>
            <w:tcW w:w="9746" w:type="dxa"/>
            <w:gridSpan w:val="8"/>
            <w:tcBorders>
              <w:top w:val="nil"/>
              <w:left w:val="nil"/>
              <w:bottom w:val="nil"/>
              <w:right w:val="nil"/>
            </w:tcBorders>
            <w:vAlign w:val="center"/>
          </w:tcPr>
          <w:p>
            <w:pPr>
              <w:widowControl/>
              <w:spacing w:line="576" w:lineRule="exact"/>
              <w:jc w:val="center"/>
              <w:textAlignment w:val="center"/>
              <w:rPr>
                <w:rFonts w:ascii="宋体" w:hAnsi="宋体" w:cs="宋体"/>
                <w:b/>
                <w:sz w:val="32"/>
                <w:szCs w:val="32"/>
              </w:rPr>
            </w:pPr>
            <w:r>
              <w:rPr>
                <w:rFonts w:hint="eastAsia" w:ascii="宋体" w:hAnsi="宋体" w:cs="宋体"/>
                <w:b/>
                <w:sz w:val="32"/>
                <w:szCs w:val="32"/>
              </w:rPr>
              <w:t>2021年部门预算项目绩效目标自评</w:t>
            </w:r>
          </w:p>
        </w:tc>
      </w:tr>
      <w:tr>
        <w:tblPrEx>
          <w:tblCellMar>
            <w:top w:w="0" w:type="dxa"/>
            <w:left w:w="108" w:type="dxa"/>
            <w:bottom w:w="0" w:type="dxa"/>
            <w:right w:w="108" w:type="dxa"/>
          </w:tblCellMar>
        </w:tblPrEx>
        <w:trPr>
          <w:trHeight w:val="757" w:hRule="atLeast"/>
        </w:trPr>
        <w:tc>
          <w:tcPr>
            <w:tcW w:w="226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主管部门及代码</w:t>
            </w:r>
          </w:p>
        </w:tc>
        <w:tc>
          <w:tcPr>
            <w:tcW w:w="3495" w:type="dxa"/>
            <w:gridSpan w:val="3"/>
            <w:tcBorders>
              <w:top w:val="single" w:color="000000" w:sz="4" w:space="0"/>
              <w:left w:val="single" w:color="000000" w:sz="4" w:space="0"/>
              <w:bottom w:val="single" w:color="000000" w:sz="4" w:space="0"/>
              <w:right w:val="single" w:color="000000" w:sz="4" w:space="0"/>
            </w:tcBorders>
          </w:tcPr>
          <w:p>
            <w:pPr>
              <w:pStyle w:val="2"/>
              <w:spacing w:before="93" w:line="240" w:lineRule="atLeast"/>
              <w:jc w:val="center"/>
              <w:rPr>
                <w:rFonts w:hAnsi="仿宋_GB2312" w:cs="仿宋_GB2312"/>
                <w:sz w:val="21"/>
                <w:szCs w:val="21"/>
              </w:rPr>
            </w:pPr>
            <w:r>
              <w:rPr>
                <w:rFonts w:hint="eastAsia" w:hAnsi="仿宋_GB2312" w:cs="仿宋_GB2312"/>
                <w:sz w:val="21"/>
                <w:szCs w:val="21"/>
              </w:rPr>
              <w:t>广元市国土空间规划编制研究中心341001</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实施单位</w:t>
            </w:r>
          </w:p>
        </w:tc>
        <w:tc>
          <w:tcPr>
            <w:tcW w:w="2190" w:type="dxa"/>
            <w:gridSpan w:val="2"/>
            <w:tcBorders>
              <w:top w:val="single" w:color="000000" w:sz="4" w:space="0"/>
              <w:left w:val="single" w:color="000000" w:sz="4" w:space="0"/>
              <w:bottom w:val="single" w:color="000000" w:sz="4" w:space="0"/>
              <w:right w:val="single" w:color="000000" w:sz="4" w:space="0"/>
            </w:tcBorders>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广元市国土空间规划编制研究中心</w:t>
            </w:r>
          </w:p>
        </w:tc>
      </w:tr>
      <w:tr>
        <w:tblPrEx>
          <w:tblCellMar>
            <w:top w:w="0" w:type="dxa"/>
            <w:left w:w="108" w:type="dxa"/>
            <w:bottom w:w="0" w:type="dxa"/>
            <w:right w:w="108" w:type="dxa"/>
          </w:tblCellMar>
        </w:tblPrEx>
        <w:trPr>
          <w:trHeight w:val="90" w:hRule="atLeast"/>
        </w:trPr>
        <w:tc>
          <w:tcPr>
            <w:tcW w:w="2261" w:type="dxa"/>
            <w:gridSpan w:val="2"/>
            <w:vMerge w:val="restart"/>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项目预算</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执行情况</w:t>
            </w:r>
            <w:r>
              <w:rPr>
                <w:rFonts w:hint="eastAsia" w:ascii="仿宋_GB2312" w:hAnsi="仿宋_GB2312" w:eastAsia="仿宋_GB2312" w:cs="仿宋_GB2312"/>
                <w:kern w:val="0"/>
                <w:szCs w:val="21"/>
              </w:rPr>
              <w:br w:type="textWrapping"/>
            </w:r>
            <w:r>
              <w:rPr>
                <w:rFonts w:hint="eastAsia" w:ascii="仿宋_GB2312" w:hAnsi="仿宋_GB2312" w:eastAsia="仿宋_GB2312" w:cs="仿宋_GB2312"/>
                <w:kern w:val="0"/>
                <w:szCs w:val="21"/>
              </w:rPr>
              <w:t>（万元）</w:t>
            </w: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预算数：</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执行数：</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w:t>
            </w:r>
          </w:p>
        </w:tc>
      </w:tr>
      <w:tr>
        <w:tblPrEx>
          <w:tblCellMar>
            <w:top w:w="0" w:type="dxa"/>
            <w:left w:w="108" w:type="dxa"/>
            <w:bottom w:w="0" w:type="dxa"/>
            <w:right w:w="108" w:type="dxa"/>
          </w:tblCellMar>
        </w:tblPrEx>
        <w:trPr>
          <w:trHeight w:val="555" w:hRule="atLeast"/>
        </w:trPr>
        <w:tc>
          <w:tcPr>
            <w:tcW w:w="22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kern w:val="0"/>
                <w:szCs w:val="21"/>
              </w:rPr>
            </w:pP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其中：财政拨款</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w:t>
            </w: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其中：财政拨款</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w:t>
            </w:r>
          </w:p>
        </w:tc>
      </w:tr>
      <w:tr>
        <w:tblPrEx>
          <w:tblCellMar>
            <w:top w:w="0" w:type="dxa"/>
            <w:left w:w="108" w:type="dxa"/>
            <w:bottom w:w="0" w:type="dxa"/>
            <w:right w:w="108" w:type="dxa"/>
          </w:tblCellMar>
        </w:tblPrEx>
        <w:trPr>
          <w:trHeight w:val="341" w:hRule="atLeast"/>
        </w:trPr>
        <w:tc>
          <w:tcPr>
            <w:tcW w:w="2261"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kern w:val="0"/>
                <w:szCs w:val="21"/>
              </w:rPr>
            </w:pPr>
          </w:p>
        </w:tc>
        <w:tc>
          <w:tcPr>
            <w:tcW w:w="228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其他资金</w:t>
            </w:r>
          </w:p>
        </w:tc>
        <w:tc>
          <w:tcPr>
            <w:tcW w:w="12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p>
        </w:tc>
        <w:tc>
          <w:tcPr>
            <w:tcW w:w="180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其他资金</w:t>
            </w:r>
          </w:p>
        </w:tc>
        <w:tc>
          <w:tcPr>
            <w:tcW w:w="219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p>
        </w:tc>
      </w:tr>
      <w:tr>
        <w:tblPrEx>
          <w:tblCellMar>
            <w:top w:w="0" w:type="dxa"/>
            <w:left w:w="108" w:type="dxa"/>
            <w:bottom w:w="0" w:type="dxa"/>
            <w:right w:w="108" w:type="dxa"/>
          </w:tblCellMar>
        </w:tblPrEx>
        <w:trPr>
          <w:trHeight w:val="217" w:hRule="atLeast"/>
        </w:trPr>
        <w:tc>
          <w:tcPr>
            <w:tcW w:w="1091" w:type="dxa"/>
            <w:vMerge w:val="restart"/>
            <w:tcBorders>
              <w:top w:val="single" w:color="000000" w:sz="4" w:space="0"/>
              <w:left w:val="single" w:color="000000" w:sz="4" w:space="0"/>
              <w:bottom w:val="single" w:color="000000" w:sz="4" w:space="0"/>
              <w:right w:val="single" w:color="000000" w:sz="4" w:space="0"/>
            </w:tcBorders>
            <w:vAlign w:val="center"/>
          </w:tcPr>
          <w:p>
            <w:pPr>
              <w:pStyle w:val="2"/>
              <w:spacing w:before="93" w:line="240" w:lineRule="atLeast"/>
              <w:rPr>
                <w:rFonts w:hAnsi="仿宋_GB2312" w:cs="仿宋_GB2312"/>
                <w:sz w:val="21"/>
                <w:szCs w:val="21"/>
              </w:rPr>
            </w:pPr>
            <w:r>
              <w:rPr>
                <w:rFonts w:hint="eastAsia" w:hAnsi="仿宋_GB2312" w:cs="仿宋_GB2312"/>
                <w:sz w:val="21"/>
                <w:szCs w:val="21"/>
              </w:rPr>
              <w:t>年度总体目标</w:t>
            </w:r>
          </w:p>
          <w:p>
            <w:pPr>
              <w:pStyle w:val="2"/>
              <w:spacing w:before="93" w:line="240" w:lineRule="atLeast"/>
              <w:rPr>
                <w:rFonts w:hAnsi="仿宋_GB2312" w:cs="仿宋_GB2312"/>
                <w:sz w:val="21"/>
                <w:szCs w:val="21"/>
              </w:rPr>
            </w:pPr>
            <w:r>
              <w:rPr>
                <w:rFonts w:hint="eastAsia" w:hAnsi="仿宋_GB2312" w:cs="仿宋_GB2312"/>
                <w:sz w:val="21"/>
                <w:szCs w:val="21"/>
              </w:rPr>
              <w:t>完成情况</w:t>
            </w:r>
          </w:p>
        </w:tc>
        <w:tc>
          <w:tcPr>
            <w:tcW w:w="4665" w:type="dxa"/>
            <w:gridSpan w:val="4"/>
            <w:tcBorders>
              <w:top w:val="single" w:color="000000" w:sz="4" w:space="0"/>
              <w:left w:val="single" w:color="000000" w:sz="4" w:space="0"/>
              <w:bottom w:val="single" w:color="000000" w:sz="4" w:space="0"/>
              <w:right w:val="single" w:color="000000" w:sz="4" w:space="0"/>
            </w:tcBorders>
            <w:vAlign w:val="center"/>
          </w:tcPr>
          <w:p>
            <w:pPr>
              <w:pStyle w:val="2"/>
              <w:spacing w:before="93" w:line="240" w:lineRule="atLeast"/>
              <w:jc w:val="center"/>
              <w:rPr>
                <w:rFonts w:hAnsi="仿宋_GB2312" w:cs="仿宋_GB2312"/>
                <w:sz w:val="21"/>
                <w:szCs w:val="21"/>
              </w:rPr>
            </w:pPr>
            <w:r>
              <w:rPr>
                <w:rFonts w:hint="eastAsia" w:hAnsi="仿宋_GB2312" w:cs="仿宋_GB2312"/>
                <w:sz w:val="21"/>
                <w:szCs w:val="21"/>
              </w:rPr>
              <w:t>预期目标</w:t>
            </w:r>
          </w:p>
        </w:tc>
        <w:tc>
          <w:tcPr>
            <w:tcW w:w="3990" w:type="dxa"/>
            <w:gridSpan w:val="3"/>
            <w:tcBorders>
              <w:top w:val="single" w:color="000000" w:sz="4" w:space="0"/>
              <w:left w:val="single" w:color="000000" w:sz="4" w:space="0"/>
              <w:bottom w:val="single" w:color="000000" w:sz="4" w:space="0"/>
              <w:right w:val="single" w:color="000000" w:sz="4" w:space="0"/>
            </w:tcBorders>
            <w:vAlign w:val="center"/>
          </w:tcPr>
          <w:p>
            <w:pPr>
              <w:pStyle w:val="2"/>
              <w:spacing w:before="93" w:line="240" w:lineRule="atLeast"/>
              <w:jc w:val="center"/>
              <w:rPr>
                <w:rFonts w:hAnsi="仿宋_GB2312" w:cs="仿宋_GB2312"/>
                <w:sz w:val="21"/>
                <w:szCs w:val="21"/>
              </w:rPr>
            </w:pPr>
            <w:r>
              <w:rPr>
                <w:rFonts w:hint="eastAsia" w:hAnsi="仿宋_GB2312" w:cs="仿宋_GB2312"/>
                <w:sz w:val="21"/>
                <w:szCs w:val="21"/>
              </w:rPr>
              <w:t>目标实际完成情况</w:t>
            </w:r>
          </w:p>
        </w:tc>
      </w:tr>
      <w:tr>
        <w:tblPrEx>
          <w:tblCellMar>
            <w:top w:w="0" w:type="dxa"/>
            <w:left w:w="108" w:type="dxa"/>
            <w:bottom w:w="0" w:type="dxa"/>
            <w:right w:w="108" w:type="dxa"/>
          </w:tblCellMar>
        </w:tblPrEx>
        <w:trPr>
          <w:trHeight w:val="1665" w:hRule="atLeast"/>
        </w:trPr>
        <w:tc>
          <w:tcPr>
            <w:tcW w:w="1091" w:type="dxa"/>
            <w:vMerge w:val="continue"/>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4665" w:type="dxa"/>
            <w:gridSpan w:val="4"/>
            <w:tcBorders>
              <w:top w:val="single" w:color="000000" w:sz="4" w:space="0"/>
              <w:left w:val="single" w:color="000000" w:sz="4" w:space="0"/>
              <w:bottom w:val="single" w:color="000000" w:sz="4" w:space="0"/>
              <w:right w:val="single" w:color="000000" w:sz="4" w:space="0"/>
            </w:tcBorders>
          </w:tcPr>
          <w:p>
            <w:pPr>
              <w:pStyle w:val="2"/>
              <w:spacing w:before="93" w:line="240" w:lineRule="atLeast"/>
              <w:rPr>
                <w:rFonts w:hAnsi="仿宋_GB2312" w:cs="仿宋_GB2312"/>
                <w:sz w:val="21"/>
                <w:szCs w:val="21"/>
              </w:rPr>
            </w:pPr>
            <w:r>
              <w:rPr>
                <w:rFonts w:hint="eastAsia" w:hAnsi="仿宋_GB2312" w:cs="仿宋_GB2312"/>
                <w:sz w:val="21"/>
                <w:szCs w:val="21"/>
              </w:rPr>
              <w:t>认真履行规划编制职能职责，严格按照法定程序启动中心城区控规调整、专项规划调整、总体规划调整。邀请组织相关专家对项目进行现场踏勘指导，对经济技术指标充分论证，增强城市规划的科学性和权威性。</w:t>
            </w:r>
          </w:p>
        </w:tc>
        <w:tc>
          <w:tcPr>
            <w:tcW w:w="3990" w:type="dxa"/>
            <w:gridSpan w:val="3"/>
            <w:tcBorders>
              <w:top w:val="single" w:color="000000" w:sz="4" w:space="0"/>
              <w:left w:val="single" w:color="000000" w:sz="4" w:space="0"/>
              <w:bottom w:val="single" w:color="000000" w:sz="4" w:space="0"/>
              <w:right w:val="single" w:color="000000" w:sz="4" w:space="0"/>
            </w:tcBorders>
          </w:tcPr>
          <w:p>
            <w:pPr>
              <w:pStyle w:val="2"/>
              <w:spacing w:before="93" w:line="240" w:lineRule="atLeast"/>
              <w:rPr>
                <w:rFonts w:hAnsi="仿宋_GB2312" w:cs="仿宋_GB2312"/>
                <w:sz w:val="21"/>
                <w:szCs w:val="21"/>
                <w:lang w:val="zh-CN"/>
              </w:rPr>
            </w:pPr>
            <w:r>
              <w:rPr>
                <w:rFonts w:hint="eastAsia" w:hAnsi="仿宋_GB2312" w:cs="仿宋_GB2312"/>
                <w:sz w:val="21"/>
                <w:szCs w:val="21"/>
              </w:rPr>
              <w:t>增强了城市规划的科学性和权威性，服务了广元城乡规划建设，做好了项目要素保障。</w:t>
            </w:r>
          </w:p>
          <w:p>
            <w:pPr>
              <w:widowControl/>
              <w:spacing w:line="240" w:lineRule="atLeast"/>
              <w:jc w:val="left"/>
              <w:textAlignment w:val="top"/>
              <w:rPr>
                <w:rFonts w:ascii="仿宋_GB2312" w:hAnsi="仿宋_GB2312" w:eastAsia="仿宋_GB2312" w:cs="仿宋_GB2312"/>
                <w:szCs w:val="21"/>
              </w:rPr>
            </w:pPr>
          </w:p>
        </w:tc>
      </w:tr>
      <w:tr>
        <w:tblPrEx>
          <w:tblCellMar>
            <w:top w:w="0" w:type="dxa"/>
            <w:left w:w="108" w:type="dxa"/>
            <w:bottom w:w="0" w:type="dxa"/>
            <w:right w:w="108" w:type="dxa"/>
          </w:tblCellMar>
        </w:tblPrEx>
        <w:trPr>
          <w:trHeight w:val="681" w:hRule="atLeast"/>
        </w:trPr>
        <w:tc>
          <w:tcPr>
            <w:tcW w:w="1091" w:type="dxa"/>
            <w:vMerge w:val="restart"/>
            <w:tcBorders>
              <w:top w:val="single" w:color="000000" w:sz="4" w:space="0"/>
              <w:left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年度绩效指标完成情况</w:t>
            </w:r>
          </w:p>
        </w:tc>
        <w:tc>
          <w:tcPr>
            <w:tcW w:w="1170" w:type="dxa"/>
            <w:tcBorders>
              <w:top w:val="single" w:color="000000" w:sz="4" w:space="0"/>
              <w:left w:val="nil"/>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一级</w:t>
            </w:r>
          </w:p>
          <w:p>
            <w:pPr>
              <w:widowControl/>
              <w:spacing w:line="240" w:lineRule="atLeas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二级</w:t>
            </w:r>
          </w:p>
          <w:p>
            <w:pPr>
              <w:widowControl/>
              <w:spacing w:line="240" w:lineRule="atLeas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三级</w:t>
            </w:r>
          </w:p>
          <w:p>
            <w:pPr>
              <w:widowControl/>
              <w:spacing w:line="240" w:lineRule="atLeas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预期指标值</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实际完成指标值</w:t>
            </w:r>
          </w:p>
        </w:tc>
      </w:tr>
      <w:tr>
        <w:tblPrEx>
          <w:tblCellMar>
            <w:top w:w="0" w:type="dxa"/>
            <w:left w:w="108" w:type="dxa"/>
            <w:bottom w:w="0" w:type="dxa"/>
            <w:right w:w="108" w:type="dxa"/>
          </w:tblCellMar>
        </w:tblPrEx>
        <w:trPr>
          <w:trHeight w:val="415"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restart"/>
            <w:tcBorders>
              <w:top w:val="single" w:color="000000" w:sz="4" w:space="0"/>
              <w:left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完成</w:t>
            </w:r>
          </w:p>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指标</w:t>
            </w:r>
          </w:p>
        </w:tc>
        <w:tc>
          <w:tcPr>
            <w:tcW w:w="1275" w:type="dxa"/>
            <w:vMerge w:val="restart"/>
            <w:tcBorders>
              <w:top w:val="single" w:color="000000" w:sz="4" w:space="0"/>
              <w:left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数量指标</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中心城区控制性详细规划调整</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全年调整15个地块</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10</w:t>
            </w:r>
          </w:p>
        </w:tc>
      </w:tr>
      <w:tr>
        <w:tblPrEx>
          <w:tblCellMar>
            <w:top w:w="0" w:type="dxa"/>
            <w:left w:w="108" w:type="dxa"/>
            <w:bottom w:w="0" w:type="dxa"/>
            <w:right w:w="108" w:type="dxa"/>
          </w:tblCellMar>
        </w:tblPrEx>
        <w:trPr>
          <w:trHeight w:val="415"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vMerge w:val="continue"/>
            <w:tcBorders>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专项规划调整</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全年调整3项专项规划</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3</w:t>
            </w:r>
          </w:p>
        </w:tc>
      </w:tr>
      <w:tr>
        <w:tblPrEx>
          <w:tblCellMar>
            <w:top w:w="0" w:type="dxa"/>
            <w:left w:w="108" w:type="dxa"/>
            <w:bottom w:w="0" w:type="dxa"/>
            <w:right w:w="108" w:type="dxa"/>
          </w:tblCellMar>
        </w:tblPrEx>
        <w:trPr>
          <w:trHeight w:val="415"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质量指标</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通过专委会、规委会、常务会审查</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通过</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通过</w:t>
            </w:r>
          </w:p>
        </w:tc>
      </w:tr>
      <w:tr>
        <w:tblPrEx>
          <w:tblCellMar>
            <w:top w:w="0" w:type="dxa"/>
            <w:left w:w="108" w:type="dxa"/>
            <w:bottom w:w="0" w:type="dxa"/>
            <w:right w:w="108" w:type="dxa"/>
          </w:tblCellMar>
        </w:tblPrEx>
        <w:trPr>
          <w:trHeight w:val="480"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kern w:val="0"/>
                <w:szCs w:val="21"/>
              </w:rPr>
              <w:t>时效指标</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完成时间</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2021年12月31日前</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szCs w:val="21"/>
              </w:rPr>
            </w:pPr>
            <w:r>
              <w:rPr>
                <w:rFonts w:hint="eastAsia" w:ascii="仿宋_GB2312" w:hAnsi="仿宋_GB2312" w:eastAsia="仿宋_GB2312" w:cs="仿宋_GB2312"/>
                <w:szCs w:val="21"/>
              </w:rPr>
              <w:t>2021年12月31日前</w:t>
            </w:r>
          </w:p>
        </w:tc>
      </w:tr>
      <w:tr>
        <w:tblPrEx>
          <w:tblCellMar>
            <w:top w:w="0" w:type="dxa"/>
            <w:left w:w="108" w:type="dxa"/>
            <w:bottom w:w="0" w:type="dxa"/>
            <w:right w:w="108" w:type="dxa"/>
          </w:tblCellMar>
        </w:tblPrEx>
        <w:trPr>
          <w:trHeight w:val="480"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vMerge w:val="restart"/>
            <w:tcBorders>
              <w:top w:val="single" w:color="000000" w:sz="4" w:space="0"/>
              <w:left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成本指标</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印刷费（图纸打印展板制作等）</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4.8万元</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4.8万元</w:t>
            </w:r>
          </w:p>
        </w:tc>
      </w:tr>
      <w:tr>
        <w:tblPrEx>
          <w:tblCellMar>
            <w:top w:w="0" w:type="dxa"/>
            <w:left w:w="108" w:type="dxa"/>
            <w:bottom w:w="0" w:type="dxa"/>
            <w:right w:w="108" w:type="dxa"/>
          </w:tblCellMar>
        </w:tblPrEx>
        <w:trPr>
          <w:trHeight w:val="480"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vMerge w:val="continue"/>
            <w:tcBorders>
              <w:left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网络使用费</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8.3万元</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8.3万元</w:t>
            </w:r>
          </w:p>
        </w:tc>
      </w:tr>
      <w:tr>
        <w:tblPrEx>
          <w:tblCellMar>
            <w:top w:w="0" w:type="dxa"/>
            <w:left w:w="108" w:type="dxa"/>
            <w:bottom w:w="0" w:type="dxa"/>
            <w:right w:w="108" w:type="dxa"/>
          </w:tblCellMar>
        </w:tblPrEx>
        <w:trPr>
          <w:trHeight w:val="480"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vMerge w:val="continue"/>
            <w:tcBorders>
              <w:left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安保物业管理费</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2.2万元</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2.2万元</w:t>
            </w:r>
          </w:p>
        </w:tc>
      </w:tr>
      <w:tr>
        <w:tblPrEx>
          <w:tblCellMar>
            <w:top w:w="0" w:type="dxa"/>
            <w:left w:w="108" w:type="dxa"/>
            <w:bottom w:w="0" w:type="dxa"/>
            <w:right w:w="108" w:type="dxa"/>
          </w:tblCellMar>
        </w:tblPrEx>
        <w:trPr>
          <w:trHeight w:val="480"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vMerge w:val="continue"/>
            <w:tcBorders>
              <w:left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设备维修维护及耗材费</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5.8万元</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5.8万元</w:t>
            </w:r>
          </w:p>
        </w:tc>
      </w:tr>
      <w:tr>
        <w:tblPrEx>
          <w:tblCellMar>
            <w:top w:w="0" w:type="dxa"/>
            <w:left w:w="108" w:type="dxa"/>
            <w:bottom w:w="0" w:type="dxa"/>
            <w:right w:w="108" w:type="dxa"/>
          </w:tblCellMar>
        </w:tblPrEx>
        <w:trPr>
          <w:trHeight w:val="480"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vMerge w:val="continue"/>
            <w:tcBorders>
              <w:left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专业技术人员培训费</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1.7万元</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1.7万元</w:t>
            </w:r>
          </w:p>
        </w:tc>
      </w:tr>
      <w:tr>
        <w:tblPrEx>
          <w:tblCellMar>
            <w:top w:w="0" w:type="dxa"/>
            <w:left w:w="108" w:type="dxa"/>
            <w:bottom w:w="0" w:type="dxa"/>
            <w:right w:w="108" w:type="dxa"/>
          </w:tblCellMar>
        </w:tblPrEx>
        <w:trPr>
          <w:trHeight w:val="480" w:hRule="atLeast"/>
        </w:trPr>
        <w:tc>
          <w:tcPr>
            <w:tcW w:w="1091"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70" w:type="dxa"/>
            <w:vMerge w:val="continue"/>
            <w:tcBorders>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vMerge w:val="continue"/>
            <w:tcBorders>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规划调研踏勘</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7.5万元</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bottom"/>
              <w:rPr>
                <w:rFonts w:ascii="仿宋_GB2312" w:hAnsi="仿宋_GB2312" w:eastAsia="仿宋_GB2312" w:cs="仿宋_GB2312"/>
                <w:kern w:val="0"/>
                <w:szCs w:val="21"/>
              </w:rPr>
            </w:pPr>
            <w:r>
              <w:rPr>
                <w:rFonts w:hint="eastAsia" w:ascii="仿宋_GB2312" w:hAnsi="仿宋_GB2312" w:eastAsia="仿宋_GB2312" w:cs="仿宋_GB2312"/>
                <w:kern w:val="0"/>
                <w:szCs w:val="21"/>
              </w:rPr>
              <w:t>7.5万元</w:t>
            </w:r>
          </w:p>
        </w:tc>
      </w:tr>
      <w:tr>
        <w:tblPrEx>
          <w:tblCellMar>
            <w:top w:w="0" w:type="dxa"/>
            <w:left w:w="108" w:type="dxa"/>
            <w:bottom w:w="0" w:type="dxa"/>
            <w:right w:w="108" w:type="dxa"/>
          </w:tblCellMar>
        </w:tblPrEx>
        <w:trPr>
          <w:trHeight w:val="1013" w:hRule="atLeast"/>
        </w:trPr>
        <w:tc>
          <w:tcPr>
            <w:tcW w:w="1091" w:type="dxa"/>
            <w:vMerge w:val="continue"/>
            <w:tcBorders>
              <w:left w:val="single" w:color="000000" w:sz="4" w:space="0"/>
              <w:right w:val="single" w:color="000000" w:sz="4" w:space="0"/>
            </w:tcBorders>
            <w:vAlign w:val="center"/>
          </w:tcPr>
          <w:p>
            <w:pPr>
              <w:spacing w:line="576" w:lineRule="exact"/>
              <w:jc w:val="center"/>
              <w:rPr>
                <w:rFonts w:ascii="仿宋_GB2312" w:hAnsi="仿宋_GB2312" w:eastAsia="仿宋_GB2312" w:cs="仿宋_GB2312"/>
                <w:szCs w:val="21"/>
              </w:rPr>
            </w:pPr>
          </w:p>
        </w:tc>
        <w:tc>
          <w:tcPr>
            <w:tcW w:w="1170" w:type="dxa"/>
            <w:vMerge w:val="restart"/>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效益</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指标</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社会效益  指标</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对城市规划影响</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优化广元城市规划建设、提升城市形象、助推城市发展</w:t>
            </w:r>
          </w:p>
        </w:tc>
        <w:tc>
          <w:tcPr>
            <w:tcW w:w="198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优化广元城市规划建设、提升城市形象、助推城市发展</w:t>
            </w:r>
          </w:p>
        </w:tc>
      </w:tr>
      <w:tr>
        <w:tblPrEx>
          <w:tblCellMar>
            <w:top w:w="0" w:type="dxa"/>
            <w:left w:w="108" w:type="dxa"/>
            <w:bottom w:w="0" w:type="dxa"/>
            <w:right w:w="108" w:type="dxa"/>
          </w:tblCellMar>
        </w:tblPrEx>
        <w:trPr>
          <w:trHeight w:val="660" w:hRule="atLeast"/>
        </w:trPr>
        <w:tc>
          <w:tcPr>
            <w:tcW w:w="1091" w:type="dxa"/>
            <w:vMerge w:val="continue"/>
            <w:tcBorders>
              <w:left w:val="single" w:color="000000" w:sz="4" w:space="0"/>
              <w:right w:val="single" w:color="000000" w:sz="4" w:space="0"/>
            </w:tcBorders>
            <w:vAlign w:val="center"/>
          </w:tcPr>
          <w:p>
            <w:pPr>
              <w:spacing w:line="576" w:lineRule="exact"/>
              <w:jc w:val="center"/>
              <w:rPr>
                <w:rFonts w:ascii="仿宋_GB2312" w:hAnsi="仿宋_GB2312" w:eastAsia="仿宋_GB2312" w:cs="仿宋_GB2312"/>
                <w:szCs w:val="21"/>
              </w:rPr>
            </w:pPr>
          </w:p>
        </w:tc>
        <w:tc>
          <w:tcPr>
            <w:tcW w:w="1170" w:type="dxa"/>
            <w:vMerge w:val="continue"/>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可持续影响 指标</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对我市城市规划</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长期影响</w:t>
            </w:r>
          </w:p>
        </w:tc>
        <w:tc>
          <w:tcPr>
            <w:tcW w:w="198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长期影响</w:t>
            </w:r>
          </w:p>
        </w:tc>
      </w:tr>
      <w:tr>
        <w:tblPrEx>
          <w:tblCellMar>
            <w:top w:w="0" w:type="dxa"/>
            <w:left w:w="108" w:type="dxa"/>
            <w:bottom w:w="0" w:type="dxa"/>
            <w:right w:w="108" w:type="dxa"/>
          </w:tblCellMar>
        </w:tblPrEx>
        <w:trPr>
          <w:trHeight w:val="785" w:hRule="atLeast"/>
        </w:trPr>
        <w:tc>
          <w:tcPr>
            <w:tcW w:w="1091" w:type="dxa"/>
            <w:vMerge w:val="continue"/>
            <w:tcBorders>
              <w:left w:val="single" w:color="000000" w:sz="4" w:space="0"/>
              <w:bottom w:val="single" w:color="000000" w:sz="4" w:space="0"/>
              <w:right w:val="single" w:color="000000" w:sz="4" w:space="0"/>
            </w:tcBorders>
            <w:vAlign w:val="center"/>
          </w:tcPr>
          <w:p>
            <w:pPr>
              <w:spacing w:line="576" w:lineRule="exact"/>
              <w:jc w:val="center"/>
              <w:rPr>
                <w:rFonts w:ascii="仿宋_GB2312" w:hAnsi="仿宋_GB2312" w:eastAsia="仿宋_GB2312" w:cs="仿宋_GB2312"/>
                <w:szCs w:val="21"/>
              </w:rPr>
            </w:pPr>
          </w:p>
        </w:tc>
        <w:tc>
          <w:tcPr>
            <w:tcW w:w="1170"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满意</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度指标</w:t>
            </w:r>
          </w:p>
        </w:tc>
        <w:tc>
          <w:tcPr>
            <w:tcW w:w="127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满意度</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222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工作质量</w:t>
            </w:r>
          </w:p>
        </w:tc>
        <w:tc>
          <w:tcPr>
            <w:tcW w:w="2010"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得到相关单位认可</w:t>
            </w:r>
          </w:p>
        </w:tc>
        <w:tc>
          <w:tcPr>
            <w:tcW w:w="198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得到相关单位认可</w:t>
            </w:r>
          </w:p>
        </w:tc>
      </w:tr>
    </w:tbl>
    <w:p>
      <w:pPr>
        <w:pStyle w:val="2"/>
        <w:spacing w:before="93"/>
        <w:rPr>
          <w:rFonts w:hAnsi="宋体"/>
          <w:sz w:val="32"/>
          <w:szCs w:val="32"/>
        </w:rPr>
      </w:pPr>
      <w:r>
        <w:rPr>
          <w:rFonts w:hint="eastAsia" w:hAnsi="宋体"/>
          <w:sz w:val="32"/>
          <w:szCs w:val="32"/>
        </w:rPr>
        <w:t>附件：</w:t>
      </w:r>
    </w:p>
    <w:p>
      <w:pPr>
        <w:spacing w:line="576"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p>
    <w:p>
      <w:pPr>
        <w:spacing w:line="576" w:lineRule="exact"/>
        <w:jc w:val="center"/>
        <w:outlineLvl w:val="1"/>
        <w:rPr>
          <w:rFonts w:ascii="方正小标宋简体" w:hAnsi="方正小标宋简体" w:eastAsia="方正小标宋简体" w:cs="方正小标宋简体"/>
          <w:sz w:val="40"/>
          <w:szCs w:val="40"/>
          <w:lang w:val="zh-CN"/>
        </w:rPr>
      </w:pPr>
      <w:bookmarkStart w:id="238" w:name="_Toc8210"/>
      <w:bookmarkStart w:id="239" w:name="_Toc32723"/>
      <w:bookmarkStart w:id="240" w:name="_Toc22327"/>
      <w:bookmarkStart w:id="241" w:name="_Toc11982"/>
      <w:bookmarkStart w:id="242" w:name="_Toc32235"/>
      <w:bookmarkStart w:id="243" w:name="_Toc32222"/>
      <w:r>
        <w:rPr>
          <w:rFonts w:hint="eastAsia" w:ascii="方正小标宋简体" w:hAnsi="方正小标宋简体" w:eastAsia="方正小标宋简体" w:cs="方正小标宋简体"/>
          <w:sz w:val="40"/>
          <w:szCs w:val="40"/>
          <w:lang w:val="zh-CN"/>
        </w:rPr>
        <w:t>（</w:t>
      </w:r>
      <w:r>
        <w:rPr>
          <w:rFonts w:hint="eastAsia" w:ascii="方正小标宋简体" w:hAnsi="方正小标宋简体" w:eastAsia="方正小标宋简体" w:cs="方正小标宋简体"/>
          <w:spacing w:val="-20"/>
          <w:sz w:val="40"/>
          <w:szCs w:val="40"/>
          <w:lang w:val="zh-CN"/>
        </w:rPr>
        <w:t>国土空间规委会、专委会专家技术审查工作经费</w:t>
      </w:r>
      <w:r>
        <w:rPr>
          <w:rFonts w:hint="eastAsia" w:ascii="方正小标宋简体" w:hAnsi="方正小标宋简体" w:eastAsia="方正小标宋简体" w:cs="方正小标宋简体"/>
          <w:sz w:val="40"/>
          <w:szCs w:val="40"/>
          <w:lang w:val="zh-CN"/>
        </w:rPr>
        <w:t>）</w:t>
      </w:r>
      <w:bookmarkEnd w:id="238"/>
      <w:bookmarkEnd w:id="239"/>
      <w:bookmarkEnd w:id="240"/>
      <w:bookmarkEnd w:id="241"/>
      <w:bookmarkEnd w:id="242"/>
      <w:bookmarkEnd w:id="243"/>
    </w:p>
    <w:p>
      <w:pPr>
        <w:spacing w:line="576" w:lineRule="exact"/>
        <w:ind w:firstLine="640"/>
        <w:jc w:val="center"/>
        <w:rPr>
          <w:rFonts w:ascii="宋体" w:hAnsi="宋体"/>
          <w:sz w:val="32"/>
          <w:szCs w:val="32"/>
          <w:lang w:val="zh-CN"/>
        </w:rPr>
      </w:pPr>
    </w:p>
    <w:p>
      <w:pPr>
        <w:adjustRightInd w:val="0"/>
        <w:snapToGrid w:val="0"/>
        <w:spacing w:line="576" w:lineRule="exact"/>
        <w:ind w:firstLine="720"/>
        <w:outlineLvl w:val="1"/>
        <w:rPr>
          <w:rFonts w:ascii="黑体" w:hAnsi="宋体" w:eastAsia="黑体"/>
          <w:sz w:val="32"/>
          <w:szCs w:val="32"/>
          <w:lang w:val="zh-CN"/>
        </w:rPr>
      </w:pPr>
      <w:bookmarkStart w:id="244" w:name="_Toc19594"/>
      <w:bookmarkStart w:id="245" w:name="_Toc3773"/>
      <w:bookmarkStart w:id="246" w:name="_Toc32453"/>
      <w:bookmarkStart w:id="247" w:name="_Toc6346"/>
      <w:bookmarkStart w:id="248" w:name="_Toc4072"/>
      <w:bookmarkStart w:id="249" w:name="_Toc22435"/>
      <w:r>
        <w:rPr>
          <w:rFonts w:hint="eastAsia" w:ascii="黑体" w:hAnsi="宋体" w:eastAsia="黑体"/>
          <w:sz w:val="32"/>
          <w:szCs w:val="32"/>
        </w:rPr>
        <w:t>一、</w:t>
      </w:r>
      <w:r>
        <w:rPr>
          <w:rFonts w:hint="eastAsia" w:ascii="黑体" w:hAnsi="宋体" w:eastAsia="黑体"/>
          <w:sz w:val="32"/>
          <w:szCs w:val="32"/>
          <w:lang w:val="zh-CN"/>
        </w:rPr>
        <w:t>项目概况</w:t>
      </w:r>
      <w:bookmarkEnd w:id="244"/>
      <w:bookmarkEnd w:id="245"/>
      <w:bookmarkEnd w:id="246"/>
      <w:bookmarkEnd w:id="247"/>
      <w:bookmarkEnd w:id="248"/>
      <w:bookmarkEnd w:id="249"/>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负责组织多部门、多行业技术联审，承办市国土空间规划专业委员会工作，承担市国土空间规划委员会办公室相关事务工作。承担中心城区项目的规划选址、论证、规划设计前期研究和规划设计方案审查。负责市国土空间规划信息数据平台实施维护和国土空间总体规划、详细规划等数据更新工作。对国土空间规划的重要事项和重大问题进行审议，对全市国上空间发展方向、规划建设思路等进行论证，并提出建议意见等。</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根据《广元市人民政府办公室关于印发&lt;广元市国土空间规划委员会工作规程&gt;的通知》(广府办发〔2020〕6号文件）、《广元市国土空间规划委员会关于印发&lt;广元市国土空间规划专业委员会工作规程&gt;的通知》(广规委〔2021〕2号）文件设立该项目，项目资金年初纳入部门预算，由中心领导审核报市财政局审批，经市人大会批准下达25万元。</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我中心严格按照代管部门市自然资源局《广元市自然资源局财务管理制度（修订）》加强制度管理，规范使用资金；资金支持范围：主要用于保障专委会、规委会的筹备召开，规委会会前调研、图纸文本制作、会议室设备维修维护、网络运行维护等支出。项目资金支持方式：通过国库集中统一支付。</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4．资金分配的原则及考虑因素：以保障专委会、规委会办公室职责履行为主，确保每次专委会、规委会会议圆满完成。</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该项目用于保障市专委会、规委会办公室职责履行，确保每次市专委会、市规委会会议完满完成，确保及时对市规委会成员进行调整、充实。进一步延伸市专委会、市规委会审查深度，推行“并联审查”，建立“小批量、多频次”审查机制，根据项目建设需要适时召开市专委会和筹备市规委会，更好服务广元规划建设，做好项目要素保障</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2．项目应实现2021年12月31日前，筹备规委会12期，完成对130余个项目规划设计方案的审议；召开专委会50期，完成对200余个项目设计方案的审查。</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对照《2022年市级专项预算项目支出绩效评价指标体系》，对2021年预算编制和执行情况、财政资金收支管理情况以及项目资金管理情况逐一核实、打分。</w:t>
      </w:r>
    </w:p>
    <w:p>
      <w:pPr>
        <w:adjustRightInd w:val="0"/>
        <w:snapToGrid w:val="0"/>
        <w:spacing w:line="576" w:lineRule="exact"/>
        <w:ind w:firstLine="720"/>
        <w:outlineLvl w:val="1"/>
        <w:rPr>
          <w:rFonts w:ascii="黑体" w:hAnsi="宋体" w:eastAsia="黑体"/>
          <w:sz w:val="32"/>
          <w:szCs w:val="32"/>
        </w:rPr>
      </w:pPr>
      <w:bookmarkStart w:id="250" w:name="_Toc23595"/>
      <w:bookmarkStart w:id="251" w:name="_Toc6287"/>
      <w:bookmarkStart w:id="252" w:name="_Toc20154"/>
      <w:bookmarkStart w:id="253" w:name="_Toc1686"/>
      <w:bookmarkStart w:id="254" w:name="_Toc12868"/>
      <w:bookmarkStart w:id="255" w:name="_Toc12052"/>
      <w:r>
        <w:rPr>
          <w:rFonts w:hint="eastAsia" w:ascii="黑体" w:hAnsi="宋体" w:eastAsia="黑体"/>
          <w:sz w:val="32"/>
          <w:szCs w:val="32"/>
        </w:rPr>
        <w:t>二、项目资金申报及使用情况</w:t>
      </w:r>
      <w:bookmarkEnd w:id="250"/>
      <w:bookmarkEnd w:id="251"/>
      <w:bookmarkEnd w:id="252"/>
      <w:bookmarkEnd w:id="253"/>
      <w:bookmarkEnd w:id="254"/>
      <w:bookmarkEnd w:id="255"/>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76" w:lineRule="exact"/>
        <w:ind w:firstLine="113"/>
        <w:rPr>
          <w:rFonts w:ascii="仿宋_GB2312" w:hAnsi="宋体" w:eastAsia="仿宋_GB2312"/>
          <w:sz w:val="32"/>
          <w:szCs w:val="32"/>
          <w:lang w:val="zh-CN"/>
        </w:rPr>
      </w:pPr>
      <w:r>
        <w:rPr>
          <w:rFonts w:hint="eastAsia" w:ascii="仿宋_GB2312" w:hAnsi="宋体" w:eastAsia="仿宋_GB2312"/>
          <w:sz w:val="32"/>
          <w:szCs w:val="32"/>
          <w:lang w:val="zh-CN"/>
        </w:rPr>
        <w:t>该项目资金年初纳入部门预算，由中心领导审核报市财政局审批，经市人大会批准下达25万元，当年无预算调整。</w:t>
      </w:r>
    </w:p>
    <w:p>
      <w:pPr>
        <w:adjustRightInd w:val="0"/>
        <w:snapToGrid w:val="0"/>
        <w:spacing w:line="576" w:lineRule="exact"/>
        <w:ind w:firstLine="113"/>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年初预算</w:t>
      </w:r>
      <w:r>
        <w:rPr>
          <w:rFonts w:hint="eastAsia" w:ascii="仿宋_GB2312" w:hAnsi="宋体" w:eastAsia="仿宋_GB2312"/>
          <w:sz w:val="32"/>
          <w:szCs w:val="32"/>
        </w:rPr>
        <w:t>25</w:t>
      </w:r>
      <w:r>
        <w:rPr>
          <w:rFonts w:hint="eastAsia" w:ascii="仿宋_GB2312" w:hAnsi="宋体" w:eastAsia="仿宋_GB2312"/>
          <w:sz w:val="32"/>
          <w:szCs w:val="32"/>
          <w:lang w:val="zh-CN"/>
        </w:rPr>
        <w:t>万元，其中中央、省财政资金0万元，市财政资金</w:t>
      </w:r>
      <w:r>
        <w:rPr>
          <w:rFonts w:hint="eastAsia" w:ascii="仿宋_GB2312" w:hAnsi="宋体" w:eastAsia="仿宋_GB2312"/>
          <w:sz w:val="32"/>
          <w:szCs w:val="32"/>
        </w:rPr>
        <w:t>25</w:t>
      </w:r>
      <w:r>
        <w:rPr>
          <w:rFonts w:hint="eastAsia" w:ascii="仿宋_GB2312" w:hAnsi="宋体" w:eastAsia="仿宋_GB2312"/>
          <w:sz w:val="32"/>
          <w:szCs w:val="32"/>
          <w:lang w:val="zh-CN"/>
        </w:rPr>
        <w:t>万元，项目单位自筹资金0万元，其他渠道资金0万元。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该项目资金到位</w:t>
      </w:r>
      <w:r>
        <w:rPr>
          <w:rFonts w:hint="eastAsia" w:ascii="仿宋_GB2312" w:hAnsi="宋体" w:eastAsia="仿宋_GB2312"/>
          <w:sz w:val="32"/>
          <w:szCs w:val="32"/>
        </w:rPr>
        <w:t>25</w:t>
      </w:r>
      <w:r>
        <w:rPr>
          <w:rFonts w:hint="eastAsia" w:ascii="仿宋_GB2312" w:hAnsi="宋体" w:eastAsia="仿宋_GB2312"/>
          <w:sz w:val="32"/>
          <w:szCs w:val="32"/>
          <w:lang w:val="zh-CN"/>
        </w:rPr>
        <w:t>万元。其中中央、省财政资金0万元，市财政资金</w:t>
      </w:r>
      <w:r>
        <w:rPr>
          <w:rFonts w:hint="eastAsia" w:ascii="仿宋_GB2312" w:hAnsi="宋体" w:eastAsia="仿宋_GB2312"/>
          <w:sz w:val="32"/>
          <w:szCs w:val="32"/>
        </w:rPr>
        <w:t>25</w:t>
      </w:r>
      <w:r>
        <w:rPr>
          <w:rFonts w:hint="eastAsia" w:ascii="仿宋_GB2312" w:hAnsi="宋体" w:eastAsia="仿宋_GB2312"/>
          <w:sz w:val="32"/>
          <w:szCs w:val="32"/>
          <w:lang w:val="zh-CN"/>
        </w:rPr>
        <w:t>万元，项目单位自筹资金0万元，其他渠道资金0万元。</w:t>
      </w:r>
    </w:p>
    <w:p>
      <w:pPr>
        <w:adjustRightInd w:val="0"/>
        <w:snapToGrid w:val="0"/>
        <w:spacing w:line="576"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截止评价时该项目支出</w:t>
      </w:r>
      <w:r>
        <w:rPr>
          <w:rFonts w:hint="eastAsia" w:ascii="仿宋_GB2312" w:hAnsi="宋体" w:eastAsia="仿宋_GB2312"/>
          <w:sz w:val="32"/>
          <w:szCs w:val="32"/>
        </w:rPr>
        <w:t>25</w:t>
      </w:r>
      <w:r>
        <w:rPr>
          <w:rFonts w:hint="eastAsia" w:ascii="仿宋_GB2312" w:hAnsi="宋体" w:eastAsia="仿宋_GB2312"/>
          <w:sz w:val="32"/>
          <w:szCs w:val="32"/>
          <w:lang w:val="zh-CN"/>
        </w:rPr>
        <w:t>万元，预算完成率100%。资金使用安全，符合规定，资金支付范围、支付标准、支付进度、支付依据等合规合法，与预算相符。</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中心内部财务管理制度健全，会计核算准确，会计档案管理规范。在财政资金管理中，一是实行国库集中支付;二是加强银行账户管理,严格执行账户开立、使用、管理有关规定，通过强化银行监管，遏制多头开户行为;三是强化财政监督管理，加强内部管理，规范财政行为，确保资金安全。</w:t>
      </w:r>
    </w:p>
    <w:p>
      <w:pPr>
        <w:adjustRightInd w:val="0"/>
        <w:snapToGrid w:val="0"/>
        <w:spacing w:line="576" w:lineRule="exact"/>
        <w:ind w:firstLine="720"/>
        <w:outlineLvl w:val="1"/>
        <w:rPr>
          <w:rFonts w:ascii="黑体" w:hAnsi="宋体" w:eastAsia="黑体"/>
          <w:sz w:val="32"/>
          <w:szCs w:val="32"/>
        </w:rPr>
      </w:pPr>
      <w:bookmarkStart w:id="256" w:name="_Toc3528"/>
      <w:bookmarkStart w:id="257" w:name="_Toc18349"/>
      <w:bookmarkStart w:id="258" w:name="_Toc28758"/>
      <w:bookmarkStart w:id="259" w:name="_Toc12519"/>
      <w:bookmarkStart w:id="260" w:name="_Toc10649"/>
      <w:bookmarkStart w:id="261" w:name="_Toc26845"/>
      <w:r>
        <w:rPr>
          <w:rFonts w:hint="eastAsia" w:ascii="黑体" w:hAnsi="宋体" w:eastAsia="黑体"/>
          <w:sz w:val="32"/>
          <w:szCs w:val="32"/>
        </w:rPr>
        <w:t>三、项目实施及管理情况</w:t>
      </w:r>
      <w:bookmarkEnd w:id="256"/>
      <w:bookmarkEnd w:id="257"/>
      <w:bookmarkEnd w:id="258"/>
      <w:bookmarkEnd w:id="259"/>
      <w:bookmarkEnd w:id="260"/>
      <w:bookmarkEnd w:id="261"/>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2"/>
        <w:spacing w:beforeLines="0" w:line="576" w:lineRule="exact"/>
        <w:ind w:firstLine="640" w:firstLineChars="200"/>
        <w:rPr>
          <w:lang w:val="zh-CN"/>
        </w:rPr>
      </w:pPr>
      <w:r>
        <w:rPr>
          <w:rFonts w:hint="eastAsia" w:hAnsi="宋体"/>
          <w:kern w:val="2"/>
          <w:sz w:val="32"/>
          <w:szCs w:val="32"/>
          <w:lang w:val="zh-CN"/>
        </w:rPr>
        <w:t>该项目主要用于维护规委会、专委会日常运转，项目支付纳入部门预算统一核算监督，按照单位业务流程完成年初项目计划，按照单位财务管理制度支付资金，全年无招投标及政府采购支付情况。</w:t>
      </w:r>
    </w:p>
    <w:p>
      <w:pPr>
        <w:adjustRightInd w:val="0"/>
        <w:snapToGrid w:val="0"/>
        <w:spacing w:line="576"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576" w:lineRule="exact"/>
        <w:ind w:firstLine="640" w:firstLineChars="200"/>
        <w:rPr>
          <w:rFonts w:ascii="楷体_GB2312" w:hAnsi="宋体" w:eastAsia="楷体_GB2312"/>
          <w:b/>
          <w:sz w:val="32"/>
          <w:szCs w:val="32"/>
          <w:lang w:val="zh-CN"/>
        </w:rPr>
      </w:pPr>
      <w:r>
        <w:rPr>
          <w:rFonts w:hint="eastAsia" w:ascii="仿宋_GB2312" w:hAnsi="宋体" w:eastAsia="仿宋_GB2312"/>
          <w:sz w:val="32"/>
          <w:szCs w:val="32"/>
          <w:lang w:val="zh-CN"/>
        </w:rPr>
        <w:t>我中心严格按照代管部门市自然资源局《广元市国土自然资源局财务管理制度（修订）》规定，加强资金管理，为项目资金的使用管理提供制度保障。全年无招投标及政府采购支付情况。</w:t>
      </w:r>
    </w:p>
    <w:p>
      <w:pPr>
        <w:adjustRightInd w:val="0"/>
        <w:snapToGrid w:val="0"/>
        <w:spacing w:line="576" w:lineRule="exact"/>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申报通过报中心主任办公会集体讨论审议，同时积极主动配合市财政局填写项目绩效申报表，按时上交绩效目标自评报告，配合市财政局等部门监管监督，将绩效评估结果用于调整预算项目、资金规模、支出方向等。资金使用方面各项支出按照市委市政府和市财政局印发的各项管理办法严格执行。</w:t>
      </w:r>
    </w:p>
    <w:p>
      <w:pPr>
        <w:adjustRightInd w:val="0"/>
        <w:snapToGrid w:val="0"/>
        <w:spacing w:line="576" w:lineRule="exact"/>
        <w:ind w:firstLine="720"/>
        <w:outlineLvl w:val="1"/>
        <w:rPr>
          <w:rFonts w:ascii="仿宋_GB2312" w:hAnsi="宋体" w:eastAsia="仿宋_GB2312"/>
          <w:sz w:val="32"/>
          <w:szCs w:val="32"/>
          <w:lang w:val="zh-CN"/>
        </w:rPr>
      </w:pPr>
      <w:bookmarkStart w:id="262" w:name="_Toc25302"/>
      <w:bookmarkStart w:id="263" w:name="_Toc29062"/>
      <w:bookmarkStart w:id="264" w:name="_Toc29902"/>
      <w:bookmarkStart w:id="265" w:name="_Toc23052"/>
      <w:bookmarkStart w:id="266" w:name="_Toc18860"/>
      <w:bookmarkStart w:id="267" w:name="_Toc19187"/>
      <w:r>
        <w:rPr>
          <w:rFonts w:hint="eastAsia" w:ascii="黑体" w:hAnsi="宋体" w:eastAsia="黑体"/>
          <w:sz w:val="32"/>
          <w:szCs w:val="32"/>
        </w:rPr>
        <w:t>四、项目绩效情况</w:t>
      </w:r>
      <w:bookmarkEnd w:id="262"/>
      <w:bookmarkEnd w:id="263"/>
      <w:bookmarkEnd w:id="264"/>
      <w:bookmarkEnd w:id="265"/>
      <w:bookmarkEnd w:id="266"/>
      <w:bookmarkEnd w:id="267"/>
      <w:r>
        <w:rPr>
          <w:rFonts w:hint="eastAsia" w:ascii="仿宋_GB2312" w:hAnsi="宋体" w:eastAsia="仿宋_GB2312"/>
          <w:sz w:val="32"/>
          <w:szCs w:val="32"/>
          <w:lang w:val="zh-CN"/>
        </w:rPr>
        <w:tab/>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全面完成年初目标计划，全年召开专委会53期，审查项目规划设计方案234个；筹备规委会19期，审议项目规划设计方案123个。</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社会效益和可持续影响效益上看，该项目的实施使城市规划更加科学合理，配套设施更加完善，解决群众关心的热点难点问题，为市民创造良好的生活与工作环境，从而方便了广大人民群众生活需要，同时对广元市城市建设规划具有长期影响。</w:t>
      </w:r>
    </w:p>
    <w:p>
      <w:pPr>
        <w:adjustRightInd w:val="0"/>
        <w:snapToGrid w:val="0"/>
        <w:spacing w:line="576" w:lineRule="exact"/>
        <w:ind w:firstLine="720"/>
        <w:outlineLvl w:val="1"/>
        <w:rPr>
          <w:rFonts w:ascii="黑体" w:hAnsi="宋体" w:eastAsia="黑体"/>
          <w:sz w:val="32"/>
          <w:szCs w:val="32"/>
        </w:rPr>
      </w:pPr>
      <w:bookmarkStart w:id="268" w:name="_Toc28203"/>
      <w:bookmarkStart w:id="269" w:name="_Toc25138"/>
      <w:bookmarkStart w:id="270" w:name="_Toc30510"/>
      <w:bookmarkStart w:id="271" w:name="_Toc8237"/>
      <w:bookmarkStart w:id="272" w:name="_Toc7647"/>
      <w:bookmarkStart w:id="273" w:name="_Toc7962"/>
      <w:r>
        <w:rPr>
          <w:rFonts w:hint="eastAsia" w:ascii="黑体" w:hAnsi="宋体" w:eastAsia="黑体"/>
          <w:sz w:val="32"/>
          <w:szCs w:val="32"/>
        </w:rPr>
        <w:t>五、评价结论及建议</w:t>
      </w:r>
      <w:bookmarkEnd w:id="268"/>
      <w:bookmarkEnd w:id="269"/>
      <w:bookmarkEnd w:id="270"/>
      <w:bookmarkEnd w:id="271"/>
      <w:bookmarkEnd w:id="272"/>
      <w:bookmarkEnd w:id="273"/>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中心预算编制完整，预算执行到位，做到了财务公开、会计核算真实、规范，没有截留、挪用财政资金、擅自扩大或缩小资金使用范围、改变资金用途等现象，未在项目申报中弄虚作假，套取财政资金，保证了专项资金专款专用。</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绩效目标编制有待进一步完善，绩效目标缺乏数量指标和时效指标，完善绩效目标的编制，在编制绩效目标时应对绩效指标进行进一步量化，设立清晰、具体可以衡量的绩效指标，以便于进行绩效考核。</w:t>
      </w:r>
      <w:r>
        <w:rPr>
          <w:rFonts w:hint="eastAsia" w:ascii="仿宋_GB2312" w:hAnsi="宋体" w:eastAsia="仿宋_GB2312"/>
          <w:sz w:val="32"/>
          <w:szCs w:val="32"/>
          <w:lang w:val="zh-CN"/>
        </w:rPr>
        <w:tab/>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对仅纳入部门预算核算、未达到一定资金规模且项目内容主要用于支持单位运转的小型项目，开展项目绩效评价时应区别于基建预算的大型项目，对照《2022年市级专项预算项目支出绩效评价指标体系》大部分评分项也不适用于此类项目，建议简化此类项目绩效评价。</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进一步建立长效机制，落实好财政项资金的管理和使用，通过项目为载体发挥巨大的社会价值，继续探索好的做法，抓好项目后续管理工作，加强部门预算整体绩效管理的指导和培训，增强提高绩效管理业务人员绩效管理能力、专业素质和思想水平，争取把国家专项资金的有效价值发挥到最大化。</w:t>
      </w:r>
    </w:p>
    <w:p>
      <w:pPr>
        <w:pStyle w:val="2"/>
        <w:spacing w:before="93"/>
        <w:rPr>
          <w:rFonts w:hAnsi="宋体"/>
          <w:sz w:val="32"/>
          <w:szCs w:val="32"/>
          <w:lang w:val="zh-CN"/>
        </w:rPr>
      </w:pPr>
    </w:p>
    <w:tbl>
      <w:tblPr>
        <w:tblStyle w:val="12"/>
        <w:tblpPr w:leftFromText="180" w:rightFromText="180" w:vertAnchor="text" w:horzAnchor="page" w:tblpX="1281" w:tblpY="660"/>
        <w:tblOverlap w:val="never"/>
        <w:tblW w:w="9577" w:type="dxa"/>
        <w:tblInd w:w="0" w:type="dxa"/>
        <w:tblLayout w:type="fixed"/>
        <w:tblCellMar>
          <w:top w:w="0" w:type="dxa"/>
          <w:left w:w="108" w:type="dxa"/>
          <w:bottom w:w="0" w:type="dxa"/>
          <w:right w:w="108" w:type="dxa"/>
        </w:tblCellMar>
      </w:tblPr>
      <w:tblGrid>
        <w:gridCol w:w="1316"/>
        <w:gridCol w:w="908"/>
        <w:gridCol w:w="1515"/>
        <w:gridCol w:w="2130"/>
        <w:gridCol w:w="1455"/>
        <w:gridCol w:w="2253"/>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vAlign w:val="center"/>
          </w:tcPr>
          <w:p>
            <w:pPr>
              <w:widowControl/>
              <w:adjustRightInd w:val="0"/>
              <w:snapToGrid w:val="0"/>
              <w:spacing w:line="576" w:lineRule="exact"/>
              <w:ind w:firstLine="642" w:firstLineChars="200"/>
              <w:contextualSpacing/>
              <w:jc w:val="center"/>
              <w:rPr>
                <w:rFonts w:ascii="宋体" w:hAnsi="宋体" w:cs="宋体"/>
                <w:b/>
                <w:sz w:val="32"/>
                <w:szCs w:val="32"/>
              </w:rPr>
            </w:pPr>
            <w:r>
              <w:rPr>
                <w:rFonts w:hint="eastAsia" w:ascii="宋体" w:hAnsi="宋体" w:cs="宋体"/>
                <w:b/>
                <w:sz w:val="32"/>
                <w:szCs w:val="32"/>
              </w:rPr>
              <w:t>2021年部门预算项目绩效目标自评</w:t>
            </w:r>
          </w:p>
        </w:tc>
      </w:tr>
      <w:tr>
        <w:tblPrEx>
          <w:tblCellMar>
            <w:top w:w="0" w:type="dxa"/>
            <w:left w:w="108" w:type="dxa"/>
            <w:bottom w:w="0" w:type="dxa"/>
            <w:right w:w="108" w:type="dxa"/>
          </w:tblCellMar>
        </w:tblPrEx>
        <w:trPr>
          <w:trHeight w:val="720" w:hRule="atLeast"/>
        </w:trPr>
        <w:tc>
          <w:tcPr>
            <w:tcW w:w="222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主管部门及代码</w:t>
            </w:r>
          </w:p>
        </w:tc>
        <w:tc>
          <w:tcPr>
            <w:tcW w:w="3645" w:type="dxa"/>
            <w:gridSpan w:val="2"/>
            <w:tcBorders>
              <w:top w:val="single" w:color="000000" w:sz="4" w:space="0"/>
              <w:left w:val="single" w:color="000000" w:sz="4" w:space="0"/>
              <w:bottom w:val="single" w:color="000000" w:sz="4" w:space="0"/>
              <w:right w:val="single" w:color="000000" w:sz="4" w:space="0"/>
            </w:tcBorders>
            <w:vAlign w:val="center"/>
          </w:tcPr>
          <w:p>
            <w:pPr>
              <w:pStyle w:val="2"/>
              <w:spacing w:before="93" w:line="240" w:lineRule="atLeast"/>
              <w:jc w:val="center"/>
              <w:rPr>
                <w:rFonts w:hAnsi="仿宋_GB2312" w:cs="仿宋_GB2312"/>
                <w:sz w:val="21"/>
                <w:szCs w:val="21"/>
              </w:rPr>
            </w:pPr>
            <w:r>
              <w:rPr>
                <w:rFonts w:hint="eastAsia" w:hAnsi="仿宋_GB2312" w:cs="仿宋_GB2312"/>
                <w:sz w:val="21"/>
                <w:szCs w:val="21"/>
              </w:rPr>
              <w:t>广元市国土空间规划编制研究中心341001</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实施单位</w:t>
            </w:r>
          </w:p>
        </w:tc>
        <w:tc>
          <w:tcPr>
            <w:tcW w:w="2253" w:type="dxa"/>
            <w:tcBorders>
              <w:top w:val="single" w:color="000000" w:sz="4" w:space="0"/>
              <w:left w:val="single" w:color="000000" w:sz="4" w:space="0"/>
              <w:bottom w:val="single" w:color="000000" w:sz="4" w:space="0"/>
              <w:right w:val="single" w:color="000000" w:sz="4" w:space="0"/>
            </w:tcBorders>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广元市国土空间规划编制研究中心</w:t>
            </w:r>
          </w:p>
        </w:tc>
      </w:tr>
      <w:tr>
        <w:tblPrEx>
          <w:tblCellMar>
            <w:top w:w="0" w:type="dxa"/>
            <w:left w:w="108" w:type="dxa"/>
            <w:bottom w:w="0" w:type="dxa"/>
            <w:right w:w="108" w:type="dxa"/>
          </w:tblCellMar>
        </w:tblPrEx>
        <w:trPr>
          <w:trHeight w:val="341" w:hRule="atLeast"/>
        </w:trPr>
        <w:tc>
          <w:tcPr>
            <w:tcW w:w="2224" w:type="dxa"/>
            <w:gridSpan w:val="2"/>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项目预算</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执行情况</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（万元）</w:t>
            </w: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预算数：</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执行数：</w:t>
            </w:r>
          </w:p>
        </w:tc>
        <w:tc>
          <w:tcPr>
            <w:tcW w:w="225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w:t>
            </w:r>
          </w:p>
        </w:tc>
      </w:tr>
      <w:tr>
        <w:trPr>
          <w:trHeight w:val="555" w:hRule="atLeast"/>
        </w:trPr>
        <w:tc>
          <w:tcPr>
            <w:tcW w:w="2224" w:type="dxa"/>
            <w:gridSpan w:val="2"/>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其中：财政拨款</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w:t>
            </w: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其中：财政拨款</w:t>
            </w:r>
          </w:p>
        </w:tc>
        <w:tc>
          <w:tcPr>
            <w:tcW w:w="225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w:t>
            </w:r>
          </w:p>
        </w:tc>
      </w:tr>
      <w:tr>
        <w:tblPrEx>
          <w:tblCellMar>
            <w:top w:w="0" w:type="dxa"/>
            <w:left w:w="108" w:type="dxa"/>
            <w:bottom w:w="0" w:type="dxa"/>
            <w:right w:w="108" w:type="dxa"/>
          </w:tblCellMar>
        </w:tblPrEx>
        <w:trPr>
          <w:trHeight w:val="341" w:hRule="atLeast"/>
        </w:trPr>
        <w:tc>
          <w:tcPr>
            <w:tcW w:w="2224" w:type="dxa"/>
            <w:gridSpan w:val="2"/>
            <w:vMerge w:val="continue"/>
            <w:tcBorders>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其他资金</w:t>
            </w:r>
          </w:p>
        </w:tc>
        <w:tc>
          <w:tcPr>
            <w:tcW w:w="2130"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p>
        </w:tc>
        <w:tc>
          <w:tcPr>
            <w:tcW w:w="145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其他资金</w:t>
            </w:r>
          </w:p>
        </w:tc>
        <w:tc>
          <w:tcPr>
            <w:tcW w:w="2253"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p>
        </w:tc>
      </w:tr>
      <w:tr>
        <w:tblPrEx>
          <w:tblCellMar>
            <w:top w:w="0" w:type="dxa"/>
            <w:left w:w="108" w:type="dxa"/>
            <w:bottom w:w="0" w:type="dxa"/>
            <w:right w:w="108" w:type="dxa"/>
          </w:tblCellMar>
        </w:tblPrEx>
        <w:trPr>
          <w:trHeight w:val="217" w:hRule="atLeast"/>
        </w:trPr>
        <w:tc>
          <w:tcPr>
            <w:tcW w:w="1316"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年度总体目标</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完成情况</w:t>
            </w:r>
          </w:p>
          <w:p>
            <w:pPr>
              <w:spacing w:line="240" w:lineRule="atLeast"/>
              <w:jc w:val="center"/>
              <w:rPr>
                <w:rFonts w:ascii="仿宋_GB2312" w:hAnsi="仿宋_GB2312" w:eastAsia="仿宋_GB2312" w:cs="仿宋_GB2312"/>
                <w:szCs w:val="21"/>
              </w:rPr>
            </w:pPr>
          </w:p>
        </w:tc>
        <w:tc>
          <w:tcPr>
            <w:tcW w:w="4553"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预期目标</w:t>
            </w:r>
          </w:p>
        </w:tc>
        <w:tc>
          <w:tcPr>
            <w:tcW w:w="370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目标实际完成情况</w:t>
            </w:r>
          </w:p>
        </w:tc>
      </w:tr>
      <w:tr>
        <w:tblPrEx>
          <w:tblCellMar>
            <w:top w:w="0" w:type="dxa"/>
            <w:left w:w="108" w:type="dxa"/>
            <w:bottom w:w="0" w:type="dxa"/>
            <w:right w:w="108" w:type="dxa"/>
          </w:tblCellMar>
        </w:tblPrEx>
        <w:trPr>
          <w:trHeight w:val="797" w:hRule="atLeast"/>
        </w:trPr>
        <w:tc>
          <w:tcPr>
            <w:tcW w:w="1316" w:type="dxa"/>
            <w:vMerge w:val="continue"/>
            <w:tcBorders>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4553" w:type="dxa"/>
            <w:gridSpan w:val="3"/>
            <w:tcBorders>
              <w:top w:val="single" w:color="000000" w:sz="4" w:space="0"/>
              <w:left w:val="single" w:color="000000" w:sz="4" w:space="0"/>
              <w:bottom w:val="single" w:color="000000" w:sz="4" w:space="0"/>
              <w:right w:val="single" w:color="000000" w:sz="4" w:space="0"/>
            </w:tcBorders>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认真履行市规委会办公室职责，精心组织、筹备和服务于每次会议，及时对规委会成员进行了调整、充实，根据专业性质不同增加了相关行业的专家委员。根据项目建设需要适时筹备专委会和规委会，服务广元城乡规划建设，做好项目要素保障。</w:t>
            </w:r>
          </w:p>
        </w:tc>
        <w:tc>
          <w:tcPr>
            <w:tcW w:w="3708" w:type="dxa"/>
            <w:gridSpan w:val="2"/>
            <w:tcBorders>
              <w:top w:val="single" w:color="000000" w:sz="4" w:space="0"/>
              <w:left w:val="single" w:color="000000" w:sz="4" w:space="0"/>
              <w:bottom w:val="single" w:color="000000" w:sz="4" w:space="0"/>
              <w:right w:val="single" w:color="000000" w:sz="4" w:space="0"/>
            </w:tcBorders>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全年召开市规委会19期，审议123余个项目规划设计方案。全年召开市专委会53期，审查237余个项目规划设计方案。</w:t>
            </w:r>
          </w:p>
        </w:tc>
      </w:tr>
      <w:tr>
        <w:trPr>
          <w:trHeight w:val="693" w:hRule="atLeast"/>
        </w:trPr>
        <w:tc>
          <w:tcPr>
            <w:tcW w:w="1316"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年度绩效指标完成情况</w:t>
            </w:r>
          </w:p>
        </w:tc>
        <w:tc>
          <w:tcPr>
            <w:tcW w:w="908" w:type="dxa"/>
            <w:tcBorders>
              <w:top w:val="single" w:color="000000" w:sz="4" w:space="0"/>
              <w:left w:val="nil"/>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一级</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二级</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三级</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4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预期指标值</w:t>
            </w:r>
          </w:p>
        </w:tc>
        <w:tc>
          <w:tcPr>
            <w:tcW w:w="22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实际完成指标值</w:t>
            </w:r>
          </w:p>
        </w:tc>
      </w:tr>
      <w:tr>
        <w:tblPrEx>
          <w:tblCellMar>
            <w:top w:w="0" w:type="dxa"/>
            <w:left w:w="108" w:type="dxa"/>
            <w:bottom w:w="0" w:type="dxa"/>
            <w:right w:w="108" w:type="dxa"/>
          </w:tblCellMar>
        </w:tblPrEx>
        <w:trPr>
          <w:trHeight w:val="415"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完成</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51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数量指标</w:t>
            </w:r>
          </w:p>
        </w:tc>
        <w:tc>
          <w:tcPr>
            <w:tcW w:w="2130"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召开规委会、规委会</w:t>
            </w:r>
          </w:p>
        </w:tc>
        <w:tc>
          <w:tcPr>
            <w:tcW w:w="145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12、50期</w:t>
            </w:r>
          </w:p>
        </w:tc>
        <w:tc>
          <w:tcPr>
            <w:tcW w:w="2253"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19、53期</w:t>
            </w:r>
          </w:p>
        </w:tc>
      </w:tr>
      <w:tr>
        <w:tblPrEx>
          <w:tblCellMar>
            <w:top w:w="0" w:type="dxa"/>
            <w:left w:w="108" w:type="dxa"/>
            <w:bottom w:w="0" w:type="dxa"/>
            <w:right w:w="108" w:type="dxa"/>
          </w:tblCellMar>
        </w:tblPrEx>
        <w:trPr>
          <w:trHeight w:val="415"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51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质量指标</w:t>
            </w:r>
          </w:p>
        </w:tc>
        <w:tc>
          <w:tcPr>
            <w:tcW w:w="2130"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分别方案审查</w:t>
            </w:r>
          </w:p>
        </w:tc>
        <w:tc>
          <w:tcPr>
            <w:tcW w:w="145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130、200个</w:t>
            </w:r>
          </w:p>
        </w:tc>
        <w:tc>
          <w:tcPr>
            <w:tcW w:w="2253"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123、237个</w:t>
            </w:r>
          </w:p>
        </w:tc>
      </w:tr>
      <w:tr>
        <w:tblPrEx>
          <w:tblCellMar>
            <w:top w:w="0" w:type="dxa"/>
            <w:left w:w="108" w:type="dxa"/>
            <w:bottom w:w="0" w:type="dxa"/>
            <w:right w:w="108" w:type="dxa"/>
          </w:tblCellMar>
        </w:tblPrEx>
        <w:trPr>
          <w:trHeight w:val="415"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51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时效指标</w:t>
            </w:r>
          </w:p>
        </w:tc>
        <w:tc>
          <w:tcPr>
            <w:tcW w:w="2130"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完成时间</w:t>
            </w:r>
          </w:p>
        </w:tc>
        <w:tc>
          <w:tcPr>
            <w:tcW w:w="145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2021年12月31日前</w:t>
            </w:r>
          </w:p>
        </w:tc>
        <w:tc>
          <w:tcPr>
            <w:tcW w:w="2253"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2021年12月31日前</w:t>
            </w:r>
          </w:p>
        </w:tc>
      </w:tr>
      <w:tr>
        <w:trPr>
          <w:trHeight w:val="480"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515"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成本指标</w:t>
            </w:r>
          </w:p>
        </w:tc>
        <w:tc>
          <w:tcPr>
            <w:tcW w:w="2130"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办公费（耗材等）</w:t>
            </w:r>
          </w:p>
        </w:tc>
        <w:tc>
          <w:tcPr>
            <w:tcW w:w="145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1万元</w:t>
            </w:r>
          </w:p>
        </w:tc>
        <w:tc>
          <w:tcPr>
            <w:tcW w:w="2253"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0.5万元</w:t>
            </w:r>
          </w:p>
        </w:tc>
      </w:tr>
      <w:tr>
        <w:tblPrEx>
          <w:tblCellMar>
            <w:top w:w="0" w:type="dxa"/>
            <w:left w:w="108" w:type="dxa"/>
            <w:bottom w:w="0" w:type="dxa"/>
            <w:right w:w="108" w:type="dxa"/>
          </w:tblCellMar>
        </w:tblPrEx>
        <w:trPr>
          <w:trHeight w:val="480"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515"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2130"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图纸打印展板制作等</w:t>
            </w:r>
          </w:p>
        </w:tc>
        <w:tc>
          <w:tcPr>
            <w:tcW w:w="145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1万元</w:t>
            </w:r>
          </w:p>
        </w:tc>
        <w:tc>
          <w:tcPr>
            <w:tcW w:w="2253"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0.4万元</w:t>
            </w:r>
          </w:p>
        </w:tc>
      </w:tr>
      <w:tr>
        <w:tblPrEx>
          <w:tblCellMar>
            <w:top w:w="0" w:type="dxa"/>
            <w:left w:w="108" w:type="dxa"/>
            <w:bottom w:w="0" w:type="dxa"/>
            <w:right w:w="108" w:type="dxa"/>
          </w:tblCellMar>
        </w:tblPrEx>
        <w:trPr>
          <w:trHeight w:val="480"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515"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2130"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网络使用费</w:t>
            </w:r>
          </w:p>
        </w:tc>
        <w:tc>
          <w:tcPr>
            <w:tcW w:w="145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20万元</w:t>
            </w:r>
          </w:p>
        </w:tc>
        <w:tc>
          <w:tcPr>
            <w:tcW w:w="2253"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20.8万元</w:t>
            </w:r>
          </w:p>
        </w:tc>
      </w:tr>
      <w:tr>
        <w:tblPrEx>
          <w:tblCellMar>
            <w:top w:w="0" w:type="dxa"/>
            <w:left w:w="108" w:type="dxa"/>
            <w:bottom w:w="0" w:type="dxa"/>
            <w:right w:w="108" w:type="dxa"/>
          </w:tblCellMar>
        </w:tblPrEx>
        <w:trPr>
          <w:trHeight w:val="480"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continue"/>
            <w:tcBorders>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515" w:type="dxa"/>
            <w:vMerge w:val="continue"/>
            <w:tcBorders>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2130"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设备维修维护费</w:t>
            </w:r>
          </w:p>
        </w:tc>
        <w:tc>
          <w:tcPr>
            <w:tcW w:w="1455"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3万元</w:t>
            </w:r>
          </w:p>
        </w:tc>
        <w:tc>
          <w:tcPr>
            <w:tcW w:w="2253"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3.3万元</w:t>
            </w:r>
          </w:p>
        </w:tc>
      </w:tr>
      <w:tr>
        <w:trPr>
          <w:trHeight w:val="1837"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效益</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社会效益指标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对城市规划影响</w:t>
            </w:r>
          </w:p>
        </w:tc>
        <w:tc>
          <w:tcPr>
            <w:tcW w:w="14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对广元市规划建设提出专家意见，审评规划设计机构的设计方案。</w:t>
            </w:r>
          </w:p>
        </w:tc>
        <w:tc>
          <w:tcPr>
            <w:tcW w:w="22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对广元市规划建设提出专家意见，审评规划设计机构的设计方案。</w:t>
            </w:r>
          </w:p>
        </w:tc>
      </w:tr>
      <w:tr>
        <w:tblPrEx>
          <w:tblCellMar>
            <w:top w:w="0" w:type="dxa"/>
            <w:left w:w="108" w:type="dxa"/>
            <w:bottom w:w="0" w:type="dxa"/>
            <w:right w:w="108" w:type="dxa"/>
          </w:tblCellMar>
        </w:tblPrEx>
        <w:trPr>
          <w:trHeight w:val="480" w:hRule="atLeast"/>
        </w:trPr>
        <w:tc>
          <w:tcPr>
            <w:tcW w:w="1316"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vMerge w:val="continue"/>
            <w:tcBorders>
              <w:left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p>
        </w:tc>
        <w:tc>
          <w:tcPr>
            <w:tcW w:w="151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可持续影响指标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对我市城市规划</w:t>
            </w:r>
          </w:p>
        </w:tc>
        <w:tc>
          <w:tcPr>
            <w:tcW w:w="14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长期</w:t>
            </w:r>
          </w:p>
        </w:tc>
        <w:tc>
          <w:tcPr>
            <w:tcW w:w="22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长期</w:t>
            </w:r>
          </w:p>
        </w:tc>
      </w:tr>
      <w:tr>
        <w:tblPrEx>
          <w:tblCellMar>
            <w:top w:w="0" w:type="dxa"/>
            <w:left w:w="108" w:type="dxa"/>
            <w:bottom w:w="0" w:type="dxa"/>
            <w:right w:w="108" w:type="dxa"/>
          </w:tblCellMar>
        </w:tblPrEx>
        <w:trPr>
          <w:trHeight w:val="530" w:hRule="atLeast"/>
        </w:trPr>
        <w:tc>
          <w:tcPr>
            <w:tcW w:w="1316" w:type="dxa"/>
            <w:vMerge w:val="continue"/>
            <w:tcBorders>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908" w:type="dxa"/>
            <w:tcBorders>
              <w:top w:val="single" w:color="000000" w:sz="4" w:space="0"/>
              <w:left w:val="single" w:color="000000" w:sz="4" w:space="0"/>
              <w:bottom w:val="single" w:color="000000" w:sz="4" w:space="0"/>
              <w:right w:val="single" w:color="000000" w:sz="4" w:space="0"/>
            </w:tcBorders>
            <w:vAlign w:val="bottom"/>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满意</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度指标</w:t>
            </w:r>
          </w:p>
        </w:tc>
        <w:tc>
          <w:tcPr>
            <w:tcW w:w="151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满意度</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工作质量</w:t>
            </w:r>
          </w:p>
        </w:tc>
        <w:tc>
          <w:tcPr>
            <w:tcW w:w="145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得到相关单位认可</w:t>
            </w:r>
          </w:p>
        </w:tc>
        <w:tc>
          <w:tcPr>
            <w:tcW w:w="2253"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得到相关单位认可</w:t>
            </w:r>
          </w:p>
        </w:tc>
      </w:tr>
    </w:tbl>
    <w:p>
      <w:pPr>
        <w:spacing w:line="576"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附件：</w:t>
      </w:r>
    </w:p>
    <w:p>
      <w:pPr>
        <w:spacing w:line="576"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rPr>
        <w:t>2022年</w:t>
      </w:r>
      <w:r>
        <w:rPr>
          <w:rFonts w:hint="eastAsia" w:ascii="方正小标宋简体" w:hAnsi="方正小标宋简体" w:eastAsia="方正小标宋简体" w:cs="方正小标宋简体"/>
          <w:sz w:val="40"/>
          <w:szCs w:val="40"/>
          <w:lang w:val="zh-CN"/>
        </w:rPr>
        <w:t>专项预算项目支出绩效自评报告</w:t>
      </w:r>
    </w:p>
    <w:p>
      <w:pPr>
        <w:spacing w:line="576" w:lineRule="exact"/>
        <w:jc w:val="center"/>
        <w:rPr>
          <w:rFonts w:ascii="方正小标宋简体" w:hAnsi="方正小标宋简体" w:eastAsia="方正小标宋简体" w:cs="方正小标宋简体"/>
          <w:sz w:val="40"/>
          <w:szCs w:val="40"/>
          <w:lang w:val="zh-CN"/>
        </w:rPr>
      </w:pPr>
      <w:r>
        <w:rPr>
          <w:rFonts w:hint="eastAsia" w:ascii="方正小标宋简体" w:hAnsi="方正小标宋简体" w:eastAsia="方正小标宋简体" w:cs="方正小标宋简体"/>
          <w:sz w:val="40"/>
          <w:szCs w:val="40"/>
          <w:lang w:val="zh-CN"/>
        </w:rPr>
        <w:t>（</w:t>
      </w:r>
      <w:r>
        <w:rPr>
          <w:rFonts w:hint="eastAsia" w:ascii="方正小标宋简体" w:hAnsi="方正小标宋简体" w:eastAsia="方正小标宋简体" w:cs="方正小标宋简体"/>
          <w:spacing w:val="-20"/>
          <w:sz w:val="40"/>
          <w:szCs w:val="40"/>
          <w:lang w:val="zh-CN"/>
        </w:rPr>
        <w:t>《广元历史文化名城保护规划》修编</w:t>
      </w:r>
      <w:r>
        <w:rPr>
          <w:rFonts w:hint="eastAsia" w:ascii="方正小标宋简体" w:hAnsi="方正小标宋简体" w:eastAsia="方正小标宋简体" w:cs="方正小标宋简体"/>
          <w:sz w:val="40"/>
          <w:szCs w:val="40"/>
          <w:lang w:val="zh-CN"/>
        </w:rPr>
        <w:t>）</w:t>
      </w:r>
    </w:p>
    <w:p>
      <w:pPr>
        <w:spacing w:line="576" w:lineRule="exact"/>
        <w:ind w:firstLine="640"/>
        <w:jc w:val="center"/>
        <w:rPr>
          <w:rFonts w:ascii="宋体" w:hAnsi="宋体"/>
          <w:sz w:val="32"/>
          <w:szCs w:val="32"/>
          <w:lang w:val="zh-CN"/>
        </w:rPr>
      </w:pPr>
    </w:p>
    <w:p>
      <w:pPr>
        <w:adjustRightInd w:val="0"/>
        <w:snapToGrid w:val="0"/>
        <w:spacing w:line="576" w:lineRule="exact"/>
        <w:ind w:firstLine="720"/>
        <w:outlineLvl w:val="1"/>
        <w:rPr>
          <w:rFonts w:ascii="黑体" w:hAnsi="宋体" w:eastAsia="黑体"/>
          <w:sz w:val="32"/>
          <w:szCs w:val="32"/>
          <w:lang w:val="zh-CN"/>
        </w:rPr>
      </w:pPr>
      <w:bookmarkStart w:id="274" w:name="_Toc15810"/>
      <w:bookmarkStart w:id="275" w:name="_Toc26051"/>
      <w:bookmarkStart w:id="276" w:name="_Toc10796"/>
      <w:bookmarkStart w:id="277" w:name="_Toc8782"/>
      <w:bookmarkStart w:id="278" w:name="_Toc24745"/>
      <w:bookmarkStart w:id="279" w:name="_Toc12331"/>
      <w:r>
        <w:rPr>
          <w:rFonts w:hint="eastAsia" w:ascii="黑体" w:hAnsi="宋体" w:eastAsia="黑体"/>
          <w:sz w:val="32"/>
          <w:szCs w:val="32"/>
        </w:rPr>
        <w:t>一、</w:t>
      </w:r>
      <w:r>
        <w:rPr>
          <w:rFonts w:hint="eastAsia" w:ascii="黑体" w:hAnsi="宋体" w:eastAsia="黑体"/>
          <w:sz w:val="32"/>
          <w:szCs w:val="32"/>
          <w:lang w:val="zh-CN"/>
        </w:rPr>
        <w:t>项目概况</w:t>
      </w:r>
      <w:bookmarkEnd w:id="274"/>
      <w:bookmarkEnd w:id="275"/>
      <w:bookmarkEnd w:id="276"/>
      <w:bookmarkEnd w:id="277"/>
      <w:bookmarkEnd w:id="278"/>
      <w:bookmarkEnd w:id="279"/>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负责组织多部门、多行业技术联审，承办市国土空间规划专业委员会工作，承担市国土空间规划委员会办公室相关事务工作。承担中心城区项目的规划选址、论证、规划设计前期研究和规划设计方案审查。负责市国土空间规划信息数据平台实施维护和国土空间总体规划、详细规划等数据更新工作。对国土空间规划的重要事项和重大问题进行审议，对全市国上空间发展方向、规划建设思路等进行论证，并提出建议意见等。</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立项、资金申报依据：为落实中共中央办公厅、国务院办公厅印发的《关于在城乡建设中加强历史文化保护传承的意见》(厅字〔2021〕36号）文件精神，全面加强新时代历史文化遗产保护，按照“空间全覆盖、要素全囊括”的要求对原保护规划做出修改,2021年5月我中心申报《广元历史文化名城保护规划（2017-2035）》（下称保护规划）修编工作经费，经时任市政府主要领导签批同意拨付广元市历史文化名城保护规划（2017-2035）》修编工作经费，我中心根据政府公开采购招投标程序，于2021年8月26日与上海复旦规划建筑设计研究院有限公司签订了《广元市历史文化名城保护规划（2017-2035）》修编工作合同。</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3．资金管理办法制定情况：我中心严格按照代管部门市自然资源局《广元市国土自然资源局财务管理制度（修订）》加强制度管理，规范使用资金；资金支持范围：主要用于开展规划编制工作。</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4．资金分配的原则及考虑因素：该项目考虑规划方案编制的特殊性，约定按照项目进度，采用分期付款方式，分四个阶段支付费用。</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1.项目主要内容：按照2021年9月中办国办印发了《关于在城乡建设中加强历史文化保护传承的意见》，对新时代城乡建设中加强历史文化保护传承提出的新要求，为更好地保护广元传统文化资源、传承历史文脉，处理好城市开发与历史文化遗产保护的关系，传承和发展广元历史文化名城价值特色及内涵，完善历史文化保护内容及传承体系。</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2.项目应实现2022年8月31日前，完成保护规划的报批工作。</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对照《2022年市级专项预算项目支出绩效评价指标体系》，对2021年预算编制和执行情况、财政资金收支管理情况以及项目资金管理情况逐一核实、打分。</w:t>
      </w:r>
    </w:p>
    <w:p>
      <w:pPr>
        <w:adjustRightInd w:val="0"/>
        <w:snapToGrid w:val="0"/>
        <w:spacing w:line="576" w:lineRule="exact"/>
        <w:ind w:firstLine="720"/>
        <w:outlineLvl w:val="1"/>
        <w:rPr>
          <w:rFonts w:ascii="黑体" w:hAnsi="宋体" w:eastAsia="黑体"/>
          <w:sz w:val="32"/>
          <w:szCs w:val="32"/>
        </w:rPr>
      </w:pPr>
      <w:bookmarkStart w:id="280" w:name="_Toc25122"/>
      <w:bookmarkStart w:id="281" w:name="_Toc5743"/>
      <w:bookmarkStart w:id="282" w:name="_Toc19860"/>
      <w:bookmarkStart w:id="283" w:name="_Toc11345"/>
      <w:bookmarkStart w:id="284" w:name="_Toc480"/>
      <w:bookmarkStart w:id="285" w:name="_Toc26585"/>
      <w:r>
        <w:rPr>
          <w:rFonts w:hint="eastAsia" w:ascii="黑体" w:hAnsi="宋体" w:eastAsia="黑体"/>
          <w:sz w:val="32"/>
          <w:szCs w:val="32"/>
        </w:rPr>
        <w:t>二、项目资金申报及使用情况</w:t>
      </w:r>
      <w:bookmarkEnd w:id="280"/>
      <w:bookmarkEnd w:id="281"/>
      <w:bookmarkEnd w:id="282"/>
      <w:bookmarkEnd w:id="283"/>
      <w:bookmarkEnd w:id="284"/>
      <w:bookmarkEnd w:id="285"/>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adjustRightInd w:val="0"/>
        <w:snapToGrid w:val="0"/>
        <w:spacing w:line="576" w:lineRule="exact"/>
        <w:ind w:firstLine="113"/>
        <w:rPr>
          <w:rFonts w:ascii="仿宋_GB2312" w:hAnsi="宋体" w:eastAsia="仿宋_GB2312"/>
          <w:sz w:val="32"/>
          <w:szCs w:val="32"/>
          <w:lang w:val="zh-CN"/>
        </w:rPr>
      </w:pPr>
      <w:r>
        <w:rPr>
          <w:rFonts w:hint="eastAsia" w:ascii="仿宋_GB2312" w:hAnsi="宋体" w:eastAsia="仿宋_GB2312"/>
          <w:sz w:val="32"/>
          <w:szCs w:val="32"/>
          <w:lang w:val="zh-CN"/>
        </w:rPr>
        <w:t>该项目资金年初纳入部门预算，由中心领导审核报市财政局审批，经市人大会批准下达</w:t>
      </w:r>
      <w:r>
        <w:rPr>
          <w:rFonts w:hint="eastAsia" w:ascii="仿宋_GB2312" w:hAnsi="宋体" w:eastAsia="仿宋_GB2312"/>
          <w:sz w:val="32"/>
          <w:szCs w:val="32"/>
        </w:rPr>
        <w:t>80</w:t>
      </w:r>
      <w:r>
        <w:rPr>
          <w:rFonts w:hint="eastAsia" w:ascii="仿宋_GB2312" w:hAnsi="宋体" w:eastAsia="仿宋_GB2312"/>
          <w:sz w:val="32"/>
          <w:szCs w:val="32"/>
          <w:lang w:val="zh-CN"/>
        </w:rPr>
        <w:t>万元，当年无预算调整。</w:t>
      </w:r>
    </w:p>
    <w:p>
      <w:pPr>
        <w:adjustRightInd w:val="0"/>
        <w:snapToGrid w:val="0"/>
        <w:spacing w:line="576" w:lineRule="exact"/>
        <w:ind w:firstLine="113"/>
        <w:rPr>
          <w:rFonts w:ascii="仿宋_GB2312" w:hAnsi="宋体" w:eastAsia="仿宋_GB2312"/>
          <w:sz w:val="32"/>
          <w:szCs w:val="32"/>
          <w:lang w:val="zh-CN"/>
        </w:rPr>
      </w:pPr>
      <w:r>
        <w:rPr>
          <w:rFonts w:hint="eastAsia" w:ascii="楷体_GB2312" w:hAnsi="宋体" w:eastAsia="楷体_GB2312"/>
          <w:b/>
          <w:sz w:val="32"/>
          <w:szCs w:val="32"/>
          <w:lang w:val="zh-CN"/>
        </w:rPr>
        <w:t>（二）资金计划、到位及使用情况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rPr>
        <w:t>1.</w:t>
      </w:r>
      <w:r>
        <w:rPr>
          <w:rFonts w:hint="eastAsia" w:ascii="楷体_GB2312" w:hAnsi="宋体" w:eastAsia="楷体_GB2312"/>
          <w:sz w:val="32"/>
          <w:szCs w:val="32"/>
          <w:lang w:val="zh-CN"/>
        </w:rPr>
        <w:t>资金计划。</w:t>
      </w:r>
      <w:r>
        <w:rPr>
          <w:rFonts w:hint="eastAsia" w:ascii="仿宋_GB2312" w:hAnsi="宋体" w:eastAsia="仿宋_GB2312"/>
          <w:sz w:val="32"/>
          <w:szCs w:val="32"/>
          <w:lang w:val="zh-CN"/>
        </w:rPr>
        <w:t>年初预算</w:t>
      </w:r>
      <w:r>
        <w:rPr>
          <w:rFonts w:hint="eastAsia" w:ascii="仿宋_GB2312" w:hAnsi="宋体" w:eastAsia="仿宋_GB2312"/>
          <w:sz w:val="32"/>
          <w:szCs w:val="32"/>
        </w:rPr>
        <w:t>80</w:t>
      </w:r>
      <w:r>
        <w:rPr>
          <w:rFonts w:hint="eastAsia" w:ascii="仿宋_GB2312" w:hAnsi="宋体" w:eastAsia="仿宋_GB2312"/>
          <w:sz w:val="32"/>
          <w:szCs w:val="32"/>
          <w:lang w:val="zh-CN"/>
        </w:rPr>
        <w:t>万元，其中中央、省财政资金0万元，市财政资金</w:t>
      </w:r>
      <w:r>
        <w:rPr>
          <w:rFonts w:hint="eastAsia" w:ascii="仿宋_GB2312" w:hAnsi="宋体" w:eastAsia="仿宋_GB2312"/>
          <w:sz w:val="32"/>
          <w:szCs w:val="32"/>
        </w:rPr>
        <w:t>80</w:t>
      </w:r>
      <w:r>
        <w:rPr>
          <w:rFonts w:hint="eastAsia" w:ascii="仿宋_GB2312" w:hAnsi="宋体" w:eastAsia="仿宋_GB2312"/>
          <w:sz w:val="32"/>
          <w:szCs w:val="32"/>
          <w:lang w:val="zh-CN"/>
        </w:rPr>
        <w:t>万元，项目单位自筹资金0万元，其他渠道资金0万元。</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楷体_GB2312" w:hAnsi="宋体" w:eastAsia="楷体_GB2312"/>
          <w:sz w:val="32"/>
          <w:szCs w:val="32"/>
          <w:lang w:val="zh-CN"/>
        </w:rPr>
        <w:t>2．资金到位。</w:t>
      </w:r>
      <w:r>
        <w:rPr>
          <w:rFonts w:hint="eastAsia" w:ascii="仿宋_GB2312" w:hAnsi="宋体" w:eastAsia="仿宋_GB2312"/>
          <w:sz w:val="32"/>
          <w:szCs w:val="32"/>
          <w:lang w:val="zh-CN"/>
        </w:rPr>
        <w:t>该项目资金到位</w:t>
      </w:r>
      <w:r>
        <w:rPr>
          <w:rFonts w:hint="eastAsia" w:ascii="仿宋_GB2312" w:hAnsi="宋体" w:eastAsia="仿宋_GB2312"/>
          <w:sz w:val="32"/>
          <w:szCs w:val="32"/>
        </w:rPr>
        <w:t>80</w:t>
      </w:r>
      <w:r>
        <w:rPr>
          <w:rFonts w:hint="eastAsia" w:ascii="仿宋_GB2312" w:hAnsi="宋体" w:eastAsia="仿宋_GB2312"/>
          <w:sz w:val="32"/>
          <w:szCs w:val="32"/>
          <w:lang w:val="zh-CN"/>
        </w:rPr>
        <w:t>万元。其中中央、省财政资金0万元，市财政资金</w:t>
      </w:r>
      <w:r>
        <w:rPr>
          <w:rFonts w:hint="eastAsia" w:ascii="仿宋_GB2312" w:hAnsi="宋体" w:eastAsia="仿宋_GB2312"/>
          <w:sz w:val="32"/>
          <w:szCs w:val="32"/>
        </w:rPr>
        <w:t>80</w:t>
      </w:r>
      <w:r>
        <w:rPr>
          <w:rFonts w:hint="eastAsia" w:ascii="仿宋_GB2312" w:hAnsi="宋体" w:eastAsia="仿宋_GB2312"/>
          <w:sz w:val="32"/>
          <w:szCs w:val="32"/>
          <w:lang w:val="zh-CN"/>
        </w:rPr>
        <w:t>万元，项目单位自筹资金0万元，其他渠道资金0万元。</w:t>
      </w:r>
    </w:p>
    <w:p>
      <w:pPr>
        <w:adjustRightInd w:val="0"/>
        <w:snapToGrid w:val="0"/>
        <w:spacing w:line="576" w:lineRule="exact"/>
        <w:ind w:firstLine="720"/>
        <w:rPr>
          <w:rFonts w:ascii="仿宋_GB2312" w:hAnsi="宋体" w:eastAsia="仿宋_GB2312"/>
          <w:sz w:val="32"/>
          <w:szCs w:val="32"/>
          <w:lang w:val="zh-CN"/>
        </w:rPr>
      </w:pPr>
      <w:r>
        <w:rPr>
          <w:rFonts w:hint="eastAsia" w:ascii="楷体_GB2312" w:hAnsi="宋体" w:eastAsia="楷体_GB2312"/>
          <w:sz w:val="32"/>
          <w:szCs w:val="32"/>
          <w:lang w:val="zh-CN"/>
        </w:rPr>
        <w:t>3．资金使用。</w:t>
      </w:r>
      <w:r>
        <w:rPr>
          <w:rFonts w:hint="eastAsia" w:ascii="仿宋_GB2312" w:hAnsi="宋体" w:eastAsia="仿宋_GB2312"/>
          <w:sz w:val="32"/>
          <w:szCs w:val="32"/>
          <w:lang w:val="zh-CN"/>
        </w:rPr>
        <w:t>截止评价时该项目支出</w:t>
      </w:r>
      <w:r>
        <w:rPr>
          <w:rFonts w:hint="eastAsia" w:ascii="仿宋_GB2312" w:hAnsi="宋体" w:eastAsia="仿宋_GB2312"/>
          <w:sz w:val="32"/>
          <w:szCs w:val="32"/>
        </w:rPr>
        <w:t>15.6</w:t>
      </w:r>
      <w:r>
        <w:rPr>
          <w:rFonts w:hint="eastAsia" w:ascii="仿宋_GB2312" w:hAnsi="宋体" w:eastAsia="仿宋_GB2312"/>
          <w:sz w:val="32"/>
          <w:szCs w:val="32"/>
          <w:lang w:val="zh-CN"/>
        </w:rPr>
        <w:t>万元，预算完成率1</w:t>
      </w:r>
      <w:r>
        <w:rPr>
          <w:rFonts w:hint="eastAsia" w:ascii="仿宋_GB2312" w:hAnsi="宋体" w:eastAsia="仿宋_GB2312"/>
          <w:sz w:val="32"/>
          <w:szCs w:val="32"/>
        </w:rPr>
        <w:t>9.5</w:t>
      </w:r>
      <w:r>
        <w:rPr>
          <w:rFonts w:hint="eastAsia" w:ascii="仿宋_GB2312" w:hAnsi="宋体" w:eastAsia="仿宋_GB2312"/>
          <w:sz w:val="32"/>
          <w:szCs w:val="32"/>
          <w:lang w:val="zh-CN"/>
        </w:rPr>
        <w:t>%。资金使用安全，符合规定，资金支付范围、支付标准、支付进度、支付依据等合规合法，与预算相符。</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中心内部财务管理制度健全，会计核算准确，会计档案管理规范。在财政资金管理中，一是实行国库集中支付;二是加强银行账户管理,严格执行账户开立、使用、管理有关规定，通过强化银行监管，遏制多头开户行为;三是强化财政监督管理，加强内部管理，规范财政行为，确保资金安全。</w:t>
      </w:r>
    </w:p>
    <w:p>
      <w:pPr>
        <w:adjustRightInd w:val="0"/>
        <w:snapToGrid w:val="0"/>
        <w:spacing w:line="576" w:lineRule="exact"/>
        <w:ind w:firstLine="720"/>
        <w:outlineLvl w:val="1"/>
        <w:rPr>
          <w:rFonts w:ascii="黑体" w:hAnsi="宋体" w:eastAsia="黑体"/>
          <w:sz w:val="32"/>
          <w:szCs w:val="32"/>
        </w:rPr>
      </w:pPr>
      <w:bookmarkStart w:id="286" w:name="_Toc3708"/>
      <w:bookmarkStart w:id="287" w:name="_Toc26932"/>
      <w:bookmarkStart w:id="288" w:name="_Toc22786"/>
      <w:bookmarkStart w:id="289" w:name="_Toc28014"/>
      <w:bookmarkStart w:id="290" w:name="_Toc25441"/>
      <w:bookmarkStart w:id="291" w:name="_Toc20915"/>
      <w:r>
        <w:rPr>
          <w:rFonts w:hint="eastAsia" w:ascii="黑体" w:hAnsi="宋体" w:eastAsia="黑体"/>
          <w:sz w:val="32"/>
          <w:szCs w:val="32"/>
        </w:rPr>
        <w:t>三、项目实施及管理情况</w:t>
      </w:r>
      <w:bookmarkEnd w:id="286"/>
      <w:bookmarkEnd w:id="287"/>
      <w:bookmarkEnd w:id="288"/>
      <w:bookmarkEnd w:id="289"/>
      <w:bookmarkEnd w:id="290"/>
      <w:bookmarkEnd w:id="291"/>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pStyle w:val="2"/>
        <w:spacing w:beforeLines="0" w:line="576" w:lineRule="exact"/>
        <w:ind w:firstLine="640" w:firstLineChars="200"/>
        <w:rPr>
          <w:lang w:val="zh-CN"/>
        </w:rPr>
      </w:pPr>
      <w:r>
        <w:rPr>
          <w:rFonts w:hint="eastAsia" w:hAnsi="宋体"/>
          <w:kern w:val="2"/>
          <w:sz w:val="32"/>
          <w:szCs w:val="32"/>
          <w:lang w:val="zh-CN"/>
        </w:rPr>
        <w:t>该项目主要用于保护我市传统文化资源、传承历史文脉，处理好城市开发与历史文化遗产保护的关系，项目支付纳入部门预算统一核算监督，按照单位业务流程完成年初项目计划，按照单位财务管理制度支付资金。</w:t>
      </w:r>
    </w:p>
    <w:p>
      <w:pPr>
        <w:adjustRightInd w:val="0"/>
        <w:snapToGrid w:val="0"/>
        <w:spacing w:line="576" w:lineRule="exact"/>
        <w:ind w:firstLine="642" w:firstLineChars="200"/>
        <w:rPr>
          <w:rFonts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adjustRightInd w:val="0"/>
        <w:snapToGrid w:val="0"/>
        <w:spacing w:line="576" w:lineRule="exact"/>
        <w:ind w:firstLine="640" w:firstLineChars="200"/>
        <w:rPr>
          <w:rFonts w:ascii="楷体_GB2312" w:hAnsi="宋体" w:eastAsia="楷体_GB2312"/>
          <w:b/>
          <w:sz w:val="32"/>
          <w:szCs w:val="32"/>
          <w:lang w:val="zh-CN"/>
        </w:rPr>
      </w:pPr>
      <w:r>
        <w:rPr>
          <w:rFonts w:hint="eastAsia" w:ascii="仿宋_GB2312" w:hAnsi="宋体" w:eastAsia="仿宋_GB2312"/>
          <w:sz w:val="32"/>
          <w:szCs w:val="32"/>
          <w:lang w:val="zh-CN"/>
        </w:rPr>
        <w:t>我中心严格按照代管部门市自然资源局《广元市国土自然资源局财务管理制度（修订）》加强制度管理，规范使用资金，为项目资金的使用管理提供制度保障。按照政府采购相关规定选址规划编制单位。</w:t>
      </w:r>
    </w:p>
    <w:p>
      <w:pPr>
        <w:adjustRightInd w:val="0"/>
        <w:snapToGrid w:val="0"/>
        <w:spacing w:line="576" w:lineRule="exact"/>
        <w:rPr>
          <w:rFonts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项目实施通过报中心主任办公会、市自然资源局党委会集体讨论审议，同时积极主动配合市财政局填写项目绩效申报表，按时上交绩效目标自评报告，配合市财政局等部门监管监督，将绩效评估结果用于调整预算项目、资金规模、支出方向等。资金使用方面各项支出按照市委市政府和市财政局印发的各项管理办法严格执行。</w:t>
      </w:r>
    </w:p>
    <w:p>
      <w:pPr>
        <w:adjustRightInd w:val="0"/>
        <w:snapToGrid w:val="0"/>
        <w:spacing w:line="576" w:lineRule="exact"/>
        <w:ind w:firstLine="720"/>
        <w:outlineLvl w:val="1"/>
        <w:rPr>
          <w:rFonts w:ascii="仿宋_GB2312" w:hAnsi="宋体" w:eastAsia="仿宋_GB2312"/>
          <w:sz w:val="32"/>
          <w:szCs w:val="32"/>
          <w:lang w:val="zh-CN"/>
        </w:rPr>
      </w:pPr>
      <w:bookmarkStart w:id="292" w:name="_Toc26284"/>
      <w:bookmarkStart w:id="293" w:name="_Toc8838"/>
      <w:bookmarkStart w:id="294" w:name="_Toc4999"/>
      <w:bookmarkStart w:id="295" w:name="_Toc12316"/>
      <w:bookmarkStart w:id="296" w:name="_Toc8065"/>
      <w:bookmarkStart w:id="297" w:name="_Toc23913"/>
      <w:r>
        <w:rPr>
          <w:rFonts w:hint="eastAsia" w:ascii="黑体" w:hAnsi="宋体" w:eastAsia="黑体"/>
          <w:sz w:val="32"/>
          <w:szCs w:val="32"/>
        </w:rPr>
        <w:t>四、项目绩效情况</w:t>
      </w:r>
      <w:bookmarkEnd w:id="292"/>
      <w:bookmarkEnd w:id="293"/>
      <w:bookmarkEnd w:id="294"/>
      <w:bookmarkEnd w:id="295"/>
      <w:bookmarkEnd w:id="296"/>
      <w:bookmarkEnd w:id="297"/>
      <w:r>
        <w:rPr>
          <w:rFonts w:hint="eastAsia" w:ascii="仿宋_GB2312" w:hAnsi="宋体" w:eastAsia="仿宋_GB2312"/>
          <w:sz w:val="32"/>
          <w:szCs w:val="32"/>
          <w:lang w:val="zh-CN"/>
        </w:rPr>
        <w:tab/>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2021年8月26日与上海复旦规划建筑设计研究院有限公司签订了《广元市历史文化名城保护规划（2017-2035）》修编工作合同，2021年12月3日评估报告通过省住房城乡建设厅组织的技术评审会，2022年2月24日报省人民政府同意后启动了《广元市历史文化名城保护规划（2017-2035）》修编工作，修编方案于2022年4月27日通过市专委会2022年第13期会议审查，2022年5月6日通过市规委会 2022年第7次会议审议。《保护规划》修编方案在多次征求了有关部门和公众意见后，于2022年5月9日通过了省住房和城乡建设厅组织的专家技术评审会，我中心按照专家技术评审会以及省住房和城乡建设厅要求对修编进行了修改完善，于2022年5月30日报省住房和城乡建设厅同意后形成了《保护规划》修编最终成果，目前《保护规划》修编方案正按《历史文化名城名镇名村街区保护规划编制审批办法》报省人民政府待审批。</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从社会效益和可持续影响效益上看，强化广元自然山水格局保护，协调保护与发展的关系、保护广元历史文化文脉、助推广元历史文化活化利用具有长期影响。</w:t>
      </w:r>
    </w:p>
    <w:p>
      <w:pPr>
        <w:adjustRightInd w:val="0"/>
        <w:snapToGrid w:val="0"/>
        <w:spacing w:line="576" w:lineRule="exact"/>
        <w:ind w:firstLine="720"/>
        <w:outlineLvl w:val="1"/>
        <w:rPr>
          <w:rFonts w:ascii="黑体" w:hAnsi="宋体" w:eastAsia="黑体"/>
          <w:sz w:val="32"/>
          <w:szCs w:val="32"/>
        </w:rPr>
      </w:pPr>
      <w:bookmarkStart w:id="298" w:name="_Toc23465"/>
      <w:bookmarkStart w:id="299" w:name="_Toc17195"/>
      <w:bookmarkStart w:id="300" w:name="_Toc7963"/>
      <w:bookmarkStart w:id="301" w:name="_Toc9847"/>
      <w:bookmarkStart w:id="302" w:name="_Toc4547"/>
      <w:bookmarkStart w:id="303" w:name="_Toc14475"/>
      <w:r>
        <w:rPr>
          <w:rFonts w:hint="eastAsia" w:ascii="黑体" w:hAnsi="宋体" w:eastAsia="黑体"/>
          <w:sz w:val="32"/>
          <w:szCs w:val="32"/>
        </w:rPr>
        <w:t>五、评价结论及建议</w:t>
      </w:r>
      <w:bookmarkEnd w:id="298"/>
      <w:bookmarkEnd w:id="299"/>
      <w:bookmarkEnd w:id="300"/>
      <w:bookmarkEnd w:id="301"/>
      <w:bookmarkEnd w:id="302"/>
      <w:bookmarkEnd w:id="303"/>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adjustRightInd w:val="0"/>
        <w:snapToGrid w:val="0"/>
        <w:spacing w:line="576" w:lineRule="exact"/>
        <w:ind w:firstLine="720"/>
        <w:rPr>
          <w:rFonts w:ascii="仿宋_GB2312" w:hAnsi="宋体" w:eastAsia="仿宋_GB2312"/>
          <w:sz w:val="32"/>
          <w:szCs w:val="32"/>
          <w:lang w:val="zh-CN"/>
        </w:rPr>
      </w:pPr>
      <w:r>
        <w:rPr>
          <w:rFonts w:hint="eastAsia" w:ascii="仿宋_GB2312" w:hAnsi="宋体" w:eastAsia="仿宋_GB2312"/>
          <w:sz w:val="32"/>
          <w:szCs w:val="32"/>
          <w:lang w:val="zh-CN"/>
        </w:rPr>
        <w:t>我中心预算编制完整，预算执行到位，做到了财务公开、会计核算真实、规范，没有截留、挪用财政资金、擅自扩大或缩小资金使用范围、改变资金用途等现象，未在项目申报中弄虚作假，套取财政资金，保证了专项资金专款专用。</w:t>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绩效目标编制有待进一步完善，绩效目标缺乏数量指标和时效指标，完善绩效目标的编制，在编制绩效目标时应对绩效指标进行进一步量化，设立清晰、具体可以衡量的绩效指标，以便于进行绩效考核。</w:t>
      </w:r>
      <w:r>
        <w:rPr>
          <w:rFonts w:hint="eastAsia" w:ascii="仿宋_GB2312" w:hAnsi="宋体" w:eastAsia="仿宋_GB2312"/>
          <w:sz w:val="32"/>
          <w:szCs w:val="32"/>
          <w:lang w:val="zh-CN"/>
        </w:rPr>
        <w:tab/>
      </w:r>
    </w:p>
    <w:p>
      <w:pPr>
        <w:adjustRightInd w:val="0"/>
        <w:snapToGrid w:val="0"/>
        <w:spacing w:line="576"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1.对仅纳入部门预算核算、未达到一定资金规模且项目内容主要用于支持单位运转的小型项目，开展项目绩效评价时应区别于基建预算的大型项目，对照《2022年市级专项预算项目支出绩效评价指标体系》大部分评分项也不适用于此类项目，建议简化此类项目绩效评价。</w:t>
      </w:r>
    </w:p>
    <w:p>
      <w:pPr>
        <w:adjustRightInd w:val="0"/>
        <w:snapToGrid w:val="0"/>
        <w:spacing w:line="576" w:lineRule="exact"/>
        <w:ind w:firstLine="640" w:firstLineChars="200"/>
        <w:rPr>
          <w:rFonts w:ascii="仿宋_GB2312" w:hAnsi="宋体" w:eastAsia="仿宋_GB2312"/>
          <w:sz w:val="32"/>
          <w:szCs w:val="32"/>
          <w:lang w:val="zh-CN"/>
        </w:rPr>
      </w:pPr>
      <w:r>
        <w:rPr>
          <w:rFonts w:hint="eastAsia" w:ascii="仿宋_GB2312" w:hAnsi="宋体" w:eastAsia="仿宋_GB2312"/>
          <w:sz w:val="32"/>
          <w:szCs w:val="32"/>
          <w:lang w:val="zh-CN"/>
        </w:rPr>
        <w:t>2.进一步建立长效机制，落实好财政项资金的管理和使用，通过项目为载体发挥巨大的社会价值，继续探索好的做法，抓好项目后续管理工作，加强部门预算整体绩效管理的指导和培训，增强提高绩效管理业务人员绩效管理能力、专业素质和思想水平，争取把国家专项资金的有效价值发挥到最大化。</w:t>
      </w:r>
    </w:p>
    <w:p>
      <w:pPr>
        <w:widowControl/>
        <w:adjustRightInd w:val="0"/>
        <w:snapToGrid w:val="0"/>
        <w:spacing w:line="576" w:lineRule="exact"/>
        <w:ind w:firstLine="880" w:firstLineChars="200"/>
        <w:contextualSpacing/>
        <w:jc w:val="left"/>
        <w:rPr>
          <w:rStyle w:val="26"/>
          <w:rFonts w:ascii="黑体" w:hAnsi="黑体" w:eastAsia="黑体"/>
          <w:b w:val="0"/>
        </w:rPr>
      </w:pPr>
      <w:r>
        <w:rPr>
          <w:rStyle w:val="26"/>
          <w:rFonts w:ascii="黑体" w:hAnsi="黑体" w:eastAsia="黑体"/>
          <w:b w:val="0"/>
        </w:rPr>
        <w:br w:type="page"/>
      </w:r>
    </w:p>
    <w:tbl>
      <w:tblPr>
        <w:tblStyle w:val="12"/>
        <w:tblpPr w:leftFromText="180" w:rightFromText="180" w:vertAnchor="text" w:horzAnchor="page" w:tblpX="1281" w:tblpY="660"/>
        <w:tblOverlap w:val="never"/>
        <w:tblW w:w="9577" w:type="dxa"/>
        <w:tblInd w:w="0" w:type="dxa"/>
        <w:tblLayout w:type="fixed"/>
        <w:tblCellMar>
          <w:top w:w="0" w:type="dxa"/>
          <w:left w:w="108" w:type="dxa"/>
          <w:bottom w:w="0" w:type="dxa"/>
          <w:right w:w="108" w:type="dxa"/>
        </w:tblCellMar>
      </w:tblPr>
      <w:tblGrid>
        <w:gridCol w:w="1977"/>
        <w:gridCol w:w="1142"/>
        <w:gridCol w:w="1635"/>
        <w:gridCol w:w="1189"/>
        <w:gridCol w:w="1666"/>
        <w:gridCol w:w="1968"/>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vAlign w:val="center"/>
          </w:tcPr>
          <w:p>
            <w:pPr>
              <w:widowControl/>
              <w:adjustRightInd w:val="0"/>
              <w:snapToGrid w:val="0"/>
              <w:spacing w:line="576" w:lineRule="exact"/>
              <w:ind w:firstLine="642" w:firstLineChars="200"/>
              <w:contextualSpacing/>
              <w:jc w:val="center"/>
              <w:rPr>
                <w:rFonts w:ascii="宋体" w:hAnsi="宋体" w:cs="宋体"/>
                <w:b/>
                <w:sz w:val="32"/>
                <w:szCs w:val="32"/>
              </w:rPr>
            </w:pPr>
            <w:r>
              <w:rPr>
                <w:rFonts w:hint="eastAsia" w:ascii="宋体" w:hAnsi="宋体" w:cs="宋体"/>
                <w:b/>
                <w:sz w:val="32"/>
                <w:szCs w:val="32"/>
              </w:rPr>
              <w:t>2021年部门预算项目绩效目标自评</w:t>
            </w:r>
          </w:p>
        </w:tc>
      </w:tr>
      <w:tr>
        <w:tblPrEx>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vAlign w:val="center"/>
          </w:tcPr>
          <w:p>
            <w:pPr>
              <w:pStyle w:val="2"/>
              <w:spacing w:before="93" w:line="240" w:lineRule="atLeast"/>
              <w:jc w:val="center"/>
              <w:rPr>
                <w:rFonts w:hAnsi="仿宋_GB2312" w:cs="仿宋_GB2312"/>
                <w:sz w:val="21"/>
                <w:szCs w:val="21"/>
              </w:rPr>
            </w:pPr>
            <w:r>
              <w:rPr>
                <w:rFonts w:hint="eastAsia" w:hAnsi="仿宋_GB2312" w:cs="仿宋_GB2312"/>
                <w:sz w:val="21"/>
                <w:szCs w:val="21"/>
              </w:rPr>
              <w:t>广元市国土空间规划编制研究中心341001</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实施单位</w:t>
            </w:r>
          </w:p>
        </w:tc>
        <w:tc>
          <w:tcPr>
            <w:tcW w:w="1968" w:type="dxa"/>
            <w:tcBorders>
              <w:top w:val="single" w:color="000000" w:sz="4" w:space="0"/>
              <w:left w:val="single" w:color="000000" w:sz="4" w:space="0"/>
              <w:bottom w:val="single" w:color="000000" w:sz="4" w:space="0"/>
              <w:right w:val="single" w:color="000000" w:sz="4" w:space="0"/>
            </w:tcBorders>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广元市国土空间规划编制研究中心</w:t>
            </w:r>
          </w:p>
        </w:tc>
      </w:tr>
      <w:tr>
        <w:tblPrEx>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项目预算</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执行情况</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（万元）</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预算数：</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80</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 xml:space="preserve"> 执行数：</w:t>
            </w:r>
          </w:p>
        </w:tc>
        <w:tc>
          <w:tcPr>
            <w:tcW w:w="19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15.6</w:t>
            </w:r>
          </w:p>
        </w:tc>
      </w:tr>
      <w:tr>
        <w:tblPrEx>
          <w:tblCellMar>
            <w:top w:w="0" w:type="dxa"/>
            <w:left w:w="108" w:type="dxa"/>
            <w:bottom w:w="0" w:type="dxa"/>
            <w:right w:w="108" w:type="dxa"/>
          </w:tblCellMar>
        </w:tblPrEx>
        <w:trPr>
          <w:trHeight w:val="555" w:hRule="atLeast"/>
        </w:trPr>
        <w:tc>
          <w:tcPr>
            <w:tcW w:w="3119" w:type="dxa"/>
            <w:gridSpan w:val="2"/>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其中：财政拨款</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80</w:t>
            </w: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其中：财政拨款</w:t>
            </w:r>
          </w:p>
        </w:tc>
        <w:tc>
          <w:tcPr>
            <w:tcW w:w="19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15.6</w:t>
            </w:r>
          </w:p>
        </w:tc>
      </w:tr>
      <w:tr>
        <w:tblPrEx>
          <w:tblCellMar>
            <w:top w:w="0" w:type="dxa"/>
            <w:left w:w="108" w:type="dxa"/>
            <w:bottom w:w="0" w:type="dxa"/>
            <w:right w:w="108" w:type="dxa"/>
          </w:tblCellMar>
        </w:tblPrEx>
        <w:trPr>
          <w:trHeight w:val="341" w:hRule="atLeast"/>
        </w:trPr>
        <w:tc>
          <w:tcPr>
            <w:tcW w:w="3119" w:type="dxa"/>
            <w:gridSpan w:val="2"/>
            <w:vMerge w:val="continue"/>
            <w:tcBorders>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其他资金</w:t>
            </w:r>
          </w:p>
        </w:tc>
        <w:tc>
          <w:tcPr>
            <w:tcW w:w="1189"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p>
        </w:tc>
        <w:tc>
          <w:tcPr>
            <w:tcW w:w="1666"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left"/>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其他资金</w:t>
            </w:r>
          </w:p>
        </w:tc>
        <w:tc>
          <w:tcPr>
            <w:tcW w:w="196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atLeast"/>
              <w:jc w:val="center"/>
              <w:textAlignment w:val="center"/>
              <w:rPr>
                <w:rFonts w:ascii="仿宋_GB2312" w:hAnsi="仿宋_GB2312" w:eastAsia="仿宋_GB2312" w:cs="仿宋_GB2312"/>
                <w:kern w:val="0"/>
                <w:szCs w:val="21"/>
              </w:rPr>
            </w:pPr>
          </w:p>
        </w:tc>
      </w:tr>
      <w:tr>
        <w:tblPrEx>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年度总体目标</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完成情况</w:t>
            </w:r>
          </w:p>
          <w:p>
            <w:pPr>
              <w:spacing w:line="240" w:lineRule="atLeast"/>
              <w:jc w:val="center"/>
              <w:rPr>
                <w:rFonts w:ascii="仿宋_GB2312" w:hAnsi="仿宋_GB2312" w:eastAsia="仿宋_GB2312" w:cs="仿宋_GB2312"/>
                <w:szCs w:val="21"/>
              </w:rPr>
            </w:pPr>
          </w:p>
        </w:tc>
        <w:tc>
          <w:tcPr>
            <w:tcW w:w="3966" w:type="dxa"/>
            <w:gridSpan w:val="3"/>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预期目标</w:t>
            </w:r>
          </w:p>
        </w:tc>
        <w:tc>
          <w:tcPr>
            <w:tcW w:w="3634"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目标实际完成情况</w:t>
            </w:r>
          </w:p>
        </w:tc>
      </w:tr>
      <w:tr>
        <w:tblPrEx>
          <w:tblCellMar>
            <w:top w:w="0" w:type="dxa"/>
            <w:left w:w="108" w:type="dxa"/>
            <w:bottom w:w="0" w:type="dxa"/>
            <w:right w:w="108" w:type="dxa"/>
          </w:tblCellMar>
        </w:tblPrEx>
        <w:trPr>
          <w:trHeight w:val="797" w:hRule="atLeast"/>
        </w:trPr>
        <w:tc>
          <w:tcPr>
            <w:tcW w:w="1977" w:type="dxa"/>
            <w:vMerge w:val="continue"/>
            <w:tcBorders>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3966" w:type="dxa"/>
            <w:gridSpan w:val="3"/>
            <w:tcBorders>
              <w:top w:val="single" w:color="000000" w:sz="4" w:space="0"/>
              <w:left w:val="single" w:color="000000" w:sz="4" w:space="0"/>
              <w:bottom w:val="single" w:color="000000" w:sz="4" w:space="0"/>
              <w:right w:val="single" w:color="000000" w:sz="4" w:space="0"/>
            </w:tcBorders>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通过规划有效地指导我市历史文化名城名镇街区、建筑及自然风貌的保护和管理，对城市历史遗产资源的合理保护和开发利用提供有效依据，对保护历史城区风貌、合理利用历史文化遗产和塑造城市特色起到了积极的促进作用，对开展历史文化资源普查、申报等具体工作形成了有序指引和管控，对历史文化名城周边区域风貌保护、建设提升及资源改造利用提供了支撑和指导。</w:t>
            </w:r>
          </w:p>
        </w:tc>
        <w:tc>
          <w:tcPr>
            <w:tcW w:w="3634" w:type="dxa"/>
            <w:gridSpan w:val="2"/>
            <w:tcBorders>
              <w:top w:val="single" w:color="000000" w:sz="4" w:space="0"/>
              <w:left w:val="single" w:color="000000" w:sz="4" w:space="0"/>
              <w:bottom w:val="single" w:color="000000" w:sz="4" w:space="0"/>
              <w:right w:val="single" w:color="000000" w:sz="4" w:space="0"/>
            </w:tcBorders>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落实了党中央国务院在城乡建设中加强历史文化保护传承的意见精神，更好地保护我市传统文化资源、传承历史文脉，处理好城市开发与历史文化遗产保护、传承和发展历史文化价值特色及内涵，完善历史文化保护内容及传承体系。</w:t>
            </w:r>
          </w:p>
        </w:tc>
      </w:tr>
      <w:tr>
        <w:tblPrEx>
          <w:tblCellMar>
            <w:top w:w="0" w:type="dxa"/>
            <w:left w:w="108" w:type="dxa"/>
            <w:bottom w:w="0" w:type="dxa"/>
            <w:right w:w="108" w:type="dxa"/>
          </w:tblCellMar>
        </w:tblPrEx>
        <w:trPr>
          <w:trHeight w:val="693" w:hRule="atLeast"/>
        </w:trPr>
        <w:tc>
          <w:tcPr>
            <w:tcW w:w="1977"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年度绩效指标完成情况</w:t>
            </w:r>
          </w:p>
        </w:tc>
        <w:tc>
          <w:tcPr>
            <w:tcW w:w="1142" w:type="dxa"/>
            <w:tcBorders>
              <w:top w:val="single" w:color="000000" w:sz="4" w:space="0"/>
              <w:left w:val="nil"/>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一级</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二级</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三级</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预期指标值</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实际完成指标值</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42"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完成</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数量指标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专项规划</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1个</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1个</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42"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质量指标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专项规划</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通过专委会、规委会、省住建厅技术审查会、省政府批复</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通过专委会（按编制成果阶段上会）</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42"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时效指标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完成时间</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2021年12月31日前</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2021年12月31日前</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42" w:type="dxa"/>
            <w:vMerge w:val="continue"/>
            <w:tcBorders>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成本指标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规划编制服务费</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80万元</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15.6万元（第一阶段方案设计费）</w:t>
            </w:r>
          </w:p>
        </w:tc>
      </w:tr>
      <w:tr>
        <w:tblPrEx>
          <w:tblCellMar>
            <w:top w:w="0" w:type="dxa"/>
            <w:left w:w="108" w:type="dxa"/>
            <w:bottom w:w="0" w:type="dxa"/>
            <w:right w:w="108" w:type="dxa"/>
          </w:tblCellMar>
        </w:tblPrEx>
        <w:trPr>
          <w:trHeight w:val="695" w:hRule="atLeast"/>
        </w:trPr>
        <w:tc>
          <w:tcPr>
            <w:tcW w:w="1977"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42" w:type="dxa"/>
            <w:vMerge w:val="restart"/>
            <w:tcBorders>
              <w:top w:val="single" w:color="000000" w:sz="4" w:space="0"/>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效益</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社会效益指标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对我市历史文化保护的影响</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处理好城市开发与历史文化遗产保护、传承和发展历史文化价值特色及内涵，完善历史文化保护内容及传承体系。</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处理好城市开发与历史文化遗产保护、传承和发展历史文化价值特色及内涵，完善历史文化保护内容及传承体系。</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42" w:type="dxa"/>
            <w:vMerge w:val="continue"/>
            <w:tcBorders>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可持续影响指标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我市历史文化保护传承</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长期</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长期</w:t>
            </w:r>
          </w:p>
        </w:tc>
      </w:tr>
      <w:tr>
        <w:tblPrEx>
          <w:tblCellMar>
            <w:top w:w="0" w:type="dxa"/>
            <w:left w:w="108" w:type="dxa"/>
            <w:bottom w:w="0" w:type="dxa"/>
            <w:right w:w="108" w:type="dxa"/>
          </w:tblCellMar>
        </w:tblPrEx>
        <w:trPr>
          <w:trHeight w:val="530" w:hRule="atLeast"/>
        </w:trPr>
        <w:tc>
          <w:tcPr>
            <w:tcW w:w="1977" w:type="dxa"/>
            <w:vMerge w:val="continue"/>
            <w:tcBorders>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p>
        </w:tc>
        <w:tc>
          <w:tcPr>
            <w:tcW w:w="1142"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满意</w:t>
            </w:r>
            <w:r>
              <w:rPr>
                <w:rFonts w:hint="eastAsia" w:ascii="仿宋_GB2312" w:hAnsi="仿宋_GB2312" w:eastAsia="仿宋_GB2312" w:cs="仿宋_GB2312"/>
                <w:szCs w:val="21"/>
              </w:rPr>
              <w:br w:type="textWrapping"/>
            </w:r>
            <w:r>
              <w:rPr>
                <w:rFonts w:hint="eastAsia" w:ascii="仿宋_GB2312" w:hAnsi="仿宋_GB2312" w:eastAsia="仿宋_GB2312" w:cs="仿宋_GB2312"/>
                <w:szCs w:val="21"/>
              </w:rPr>
              <w:t>度指标</w:t>
            </w:r>
          </w:p>
        </w:tc>
        <w:tc>
          <w:tcPr>
            <w:tcW w:w="1635"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满意度</w:t>
            </w:r>
          </w:p>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指标</w:t>
            </w:r>
          </w:p>
        </w:tc>
        <w:tc>
          <w:tcPr>
            <w:tcW w:w="1189"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工作质量</w:t>
            </w:r>
          </w:p>
        </w:tc>
        <w:tc>
          <w:tcPr>
            <w:tcW w:w="1666"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得到相关单位认可</w:t>
            </w:r>
          </w:p>
        </w:tc>
        <w:tc>
          <w:tcPr>
            <w:tcW w:w="1968" w:type="dxa"/>
            <w:tcBorders>
              <w:top w:val="single" w:color="000000" w:sz="4" w:space="0"/>
              <w:left w:val="single" w:color="000000" w:sz="4" w:space="0"/>
              <w:bottom w:val="single" w:color="000000" w:sz="4" w:space="0"/>
              <w:right w:val="single" w:color="000000" w:sz="4" w:space="0"/>
            </w:tcBorders>
            <w:vAlign w:val="center"/>
          </w:tcPr>
          <w:p>
            <w:pPr>
              <w:spacing w:line="240" w:lineRule="atLeast"/>
              <w:jc w:val="center"/>
              <w:rPr>
                <w:rFonts w:ascii="仿宋_GB2312" w:hAnsi="仿宋_GB2312" w:eastAsia="仿宋_GB2312" w:cs="仿宋_GB2312"/>
                <w:szCs w:val="21"/>
              </w:rPr>
            </w:pPr>
            <w:r>
              <w:rPr>
                <w:rFonts w:hint="eastAsia" w:ascii="仿宋_GB2312" w:hAnsi="仿宋_GB2312" w:eastAsia="仿宋_GB2312" w:cs="仿宋_GB2312"/>
                <w:szCs w:val="21"/>
              </w:rPr>
              <w:t>得到相关单位认可</w:t>
            </w:r>
          </w:p>
        </w:tc>
      </w:tr>
    </w:tbl>
    <w:p>
      <w:pPr>
        <w:spacing w:line="240" w:lineRule="atLeast"/>
        <w:jc w:val="left"/>
        <w:rPr>
          <w:rStyle w:val="26"/>
          <w:rFonts w:ascii="黑体" w:hAnsi="黑体" w:eastAsia="黑体"/>
          <w:b w:val="0"/>
        </w:rPr>
      </w:pPr>
      <w:r>
        <w:rPr>
          <w:rFonts w:hint="eastAsia" w:ascii="仿宋_GB2312" w:hAnsi="仿宋_GB2312" w:eastAsia="仿宋_GB2312" w:cs="仿宋_GB2312"/>
          <w:sz w:val="32"/>
          <w:szCs w:val="32"/>
          <w:lang w:val="zh-CN"/>
        </w:rPr>
        <w:t>附件：</w:t>
      </w:r>
    </w:p>
    <w:p>
      <w:pPr>
        <w:pStyle w:val="2"/>
        <w:spacing w:beforeLines="0" w:line="576" w:lineRule="exact"/>
        <w:rPr>
          <w:rStyle w:val="26"/>
          <w:rFonts w:ascii="黑体" w:hAnsi="黑体" w:eastAsia="黑体"/>
          <w:b w:val="0"/>
        </w:rPr>
      </w:pPr>
    </w:p>
    <w:p>
      <w:pPr>
        <w:spacing w:line="576" w:lineRule="exact"/>
        <w:jc w:val="center"/>
        <w:outlineLvl w:val="0"/>
        <w:rPr>
          <w:rFonts w:ascii="仿宋" w:hAnsi="仿宋" w:eastAsia="仿宋"/>
        </w:rPr>
      </w:pPr>
      <w:bookmarkStart w:id="304" w:name="_Toc8069"/>
      <w:bookmarkStart w:id="305" w:name="_Toc3168"/>
      <w:bookmarkStart w:id="306" w:name="_Toc15396618"/>
      <w:bookmarkStart w:id="307" w:name="_Toc7468"/>
      <w:bookmarkStart w:id="308" w:name="_Toc12325"/>
      <w:bookmarkStart w:id="309" w:name="_Toc29495"/>
      <w:bookmarkStart w:id="310" w:name="_Toc10108"/>
      <w:r>
        <w:rPr>
          <w:rFonts w:hint="eastAsia" w:ascii="黑体" w:hAnsi="黑体" w:eastAsia="黑体"/>
          <w:sz w:val="44"/>
          <w:szCs w:val="44"/>
        </w:rPr>
        <w:t>第</w:t>
      </w:r>
      <w:r>
        <w:rPr>
          <w:rStyle w:val="26"/>
          <w:rFonts w:hint="eastAsia" w:ascii="黑体" w:hAnsi="黑体" w:eastAsia="黑体"/>
          <w:b w:val="0"/>
        </w:rPr>
        <w:t>五部分 附表</w:t>
      </w:r>
      <w:bookmarkEnd w:id="304"/>
      <w:bookmarkEnd w:id="305"/>
      <w:bookmarkEnd w:id="306"/>
      <w:bookmarkEnd w:id="307"/>
      <w:bookmarkEnd w:id="308"/>
      <w:bookmarkEnd w:id="309"/>
      <w:bookmarkEnd w:id="310"/>
      <w:bookmarkStart w:id="311" w:name="_Toc15396619"/>
    </w:p>
    <w:p>
      <w:pPr>
        <w:pStyle w:val="4"/>
        <w:spacing w:before="0" w:after="0" w:line="576" w:lineRule="exact"/>
        <w:rPr>
          <w:rFonts w:ascii="仿宋" w:hAnsi="仿宋" w:eastAsia="仿宋"/>
        </w:rPr>
      </w:pPr>
      <w:bookmarkStart w:id="312" w:name="_Toc19186"/>
      <w:bookmarkStart w:id="313" w:name="_Toc23117"/>
      <w:bookmarkStart w:id="314" w:name="_Toc1584"/>
      <w:bookmarkStart w:id="315" w:name="_Toc4029"/>
      <w:bookmarkStart w:id="316" w:name="_Toc13853"/>
      <w:bookmarkStart w:id="317" w:name="_Toc19752"/>
      <w:r>
        <w:rPr>
          <w:rFonts w:hint="eastAsia" w:ascii="仿宋" w:hAnsi="仿宋" w:eastAsia="仿宋"/>
          <w:b w:val="0"/>
        </w:rPr>
        <w:t>一、收</w:t>
      </w:r>
      <w:r>
        <w:rPr>
          <w:rStyle w:val="27"/>
          <w:rFonts w:hint="eastAsia" w:ascii="仿宋" w:hAnsi="仿宋" w:eastAsia="仿宋"/>
          <w:b w:val="0"/>
          <w:bCs w:val="0"/>
        </w:rPr>
        <w:t>入支出决算总表</w:t>
      </w:r>
      <w:bookmarkEnd w:id="311"/>
      <w:bookmarkEnd w:id="312"/>
      <w:bookmarkEnd w:id="313"/>
      <w:bookmarkEnd w:id="314"/>
      <w:bookmarkEnd w:id="315"/>
      <w:bookmarkEnd w:id="316"/>
      <w:bookmarkEnd w:id="317"/>
    </w:p>
    <w:p>
      <w:pPr>
        <w:pStyle w:val="4"/>
        <w:spacing w:before="0" w:after="0" w:line="576" w:lineRule="exact"/>
        <w:rPr>
          <w:rFonts w:ascii="仿宋" w:hAnsi="仿宋" w:eastAsia="仿宋"/>
        </w:rPr>
      </w:pPr>
      <w:bookmarkStart w:id="318" w:name="_Toc15396620"/>
      <w:bookmarkStart w:id="319" w:name="_Toc15164"/>
      <w:bookmarkStart w:id="320" w:name="_Toc11722"/>
      <w:bookmarkStart w:id="321" w:name="_Toc234"/>
      <w:bookmarkStart w:id="322" w:name="_Toc15145"/>
      <w:bookmarkStart w:id="323" w:name="_Toc29193"/>
      <w:bookmarkStart w:id="324" w:name="_Toc22045"/>
      <w:r>
        <w:rPr>
          <w:rFonts w:hint="eastAsia" w:ascii="仿宋" w:hAnsi="仿宋" w:eastAsia="仿宋"/>
          <w:b w:val="0"/>
        </w:rPr>
        <w:t>二、收</w:t>
      </w:r>
      <w:r>
        <w:rPr>
          <w:rStyle w:val="27"/>
          <w:rFonts w:hint="eastAsia" w:ascii="仿宋" w:hAnsi="仿宋" w:eastAsia="仿宋"/>
          <w:b w:val="0"/>
          <w:bCs w:val="0"/>
        </w:rPr>
        <w:t>入决算表</w:t>
      </w:r>
      <w:bookmarkEnd w:id="318"/>
      <w:bookmarkEnd w:id="319"/>
      <w:bookmarkEnd w:id="320"/>
      <w:bookmarkEnd w:id="321"/>
      <w:bookmarkEnd w:id="322"/>
      <w:bookmarkEnd w:id="323"/>
      <w:bookmarkEnd w:id="324"/>
    </w:p>
    <w:p>
      <w:pPr>
        <w:pStyle w:val="4"/>
        <w:spacing w:before="0" w:after="0" w:line="576" w:lineRule="exact"/>
        <w:rPr>
          <w:rFonts w:ascii="仿宋" w:hAnsi="仿宋" w:eastAsia="仿宋"/>
        </w:rPr>
      </w:pPr>
      <w:bookmarkStart w:id="325" w:name="_Toc28090"/>
      <w:bookmarkStart w:id="326" w:name="_Toc16760"/>
      <w:bookmarkStart w:id="327" w:name="_Toc22247"/>
      <w:bookmarkStart w:id="328" w:name="_Toc22163"/>
      <w:bookmarkStart w:id="329" w:name="_Toc28119"/>
      <w:bookmarkStart w:id="330" w:name="_Toc15396621"/>
      <w:bookmarkStart w:id="331" w:name="_Toc21640"/>
      <w:r>
        <w:rPr>
          <w:rStyle w:val="27"/>
          <w:rFonts w:hint="eastAsia" w:ascii="仿宋" w:hAnsi="仿宋" w:eastAsia="仿宋"/>
          <w:b w:val="0"/>
          <w:bCs w:val="0"/>
        </w:rPr>
        <w:t>三、</w:t>
      </w:r>
      <w:r>
        <w:rPr>
          <w:rFonts w:hint="eastAsia" w:ascii="仿宋" w:hAnsi="仿宋" w:eastAsia="仿宋"/>
          <w:b w:val="0"/>
        </w:rPr>
        <w:t>支</w:t>
      </w:r>
      <w:r>
        <w:rPr>
          <w:rStyle w:val="27"/>
          <w:rFonts w:hint="eastAsia" w:ascii="仿宋" w:hAnsi="仿宋" w:eastAsia="仿宋"/>
          <w:b w:val="0"/>
          <w:bCs w:val="0"/>
        </w:rPr>
        <w:t>出决算表</w:t>
      </w:r>
      <w:bookmarkEnd w:id="325"/>
      <w:bookmarkEnd w:id="326"/>
      <w:bookmarkEnd w:id="327"/>
      <w:bookmarkEnd w:id="328"/>
      <w:bookmarkEnd w:id="329"/>
      <w:bookmarkEnd w:id="330"/>
      <w:bookmarkEnd w:id="331"/>
    </w:p>
    <w:p>
      <w:pPr>
        <w:pStyle w:val="4"/>
        <w:spacing w:before="0" w:after="0" w:line="576" w:lineRule="exact"/>
        <w:rPr>
          <w:rFonts w:ascii="仿宋" w:hAnsi="仿宋" w:eastAsia="仿宋"/>
          <w:b w:val="0"/>
        </w:rPr>
      </w:pPr>
      <w:bookmarkStart w:id="332" w:name="_Toc27380"/>
      <w:bookmarkStart w:id="333" w:name="_Toc12717"/>
      <w:bookmarkStart w:id="334" w:name="_Toc29660"/>
      <w:bookmarkStart w:id="335" w:name="_Toc15396622"/>
      <w:bookmarkStart w:id="336" w:name="_Toc12490"/>
      <w:bookmarkStart w:id="337" w:name="_Toc8346"/>
      <w:bookmarkStart w:id="338" w:name="_Toc4351"/>
      <w:r>
        <w:rPr>
          <w:rStyle w:val="27"/>
          <w:rFonts w:hint="eastAsia" w:ascii="仿宋" w:hAnsi="仿宋" w:eastAsia="仿宋"/>
          <w:b w:val="0"/>
          <w:bCs w:val="0"/>
        </w:rPr>
        <w:t>四、</w:t>
      </w:r>
      <w:r>
        <w:rPr>
          <w:rFonts w:hint="eastAsia" w:ascii="仿宋" w:hAnsi="仿宋" w:eastAsia="仿宋"/>
          <w:b w:val="0"/>
        </w:rPr>
        <w:t>财</w:t>
      </w:r>
      <w:r>
        <w:rPr>
          <w:rStyle w:val="27"/>
          <w:rFonts w:hint="eastAsia" w:ascii="仿宋" w:hAnsi="仿宋" w:eastAsia="仿宋"/>
          <w:b w:val="0"/>
          <w:bCs w:val="0"/>
        </w:rPr>
        <w:t>政拨款收入支出决算总表</w:t>
      </w:r>
      <w:bookmarkEnd w:id="332"/>
      <w:bookmarkEnd w:id="333"/>
      <w:bookmarkEnd w:id="334"/>
      <w:bookmarkEnd w:id="335"/>
      <w:bookmarkEnd w:id="336"/>
      <w:bookmarkEnd w:id="337"/>
      <w:bookmarkEnd w:id="338"/>
    </w:p>
    <w:p>
      <w:pPr>
        <w:pStyle w:val="4"/>
        <w:spacing w:before="0" w:after="0" w:line="576" w:lineRule="exact"/>
        <w:rPr>
          <w:rStyle w:val="27"/>
          <w:rFonts w:ascii="仿宋" w:hAnsi="仿宋" w:eastAsia="仿宋"/>
          <w:b w:val="0"/>
          <w:bCs w:val="0"/>
        </w:rPr>
      </w:pPr>
      <w:bookmarkStart w:id="339" w:name="_Toc18486"/>
      <w:bookmarkStart w:id="340" w:name="_Toc10067"/>
      <w:bookmarkStart w:id="341" w:name="_Toc10388"/>
      <w:bookmarkStart w:id="342" w:name="_Toc15396623"/>
      <w:bookmarkStart w:id="343" w:name="_Toc11226"/>
      <w:bookmarkStart w:id="344" w:name="_Toc13663"/>
      <w:bookmarkStart w:id="345" w:name="_Toc22206"/>
      <w:r>
        <w:rPr>
          <w:rStyle w:val="27"/>
          <w:rFonts w:hint="eastAsia" w:ascii="仿宋" w:hAnsi="仿宋" w:eastAsia="仿宋"/>
          <w:b w:val="0"/>
          <w:bCs w:val="0"/>
        </w:rPr>
        <w:t>五、</w:t>
      </w:r>
      <w:r>
        <w:rPr>
          <w:rFonts w:hint="eastAsia" w:ascii="仿宋" w:hAnsi="仿宋" w:eastAsia="仿宋"/>
          <w:b w:val="0"/>
        </w:rPr>
        <w:t>财</w:t>
      </w:r>
      <w:r>
        <w:rPr>
          <w:rStyle w:val="27"/>
          <w:rFonts w:hint="eastAsia" w:ascii="仿宋" w:hAnsi="仿宋" w:eastAsia="仿宋"/>
          <w:b w:val="0"/>
          <w:bCs w:val="0"/>
        </w:rPr>
        <w:t>政拨款支出决算明细表</w:t>
      </w:r>
      <w:bookmarkEnd w:id="339"/>
      <w:bookmarkEnd w:id="340"/>
      <w:bookmarkEnd w:id="341"/>
      <w:bookmarkEnd w:id="342"/>
      <w:bookmarkEnd w:id="343"/>
      <w:bookmarkEnd w:id="344"/>
      <w:bookmarkEnd w:id="345"/>
      <w:bookmarkStart w:id="346" w:name="_Toc15396624"/>
    </w:p>
    <w:p>
      <w:pPr>
        <w:pStyle w:val="4"/>
        <w:spacing w:before="0" w:after="0" w:line="576" w:lineRule="exact"/>
        <w:rPr>
          <w:rFonts w:ascii="仿宋" w:hAnsi="仿宋" w:eastAsia="仿宋"/>
        </w:rPr>
      </w:pPr>
      <w:bookmarkStart w:id="347" w:name="_Toc10377"/>
      <w:bookmarkStart w:id="348" w:name="_Toc16783"/>
      <w:bookmarkStart w:id="349" w:name="_Toc20345"/>
      <w:bookmarkStart w:id="350" w:name="_Toc27947"/>
      <w:bookmarkStart w:id="351" w:name="_Toc20874"/>
      <w:bookmarkStart w:id="352" w:name="_Toc30970"/>
      <w:r>
        <w:rPr>
          <w:rStyle w:val="27"/>
          <w:rFonts w:hint="eastAsia" w:ascii="仿宋" w:hAnsi="仿宋" w:eastAsia="仿宋"/>
          <w:b w:val="0"/>
          <w:bCs w:val="0"/>
        </w:rPr>
        <w:t>六、</w:t>
      </w:r>
      <w:r>
        <w:rPr>
          <w:rFonts w:hint="eastAsia" w:ascii="仿宋" w:hAnsi="仿宋" w:eastAsia="仿宋"/>
          <w:b w:val="0"/>
        </w:rPr>
        <w:t>一</w:t>
      </w:r>
      <w:r>
        <w:rPr>
          <w:rStyle w:val="27"/>
          <w:rFonts w:hint="eastAsia" w:ascii="仿宋" w:hAnsi="仿宋" w:eastAsia="仿宋"/>
          <w:b w:val="0"/>
          <w:bCs w:val="0"/>
        </w:rPr>
        <w:t>般公共预算财政拨款支出决算表</w:t>
      </w:r>
      <w:bookmarkEnd w:id="346"/>
      <w:bookmarkEnd w:id="347"/>
      <w:bookmarkEnd w:id="348"/>
      <w:bookmarkEnd w:id="349"/>
      <w:bookmarkEnd w:id="350"/>
      <w:bookmarkEnd w:id="351"/>
      <w:bookmarkEnd w:id="352"/>
    </w:p>
    <w:p>
      <w:pPr>
        <w:pStyle w:val="4"/>
        <w:spacing w:before="0" w:after="0" w:line="576" w:lineRule="exact"/>
        <w:rPr>
          <w:rFonts w:ascii="仿宋" w:hAnsi="仿宋" w:eastAsia="仿宋"/>
        </w:rPr>
      </w:pPr>
      <w:bookmarkStart w:id="353" w:name="_Toc596"/>
      <w:bookmarkStart w:id="354" w:name="_Toc6160"/>
      <w:bookmarkStart w:id="355" w:name="_Toc3389"/>
      <w:bookmarkStart w:id="356" w:name="_Toc17299"/>
      <w:bookmarkStart w:id="357" w:name="_Toc15396625"/>
      <w:bookmarkStart w:id="358" w:name="_Toc24277"/>
      <w:bookmarkStart w:id="359" w:name="_Toc20668"/>
      <w:r>
        <w:rPr>
          <w:rStyle w:val="27"/>
          <w:rFonts w:hint="eastAsia" w:ascii="仿宋" w:hAnsi="仿宋" w:eastAsia="仿宋"/>
          <w:b w:val="0"/>
          <w:bCs w:val="0"/>
        </w:rPr>
        <w:t>七、</w:t>
      </w:r>
      <w:r>
        <w:rPr>
          <w:rFonts w:hint="eastAsia" w:ascii="仿宋" w:hAnsi="仿宋" w:eastAsia="仿宋"/>
          <w:b w:val="0"/>
        </w:rPr>
        <w:t>一</w:t>
      </w:r>
      <w:r>
        <w:rPr>
          <w:rStyle w:val="27"/>
          <w:rFonts w:hint="eastAsia" w:ascii="仿宋" w:hAnsi="仿宋" w:eastAsia="仿宋"/>
          <w:b w:val="0"/>
          <w:bCs w:val="0"/>
        </w:rPr>
        <w:t>般公共预算财政拨款支出决算明细表</w:t>
      </w:r>
      <w:bookmarkEnd w:id="353"/>
      <w:bookmarkEnd w:id="354"/>
      <w:bookmarkEnd w:id="355"/>
      <w:bookmarkEnd w:id="356"/>
      <w:bookmarkEnd w:id="357"/>
      <w:bookmarkEnd w:id="358"/>
      <w:bookmarkEnd w:id="359"/>
    </w:p>
    <w:p>
      <w:pPr>
        <w:pStyle w:val="4"/>
        <w:spacing w:before="0" w:after="0" w:line="576" w:lineRule="exact"/>
        <w:rPr>
          <w:rFonts w:ascii="仿宋" w:hAnsi="仿宋" w:eastAsia="仿宋"/>
        </w:rPr>
      </w:pPr>
      <w:bookmarkStart w:id="360" w:name="_Toc9451"/>
      <w:bookmarkStart w:id="361" w:name="_Toc3261"/>
      <w:bookmarkStart w:id="362" w:name="_Toc26419"/>
      <w:bookmarkStart w:id="363" w:name="_Toc3671"/>
      <w:bookmarkStart w:id="364" w:name="_Toc388"/>
      <w:bookmarkStart w:id="365" w:name="_Toc15396626"/>
      <w:bookmarkStart w:id="366" w:name="_Toc10297"/>
      <w:r>
        <w:rPr>
          <w:rStyle w:val="27"/>
          <w:rFonts w:hint="eastAsia" w:ascii="仿宋" w:hAnsi="仿宋" w:eastAsia="仿宋"/>
          <w:b w:val="0"/>
          <w:bCs w:val="0"/>
        </w:rPr>
        <w:t>八、</w:t>
      </w:r>
      <w:r>
        <w:rPr>
          <w:rFonts w:hint="eastAsia" w:ascii="仿宋" w:hAnsi="仿宋" w:eastAsia="仿宋"/>
          <w:b w:val="0"/>
        </w:rPr>
        <w:t>一</w:t>
      </w:r>
      <w:r>
        <w:rPr>
          <w:rStyle w:val="27"/>
          <w:rFonts w:hint="eastAsia" w:ascii="仿宋" w:hAnsi="仿宋" w:eastAsia="仿宋"/>
          <w:b w:val="0"/>
          <w:bCs w:val="0"/>
        </w:rPr>
        <w:t>般公共预算财政拨款基本支出决算表</w:t>
      </w:r>
      <w:bookmarkEnd w:id="360"/>
      <w:bookmarkEnd w:id="361"/>
      <w:bookmarkEnd w:id="362"/>
      <w:bookmarkEnd w:id="363"/>
      <w:bookmarkEnd w:id="364"/>
      <w:bookmarkEnd w:id="365"/>
      <w:bookmarkEnd w:id="366"/>
    </w:p>
    <w:p>
      <w:pPr>
        <w:pStyle w:val="4"/>
        <w:spacing w:before="0" w:after="0" w:line="576" w:lineRule="exact"/>
        <w:rPr>
          <w:rFonts w:ascii="仿宋" w:hAnsi="仿宋" w:eastAsia="仿宋"/>
        </w:rPr>
      </w:pPr>
      <w:bookmarkStart w:id="367" w:name="_Toc12202"/>
      <w:bookmarkStart w:id="368" w:name="_Toc14797"/>
      <w:bookmarkStart w:id="369" w:name="_Toc373"/>
      <w:bookmarkStart w:id="370" w:name="_Toc29171"/>
      <w:bookmarkStart w:id="371" w:name="_Toc15396627"/>
      <w:bookmarkStart w:id="372" w:name="_Toc3025"/>
      <w:bookmarkStart w:id="373" w:name="_Toc8186"/>
      <w:r>
        <w:rPr>
          <w:rStyle w:val="27"/>
          <w:rFonts w:hint="eastAsia" w:ascii="仿宋" w:hAnsi="仿宋" w:eastAsia="仿宋"/>
          <w:b w:val="0"/>
          <w:bCs w:val="0"/>
        </w:rPr>
        <w:t>九、</w:t>
      </w:r>
      <w:r>
        <w:rPr>
          <w:rFonts w:hint="eastAsia" w:ascii="仿宋" w:hAnsi="仿宋" w:eastAsia="仿宋"/>
          <w:b w:val="0"/>
        </w:rPr>
        <w:t>一</w:t>
      </w:r>
      <w:r>
        <w:rPr>
          <w:rStyle w:val="27"/>
          <w:rFonts w:hint="eastAsia" w:ascii="仿宋" w:hAnsi="仿宋" w:eastAsia="仿宋"/>
          <w:b w:val="0"/>
          <w:bCs w:val="0"/>
        </w:rPr>
        <w:t>般公共预算财政拨款项目支出决算表</w:t>
      </w:r>
      <w:bookmarkEnd w:id="367"/>
      <w:bookmarkEnd w:id="368"/>
      <w:bookmarkEnd w:id="369"/>
      <w:bookmarkEnd w:id="370"/>
      <w:bookmarkEnd w:id="371"/>
      <w:bookmarkEnd w:id="372"/>
      <w:bookmarkEnd w:id="373"/>
    </w:p>
    <w:p>
      <w:pPr>
        <w:pStyle w:val="4"/>
        <w:spacing w:before="0" w:after="0" w:line="576" w:lineRule="exact"/>
        <w:rPr>
          <w:rFonts w:ascii="仿宋" w:hAnsi="仿宋" w:eastAsia="仿宋"/>
        </w:rPr>
      </w:pPr>
      <w:bookmarkStart w:id="374" w:name="_Toc30284"/>
      <w:bookmarkStart w:id="375" w:name="_Toc4489"/>
      <w:bookmarkStart w:id="376" w:name="_Toc8933"/>
      <w:bookmarkStart w:id="377" w:name="_Toc16695"/>
      <w:bookmarkStart w:id="378" w:name="_Toc20797"/>
      <w:bookmarkStart w:id="379" w:name="_Toc15396628"/>
      <w:bookmarkStart w:id="380" w:name="_Toc16014"/>
      <w:r>
        <w:rPr>
          <w:rStyle w:val="27"/>
          <w:rFonts w:hint="eastAsia" w:ascii="仿宋" w:hAnsi="仿宋" w:eastAsia="仿宋"/>
          <w:b w:val="0"/>
          <w:bCs w:val="0"/>
        </w:rPr>
        <w:t>十、</w:t>
      </w:r>
      <w:r>
        <w:rPr>
          <w:rFonts w:hint="eastAsia" w:ascii="仿宋" w:hAnsi="仿宋" w:eastAsia="仿宋"/>
          <w:b w:val="0"/>
        </w:rPr>
        <w:t>一</w:t>
      </w:r>
      <w:r>
        <w:rPr>
          <w:rStyle w:val="27"/>
          <w:rFonts w:hint="eastAsia" w:ascii="仿宋" w:hAnsi="仿宋" w:eastAsia="仿宋"/>
          <w:b w:val="0"/>
          <w:bCs w:val="0"/>
        </w:rPr>
        <w:t>般公共预算财政拨款“三公”经费支出决算表</w:t>
      </w:r>
      <w:bookmarkEnd w:id="374"/>
      <w:bookmarkEnd w:id="375"/>
      <w:bookmarkEnd w:id="376"/>
      <w:bookmarkEnd w:id="377"/>
      <w:bookmarkEnd w:id="378"/>
      <w:bookmarkEnd w:id="379"/>
      <w:bookmarkEnd w:id="380"/>
    </w:p>
    <w:p>
      <w:pPr>
        <w:pStyle w:val="4"/>
        <w:spacing w:before="0" w:after="0" w:line="576" w:lineRule="exact"/>
        <w:rPr>
          <w:rFonts w:ascii="仿宋" w:hAnsi="仿宋" w:eastAsia="仿宋"/>
        </w:rPr>
      </w:pPr>
      <w:bookmarkStart w:id="381" w:name="_Toc6312"/>
      <w:bookmarkStart w:id="382" w:name="_Toc15396629"/>
      <w:bookmarkStart w:id="383" w:name="_Toc5945"/>
      <w:bookmarkStart w:id="384" w:name="_Toc29664"/>
      <w:bookmarkStart w:id="385" w:name="_Toc10655"/>
      <w:bookmarkStart w:id="386" w:name="_Toc23644"/>
      <w:bookmarkStart w:id="387" w:name="_Toc12130"/>
      <w:r>
        <w:rPr>
          <w:rStyle w:val="27"/>
          <w:rFonts w:hint="eastAsia" w:ascii="仿宋" w:hAnsi="仿宋" w:eastAsia="仿宋"/>
          <w:b w:val="0"/>
          <w:bCs w:val="0"/>
        </w:rPr>
        <w:t>十一、</w:t>
      </w:r>
      <w:r>
        <w:rPr>
          <w:rFonts w:hint="eastAsia" w:ascii="仿宋" w:hAnsi="仿宋" w:eastAsia="仿宋"/>
          <w:b w:val="0"/>
        </w:rPr>
        <w:t>政</w:t>
      </w:r>
      <w:r>
        <w:rPr>
          <w:rStyle w:val="27"/>
          <w:rFonts w:hint="eastAsia" w:ascii="仿宋" w:hAnsi="仿宋" w:eastAsia="仿宋"/>
          <w:b w:val="0"/>
          <w:bCs w:val="0"/>
        </w:rPr>
        <w:t>府性基金预算财政拨款收入支出决算表</w:t>
      </w:r>
      <w:bookmarkEnd w:id="381"/>
      <w:bookmarkEnd w:id="382"/>
      <w:bookmarkEnd w:id="383"/>
      <w:bookmarkEnd w:id="384"/>
      <w:bookmarkEnd w:id="385"/>
      <w:bookmarkEnd w:id="386"/>
      <w:bookmarkEnd w:id="387"/>
    </w:p>
    <w:p>
      <w:pPr>
        <w:pStyle w:val="4"/>
        <w:spacing w:before="0" w:after="0" w:line="576" w:lineRule="exact"/>
        <w:rPr>
          <w:rFonts w:ascii="仿宋" w:hAnsi="仿宋" w:eastAsia="仿宋"/>
        </w:rPr>
      </w:pPr>
      <w:bookmarkStart w:id="388" w:name="_Toc15602"/>
      <w:bookmarkStart w:id="389" w:name="_Toc21814"/>
      <w:bookmarkStart w:id="390" w:name="_Toc26626"/>
      <w:bookmarkStart w:id="391" w:name="_Toc4550"/>
      <w:bookmarkStart w:id="392" w:name="_Toc15396630"/>
      <w:bookmarkStart w:id="393" w:name="_Toc20241"/>
      <w:bookmarkStart w:id="394" w:name="_Toc12810"/>
      <w:r>
        <w:rPr>
          <w:rStyle w:val="27"/>
          <w:rFonts w:hint="eastAsia" w:ascii="仿宋" w:hAnsi="仿宋" w:eastAsia="仿宋"/>
          <w:b w:val="0"/>
          <w:bCs w:val="0"/>
        </w:rPr>
        <w:t>十二、</w:t>
      </w:r>
      <w:r>
        <w:rPr>
          <w:rFonts w:hint="eastAsia" w:ascii="仿宋" w:hAnsi="仿宋" w:eastAsia="仿宋"/>
          <w:b w:val="0"/>
        </w:rPr>
        <w:t>政</w:t>
      </w:r>
      <w:r>
        <w:rPr>
          <w:rStyle w:val="27"/>
          <w:rFonts w:hint="eastAsia" w:ascii="仿宋" w:hAnsi="仿宋" w:eastAsia="仿宋"/>
          <w:b w:val="0"/>
          <w:bCs w:val="0"/>
        </w:rPr>
        <w:t>府性基金预算财政拨款“三公”经费支出决算表</w:t>
      </w:r>
      <w:bookmarkEnd w:id="388"/>
      <w:bookmarkEnd w:id="389"/>
      <w:bookmarkEnd w:id="390"/>
      <w:bookmarkEnd w:id="391"/>
      <w:bookmarkEnd w:id="392"/>
      <w:bookmarkEnd w:id="393"/>
      <w:bookmarkEnd w:id="394"/>
    </w:p>
    <w:p>
      <w:pPr>
        <w:pStyle w:val="4"/>
        <w:spacing w:before="0" w:after="0" w:line="576" w:lineRule="exact"/>
        <w:rPr>
          <w:rStyle w:val="27"/>
          <w:rFonts w:ascii="仿宋" w:hAnsi="仿宋" w:eastAsia="仿宋"/>
          <w:b w:val="0"/>
          <w:bCs w:val="0"/>
        </w:rPr>
      </w:pPr>
      <w:bookmarkStart w:id="395" w:name="_Toc21412"/>
      <w:bookmarkStart w:id="396" w:name="_Toc30100"/>
      <w:bookmarkStart w:id="397" w:name="_Toc19202"/>
      <w:bookmarkStart w:id="398" w:name="_Toc28643"/>
      <w:bookmarkStart w:id="399" w:name="_Toc2054"/>
      <w:bookmarkStart w:id="400" w:name="_Toc12620"/>
      <w:bookmarkStart w:id="401" w:name="_Toc15396631"/>
      <w:r>
        <w:rPr>
          <w:rStyle w:val="27"/>
          <w:rFonts w:hint="eastAsia" w:ascii="仿宋" w:hAnsi="仿宋" w:eastAsia="仿宋"/>
          <w:b w:val="0"/>
          <w:bCs w:val="0"/>
        </w:rPr>
        <w:t>十三、</w:t>
      </w:r>
      <w:r>
        <w:rPr>
          <w:rFonts w:hint="eastAsia" w:ascii="仿宋" w:hAnsi="仿宋" w:eastAsia="仿宋"/>
          <w:b w:val="0"/>
        </w:rPr>
        <w:t>国</w:t>
      </w:r>
      <w:r>
        <w:rPr>
          <w:rStyle w:val="27"/>
          <w:rFonts w:hint="eastAsia" w:ascii="仿宋" w:hAnsi="仿宋" w:eastAsia="仿宋"/>
          <w:b w:val="0"/>
          <w:bCs w:val="0"/>
        </w:rPr>
        <w:t>有资本经营预算财政拨款收入支出决算表</w:t>
      </w:r>
      <w:bookmarkEnd w:id="395"/>
      <w:bookmarkEnd w:id="396"/>
      <w:bookmarkEnd w:id="397"/>
      <w:bookmarkEnd w:id="398"/>
      <w:bookmarkEnd w:id="399"/>
      <w:bookmarkEnd w:id="400"/>
      <w:bookmarkEnd w:id="401"/>
    </w:p>
    <w:p>
      <w:pPr>
        <w:spacing w:line="576" w:lineRule="exact"/>
        <w:rPr>
          <w:rFonts w:eastAsia="仿宋"/>
        </w:rPr>
      </w:pPr>
      <w:bookmarkStart w:id="402" w:name="_Toc1495"/>
      <w:bookmarkStart w:id="403" w:name="_Toc10996"/>
      <w:bookmarkStart w:id="404" w:name="_Toc2458"/>
      <w:bookmarkStart w:id="405" w:name="_Toc9731"/>
      <w:bookmarkStart w:id="406" w:name="_Toc25832"/>
      <w:bookmarkStart w:id="407" w:name="_Toc29000"/>
      <w:r>
        <w:rPr>
          <w:rStyle w:val="27"/>
          <w:rFonts w:hint="eastAsia" w:ascii="仿宋" w:hAnsi="仿宋" w:eastAsia="仿宋"/>
          <w:b w:val="0"/>
          <w:bCs w:val="0"/>
        </w:rPr>
        <w:t>十四、国有资本经营预算财政拨款支出决算表</w:t>
      </w:r>
      <w:bookmarkEnd w:id="402"/>
      <w:bookmarkEnd w:id="403"/>
      <w:bookmarkEnd w:id="404"/>
      <w:bookmarkEnd w:id="405"/>
      <w:bookmarkEnd w:id="406"/>
      <w:bookmarkEnd w:id="407"/>
    </w:p>
    <w:p>
      <w:pPr>
        <w:spacing w:line="576" w:lineRule="exact"/>
        <w:rPr>
          <w:rFonts w:eastAsia="仿宋"/>
        </w:rPr>
      </w:pPr>
    </w:p>
    <w:p>
      <w:pPr>
        <w:spacing w:line="576" w:lineRule="exact"/>
        <w:rPr>
          <w:rFonts w:eastAsia="仿宋"/>
        </w:rPr>
      </w:pPr>
    </w:p>
    <w:sectPr>
      <w:headerReference r:id="rId3" w:type="default"/>
      <w:footerReference r:id="rId4" w:type="default"/>
      <w:pgSz w:w="11906" w:h="16838"/>
      <w:pgMar w:top="2098" w:right="1474" w:bottom="1984" w:left="1587"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楷体">
    <w:altName w:val="方正楷体_GBK"/>
    <w:panose1 w:val="02010609060101010101"/>
    <w:charset w:val="86"/>
    <w:family w:val="auto"/>
    <w:pitch w:val="default"/>
    <w:sig w:usb0="00000000" w:usb1="00000000" w:usb2="00000016" w:usb3="00000000" w:csb0="00040001" w:csb1="00000000"/>
  </w:font>
  <w:font w:name="Lucida Sans">
    <w:panose1 w:val="020B0602030504020204"/>
    <w:charset w:val="00"/>
    <w:family w:val="auto"/>
    <w:pitch w:val="default"/>
    <w:sig w:usb0="00000000" w:usb1="00000000" w:usb2="00000000" w:usb3="00000000" w:csb0="00000000" w:csb1="0000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47</w: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pPr>
        <w:ind w:left="2280"/>
      </w:pPr>
      <w:rPr>
        <w:rFonts w:hint="eastAsia"/>
      </w:rPr>
    </w:lvl>
  </w:abstractNum>
  <w:abstractNum w:abstractNumId="2">
    <w:nsid w:val="3E794925"/>
    <w:multiLevelType w:val="singleLevel"/>
    <w:tmpl w:val="3E794925"/>
    <w:lvl w:ilvl="0" w:tentative="0">
      <w:start w:val="3"/>
      <w:numFmt w:val="chineseCounting"/>
      <w:suff w:val="nothing"/>
      <w:lvlText w:val="（%1）"/>
      <w:lvlJc w:val="left"/>
      <w:rPr>
        <w:rFonts w:hint="eastAsia"/>
      </w:rPr>
    </w:lvl>
  </w:abstractNum>
  <w:abstractNum w:abstractNumId="3">
    <w:nsid w:val="632D2276"/>
    <w:multiLevelType w:val="singleLevel"/>
    <w:tmpl w:val="632D2276"/>
    <w:lvl w:ilvl="0" w:tentative="0">
      <w:start w:val="3"/>
      <w:numFmt w:val="chineseCounting"/>
      <w:suff w:val="nothing"/>
      <w:lvlText w:val="（%1）"/>
      <w:lvlJc w:val="left"/>
    </w:lvl>
  </w:abstractNum>
  <w:abstractNum w:abstractNumId="4">
    <w:nsid w:val="632D24B4"/>
    <w:multiLevelType w:val="singleLevel"/>
    <w:tmpl w:val="632D24B4"/>
    <w:lvl w:ilvl="0" w:tentative="0">
      <w:start w:val="2"/>
      <w:numFmt w:val="chineseCounting"/>
      <w:suff w:val="nothing"/>
      <w:lvlText w:val="（%1）"/>
      <w:lvlJc w:val="left"/>
    </w:lvl>
  </w:abstractNum>
  <w:abstractNum w:abstractNumId="5">
    <w:nsid w:val="632D26A2"/>
    <w:multiLevelType w:val="singleLevel"/>
    <w:tmpl w:val="632D26A2"/>
    <w:lvl w:ilvl="0" w:tentative="0">
      <w:start w:val="2"/>
      <w:numFmt w:val="chineseCounting"/>
      <w:suff w:val="nothing"/>
      <w:lvlText w:val="（%1）"/>
      <w:lvlJc w:val="left"/>
    </w:lvl>
  </w:abstractNum>
  <w:abstractNum w:abstractNumId="6">
    <w:nsid w:val="632D2DA4"/>
    <w:multiLevelType w:val="singleLevel"/>
    <w:tmpl w:val="632D2DA4"/>
    <w:lvl w:ilvl="0" w:tentative="0">
      <w:start w:val="1"/>
      <w:numFmt w:val="decimal"/>
      <w:suff w:val="nothing"/>
      <w:lvlText w:val="%1．"/>
      <w:lvlJc w:val="left"/>
    </w:lvl>
  </w:abstractNum>
  <w:abstractNum w:abstractNumId="7">
    <w:nsid w:val="632D2FBB"/>
    <w:multiLevelType w:val="singleLevel"/>
    <w:tmpl w:val="632D2FBB"/>
    <w:lvl w:ilvl="0" w:tentative="0">
      <w:start w:val="2"/>
      <w:numFmt w:val="chineseCounting"/>
      <w:suff w:val="nothing"/>
      <w:lvlText w:val="（%1）"/>
      <w:lvlJc w:val="left"/>
    </w:lvl>
  </w:abstractNum>
  <w:num w:numId="1">
    <w:abstractNumId w:val="0"/>
  </w:num>
  <w:num w:numId="2">
    <w:abstractNumId w:val="1"/>
  </w:num>
  <w:num w:numId="3">
    <w:abstractNumId w:val="3"/>
  </w:num>
  <w:num w:numId="4">
    <w:abstractNumId w:val="4"/>
  </w:num>
  <w:num w:numId="5">
    <w:abstractNumId w:val="2"/>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true"/>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ZjU0Y2ViYzk1ZTQ5YWU4ZjIyZTdmODI3YmFjNTU4OG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099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3114"/>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2FDE"/>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45FD"/>
    <w:rsid w:val="00FD3CC1"/>
    <w:rsid w:val="00FF1E02"/>
    <w:rsid w:val="00FF30B4"/>
    <w:rsid w:val="01405CB5"/>
    <w:rsid w:val="024F56D9"/>
    <w:rsid w:val="0293426A"/>
    <w:rsid w:val="02CF14AA"/>
    <w:rsid w:val="02F6136A"/>
    <w:rsid w:val="034F5D29"/>
    <w:rsid w:val="03D62FC9"/>
    <w:rsid w:val="03F35D89"/>
    <w:rsid w:val="04044A83"/>
    <w:rsid w:val="04B65AC7"/>
    <w:rsid w:val="066E0107"/>
    <w:rsid w:val="073C456C"/>
    <w:rsid w:val="07572B98"/>
    <w:rsid w:val="07824101"/>
    <w:rsid w:val="07996F6E"/>
    <w:rsid w:val="07C766CF"/>
    <w:rsid w:val="088521A6"/>
    <w:rsid w:val="08B50556"/>
    <w:rsid w:val="08D05DA9"/>
    <w:rsid w:val="09EE1557"/>
    <w:rsid w:val="0A175F9F"/>
    <w:rsid w:val="0A2032A3"/>
    <w:rsid w:val="0AB1291A"/>
    <w:rsid w:val="0AC027B0"/>
    <w:rsid w:val="0AEE3D69"/>
    <w:rsid w:val="0B212BCE"/>
    <w:rsid w:val="0BEC359B"/>
    <w:rsid w:val="0C004E10"/>
    <w:rsid w:val="0C02422A"/>
    <w:rsid w:val="0C653200"/>
    <w:rsid w:val="0C7358DA"/>
    <w:rsid w:val="0CDC6727"/>
    <w:rsid w:val="0D5D7F7A"/>
    <w:rsid w:val="0DB7190D"/>
    <w:rsid w:val="0F164D4D"/>
    <w:rsid w:val="0F4A7B25"/>
    <w:rsid w:val="101860EC"/>
    <w:rsid w:val="10C055FF"/>
    <w:rsid w:val="11591A84"/>
    <w:rsid w:val="115F7210"/>
    <w:rsid w:val="11655896"/>
    <w:rsid w:val="118107EC"/>
    <w:rsid w:val="12184440"/>
    <w:rsid w:val="121A7943"/>
    <w:rsid w:val="12557610"/>
    <w:rsid w:val="12E3158A"/>
    <w:rsid w:val="12F96AB4"/>
    <w:rsid w:val="13052DC4"/>
    <w:rsid w:val="131555DD"/>
    <w:rsid w:val="13486D30"/>
    <w:rsid w:val="13D50BC4"/>
    <w:rsid w:val="13F16B7D"/>
    <w:rsid w:val="14697B69"/>
    <w:rsid w:val="14902E96"/>
    <w:rsid w:val="155D6391"/>
    <w:rsid w:val="15F55695"/>
    <w:rsid w:val="164B3423"/>
    <w:rsid w:val="16547C2D"/>
    <w:rsid w:val="16853C7F"/>
    <w:rsid w:val="16B6041B"/>
    <w:rsid w:val="16BB723D"/>
    <w:rsid w:val="175B6261"/>
    <w:rsid w:val="1812470B"/>
    <w:rsid w:val="187831B6"/>
    <w:rsid w:val="188A6953"/>
    <w:rsid w:val="189B0DEC"/>
    <w:rsid w:val="18A43C7A"/>
    <w:rsid w:val="19800165"/>
    <w:rsid w:val="19A33B9D"/>
    <w:rsid w:val="19B802BF"/>
    <w:rsid w:val="19C9185E"/>
    <w:rsid w:val="19D3216D"/>
    <w:rsid w:val="19FE0A33"/>
    <w:rsid w:val="1A8E0352"/>
    <w:rsid w:val="1AF84F97"/>
    <w:rsid w:val="1B0B3181"/>
    <w:rsid w:val="1B1F438E"/>
    <w:rsid w:val="1B6D1F0E"/>
    <w:rsid w:val="1B86412F"/>
    <w:rsid w:val="1BE8440E"/>
    <w:rsid w:val="1BE85FD5"/>
    <w:rsid w:val="1BF146E6"/>
    <w:rsid w:val="1C9F7D02"/>
    <w:rsid w:val="1D155CEE"/>
    <w:rsid w:val="1D5B3CB8"/>
    <w:rsid w:val="1FE223DD"/>
    <w:rsid w:val="200C5ECA"/>
    <w:rsid w:val="20982E05"/>
    <w:rsid w:val="209E0C02"/>
    <w:rsid w:val="212152E8"/>
    <w:rsid w:val="217649F2"/>
    <w:rsid w:val="218D7E9A"/>
    <w:rsid w:val="22A12A16"/>
    <w:rsid w:val="22FA25EF"/>
    <w:rsid w:val="23050980"/>
    <w:rsid w:val="236B4CE3"/>
    <w:rsid w:val="23860B96"/>
    <w:rsid w:val="23D137A1"/>
    <w:rsid w:val="240371BF"/>
    <w:rsid w:val="252B33D9"/>
    <w:rsid w:val="270678D7"/>
    <w:rsid w:val="273E22EF"/>
    <w:rsid w:val="274B1605"/>
    <w:rsid w:val="274D4B08"/>
    <w:rsid w:val="276E08C0"/>
    <w:rsid w:val="27F751B9"/>
    <w:rsid w:val="280B3FC1"/>
    <w:rsid w:val="2827226D"/>
    <w:rsid w:val="284113D3"/>
    <w:rsid w:val="287610F2"/>
    <w:rsid w:val="28EA7DAC"/>
    <w:rsid w:val="291C1880"/>
    <w:rsid w:val="29FD04D3"/>
    <w:rsid w:val="2A8E045D"/>
    <w:rsid w:val="2B0B32AA"/>
    <w:rsid w:val="2B2955B1"/>
    <w:rsid w:val="2B2F7FE6"/>
    <w:rsid w:val="2B642A3F"/>
    <w:rsid w:val="2B914808"/>
    <w:rsid w:val="2BB51544"/>
    <w:rsid w:val="2BBC6951"/>
    <w:rsid w:val="2BC43D5D"/>
    <w:rsid w:val="2BCD6BEB"/>
    <w:rsid w:val="2BD51A79"/>
    <w:rsid w:val="2C344819"/>
    <w:rsid w:val="2C8A61B5"/>
    <w:rsid w:val="2CA55BDF"/>
    <w:rsid w:val="2D2F0F51"/>
    <w:rsid w:val="2D6D0C73"/>
    <w:rsid w:val="2DBA5111"/>
    <w:rsid w:val="2DC518B5"/>
    <w:rsid w:val="2DF04E50"/>
    <w:rsid w:val="2E2A66CA"/>
    <w:rsid w:val="2E48446E"/>
    <w:rsid w:val="2E7D06D3"/>
    <w:rsid w:val="2F513F2E"/>
    <w:rsid w:val="2FF40F03"/>
    <w:rsid w:val="30252571"/>
    <w:rsid w:val="30347DA4"/>
    <w:rsid w:val="305E0BE8"/>
    <w:rsid w:val="30B43B75"/>
    <w:rsid w:val="30B97FFD"/>
    <w:rsid w:val="311822EF"/>
    <w:rsid w:val="319F7F4E"/>
    <w:rsid w:val="31A237FE"/>
    <w:rsid w:val="32E2418A"/>
    <w:rsid w:val="32F8632E"/>
    <w:rsid w:val="332B3CDC"/>
    <w:rsid w:val="33B4426B"/>
    <w:rsid w:val="34E56399"/>
    <w:rsid w:val="34F65DF3"/>
    <w:rsid w:val="359F7AA1"/>
    <w:rsid w:val="36A003AE"/>
    <w:rsid w:val="36A77D38"/>
    <w:rsid w:val="36AA5135"/>
    <w:rsid w:val="36ED3925"/>
    <w:rsid w:val="37757EA8"/>
    <w:rsid w:val="378035E9"/>
    <w:rsid w:val="37C33A32"/>
    <w:rsid w:val="37E16F03"/>
    <w:rsid w:val="37F5545C"/>
    <w:rsid w:val="389F7E39"/>
    <w:rsid w:val="38C0691B"/>
    <w:rsid w:val="39BA6041"/>
    <w:rsid w:val="39C656D7"/>
    <w:rsid w:val="3A28654C"/>
    <w:rsid w:val="3ADD4E9F"/>
    <w:rsid w:val="3B3742B4"/>
    <w:rsid w:val="3B4667ED"/>
    <w:rsid w:val="3BEE5FE1"/>
    <w:rsid w:val="3BF85CB6"/>
    <w:rsid w:val="3D8A7087"/>
    <w:rsid w:val="3D98207C"/>
    <w:rsid w:val="3E390C7A"/>
    <w:rsid w:val="3E6842C3"/>
    <w:rsid w:val="3E7D40AA"/>
    <w:rsid w:val="3E824F32"/>
    <w:rsid w:val="3EE023E4"/>
    <w:rsid w:val="3EE06334"/>
    <w:rsid w:val="3F7349CA"/>
    <w:rsid w:val="3FF077F6"/>
    <w:rsid w:val="40A75C9F"/>
    <w:rsid w:val="41666FD7"/>
    <w:rsid w:val="42287095"/>
    <w:rsid w:val="42454447"/>
    <w:rsid w:val="42E046F5"/>
    <w:rsid w:val="42ED13DD"/>
    <w:rsid w:val="441930C8"/>
    <w:rsid w:val="446908C9"/>
    <w:rsid w:val="44E268DA"/>
    <w:rsid w:val="45456FB2"/>
    <w:rsid w:val="456B71F2"/>
    <w:rsid w:val="458B3B0F"/>
    <w:rsid w:val="46100A37"/>
    <w:rsid w:val="461F4717"/>
    <w:rsid w:val="46803DD6"/>
    <w:rsid w:val="46816D3A"/>
    <w:rsid w:val="468808C3"/>
    <w:rsid w:val="46E83A48"/>
    <w:rsid w:val="472707CD"/>
    <w:rsid w:val="472E48D4"/>
    <w:rsid w:val="48176428"/>
    <w:rsid w:val="48765EF0"/>
    <w:rsid w:val="49295994"/>
    <w:rsid w:val="499F0E56"/>
    <w:rsid w:val="4A136C16"/>
    <w:rsid w:val="4A627F82"/>
    <w:rsid w:val="4A7F2511"/>
    <w:rsid w:val="4A873352"/>
    <w:rsid w:val="4A8E6560"/>
    <w:rsid w:val="4B143DF0"/>
    <w:rsid w:val="4B4F25DA"/>
    <w:rsid w:val="4B597A3E"/>
    <w:rsid w:val="4B857FDF"/>
    <w:rsid w:val="4BE068DB"/>
    <w:rsid w:val="4BF21EC3"/>
    <w:rsid w:val="4C796657"/>
    <w:rsid w:val="4D5015E7"/>
    <w:rsid w:val="4D53256B"/>
    <w:rsid w:val="4D577224"/>
    <w:rsid w:val="4D700028"/>
    <w:rsid w:val="4DE6755C"/>
    <w:rsid w:val="4E2305F0"/>
    <w:rsid w:val="4E6A7B35"/>
    <w:rsid w:val="4EAB630A"/>
    <w:rsid w:val="4ECE2238"/>
    <w:rsid w:val="4FC235E9"/>
    <w:rsid w:val="4FEF31B4"/>
    <w:rsid w:val="505B24E3"/>
    <w:rsid w:val="50A770DF"/>
    <w:rsid w:val="515404FD"/>
    <w:rsid w:val="515B2E61"/>
    <w:rsid w:val="517E0251"/>
    <w:rsid w:val="526C4D2E"/>
    <w:rsid w:val="52F61A46"/>
    <w:rsid w:val="53292F0F"/>
    <w:rsid w:val="53607807"/>
    <w:rsid w:val="53D53D51"/>
    <w:rsid w:val="53FE5EDD"/>
    <w:rsid w:val="54795826"/>
    <w:rsid w:val="54F372B3"/>
    <w:rsid w:val="5533088A"/>
    <w:rsid w:val="553B58E4"/>
    <w:rsid w:val="5645418D"/>
    <w:rsid w:val="569E4FA0"/>
    <w:rsid w:val="56D65686"/>
    <w:rsid w:val="56FC06FF"/>
    <w:rsid w:val="57044ED0"/>
    <w:rsid w:val="57235785"/>
    <w:rsid w:val="579F72CD"/>
    <w:rsid w:val="5843585C"/>
    <w:rsid w:val="58722B28"/>
    <w:rsid w:val="58C625B2"/>
    <w:rsid w:val="58C75B40"/>
    <w:rsid w:val="59587923"/>
    <w:rsid w:val="59AD15AB"/>
    <w:rsid w:val="59BE699D"/>
    <w:rsid w:val="59F477A1"/>
    <w:rsid w:val="5A650D5A"/>
    <w:rsid w:val="5AF92295"/>
    <w:rsid w:val="5B443C4B"/>
    <w:rsid w:val="5B9C20DB"/>
    <w:rsid w:val="5BC93EA4"/>
    <w:rsid w:val="5C001E00"/>
    <w:rsid w:val="5C0F6B97"/>
    <w:rsid w:val="5C121D1A"/>
    <w:rsid w:val="5CD71FC4"/>
    <w:rsid w:val="5D3F1487"/>
    <w:rsid w:val="5E224A77"/>
    <w:rsid w:val="5E79378D"/>
    <w:rsid w:val="5E7D6299"/>
    <w:rsid w:val="5EF430D7"/>
    <w:rsid w:val="5EFA4FE0"/>
    <w:rsid w:val="5F2345A8"/>
    <w:rsid w:val="5FDF198D"/>
    <w:rsid w:val="5FFBBE8C"/>
    <w:rsid w:val="60AA37E9"/>
    <w:rsid w:val="60DA41F1"/>
    <w:rsid w:val="61CB4DFE"/>
    <w:rsid w:val="62612D73"/>
    <w:rsid w:val="629C2F58"/>
    <w:rsid w:val="62CC4571"/>
    <w:rsid w:val="62F23D84"/>
    <w:rsid w:val="630D670F"/>
    <w:rsid w:val="631344AF"/>
    <w:rsid w:val="63392A57"/>
    <w:rsid w:val="636225DE"/>
    <w:rsid w:val="63FE7312"/>
    <w:rsid w:val="649B4C1C"/>
    <w:rsid w:val="64AD61BC"/>
    <w:rsid w:val="656520E7"/>
    <w:rsid w:val="66376316"/>
    <w:rsid w:val="674A3201"/>
    <w:rsid w:val="677221C7"/>
    <w:rsid w:val="685272C6"/>
    <w:rsid w:val="696D3286"/>
    <w:rsid w:val="69EC15D6"/>
    <w:rsid w:val="6A34069C"/>
    <w:rsid w:val="6B344DF0"/>
    <w:rsid w:val="6B635940"/>
    <w:rsid w:val="6C206234"/>
    <w:rsid w:val="6C4A05C8"/>
    <w:rsid w:val="6CBC5B71"/>
    <w:rsid w:val="6D150A76"/>
    <w:rsid w:val="6D59546B"/>
    <w:rsid w:val="6D8952C5"/>
    <w:rsid w:val="6DB4096C"/>
    <w:rsid w:val="6E360C61"/>
    <w:rsid w:val="6E4B1B00"/>
    <w:rsid w:val="6E70494A"/>
    <w:rsid w:val="6E7E3605"/>
    <w:rsid w:val="6EE34C25"/>
    <w:rsid w:val="6F783447"/>
    <w:rsid w:val="6F8B248C"/>
    <w:rsid w:val="6FCE4AF0"/>
    <w:rsid w:val="6FF5CC65"/>
    <w:rsid w:val="70481945"/>
    <w:rsid w:val="70893AA1"/>
    <w:rsid w:val="71267CAF"/>
    <w:rsid w:val="715C0E4B"/>
    <w:rsid w:val="722978DD"/>
    <w:rsid w:val="723039E4"/>
    <w:rsid w:val="72734D90"/>
    <w:rsid w:val="72DE2883"/>
    <w:rsid w:val="72EB4117"/>
    <w:rsid w:val="73065FC6"/>
    <w:rsid w:val="73AD73D5"/>
    <w:rsid w:val="73B6EB34"/>
    <w:rsid w:val="73D36613"/>
    <w:rsid w:val="74292E19"/>
    <w:rsid w:val="74B41184"/>
    <w:rsid w:val="75A82D16"/>
    <w:rsid w:val="75B07E05"/>
    <w:rsid w:val="75C15E3F"/>
    <w:rsid w:val="75D373DE"/>
    <w:rsid w:val="76232660"/>
    <w:rsid w:val="7648159B"/>
    <w:rsid w:val="774175B4"/>
    <w:rsid w:val="788719AE"/>
    <w:rsid w:val="78C728B3"/>
    <w:rsid w:val="78CB70BB"/>
    <w:rsid w:val="78ED61EF"/>
    <w:rsid w:val="793F707A"/>
    <w:rsid w:val="794C37FB"/>
    <w:rsid w:val="798A03F3"/>
    <w:rsid w:val="798DE8E7"/>
    <w:rsid w:val="79956784"/>
    <w:rsid w:val="79EE5BA4"/>
    <w:rsid w:val="79F0141C"/>
    <w:rsid w:val="7A163A0F"/>
    <w:rsid w:val="7A32769F"/>
    <w:rsid w:val="7A7E7D69"/>
    <w:rsid w:val="7A894339"/>
    <w:rsid w:val="7AFD02D5"/>
    <w:rsid w:val="7C60211A"/>
    <w:rsid w:val="7C823954"/>
    <w:rsid w:val="7CA771C1"/>
    <w:rsid w:val="7D0A03B5"/>
    <w:rsid w:val="7D7809E9"/>
    <w:rsid w:val="7DBF2109"/>
    <w:rsid w:val="7DC6090E"/>
    <w:rsid w:val="7E7A3A8F"/>
    <w:rsid w:val="7EEF11D3"/>
    <w:rsid w:val="7F1E0D19"/>
    <w:rsid w:val="7F4D1868"/>
    <w:rsid w:val="7FA30C79"/>
    <w:rsid w:val="7FC250AB"/>
    <w:rsid w:val="7FC96657"/>
    <w:rsid w:val="7FFDF335"/>
    <w:rsid w:val="9FA9232A"/>
    <w:rsid w:val="AEFFA884"/>
    <w:rsid w:val="B3FBAAAD"/>
    <w:rsid w:val="D67D5315"/>
    <w:rsid w:val="D8D6DB89"/>
    <w:rsid w:val="DB6F4CAB"/>
    <w:rsid w:val="DF6F9789"/>
    <w:rsid w:val="FFF711AB"/>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unhideWhenUsed/>
    <w:qFormat/>
    <w:uiPriority w:val="9"/>
    <w:pPr>
      <w:keepNext/>
      <w:keepLines/>
      <w:spacing w:before="260" w:after="260" w:line="416" w:lineRule="auto"/>
      <w:outlineLvl w:val="1"/>
    </w:pPr>
    <w:rPr>
      <w:rFonts w:ascii="Cambria" w:hAnsi="Cambria" w:cs="黑体"/>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unhideWhenUsed/>
    <w:qFormat/>
    <w:uiPriority w:val="99"/>
    <w:rPr>
      <w:sz w:val="18"/>
      <w:szCs w:val="18"/>
    </w:rPr>
  </w:style>
  <w:style w:type="paragraph" w:styleId="8">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u w:val="single"/>
    </w:rPr>
  </w:style>
  <w:style w:type="paragraph" w:customStyle="1" w:styleId="1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17">
    <w:name w:val="列出段落1"/>
    <w:basedOn w:val="1"/>
    <w:qFormat/>
    <w:uiPriority w:val="34"/>
    <w:pPr>
      <w:ind w:firstLine="420" w:firstLineChars="200"/>
    </w:pPr>
  </w:style>
  <w:style w:type="paragraph" w:customStyle="1" w:styleId="18">
    <w:name w:val="TOC 标题1"/>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19">
    <w:name w:val="TOC 标题2"/>
    <w:basedOn w:val="3"/>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character" w:customStyle="1" w:styleId="20">
    <w:name w:val="Header Char"/>
    <w:basedOn w:val="13"/>
    <w:semiHidden/>
    <w:qFormat/>
    <w:uiPriority w:val="99"/>
    <w:rPr>
      <w:rFonts w:ascii="Times New Roman" w:hAnsi="Times New Roman"/>
      <w:sz w:val="18"/>
      <w:szCs w:val="18"/>
    </w:rPr>
  </w:style>
  <w:style w:type="character" w:customStyle="1" w:styleId="21">
    <w:name w:val="页眉 Char"/>
    <w:link w:val="9"/>
    <w:semiHidden/>
    <w:qFormat/>
    <w:locked/>
    <w:uiPriority w:val="99"/>
    <w:rPr>
      <w:sz w:val="18"/>
    </w:rPr>
  </w:style>
  <w:style w:type="character" w:customStyle="1" w:styleId="22">
    <w:name w:val="Footer Char"/>
    <w:basedOn w:val="13"/>
    <w:semiHidden/>
    <w:qFormat/>
    <w:uiPriority w:val="99"/>
    <w:rPr>
      <w:rFonts w:ascii="Times New Roman" w:hAnsi="Times New Roman"/>
      <w:sz w:val="18"/>
      <w:szCs w:val="18"/>
    </w:rPr>
  </w:style>
  <w:style w:type="character" w:customStyle="1" w:styleId="23">
    <w:name w:val="页脚 Char"/>
    <w:link w:val="8"/>
    <w:qFormat/>
    <w:locked/>
    <w:uiPriority w:val="99"/>
    <w:rPr>
      <w:sz w:val="18"/>
    </w:rPr>
  </w:style>
  <w:style w:type="character" w:customStyle="1" w:styleId="24">
    <w:name w:val="Body Text Char"/>
    <w:basedOn w:val="13"/>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character" w:customStyle="1" w:styleId="26">
    <w:name w:val="标题 1 Char"/>
    <w:basedOn w:val="13"/>
    <w:link w:val="3"/>
    <w:qFormat/>
    <w:uiPriority w:val="9"/>
    <w:rPr>
      <w:rFonts w:ascii="Times New Roman" w:hAnsi="Times New Roman"/>
      <w:b/>
      <w:bCs/>
      <w:kern w:val="44"/>
      <w:sz w:val="44"/>
      <w:szCs w:val="44"/>
    </w:rPr>
  </w:style>
  <w:style w:type="character" w:customStyle="1" w:styleId="27">
    <w:name w:val="标题 2 Char"/>
    <w:basedOn w:val="13"/>
    <w:link w:val="4"/>
    <w:qFormat/>
    <w:uiPriority w:val="9"/>
    <w:rPr>
      <w:rFonts w:ascii="Cambria" w:hAnsi="Cambria" w:eastAsia="宋体" w:cs="黑体"/>
      <w:b/>
      <w:bCs/>
      <w:kern w:val="2"/>
      <w:sz w:val="32"/>
      <w:szCs w:val="32"/>
    </w:rPr>
  </w:style>
  <w:style w:type="character" w:customStyle="1" w:styleId="28">
    <w:name w:val="批注框文本 Char"/>
    <w:basedOn w:val="13"/>
    <w:link w:val="7"/>
    <w:semiHidden/>
    <w:qFormat/>
    <w:uiPriority w:val="99"/>
    <w:rPr>
      <w:rFonts w:ascii="Times New Roman" w:hAnsi="Times New Roman"/>
      <w:kern w:val="2"/>
      <w:sz w:val="18"/>
      <w:szCs w:val="18"/>
    </w:rPr>
  </w:style>
  <w:style w:type="character" w:customStyle="1" w:styleId="29">
    <w:name w:val="标题 3 Char"/>
    <w:basedOn w:val="13"/>
    <w:link w:val="5"/>
    <w:qFormat/>
    <w:uiPriority w:val="9"/>
    <w:rPr>
      <w:rFonts w:ascii="Times New Roman" w:hAnsi="Times New Roman"/>
      <w:b/>
      <w:bCs/>
      <w:kern w:val="2"/>
      <w:sz w:val="32"/>
      <w:szCs w:val="32"/>
    </w:rPr>
  </w:style>
  <w:style w:type="paragraph" w:customStyle="1" w:styleId="30">
    <w:name w:val="WPSOffice手动目录 1"/>
    <w:qFormat/>
    <w:uiPriority w:val="0"/>
    <w:rPr>
      <w:rFonts w:ascii="Times New Roman" w:hAnsi="Times New Roman" w:eastAsia="宋体" w:cs="Times New Roman"/>
      <w:lang w:val="en-US" w:eastAsia="zh-CN" w:bidi="ar-SA"/>
    </w:rPr>
  </w:style>
  <w:style w:type="paragraph" w:customStyle="1" w:styleId="31">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32">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oleObject" Target="embeddings/oleObject3.bin"/><Relationship Id="rId11" Type="http://schemas.openxmlformats.org/officeDocument/2006/relationships/image" Target="media/image4.png"/><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48</Pages>
  <Words>3407</Words>
  <Characters>19420</Characters>
  <Lines>161</Lines>
  <Paragraphs>45</Paragraphs>
  <TotalTime>2</TotalTime>
  <ScaleCrop>false</ScaleCrop>
  <LinksUpToDate>false</LinksUpToDate>
  <CharactersWithSpaces>22782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2020-08-07T01:49:00Z</dcterms:created>
  <dc:creator>曹颖</dc:creator>
  <cp:lastModifiedBy> </cp:lastModifiedBy>
  <cp:lastPrinted>2022-09-26T18:11:00Z</cp:lastPrinted>
  <dcterms:modified xsi:type="dcterms:W3CDTF">2024-12-02T17:21:56Z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71EE4C5B63CC42F888BCD11980679D2B</vt:lpwstr>
  </property>
</Properties>
</file>