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2.xml" ContentType="application/vnd.openxmlformats-officedocument.themeOverride+xml"/>
  <Override PartName="/word/theme/themeOverride3.xml" ContentType="application/vnd.openxmlformats-officedocument.themeOverride+xml"/>
  <Override PartName="/word/theme/themeOverride4.xml" ContentType="application/vnd.openxmlformats-officedocument.themeOverride+xml"/>
  <Override PartName="/word/theme/themeOverride5.xml" ContentType="application/vnd.openxmlformats-officedocument.themeOverride+xml"/>
  <Override PartName="/word/theme/themeOverride6.xml" ContentType="application/vnd.openxmlformats-officedocument.themeOverride+xml"/>
  <Override PartName="/word/theme/themeOverride7.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hint="default" w:ascii="方正小标宋简体" w:hAnsi="宋体" w:eastAsia="方正小标宋简体"/>
          <w:color w:val="auto"/>
          <w:sz w:val="72"/>
          <w:szCs w:val="72"/>
          <w:highlight w:val="none"/>
          <w:lang w:val="en-US" w:eastAsia="zh-CN"/>
        </w:rPr>
      </w:pPr>
      <w:bookmarkStart w:id="67" w:name="_GoBack"/>
      <w:bookmarkStart w:id="0" w:name="_Toc15306267"/>
    </w:p>
    <w:p>
      <w:pPr>
        <w:spacing w:line="600" w:lineRule="exact"/>
        <w:jc w:val="center"/>
        <w:outlineLvl w:val="0"/>
        <w:rPr>
          <w:rFonts w:ascii="方正小标宋简体" w:hAnsi="宋体" w:eastAsia="方正小标宋简体"/>
          <w:color w:val="auto"/>
          <w:sz w:val="72"/>
          <w:szCs w:val="72"/>
          <w:highlight w:val="none"/>
        </w:rPr>
      </w:pPr>
    </w:p>
    <w:p>
      <w:pPr>
        <w:spacing w:line="600" w:lineRule="exact"/>
        <w:jc w:val="center"/>
        <w:outlineLvl w:val="0"/>
        <w:rPr>
          <w:rFonts w:ascii="方正小标宋简体" w:hAnsi="宋体" w:eastAsia="方正小标宋简体"/>
          <w:color w:val="auto"/>
          <w:sz w:val="72"/>
          <w:szCs w:val="72"/>
          <w:highlight w:val="none"/>
        </w:rPr>
      </w:pPr>
    </w:p>
    <w:p>
      <w:pPr>
        <w:spacing w:line="600" w:lineRule="exact"/>
        <w:jc w:val="center"/>
        <w:outlineLvl w:val="0"/>
        <w:rPr>
          <w:rFonts w:ascii="方正小标宋简体" w:hAnsi="宋体" w:eastAsia="方正小标宋简体"/>
          <w:color w:val="auto"/>
          <w:sz w:val="72"/>
          <w:szCs w:val="72"/>
          <w:highlight w:val="none"/>
        </w:rPr>
      </w:pPr>
    </w:p>
    <w:p>
      <w:pPr>
        <w:adjustRightInd w:val="0"/>
        <w:snapToGrid w:val="0"/>
        <w:spacing w:line="360" w:lineRule="auto"/>
        <w:jc w:val="center"/>
        <w:outlineLvl w:val="0"/>
        <w:rPr>
          <w:rFonts w:hint="eastAsia" w:ascii="方正小标宋简体" w:hAnsi="方正小标宋简体" w:eastAsia="方正小标宋简体" w:cs="方正小标宋简体"/>
          <w:b w:val="0"/>
          <w:bCs w:val="0"/>
          <w:color w:val="auto"/>
          <w:sz w:val="72"/>
          <w:szCs w:val="72"/>
          <w:highlight w:val="none"/>
          <w:lang w:val="en-US" w:eastAsia="zh-CN"/>
        </w:rPr>
      </w:pPr>
      <w:bookmarkStart w:id="1" w:name="_Toc15377425"/>
      <w:bookmarkStart w:id="2" w:name="_Toc15378441"/>
      <w:bookmarkStart w:id="3" w:name="_Toc15396475"/>
      <w:bookmarkStart w:id="4" w:name="_Toc15396597"/>
      <w:bookmarkStart w:id="5" w:name="_Toc15377193"/>
      <w:r>
        <w:rPr>
          <w:rFonts w:hint="eastAsia" w:ascii="方正小标宋简体" w:hAnsi="方正小标宋简体" w:eastAsia="方正小标宋简体" w:cs="方正小标宋简体"/>
          <w:b w:val="0"/>
          <w:bCs w:val="0"/>
          <w:color w:val="auto"/>
          <w:sz w:val="72"/>
          <w:szCs w:val="72"/>
          <w:highlight w:val="none"/>
          <w:lang w:val="en-US" w:eastAsia="zh-CN"/>
        </w:rPr>
        <w:t>广元市儿童福利院</w:t>
      </w:r>
      <w:r>
        <w:rPr>
          <w:rFonts w:hint="eastAsia" w:ascii="方正小标宋简体" w:hAnsi="方正小标宋简体" w:eastAsia="方正小标宋简体" w:cs="方正小标宋简体"/>
          <w:b w:val="0"/>
          <w:bCs w:val="0"/>
          <w:color w:val="auto"/>
          <w:sz w:val="72"/>
          <w:szCs w:val="72"/>
          <w:highlight w:val="none"/>
        </w:rPr>
        <w:t>20</w:t>
      </w:r>
      <w:r>
        <w:rPr>
          <w:rFonts w:hint="eastAsia" w:ascii="方正小标宋简体" w:hAnsi="方正小标宋简体" w:eastAsia="方正小标宋简体" w:cs="方正小标宋简体"/>
          <w:b w:val="0"/>
          <w:bCs w:val="0"/>
          <w:color w:val="auto"/>
          <w:sz w:val="72"/>
          <w:szCs w:val="72"/>
          <w:highlight w:val="none"/>
          <w:lang w:val="en-US" w:eastAsia="zh-CN"/>
        </w:rPr>
        <w:t>21</w:t>
      </w:r>
      <w:r>
        <w:rPr>
          <w:rFonts w:hint="eastAsia" w:ascii="方正小标宋简体" w:hAnsi="方正小标宋简体" w:eastAsia="方正小标宋简体" w:cs="方正小标宋简体"/>
          <w:b w:val="0"/>
          <w:bCs w:val="0"/>
          <w:color w:val="auto"/>
          <w:sz w:val="72"/>
          <w:szCs w:val="72"/>
          <w:highlight w:val="none"/>
        </w:rPr>
        <w:t>年</w:t>
      </w:r>
      <w:bookmarkEnd w:id="1"/>
      <w:bookmarkEnd w:id="2"/>
      <w:bookmarkEnd w:id="3"/>
      <w:bookmarkEnd w:id="4"/>
      <w:bookmarkEnd w:id="5"/>
    </w:p>
    <w:bookmarkEnd w:id="0"/>
    <w:p>
      <w:pPr>
        <w:adjustRightInd w:val="0"/>
        <w:snapToGrid w:val="0"/>
        <w:spacing w:line="360" w:lineRule="auto"/>
        <w:jc w:val="center"/>
        <w:outlineLvl w:val="0"/>
        <w:rPr>
          <w:rFonts w:hint="eastAsia" w:ascii="方正小标宋简体" w:hAnsi="方正小标宋简体" w:eastAsia="方正小标宋简体" w:cs="方正小标宋简体"/>
          <w:b w:val="0"/>
          <w:bCs w:val="0"/>
          <w:color w:val="auto"/>
          <w:sz w:val="72"/>
          <w:szCs w:val="72"/>
          <w:highlight w:val="none"/>
          <w:lang w:val="en-US" w:eastAsia="zh-CN"/>
        </w:rPr>
      </w:pPr>
      <w:bookmarkStart w:id="6" w:name="_Toc15396598"/>
      <w:bookmarkStart w:id="7" w:name="_Toc15306268"/>
      <w:bookmarkStart w:id="8" w:name="_Toc15396476"/>
      <w:bookmarkStart w:id="9" w:name="_Toc15377426"/>
      <w:bookmarkStart w:id="10" w:name="_Toc15378442"/>
      <w:bookmarkStart w:id="11" w:name="_Toc15377194"/>
      <w:r>
        <w:rPr>
          <w:rFonts w:hint="eastAsia" w:ascii="方正小标宋简体" w:hAnsi="方正小标宋简体" w:eastAsia="方正小标宋简体" w:cs="方正小标宋简体"/>
          <w:b w:val="0"/>
          <w:bCs w:val="0"/>
          <w:color w:val="auto"/>
          <w:sz w:val="72"/>
          <w:szCs w:val="72"/>
          <w:highlight w:val="none"/>
          <w:lang w:val="en-US" w:eastAsia="zh-CN"/>
        </w:rPr>
        <w:t>单位决算</w:t>
      </w:r>
      <w:bookmarkEnd w:id="6"/>
      <w:bookmarkEnd w:id="7"/>
      <w:bookmarkEnd w:id="8"/>
      <w:bookmarkEnd w:id="9"/>
      <w:bookmarkEnd w:id="10"/>
      <w:bookmarkEnd w:id="11"/>
    </w:p>
    <w:p>
      <w:pPr>
        <w:pStyle w:val="2"/>
        <w:rPr>
          <w:rFonts w:hint="eastAsia" w:ascii="方正小标宋简体" w:hAnsi="方正小标宋简体" w:eastAsia="方正小标宋简体" w:cs="方正小标宋简体"/>
          <w:b w:val="0"/>
          <w:bCs w:val="0"/>
          <w:color w:val="auto"/>
          <w:sz w:val="72"/>
          <w:szCs w:val="72"/>
          <w:highlight w:val="none"/>
          <w:lang w:val="en-US" w:eastAsia="zh-CN"/>
        </w:rPr>
      </w:pPr>
    </w:p>
    <w:p>
      <w:pPr>
        <w:rPr>
          <w:rFonts w:hint="eastAsia" w:ascii="方正小标宋简体" w:hAnsi="方正小标宋简体" w:eastAsia="方正小标宋简体" w:cs="方正小标宋简体"/>
          <w:b w:val="0"/>
          <w:bCs w:val="0"/>
          <w:color w:val="auto"/>
          <w:sz w:val="72"/>
          <w:szCs w:val="72"/>
          <w:highlight w:val="none"/>
          <w:lang w:val="en-US" w:eastAsia="zh-CN"/>
        </w:rPr>
      </w:pPr>
    </w:p>
    <w:p>
      <w:pPr>
        <w:pStyle w:val="2"/>
        <w:rPr>
          <w:rFonts w:hint="eastAsia" w:ascii="方正小标宋简体" w:hAnsi="方正小标宋简体" w:eastAsia="方正小标宋简体" w:cs="方正小标宋简体"/>
          <w:b w:val="0"/>
          <w:bCs w:val="0"/>
          <w:color w:val="auto"/>
          <w:sz w:val="72"/>
          <w:szCs w:val="72"/>
          <w:highlight w:val="none"/>
          <w:lang w:val="en-US" w:eastAsia="zh-CN"/>
        </w:rPr>
      </w:pPr>
    </w:p>
    <w:p>
      <w:pPr>
        <w:rPr>
          <w:rFonts w:hint="eastAsia" w:ascii="方正小标宋简体" w:hAnsi="方正小标宋简体" w:eastAsia="方正小标宋简体" w:cs="方正小标宋简体"/>
          <w:b w:val="0"/>
          <w:bCs w:val="0"/>
          <w:color w:val="auto"/>
          <w:sz w:val="72"/>
          <w:szCs w:val="72"/>
          <w:highlight w:val="none"/>
          <w:lang w:val="en-US" w:eastAsia="zh-CN"/>
        </w:rPr>
      </w:pPr>
    </w:p>
    <w:p>
      <w:pPr>
        <w:rPr>
          <w:rFonts w:hint="eastAsia"/>
          <w:lang w:val="en-US" w:eastAsia="zh-CN"/>
        </w:rPr>
      </w:pPr>
    </w:p>
    <w:p>
      <w:pPr>
        <w:pStyle w:val="11"/>
        <w:jc w:val="center"/>
        <w:rPr>
          <w:color w:val="auto"/>
          <w:highlight w:val="none"/>
        </w:rPr>
      </w:pPr>
      <w:r>
        <w:rPr>
          <w:rFonts w:hint="eastAsia"/>
          <w:color w:val="auto"/>
          <w:highlight w:val="none"/>
        </w:rPr>
        <w:t>公开时间：20</w:t>
      </w:r>
      <w:r>
        <w:rPr>
          <w:rFonts w:hint="eastAsia"/>
          <w:color w:val="auto"/>
          <w:highlight w:val="none"/>
          <w:lang w:val="en-US" w:eastAsia="zh-CN"/>
        </w:rPr>
        <w:t>22</w:t>
      </w:r>
      <w:r>
        <w:rPr>
          <w:rFonts w:hint="eastAsia"/>
          <w:color w:val="auto"/>
          <w:highlight w:val="none"/>
        </w:rPr>
        <w:t>年</w:t>
      </w:r>
      <w:r>
        <w:rPr>
          <w:rFonts w:hint="eastAsia"/>
          <w:color w:val="auto"/>
          <w:highlight w:val="none"/>
          <w:lang w:val="en-US" w:eastAsia="zh-CN"/>
        </w:rPr>
        <w:t>10</w:t>
      </w:r>
      <w:r>
        <w:rPr>
          <w:rFonts w:hint="eastAsia"/>
          <w:color w:val="auto"/>
          <w:highlight w:val="none"/>
        </w:rPr>
        <w:t>月</w:t>
      </w:r>
      <w:r>
        <w:rPr>
          <w:rFonts w:hint="eastAsia"/>
          <w:color w:val="auto"/>
          <w:highlight w:val="none"/>
          <w:lang w:val="en-US" w:eastAsia="zh-CN"/>
        </w:rPr>
        <w:t>17</w:t>
      </w:r>
      <w:r>
        <w:rPr>
          <w:rFonts w:hint="eastAsia"/>
          <w:color w:val="auto"/>
          <w:highlight w:val="none"/>
        </w:rPr>
        <w:t>日</w:t>
      </w:r>
    </w:p>
    <w:p>
      <w:pPr>
        <w:rPr>
          <w:rFonts w:hint="eastAsia" w:ascii="黑体" w:hAnsi="黑体" w:eastAsia="黑体"/>
          <w:color w:val="auto"/>
          <w:sz w:val="48"/>
          <w:szCs w:val="48"/>
          <w:highlight w:val="none"/>
        </w:rPr>
      </w:pPr>
    </w:p>
    <w:p>
      <w:pPr>
        <w:pStyle w:val="2"/>
        <w:rPr>
          <w:rFonts w:hint="eastAsia"/>
        </w:rPr>
      </w:pPr>
    </w:p>
    <w:p>
      <w:pPr>
        <w:rPr>
          <w:rFonts w:hint="eastAsia"/>
        </w:rPr>
      </w:pPr>
    </w:p>
    <w:p>
      <w:pPr>
        <w:pStyle w:val="2"/>
        <w:rPr>
          <w:rFonts w:hint="eastAsia"/>
        </w:rPr>
      </w:pPr>
    </w:p>
    <w:p>
      <w:pPr>
        <w:rPr>
          <w:rFonts w:hint="eastAsia"/>
        </w:rPr>
      </w:pPr>
    </w:p>
    <w:p>
      <w:pPr>
        <w:widowControl/>
        <w:jc w:val="center"/>
        <w:rPr>
          <w:rFonts w:ascii="黑体" w:hAnsi="黑体" w:eastAsia="黑体"/>
          <w:color w:val="auto"/>
          <w:sz w:val="48"/>
          <w:szCs w:val="48"/>
          <w:highlight w:val="none"/>
        </w:rPr>
      </w:pPr>
      <w:r>
        <w:rPr>
          <w:rFonts w:hint="eastAsia" w:ascii="黑体" w:hAnsi="黑体" w:eastAsia="黑体"/>
          <w:color w:val="auto"/>
          <w:sz w:val="48"/>
          <w:szCs w:val="48"/>
          <w:highlight w:val="none"/>
        </w:rPr>
        <w:t>目录</w:t>
      </w:r>
    </w:p>
    <w:p>
      <w:pPr>
        <w:widowControl/>
        <w:jc w:val="center"/>
        <w:rPr>
          <w:rFonts w:ascii="黑体" w:hAnsi="黑体" w:eastAsia="黑体" w:cstheme="minorBidi"/>
          <w:color w:val="auto"/>
          <w:sz w:val="28"/>
          <w:szCs w:val="28"/>
          <w:highlight w:val="none"/>
        </w:rPr>
      </w:pPr>
    </w:p>
    <w:p>
      <w:pPr>
        <w:rPr>
          <w:color w:val="auto"/>
          <w:highlight w:val="none"/>
        </w:rPr>
      </w:pPr>
    </w:p>
    <w:p>
      <w:pPr>
        <w:pStyle w:val="11"/>
        <w:adjustRightInd w:val="0"/>
        <w:snapToGrid w:val="0"/>
        <w:spacing w:before="0" w:line="440" w:lineRule="exact"/>
        <w:jc w:val="left"/>
        <w:rPr>
          <w:rFonts w:hint="default" w:eastAsia="仿宋" w:cstheme="minorBidi"/>
          <w:color w:val="auto"/>
          <w:sz w:val="24"/>
          <w:szCs w:val="24"/>
          <w:highlight w:val="none"/>
          <w:lang w:val="en-US" w:eastAsia="zh-CN"/>
        </w:rPr>
      </w:pPr>
      <w:r>
        <w:rPr>
          <w:rFonts w:hint="eastAsia"/>
          <w:color w:val="auto"/>
          <w:sz w:val="24"/>
          <w:highlight w:val="none"/>
        </w:rPr>
        <w:t>第一部分</w:t>
      </w:r>
      <w:r>
        <w:rPr>
          <w:color w:val="auto"/>
          <w:sz w:val="24"/>
          <w:highlight w:val="none"/>
        </w:rPr>
        <w:t xml:space="preserve"> </w:t>
      </w:r>
      <w:r>
        <w:rPr>
          <w:rFonts w:hint="eastAsia"/>
          <w:color w:val="auto"/>
          <w:sz w:val="24"/>
          <w:highlight w:val="none"/>
          <w:lang w:eastAsia="zh-CN"/>
        </w:rPr>
        <w:t>单位</w:t>
      </w:r>
      <w:r>
        <w:rPr>
          <w:rFonts w:hint="eastAsia"/>
          <w:color w:val="auto"/>
          <w:sz w:val="24"/>
          <w:highlight w:val="none"/>
        </w:rPr>
        <w:t>概况</w:t>
      </w:r>
      <w:r>
        <w:rPr>
          <w:rFonts w:hint="eastAsia"/>
          <w:color w:val="auto"/>
          <w:sz w:val="24"/>
          <w:highlight w:val="none"/>
          <w:lang w:val="en-US" w:eastAsia="zh-CN"/>
        </w:rPr>
        <w:t>...............................................12</w:t>
      </w:r>
    </w:p>
    <w:p>
      <w:pPr>
        <w:pStyle w:val="12"/>
        <w:adjustRightInd w:val="0"/>
        <w:snapToGrid w:val="0"/>
        <w:spacing w:line="440" w:lineRule="exact"/>
        <w:jc w:val="left"/>
        <w:rPr>
          <w:rFonts w:hint="default" w:eastAsia="宋体"/>
          <w:color w:val="auto"/>
          <w:sz w:val="24"/>
          <w:highlight w:val="none"/>
          <w:lang w:val="en-US" w:eastAsia="zh-CN"/>
        </w:rPr>
      </w:pPr>
      <w:r>
        <w:rPr>
          <w:rFonts w:hint="eastAsia"/>
          <w:color w:val="auto"/>
          <w:sz w:val="24"/>
          <w:highlight w:val="none"/>
        </w:rPr>
        <w:t>一、职能</w:t>
      </w:r>
      <w:r>
        <w:rPr>
          <w:rFonts w:hint="eastAsia"/>
          <w:color w:val="auto"/>
          <w:sz w:val="24"/>
          <w:highlight w:val="none"/>
          <w:lang w:eastAsia="zh-CN"/>
        </w:rPr>
        <w:t>简介</w:t>
      </w:r>
      <w:r>
        <w:rPr>
          <w:rFonts w:hint="eastAsia" w:ascii="仿宋" w:hAnsi="仿宋" w:eastAsia="仿宋" w:cs="Times New Roman"/>
          <w:color w:val="auto"/>
          <w:kern w:val="2"/>
          <w:sz w:val="24"/>
          <w:szCs w:val="28"/>
          <w:highlight w:val="none"/>
          <w:lang w:val="en-US" w:eastAsia="zh-CN" w:bidi="ar-SA"/>
        </w:rPr>
        <w:t xml:space="preserve">..................................................4 </w:t>
      </w:r>
      <w:r>
        <w:rPr>
          <w:rFonts w:hint="eastAsia"/>
          <w:color w:val="auto"/>
          <w:sz w:val="24"/>
          <w:highlight w:val="none"/>
          <w:lang w:val="en-US" w:eastAsia="zh-CN"/>
        </w:rPr>
        <w:t xml:space="preserve">                       </w:t>
      </w:r>
    </w:p>
    <w:p>
      <w:pPr>
        <w:pStyle w:val="12"/>
        <w:adjustRightInd w:val="0"/>
        <w:snapToGrid w:val="0"/>
        <w:spacing w:line="440" w:lineRule="exact"/>
        <w:jc w:val="left"/>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eastAsia="zh-CN"/>
        </w:rPr>
        <w:t>二、</w:t>
      </w:r>
      <w:r>
        <w:rPr>
          <w:rFonts w:hint="eastAsia" w:asciiTheme="minorEastAsia" w:hAnsiTheme="minorEastAsia" w:eastAsiaTheme="minorEastAsia" w:cstheme="minorEastAsia"/>
          <w:color w:val="auto"/>
          <w:sz w:val="24"/>
          <w:highlight w:val="none"/>
          <w:lang w:val="en-US" w:eastAsia="zh-CN"/>
        </w:rPr>
        <w:t>2021年重点</w:t>
      </w:r>
      <w:r>
        <w:rPr>
          <w:rFonts w:hint="eastAsia" w:asciiTheme="minorEastAsia" w:hAnsiTheme="minorEastAsia" w:eastAsiaTheme="minorEastAsia" w:cstheme="minorEastAsia"/>
          <w:color w:val="auto"/>
          <w:sz w:val="24"/>
          <w:highlight w:val="none"/>
        </w:rPr>
        <w:t>工作</w:t>
      </w:r>
      <w:r>
        <w:rPr>
          <w:rFonts w:hint="eastAsia" w:asciiTheme="minorEastAsia" w:hAnsiTheme="minorEastAsia" w:eastAsiaTheme="minorEastAsia" w:cstheme="minorEastAsia"/>
          <w:color w:val="auto"/>
          <w:sz w:val="24"/>
          <w:highlight w:val="none"/>
          <w:lang w:eastAsia="zh-CN"/>
        </w:rPr>
        <w:t>完成情况</w:t>
      </w:r>
      <w:r>
        <w:rPr>
          <w:rFonts w:hint="eastAsia" w:ascii="仿宋" w:hAnsi="仿宋" w:eastAsia="仿宋" w:cs="Times New Roman"/>
          <w:color w:val="auto"/>
          <w:kern w:val="2"/>
          <w:sz w:val="24"/>
          <w:szCs w:val="28"/>
          <w:highlight w:val="none"/>
          <w:lang w:val="en-US" w:eastAsia="zh-CN" w:bidi="ar-SA"/>
        </w:rPr>
        <w:t>..................................12</w:t>
      </w:r>
    </w:p>
    <w:p>
      <w:pPr>
        <w:pStyle w:val="11"/>
        <w:adjustRightInd w:val="0"/>
        <w:snapToGrid w:val="0"/>
        <w:spacing w:before="0" w:line="440" w:lineRule="exact"/>
        <w:jc w:val="left"/>
        <w:rPr>
          <w:rFonts w:hint="default" w:eastAsia="仿宋"/>
          <w:color w:val="auto"/>
          <w:sz w:val="24"/>
          <w:szCs w:val="24"/>
          <w:highlight w:val="none"/>
          <w:lang w:val="en-US" w:eastAsia="zh-CN"/>
        </w:rPr>
      </w:pPr>
      <w:r>
        <w:rPr>
          <w:rFonts w:hint="eastAsia"/>
          <w:color w:val="auto"/>
          <w:sz w:val="24"/>
          <w:highlight w:val="none"/>
        </w:rPr>
        <w:t>第二部分</w:t>
      </w:r>
      <w:r>
        <w:rPr>
          <w:rFonts w:hint="eastAsia"/>
          <w:color w:val="auto"/>
          <w:sz w:val="24"/>
          <w:highlight w:val="none"/>
          <w:lang w:val="en-US" w:eastAsia="zh-CN"/>
        </w:rPr>
        <w:t xml:space="preserve"> 2021年度</w:t>
      </w:r>
      <w:r>
        <w:rPr>
          <w:rFonts w:hint="eastAsia"/>
          <w:color w:val="auto"/>
          <w:sz w:val="24"/>
          <w:highlight w:val="none"/>
          <w:lang w:eastAsia="zh-CN"/>
        </w:rPr>
        <w:t>单位</w:t>
      </w:r>
      <w:r>
        <w:rPr>
          <w:rFonts w:hint="eastAsia"/>
          <w:color w:val="auto"/>
          <w:sz w:val="24"/>
          <w:highlight w:val="none"/>
        </w:rPr>
        <w:t>决算情况说明</w:t>
      </w:r>
      <w:r>
        <w:rPr>
          <w:rFonts w:hint="eastAsia"/>
          <w:color w:val="auto"/>
          <w:sz w:val="24"/>
          <w:highlight w:val="none"/>
          <w:lang w:val="en-US" w:eastAsia="zh-CN"/>
        </w:rPr>
        <w:t>...............................23</w:t>
      </w:r>
    </w:p>
    <w:p>
      <w:pPr>
        <w:pStyle w:val="12"/>
        <w:adjustRightInd w:val="0"/>
        <w:snapToGrid w:val="0"/>
        <w:spacing w:line="440" w:lineRule="exact"/>
        <w:jc w:val="left"/>
        <w:rPr>
          <w:rFonts w:hint="default" w:ascii="仿宋" w:hAnsi="仿宋" w:eastAsia="宋体" w:cstheme="minorBidi"/>
          <w:color w:val="auto"/>
          <w:sz w:val="24"/>
          <w:highlight w:val="none"/>
          <w:lang w:val="en-US" w:eastAsia="zh-CN"/>
        </w:rPr>
      </w:pPr>
      <w:r>
        <w:rPr>
          <w:rFonts w:hint="eastAsia"/>
          <w:color w:val="auto"/>
          <w:sz w:val="24"/>
          <w:highlight w:val="none"/>
        </w:rPr>
        <w:t>一、收入支出决算总体情况说明</w:t>
      </w:r>
      <w:r>
        <w:rPr>
          <w:rFonts w:hint="eastAsia" w:ascii="仿宋" w:hAnsi="仿宋" w:eastAsia="仿宋" w:cs="Times New Roman"/>
          <w:color w:val="auto"/>
          <w:kern w:val="2"/>
          <w:sz w:val="24"/>
          <w:szCs w:val="28"/>
          <w:highlight w:val="none"/>
          <w:lang w:val="en-US" w:eastAsia="zh-CN" w:bidi="ar-SA"/>
        </w:rPr>
        <w:t>.................................</w:t>
      </w:r>
      <w:r>
        <w:rPr>
          <w:rFonts w:hint="eastAsia"/>
          <w:color w:val="auto"/>
          <w:sz w:val="24"/>
          <w:highlight w:val="none"/>
          <w:lang w:val="en-US" w:eastAsia="zh-CN"/>
        </w:rPr>
        <w:t>13</w:t>
      </w:r>
    </w:p>
    <w:p>
      <w:pPr>
        <w:pStyle w:val="12"/>
        <w:adjustRightInd w:val="0"/>
        <w:snapToGrid w:val="0"/>
        <w:spacing w:line="440" w:lineRule="exact"/>
        <w:jc w:val="left"/>
        <w:rPr>
          <w:rFonts w:hint="default" w:ascii="仿宋" w:hAnsi="仿宋" w:eastAsia="宋体" w:cstheme="minorBidi"/>
          <w:color w:val="auto"/>
          <w:sz w:val="24"/>
          <w:highlight w:val="none"/>
          <w:lang w:val="en-US" w:eastAsia="zh-CN"/>
        </w:rPr>
      </w:pPr>
      <w:r>
        <w:rPr>
          <w:rFonts w:hint="eastAsia"/>
          <w:color w:val="auto"/>
          <w:sz w:val="24"/>
          <w:highlight w:val="none"/>
        </w:rPr>
        <w:t>二、收入决算情况说明</w:t>
      </w:r>
      <w:r>
        <w:rPr>
          <w:rFonts w:hint="eastAsia" w:ascii="仿宋" w:hAnsi="仿宋" w:eastAsia="仿宋" w:cs="Times New Roman"/>
          <w:color w:val="auto"/>
          <w:kern w:val="2"/>
          <w:sz w:val="24"/>
          <w:szCs w:val="28"/>
          <w:highlight w:val="none"/>
          <w:lang w:val="en-US" w:eastAsia="zh-CN" w:bidi="ar-SA"/>
        </w:rPr>
        <w:t>.........................................</w:t>
      </w:r>
      <w:r>
        <w:rPr>
          <w:rFonts w:hint="eastAsia"/>
          <w:color w:val="auto"/>
          <w:sz w:val="24"/>
          <w:highlight w:val="none"/>
          <w:lang w:val="en-US" w:eastAsia="zh-CN"/>
        </w:rPr>
        <w:t>14</w:t>
      </w:r>
    </w:p>
    <w:p>
      <w:pPr>
        <w:pStyle w:val="12"/>
        <w:adjustRightInd w:val="0"/>
        <w:snapToGrid w:val="0"/>
        <w:spacing w:line="440" w:lineRule="exact"/>
        <w:jc w:val="left"/>
        <w:rPr>
          <w:rFonts w:hint="default" w:ascii="仿宋" w:hAnsi="仿宋" w:eastAsia="宋体" w:cstheme="minorBidi"/>
          <w:color w:val="auto"/>
          <w:sz w:val="24"/>
          <w:highlight w:val="none"/>
          <w:lang w:val="en-US" w:eastAsia="zh-CN"/>
        </w:rPr>
      </w:pPr>
      <w:r>
        <w:rPr>
          <w:rFonts w:hint="eastAsia"/>
          <w:color w:val="auto"/>
          <w:sz w:val="24"/>
          <w:highlight w:val="none"/>
        </w:rPr>
        <w:t>三、支出决算情况说明</w:t>
      </w:r>
      <w:r>
        <w:rPr>
          <w:rFonts w:hint="eastAsia" w:ascii="仿宋" w:hAnsi="仿宋" w:eastAsia="仿宋" w:cs="Times New Roman"/>
          <w:color w:val="auto"/>
          <w:kern w:val="2"/>
          <w:sz w:val="24"/>
          <w:szCs w:val="28"/>
          <w:highlight w:val="none"/>
          <w:lang w:val="en-US" w:eastAsia="zh-CN" w:bidi="ar-SA"/>
        </w:rPr>
        <w:t>.........................................</w:t>
      </w:r>
      <w:r>
        <w:rPr>
          <w:rFonts w:hint="eastAsia"/>
          <w:color w:val="auto"/>
          <w:sz w:val="24"/>
          <w:highlight w:val="none"/>
          <w:lang w:val="en-US" w:eastAsia="zh-CN"/>
        </w:rPr>
        <w:t>15</w:t>
      </w:r>
    </w:p>
    <w:p>
      <w:pPr>
        <w:pStyle w:val="12"/>
        <w:adjustRightInd w:val="0"/>
        <w:snapToGrid w:val="0"/>
        <w:spacing w:line="440" w:lineRule="exact"/>
        <w:jc w:val="left"/>
        <w:rPr>
          <w:rFonts w:hint="default" w:ascii="仿宋" w:hAnsi="仿宋" w:eastAsia="宋体" w:cstheme="minorBidi"/>
          <w:color w:val="auto"/>
          <w:sz w:val="24"/>
          <w:highlight w:val="none"/>
          <w:lang w:val="en-US" w:eastAsia="zh-CN"/>
        </w:rPr>
      </w:pPr>
      <w:r>
        <w:rPr>
          <w:rFonts w:hint="eastAsia"/>
          <w:color w:val="auto"/>
          <w:sz w:val="24"/>
          <w:highlight w:val="none"/>
        </w:rPr>
        <w:t>四、财政拨款收入支出决算总体情况说明</w:t>
      </w:r>
      <w:r>
        <w:rPr>
          <w:rFonts w:hint="eastAsia" w:ascii="仿宋" w:hAnsi="仿宋" w:eastAsia="仿宋" w:cs="Times New Roman"/>
          <w:color w:val="auto"/>
          <w:kern w:val="2"/>
          <w:sz w:val="24"/>
          <w:szCs w:val="28"/>
          <w:highlight w:val="none"/>
          <w:lang w:val="en-US" w:eastAsia="zh-CN" w:bidi="ar-SA"/>
        </w:rPr>
        <w:t>.........................</w:t>
      </w:r>
      <w:r>
        <w:rPr>
          <w:rFonts w:hint="eastAsia"/>
          <w:color w:val="auto"/>
          <w:sz w:val="24"/>
          <w:highlight w:val="none"/>
          <w:lang w:val="en-US" w:eastAsia="zh-CN"/>
        </w:rPr>
        <w:t>16</w:t>
      </w:r>
    </w:p>
    <w:p>
      <w:pPr>
        <w:pStyle w:val="12"/>
        <w:adjustRightInd w:val="0"/>
        <w:snapToGrid w:val="0"/>
        <w:spacing w:line="440" w:lineRule="exact"/>
        <w:jc w:val="left"/>
        <w:rPr>
          <w:rFonts w:hint="default" w:ascii="仿宋" w:hAnsi="仿宋" w:eastAsia="宋体" w:cstheme="minorBidi"/>
          <w:color w:val="auto"/>
          <w:sz w:val="24"/>
          <w:highlight w:val="none"/>
          <w:lang w:val="en-US" w:eastAsia="zh-CN"/>
        </w:rPr>
      </w:pPr>
      <w:r>
        <w:rPr>
          <w:rFonts w:hint="eastAsia"/>
          <w:color w:val="auto"/>
          <w:sz w:val="24"/>
          <w:highlight w:val="none"/>
        </w:rPr>
        <w:t>五、一般公共预算财政拨款支出决算情况说明</w:t>
      </w:r>
      <w:r>
        <w:rPr>
          <w:rFonts w:hint="eastAsia" w:ascii="仿宋" w:hAnsi="仿宋" w:eastAsia="仿宋" w:cs="Times New Roman"/>
          <w:color w:val="auto"/>
          <w:kern w:val="2"/>
          <w:sz w:val="24"/>
          <w:szCs w:val="28"/>
          <w:highlight w:val="none"/>
          <w:lang w:val="en-US" w:eastAsia="zh-CN" w:bidi="ar-SA"/>
        </w:rPr>
        <w:t>.....................</w:t>
      </w:r>
      <w:r>
        <w:rPr>
          <w:rFonts w:hint="eastAsia"/>
          <w:color w:val="auto"/>
          <w:sz w:val="24"/>
          <w:highlight w:val="none"/>
          <w:lang w:val="en-US" w:eastAsia="zh-CN"/>
        </w:rPr>
        <w:t>18</w:t>
      </w:r>
    </w:p>
    <w:p>
      <w:pPr>
        <w:pStyle w:val="12"/>
        <w:adjustRightInd w:val="0"/>
        <w:snapToGrid w:val="0"/>
        <w:spacing w:line="440" w:lineRule="exact"/>
        <w:jc w:val="left"/>
        <w:rPr>
          <w:rFonts w:hint="default" w:ascii="仿宋" w:hAnsi="仿宋" w:eastAsia="宋体" w:cstheme="minorBidi"/>
          <w:color w:val="auto"/>
          <w:sz w:val="24"/>
          <w:highlight w:val="none"/>
          <w:lang w:val="en-US" w:eastAsia="zh-CN"/>
        </w:rPr>
      </w:pPr>
      <w:r>
        <w:rPr>
          <w:rFonts w:hint="eastAsia"/>
          <w:color w:val="auto"/>
          <w:sz w:val="24"/>
          <w:highlight w:val="none"/>
        </w:rPr>
        <w:t>六、一般公共预算财政拨款基本支出决算情况说明</w:t>
      </w:r>
      <w:r>
        <w:rPr>
          <w:rFonts w:hint="eastAsia" w:ascii="仿宋" w:hAnsi="仿宋" w:eastAsia="仿宋" w:cs="Times New Roman"/>
          <w:color w:val="auto"/>
          <w:kern w:val="2"/>
          <w:sz w:val="24"/>
          <w:szCs w:val="28"/>
          <w:highlight w:val="none"/>
          <w:lang w:val="en-US" w:eastAsia="zh-CN" w:bidi="ar-SA"/>
        </w:rPr>
        <w:t>.................</w:t>
      </w:r>
      <w:r>
        <w:rPr>
          <w:rFonts w:hint="eastAsia"/>
          <w:color w:val="auto"/>
          <w:sz w:val="24"/>
          <w:highlight w:val="none"/>
          <w:lang w:val="en-US" w:eastAsia="zh-CN"/>
        </w:rPr>
        <w:t>19</w:t>
      </w:r>
    </w:p>
    <w:p>
      <w:pPr>
        <w:pStyle w:val="12"/>
        <w:adjustRightInd w:val="0"/>
        <w:snapToGrid w:val="0"/>
        <w:spacing w:line="440" w:lineRule="exact"/>
        <w:jc w:val="left"/>
        <w:rPr>
          <w:rFonts w:hint="default" w:ascii="仿宋" w:hAnsi="仿宋" w:eastAsia="宋体" w:cstheme="minorBidi"/>
          <w:color w:val="auto"/>
          <w:sz w:val="24"/>
          <w:highlight w:val="none"/>
          <w:lang w:val="en-US" w:eastAsia="zh-CN"/>
        </w:rPr>
      </w:pPr>
      <w:r>
        <w:rPr>
          <w:rFonts w:hint="eastAsia"/>
          <w:color w:val="auto"/>
          <w:sz w:val="24"/>
          <w:highlight w:val="none"/>
        </w:rPr>
        <w:t>七、</w:t>
      </w:r>
      <w:r>
        <w:rPr>
          <w:rFonts w:hint="eastAsia"/>
          <w:color w:val="auto"/>
          <w:sz w:val="24"/>
          <w:highlight w:val="none"/>
          <w:lang w:eastAsia="zh-CN"/>
        </w:rPr>
        <w:t>“</w:t>
      </w:r>
      <w:r>
        <w:rPr>
          <w:rFonts w:hint="eastAsia"/>
          <w:color w:val="auto"/>
          <w:sz w:val="24"/>
          <w:highlight w:val="none"/>
        </w:rPr>
        <w:t>三公”经费财政拨款支出决算情况说明</w:t>
      </w:r>
      <w:r>
        <w:rPr>
          <w:rFonts w:hint="eastAsia" w:ascii="仿宋" w:hAnsi="仿宋" w:eastAsia="仿宋" w:cs="Times New Roman"/>
          <w:color w:val="auto"/>
          <w:kern w:val="2"/>
          <w:sz w:val="24"/>
          <w:szCs w:val="28"/>
          <w:highlight w:val="none"/>
          <w:lang w:val="en-US" w:eastAsia="zh-CN" w:bidi="ar-SA"/>
        </w:rPr>
        <w:t>.....................</w:t>
      </w:r>
      <w:r>
        <w:rPr>
          <w:rFonts w:hint="eastAsia"/>
          <w:color w:val="auto"/>
          <w:sz w:val="24"/>
          <w:highlight w:val="none"/>
          <w:lang w:val="en-US" w:eastAsia="zh-CN"/>
        </w:rPr>
        <w:t>21</w:t>
      </w:r>
    </w:p>
    <w:p>
      <w:pPr>
        <w:pStyle w:val="12"/>
        <w:adjustRightInd w:val="0"/>
        <w:snapToGrid w:val="0"/>
        <w:spacing w:line="440" w:lineRule="exact"/>
        <w:jc w:val="left"/>
        <w:rPr>
          <w:rFonts w:hint="default" w:ascii="仿宋" w:hAnsi="仿宋" w:eastAsia="宋体" w:cstheme="minorBidi"/>
          <w:color w:val="auto"/>
          <w:sz w:val="24"/>
          <w:highlight w:val="none"/>
          <w:lang w:val="en-US" w:eastAsia="zh-CN"/>
        </w:rPr>
      </w:pPr>
      <w:r>
        <w:rPr>
          <w:rFonts w:hint="eastAsia"/>
          <w:color w:val="auto"/>
          <w:sz w:val="24"/>
          <w:highlight w:val="none"/>
        </w:rPr>
        <w:t>八、政府性基金预算支出决算情况说明</w:t>
      </w:r>
      <w:r>
        <w:rPr>
          <w:rFonts w:hint="eastAsia" w:ascii="仿宋" w:hAnsi="仿宋" w:eastAsia="仿宋" w:cs="Times New Roman"/>
          <w:color w:val="auto"/>
          <w:kern w:val="2"/>
          <w:sz w:val="24"/>
          <w:szCs w:val="28"/>
          <w:highlight w:val="none"/>
          <w:lang w:val="en-US" w:eastAsia="zh-CN" w:bidi="ar-SA"/>
        </w:rPr>
        <w:t>...........................</w:t>
      </w:r>
      <w:r>
        <w:rPr>
          <w:rFonts w:hint="eastAsia"/>
          <w:color w:val="auto"/>
          <w:sz w:val="24"/>
          <w:highlight w:val="none"/>
          <w:lang w:val="en-US" w:eastAsia="zh-CN"/>
        </w:rPr>
        <w:t>21</w:t>
      </w:r>
    </w:p>
    <w:p>
      <w:pPr>
        <w:pStyle w:val="12"/>
        <w:adjustRightInd w:val="0"/>
        <w:snapToGrid w:val="0"/>
        <w:spacing w:line="440" w:lineRule="exact"/>
        <w:jc w:val="left"/>
        <w:rPr>
          <w:rFonts w:hint="default" w:eastAsia="宋体"/>
          <w:color w:val="auto"/>
          <w:sz w:val="24"/>
          <w:highlight w:val="none"/>
          <w:lang w:val="en-US" w:eastAsia="zh-CN"/>
        </w:rPr>
      </w:pPr>
      <w:r>
        <w:rPr>
          <w:rFonts w:hint="eastAsia"/>
          <w:color w:val="auto"/>
          <w:sz w:val="24"/>
          <w:highlight w:val="none"/>
        </w:rPr>
        <w:t>九、国有资本经营预算支出决算情况说明</w:t>
      </w:r>
      <w:r>
        <w:rPr>
          <w:rFonts w:hint="eastAsia" w:ascii="仿宋" w:hAnsi="仿宋" w:eastAsia="仿宋" w:cs="Times New Roman"/>
          <w:color w:val="auto"/>
          <w:kern w:val="2"/>
          <w:sz w:val="24"/>
          <w:szCs w:val="28"/>
          <w:highlight w:val="none"/>
          <w:lang w:val="en-US" w:eastAsia="zh-CN" w:bidi="ar-SA"/>
        </w:rPr>
        <w:t>.........................</w:t>
      </w:r>
      <w:r>
        <w:rPr>
          <w:rFonts w:hint="eastAsia"/>
          <w:color w:val="auto"/>
          <w:sz w:val="24"/>
          <w:highlight w:val="none"/>
          <w:lang w:val="en-US" w:eastAsia="zh-CN"/>
        </w:rPr>
        <w:t>22</w:t>
      </w:r>
    </w:p>
    <w:p>
      <w:pPr>
        <w:pStyle w:val="12"/>
        <w:adjustRightInd w:val="0"/>
        <w:snapToGrid w:val="0"/>
        <w:spacing w:line="440" w:lineRule="exact"/>
        <w:jc w:val="left"/>
        <w:rPr>
          <w:rFonts w:hint="default" w:eastAsia="宋体"/>
          <w:lang w:val="en-US" w:eastAsia="zh-CN"/>
        </w:rPr>
      </w:pPr>
      <w:r>
        <w:rPr>
          <w:rFonts w:hint="eastAsia"/>
          <w:color w:val="auto"/>
          <w:sz w:val="24"/>
          <w:highlight w:val="none"/>
        </w:rPr>
        <w:t>十、</w:t>
      </w:r>
      <w:r>
        <w:rPr>
          <w:rFonts w:hint="eastAsia" w:asciiTheme="minorEastAsia" w:hAnsiTheme="minorEastAsia" w:eastAsiaTheme="minorEastAsia" w:cstheme="minorEastAsia"/>
          <w:color w:val="auto"/>
          <w:sz w:val="24"/>
          <w:highlight w:val="none"/>
          <w:lang w:val="en-US" w:eastAsia="zh-CN"/>
        </w:rPr>
        <w:t>预算绩效管理情况</w:t>
      </w:r>
      <w:r>
        <w:rPr>
          <w:rFonts w:hint="eastAsia" w:ascii="仿宋" w:hAnsi="仿宋" w:eastAsia="仿宋" w:cs="Times New Roman"/>
          <w:color w:val="auto"/>
          <w:kern w:val="2"/>
          <w:sz w:val="24"/>
          <w:szCs w:val="28"/>
          <w:highlight w:val="none"/>
          <w:lang w:val="en-US" w:eastAsia="zh-CN" w:bidi="ar-SA"/>
        </w:rPr>
        <w:t>.........................................</w:t>
      </w:r>
      <w:r>
        <w:rPr>
          <w:rFonts w:hint="eastAsia" w:asciiTheme="minorEastAsia" w:hAnsiTheme="minorEastAsia" w:eastAsiaTheme="minorEastAsia" w:cstheme="minorEastAsia"/>
          <w:color w:val="auto"/>
          <w:sz w:val="24"/>
          <w:highlight w:val="none"/>
          <w:lang w:val="en-US" w:eastAsia="zh-CN"/>
        </w:rPr>
        <w:t>22</w:t>
      </w:r>
    </w:p>
    <w:p>
      <w:pPr>
        <w:pStyle w:val="12"/>
        <w:adjustRightInd w:val="0"/>
        <w:snapToGrid w:val="0"/>
        <w:spacing w:line="440" w:lineRule="exact"/>
        <w:jc w:val="left"/>
        <w:rPr>
          <w:rFonts w:hint="default" w:eastAsia="宋体"/>
          <w:lang w:val="en-US" w:eastAsia="zh-CN"/>
        </w:rPr>
      </w:pPr>
      <w:r>
        <w:rPr>
          <w:rFonts w:hint="eastAsia"/>
          <w:color w:val="auto"/>
          <w:sz w:val="24"/>
          <w:highlight w:val="none"/>
          <w:lang w:val="en-US" w:eastAsia="zh-CN"/>
        </w:rPr>
        <w:t>十一、</w:t>
      </w:r>
      <w:r>
        <w:rPr>
          <w:rFonts w:hint="eastAsia"/>
          <w:color w:val="auto"/>
          <w:sz w:val="24"/>
          <w:highlight w:val="none"/>
        </w:rPr>
        <w:t>其他重要事项的情况说明</w:t>
      </w:r>
      <w:r>
        <w:rPr>
          <w:rFonts w:hint="eastAsia" w:ascii="仿宋" w:hAnsi="仿宋" w:eastAsia="仿宋" w:cs="Times New Roman"/>
          <w:color w:val="auto"/>
          <w:kern w:val="2"/>
          <w:sz w:val="24"/>
          <w:szCs w:val="28"/>
          <w:highlight w:val="none"/>
          <w:lang w:val="en-US" w:eastAsia="zh-CN" w:bidi="ar-SA"/>
        </w:rPr>
        <w:t>.................................</w:t>
      </w:r>
      <w:r>
        <w:rPr>
          <w:rFonts w:hint="eastAsia"/>
          <w:color w:val="auto"/>
          <w:sz w:val="24"/>
          <w:highlight w:val="none"/>
          <w:lang w:val="en-US" w:eastAsia="zh-CN"/>
        </w:rPr>
        <w:t>23</w:t>
      </w:r>
    </w:p>
    <w:p>
      <w:pPr>
        <w:pStyle w:val="11"/>
        <w:adjustRightInd w:val="0"/>
        <w:snapToGrid w:val="0"/>
        <w:spacing w:before="0" w:line="440" w:lineRule="exact"/>
        <w:jc w:val="left"/>
        <w:rPr>
          <w:rFonts w:hint="default" w:eastAsia="仿宋" w:cstheme="minorBidi"/>
          <w:color w:val="auto"/>
          <w:sz w:val="24"/>
          <w:szCs w:val="24"/>
          <w:highlight w:val="none"/>
          <w:lang w:val="en-US" w:eastAsia="zh-CN"/>
        </w:rPr>
      </w:pPr>
      <w:r>
        <w:rPr>
          <w:rFonts w:hint="eastAsia"/>
          <w:color w:val="auto"/>
          <w:sz w:val="24"/>
          <w:highlight w:val="none"/>
        </w:rPr>
        <w:t>第三部分</w:t>
      </w:r>
      <w:r>
        <w:rPr>
          <w:color w:val="auto"/>
          <w:sz w:val="24"/>
          <w:highlight w:val="none"/>
        </w:rPr>
        <w:t xml:space="preserve"> </w:t>
      </w:r>
      <w:r>
        <w:rPr>
          <w:rFonts w:hint="eastAsia"/>
          <w:color w:val="auto"/>
          <w:sz w:val="24"/>
          <w:highlight w:val="none"/>
        </w:rPr>
        <w:t>名词解释</w:t>
      </w:r>
      <w:r>
        <w:rPr>
          <w:rFonts w:hint="eastAsia" w:ascii="仿宋" w:hAnsi="仿宋" w:eastAsia="仿宋" w:cs="Times New Roman"/>
          <w:color w:val="auto"/>
          <w:kern w:val="2"/>
          <w:sz w:val="24"/>
          <w:szCs w:val="28"/>
          <w:highlight w:val="none"/>
          <w:lang w:val="en-US" w:eastAsia="zh-CN" w:bidi="ar-SA"/>
        </w:rPr>
        <w:t>.........................................</w:t>
      </w:r>
      <w:r>
        <w:rPr>
          <w:rFonts w:hint="eastAsia" w:cs="Times New Roman"/>
          <w:color w:val="auto"/>
          <w:kern w:val="2"/>
          <w:sz w:val="24"/>
          <w:szCs w:val="28"/>
          <w:highlight w:val="none"/>
          <w:lang w:val="en-US" w:eastAsia="zh-CN" w:bidi="ar-SA"/>
        </w:rPr>
        <w:t>.......</w:t>
      </w:r>
      <w:r>
        <w:rPr>
          <w:rFonts w:hint="eastAsia"/>
          <w:color w:val="auto"/>
          <w:sz w:val="24"/>
          <w:highlight w:val="none"/>
          <w:lang w:val="en-US" w:eastAsia="zh-CN"/>
        </w:rPr>
        <w:t>25</w:t>
      </w:r>
    </w:p>
    <w:p>
      <w:pPr>
        <w:pStyle w:val="11"/>
        <w:adjustRightInd w:val="0"/>
        <w:snapToGrid w:val="0"/>
        <w:spacing w:before="0" w:line="440" w:lineRule="exact"/>
        <w:jc w:val="left"/>
        <w:rPr>
          <w:rFonts w:hint="default" w:eastAsia="仿宋" w:cstheme="minorBidi"/>
          <w:color w:val="auto"/>
          <w:sz w:val="24"/>
          <w:szCs w:val="24"/>
          <w:highlight w:val="none"/>
          <w:lang w:val="en-US" w:eastAsia="zh-CN"/>
        </w:rPr>
      </w:pPr>
      <w:r>
        <w:rPr>
          <w:rFonts w:hint="eastAsia"/>
          <w:color w:val="auto"/>
          <w:sz w:val="24"/>
          <w:highlight w:val="none"/>
        </w:rPr>
        <w:t>第四部分</w:t>
      </w:r>
      <w:r>
        <w:rPr>
          <w:color w:val="auto"/>
          <w:sz w:val="24"/>
          <w:highlight w:val="none"/>
        </w:rPr>
        <w:t xml:space="preserve"> </w:t>
      </w:r>
      <w:r>
        <w:rPr>
          <w:rFonts w:hint="eastAsia"/>
          <w:color w:val="auto"/>
          <w:sz w:val="24"/>
          <w:highlight w:val="none"/>
        </w:rPr>
        <w:t>附件</w:t>
      </w:r>
      <w:r>
        <w:rPr>
          <w:rFonts w:hint="eastAsia" w:ascii="仿宋" w:hAnsi="仿宋" w:eastAsia="仿宋" w:cs="Times New Roman"/>
          <w:color w:val="auto"/>
          <w:kern w:val="2"/>
          <w:sz w:val="24"/>
          <w:szCs w:val="28"/>
          <w:highlight w:val="none"/>
          <w:lang w:val="en-US" w:eastAsia="zh-CN" w:bidi="ar-SA"/>
        </w:rPr>
        <w:t>.........................................</w:t>
      </w:r>
      <w:r>
        <w:rPr>
          <w:rFonts w:hint="eastAsia" w:cs="Times New Roman"/>
          <w:color w:val="auto"/>
          <w:kern w:val="2"/>
          <w:sz w:val="24"/>
          <w:szCs w:val="28"/>
          <w:highlight w:val="none"/>
          <w:lang w:val="en-US" w:eastAsia="zh-CN" w:bidi="ar-SA"/>
        </w:rPr>
        <w:t>...........</w:t>
      </w:r>
      <w:r>
        <w:rPr>
          <w:rFonts w:hint="eastAsia"/>
          <w:color w:val="auto"/>
          <w:sz w:val="24"/>
          <w:highlight w:val="none"/>
          <w:lang w:val="en-US" w:eastAsia="zh-CN"/>
        </w:rPr>
        <w:t>54</w:t>
      </w:r>
    </w:p>
    <w:p>
      <w:pPr>
        <w:pStyle w:val="11"/>
        <w:adjustRightInd w:val="0"/>
        <w:snapToGrid w:val="0"/>
        <w:spacing w:before="0" w:line="440" w:lineRule="exact"/>
        <w:jc w:val="left"/>
        <w:rPr>
          <w:rFonts w:hint="default" w:eastAsia="仿宋" w:cstheme="minorBidi"/>
          <w:color w:val="auto"/>
          <w:sz w:val="24"/>
          <w:szCs w:val="24"/>
          <w:highlight w:val="none"/>
          <w:lang w:val="en-US" w:eastAsia="zh-CN"/>
        </w:rPr>
      </w:pPr>
      <w:r>
        <w:rPr>
          <w:rFonts w:hint="eastAsia"/>
          <w:color w:val="auto"/>
          <w:sz w:val="24"/>
          <w:highlight w:val="none"/>
        </w:rPr>
        <w:t>第五部分</w:t>
      </w:r>
      <w:r>
        <w:rPr>
          <w:color w:val="auto"/>
          <w:sz w:val="24"/>
          <w:highlight w:val="none"/>
        </w:rPr>
        <w:t xml:space="preserve"> </w:t>
      </w:r>
      <w:r>
        <w:rPr>
          <w:rFonts w:hint="eastAsia"/>
          <w:color w:val="auto"/>
          <w:sz w:val="24"/>
          <w:highlight w:val="none"/>
        </w:rPr>
        <w:t>附表</w:t>
      </w:r>
      <w:r>
        <w:rPr>
          <w:rFonts w:hint="eastAsia" w:ascii="仿宋" w:hAnsi="仿宋" w:eastAsia="仿宋" w:cs="Times New Roman"/>
          <w:color w:val="auto"/>
          <w:kern w:val="2"/>
          <w:sz w:val="24"/>
          <w:szCs w:val="28"/>
          <w:highlight w:val="none"/>
          <w:lang w:val="en-US" w:eastAsia="zh-CN" w:bidi="ar-SA"/>
        </w:rPr>
        <w:t>.........................................</w:t>
      </w:r>
      <w:r>
        <w:rPr>
          <w:rFonts w:hint="eastAsia" w:cs="Times New Roman"/>
          <w:color w:val="auto"/>
          <w:kern w:val="2"/>
          <w:sz w:val="24"/>
          <w:szCs w:val="28"/>
          <w:highlight w:val="none"/>
          <w:lang w:val="en-US" w:eastAsia="zh-CN" w:bidi="ar-SA"/>
        </w:rPr>
        <w:t>...........</w:t>
      </w:r>
      <w:r>
        <w:rPr>
          <w:rFonts w:hint="eastAsia"/>
          <w:color w:val="auto"/>
          <w:sz w:val="24"/>
          <w:highlight w:val="none"/>
          <w:lang w:val="en-US" w:eastAsia="zh-CN"/>
        </w:rPr>
        <w:t>55</w:t>
      </w:r>
    </w:p>
    <w:p>
      <w:pPr>
        <w:pStyle w:val="12"/>
        <w:adjustRightInd w:val="0"/>
        <w:snapToGrid w:val="0"/>
        <w:spacing w:line="440" w:lineRule="exact"/>
        <w:jc w:val="left"/>
        <w:rPr>
          <w:rFonts w:hint="default" w:eastAsia="宋体"/>
          <w:color w:val="auto"/>
          <w:sz w:val="24"/>
          <w:highlight w:val="none"/>
          <w:lang w:val="en-US" w:eastAsia="zh-CN"/>
        </w:rPr>
      </w:pPr>
      <w:r>
        <w:rPr>
          <w:rFonts w:hint="eastAsia"/>
          <w:color w:val="auto"/>
          <w:sz w:val="24"/>
          <w:highlight w:val="none"/>
        </w:rPr>
        <w:t>一、收入支出决算总表</w:t>
      </w:r>
      <w:r>
        <w:rPr>
          <w:rFonts w:hint="eastAsia" w:ascii="仿宋" w:hAnsi="仿宋" w:eastAsia="仿宋" w:cs="Times New Roman"/>
          <w:color w:val="auto"/>
          <w:kern w:val="2"/>
          <w:sz w:val="24"/>
          <w:szCs w:val="28"/>
          <w:highlight w:val="none"/>
          <w:lang w:val="en-US" w:eastAsia="zh-CN" w:bidi="ar-SA"/>
        </w:rPr>
        <w:t>.........................................</w:t>
      </w:r>
      <w:r>
        <w:rPr>
          <w:rFonts w:hint="eastAsia"/>
          <w:color w:val="auto"/>
          <w:sz w:val="24"/>
          <w:highlight w:val="none"/>
          <w:lang w:val="en-US" w:eastAsia="zh-CN"/>
        </w:rPr>
        <w:t>55</w:t>
      </w:r>
    </w:p>
    <w:p>
      <w:pPr>
        <w:pStyle w:val="12"/>
        <w:adjustRightInd w:val="0"/>
        <w:snapToGrid w:val="0"/>
        <w:spacing w:line="440" w:lineRule="exact"/>
        <w:jc w:val="left"/>
        <w:rPr>
          <w:rFonts w:hint="default" w:eastAsia="宋体"/>
          <w:color w:val="auto"/>
          <w:sz w:val="24"/>
          <w:highlight w:val="none"/>
          <w:lang w:val="en-US" w:eastAsia="zh-CN"/>
        </w:rPr>
      </w:pPr>
      <w:r>
        <w:rPr>
          <w:rFonts w:hint="eastAsia"/>
          <w:color w:val="auto"/>
          <w:sz w:val="24"/>
          <w:highlight w:val="none"/>
        </w:rPr>
        <w:t>二、收入决算表</w:t>
      </w:r>
      <w:r>
        <w:rPr>
          <w:rFonts w:hint="eastAsia" w:ascii="仿宋" w:hAnsi="仿宋" w:eastAsia="仿宋" w:cs="Times New Roman"/>
          <w:color w:val="auto"/>
          <w:kern w:val="2"/>
          <w:sz w:val="24"/>
          <w:szCs w:val="28"/>
          <w:highlight w:val="none"/>
          <w:lang w:val="en-US" w:eastAsia="zh-CN" w:bidi="ar-SA"/>
        </w:rPr>
        <w:t>...............................................</w:t>
      </w:r>
      <w:r>
        <w:rPr>
          <w:rFonts w:hint="eastAsia"/>
          <w:color w:val="auto"/>
          <w:sz w:val="24"/>
          <w:highlight w:val="none"/>
          <w:lang w:val="en-US" w:eastAsia="zh-CN"/>
        </w:rPr>
        <w:t>55</w:t>
      </w:r>
    </w:p>
    <w:p>
      <w:pPr>
        <w:pStyle w:val="12"/>
        <w:adjustRightInd w:val="0"/>
        <w:snapToGrid w:val="0"/>
        <w:spacing w:line="440" w:lineRule="exact"/>
        <w:jc w:val="left"/>
        <w:rPr>
          <w:rFonts w:hint="default" w:eastAsia="宋体"/>
          <w:color w:val="auto"/>
          <w:sz w:val="24"/>
          <w:highlight w:val="none"/>
          <w:lang w:val="en-US" w:eastAsia="zh-CN"/>
        </w:rPr>
      </w:pPr>
      <w:r>
        <w:rPr>
          <w:rFonts w:hint="eastAsia"/>
          <w:color w:val="auto"/>
          <w:sz w:val="24"/>
          <w:highlight w:val="none"/>
        </w:rPr>
        <w:t>三、支出决算表</w:t>
      </w:r>
      <w:r>
        <w:rPr>
          <w:rFonts w:hint="eastAsia" w:ascii="仿宋" w:hAnsi="仿宋" w:eastAsia="仿宋" w:cs="Times New Roman"/>
          <w:color w:val="auto"/>
          <w:kern w:val="2"/>
          <w:sz w:val="24"/>
          <w:szCs w:val="28"/>
          <w:highlight w:val="none"/>
          <w:lang w:val="en-US" w:eastAsia="zh-CN" w:bidi="ar-SA"/>
        </w:rPr>
        <w:t>...............................................</w:t>
      </w:r>
      <w:r>
        <w:rPr>
          <w:rFonts w:hint="eastAsia"/>
          <w:color w:val="auto"/>
          <w:sz w:val="24"/>
          <w:highlight w:val="none"/>
          <w:lang w:val="en-US" w:eastAsia="zh-CN"/>
        </w:rPr>
        <w:t>55</w:t>
      </w:r>
    </w:p>
    <w:p>
      <w:pPr>
        <w:pStyle w:val="12"/>
        <w:adjustRightInd w:val="0"/>
        <w:snapToGrid w:val="0"/>
        <w:spacing w:line="440" w:lineRule="exact"/>
        <w:jc w:val="left"/>
        <w:rPr>
          <w:rFonts w:hint="default" w:eastAsia="宋体"/>
          <w:color w:val="auto"/>
          <w:sz w:val="24"/>
          <w:highlight w:val="none"/>
          <w:lang w:val="en-US" w:eastAsia="zh-CN"/>
        </w:rPr>
      </w:pPr>
      <w:r>
        <w:rPr>
          <w:rFonts w:hint="eastAsia"/>
          <w:color w:val="auto"/>
          <w:sz w:val="24"/>
          <w:highlight w:val="none"/>
        </w:rPr>
        <w:t>四、财政拨款收入支出决算总表</w:t>
      </w:r>
      <w:r>
        <w:rPr>
          <w:rFonts w:hint="eastAsia" w:ascii="仿宋" w:hAnsi="仿宋" w:eastAsia="仿宋" w:cs="Times New Roman"/>
          <w:color w:val="auto"/>
          <w:kern w:val="2"/>
          <w:sz w:val="24"/>
          <w:szCs w:val="28"/>
          <w:highlight w:val="none"/>
          <w:lang w:val="en-US" w:eastAsia="zh-CN" w:bidi="ar-SA"/>
        </w:rPr>
        <w:t>.................................</w:t>
      </w:r>
      <w:r>
        <w:rPr>
          <w:rFonts w:hint="eastAsia"/>
          <w:color w:val="auto"/>
          <w:sz w:val="24"/>
          <w:highlight w:val="none"/>
          <w:lang w:val="en-US" w:eastAsia="zh-CN"/>
        </w:rPr>
        <w:t>55</w:t>
      </w:r>
    </w:p>
    <w:p>
      <w:pPr>
        <w:pStyle w:val="12"/>
        <w:adjustRightInd w:val="0"/>
        <w:snapToGrid w:val="0"/>
        <w:spacing w:line="440" w:lineRule="exact"/>
        <w:jc w:val="left"/>
        <w:rPr>
          <w:rFonts w:hint="default" w:eastAsia="宋体"/>
          <w:color w:val="auto"/>
          <w:sz w:val="24"/>
          <w:highlight w:val="none"/>
          <w:lang w:val="en-US" w:eastAsia="zh-CN"/>
        </w:rPr>
      </w:pPr>
      <w:r>
        <w:rPr>
          <w:rFonts w:hint="eastAsia"/>
          <w:color w:val="auto"/>
          <w:sz w:val="24"/>
          <w:highlight w:val="none"/>
        </w:rPr>
        <w:t>五、财政拨款支出决算明细表</w:t>
      </w:r>
      <w:r>
        <w:rPr>
          <w:rFonts w:hint="eastAsia" w:ascii="仿宋" w:hAnsi="仿宋" w:eastAsia="仿宋" w:cs="Times New Roman"/>
          <w:color w:val="auto"/>
          <w:kern w:val="2"/>
          <w:sz w:val="24"/>
          <w:szCs w:val="28"/>
          <w:highlight w:val="none"/>
          <w:lang w:val="en-US" w:eastAsia="zh-CN" w:bidi="ar-SA"/>
        </w:rPr>
        <w:t>...................................</w:t>
      </w:r>
      <w:r>
        <w:rPr>
          <w:rFonts w:hint="eastAsia"/>
          <w:color w:val="auto"/>
          <w:sz w:val="24"/>
          <w:highlight w:val="none"/>
          <w:lang w:val="en-US" w:eastAsia="zh-CN"/>
        </w:rPr>
        <w:t>55</w:t>
      </w:r>
    </w:p>
    <w:p>
      <w:pPr>
        <w:pStyle w:val="12"/>
        <w:adjustRightInd w:val="0"/>
        <w:snapToGrid w:val="0"/>
        <w:spacing w:line="440" w:lineRule="exact"/>
        <w:jc w:val="left"/>
        <w:rPr>
          <w:rFonts w:hint="default" w:eastAsia="宋体"/>
          <w:color w:val="auto"/>
          <w:sz w:val="24"/>
          <w:highlight w:val="none"/>
          <w:lang w:val="en-US" w:eastAsia="zh-CN"/>
        </w:rPr>
      </w:pPr>
      <w:r>
        <w:rPr>
          <w:rFonts w:hint="eastAsia"/>
          <w:color w:val="auto"/>
          <w:sz w:val="24"/>
          <w:highlight w:val="none"/>
        </w:rPr>
        <w:t>六、一般公共预算财政拨款支出决算表</w:t>
      </w:r>
      <w:r>
        <w:rPr>
          <w:rFonts w:hint="eastAsia" w:ascii="仿宋" w:hAnsi="仿宋" w:eastAsia="仿宋" w:cs="Times New Roman"/>
          <w:color w:val="auto"/>
          <w:kern w:val="2"/>
          <w:sz w:val="24"/>
          <w:szCs w:val="28"/>
          <w:highlight w:val="none"/>
          <w:lang w:val="en-US" w:eastAsia="zh-CN" w:bidi="ar-SA"/>
        </w:rPr>
        <w:t>...........................</w:t>
      </w:r>
      <w:r>
        <w:rPr>
          <w:rFonts w:hint="eastAsia"/>
          <w:color w:val="auto"/>
          <w:sz w:val="24"/>
          <w:highlight w:val="none"/>
          <w:lang w:val="en-US" w:eastAsia="zh-CN"/>
        </w:rPr>
        <w:t>55</w:t>
      </w:r>
    </w:p>
    <w:p>
      <w:pPr>
        <w:pStyle w:val="12"/>
        <w:adjustRightInd w:val="0"/>
        <w:snapToGrid w:val="0"/>
        <w:spacing w:line="440" w:lineRule="exact"/>
        <w:jc w:val="left"/>
        <w:rPr>
          <w:rFonts w:hint="default" w:eastAsia="宋体"/>
          <w:color w:val="auto"/>
          <w:sz w:val="24"/>
          <w:highlight w:val="none"/>
          <w:lang w:val="en-US" w:eastAsia="zh-CN"/>
        </w:rPr>
      </w:pPr>
      <w:r>
        <w:rPr>
          <w:rFonts w:hint="eastAsia"/>
          <w:color w:val="auto"/>
          <w:sz w:val="24"/>
          <w:highlight w:val="none"/>
        </w:rPr>
        <w:t>七、一般公共预算财政拨款支出决算明细表</w:t>
      </w:r>
      <w:r>
        <w:rPr>
          <w:rFonts w:hint="eastAsia" w:ascii="仿宋" w:hAnsi="仿宋" w:eastAsia="仿宋" w:cs="Times New Roman"/>
          <w:color w:val="auto"/>
          <w:kern w:val="2"/>
          <w:sz w:val="24"/>
          <w:szCs w:val="28"/>
          <w:highlight w:val="none"/>
          <w:lang w:val="en-US" w:eastAsia="zh-CN" w:bidi="ar-SA"/>
        </w:rPr>
        <w:t>.......................</w:t>
      </w:r>
      <w:r>
        <w:rPr>
          <w:rFonts w:hint="eastAsia"/>
          <w:color w:val="auto"/>
          <w:sz w:val="24"/>
          <w:highlight w:val="none"/>
          <w:lang w:val="en-US" w:eastAsia="zh-CN"/>
        </w:rPr>
        <w:t>55</w:t>
      </w:r>
    </w:p>
    <w:p>
      <w:pPr>
        <w:pStyle w:val="12"/>
        <w:adjustRightInd w:val="0"/>
        <w:snapToGrid w:val="0"/>
        <w:spacing w:line="440" w:lineRule="exact"/>
        <w:jc w:val="left"/>
        <w:rPr>
          <w:rFonts w:hint="default" w:eastAsia="宋体"/>
          <w:color w:val="auto"/>
          <w:sz w:val="24"/>
          <w:highlight w:val="none"/>
          <w:lang w:val="en-US" w:eastAsia="zh-CN"/>
        </w:rPr>
      </w:pPr>
      <w:r>
        <w:rPr>
          <w:rFonts w:hint="eastAsia"/>
          <w:color w:val="auto"/>
          <w:sz w:val="24"/>
          <w:highlight w:val="none"/>
        </w:rPr>
        <w:t>八、一般公共预算财政拨款基本支出决算表</w:t>
      </w:r>
      <w:r>
        <w:rPr>
          <w:rFonts w:hint="eastAsia" w:ascii="仿宋" w:hAnsi="仿宋" w:eastAsia="仿宋" w:cs="Times New Roman"/>
          <w:color w:val="auto"/>
          <w:kern w:val="2"/>
          <w:sz w:val="24"/>
          <w:szCs w:val="28"/>
          <w:highlight w:val="none"/>
          <w:lang w:val="en-US" w:eastAsia="zh-CN" w:bidi="ar-SA"/>
        </w:rPr>
        <w:t>.......................</w:t>
      </w:r>
      <w:r>
        <w:rPr>
          <w:rFonts w:hint="eastAsia"/>
          <w:color w:val="auto"/>
          <w:sz w:val="24"/>
          <w:highlight w:val="none"/>
          <w:lang w:val="en-US" w:eastAsia="zh-CN"/>
        </w:rPr>
        <w:t>55</w:t>
      </w:r>
    </w:p>
    <w:p>
      <w:pPr>
        <w:pStyle w:val="12"/>
        <w:adjustRightInd w:val="0"/>
        <w:snapToGrid w:val="0"/>
        <w:spacing w:line="440" w:lineRule="exact"/>
        <w:jc w:val="left"/>
        <w:rPr>
          <w:rFonts w:hint="default" w:eastAsia="宋体"/>
          <w:color w:val="auto"/>
          <w:sz w:val="24"/>
          <w:highlight w:val="none"/>
          <w:lang w:val="en-US" w:eastAsia="zh-CN"/>
        </w:rPr>
      </w:pPr>
      <w:r>
        <w:rPr>
          <w:rFonts w:hint="eastAsia"/>
          <w:color w:val="auto"/>
          <w:sz w:val="24"/>
          <w:highlight w:val="none"/>
        </w:rPr>
        <w:t>九、一般公共预算财政拨款项目支出决算表</w:t>
      </w:r>
      <w:r>
        <w:rPr>
          <w:rFonts w:hint="eastAsia" w:ascii="仿宋" w:hAnsi="仿宋" w:eastAsia="仿宋" w:cs="Times New Roman"/>
          <w:color w:val="auto"/>
          <w:kern w:val="2"/>
          <w:sz w:val="24"/>
          <w:szCs w:val="28"/>
          <w:highlight w:val="none"/>
          <w:lang w:val="en-US" w:eastAsia="zh-CN" w:bidi="ar-SA"/>
        </w:rPr>
        <w:t>.......................</w:t>
      </w:r>
      <w:r>
        <w:rPr>
          <w:rFonts w:hint="eastAsia"/>
          <w:color w:val="auto"/>
          <w:sz w:val="24"/>
          <w:highlight w:val="none"/>
          <w:lang w:val="en-US" w:eastAsia="zh-CN"/>
        </w:rPr>
        <w:t>55</w:t>
      </w:r>
    </w:p>
    <w:p>
      <w:pPr>
        <w:pStyle w:val="12"/>
        <w:adjustRightInd w:val="0"/>
        <w:snapToGrid w:val="0"/>
        <w:spacing w:line="440" w:lineRule="exact"/>
        <w:jc w:val="left"/>
        <w:rPr>
          <w:rFonts w:hint="default" w:eastAsia="宋体"/>
          <w:color w:val="auto"/>
          <w:sz w:val="24"/>
          <w:highlight w:val="none"/>
          <w:lang w:val="en-US" w:eastAsia="zh-CN"/>
        </w:rPr>
      </w:pPr>
      <w:r>
        <w:rPr>
          <w:rFonts w:hint="eastAsia"/>
          <w:color w:val="auto"/>
          <w:sz w:val="24"/>
          <w:highlight w:val="none"/>
        </w:rPr>
        <w:t>十、一般公共预算财政拨款“三公”经费支出决算表</w:t>
      </w:r>
      <w:r>
        <w:rPr>
          <w:rFonts w:hint="eastAsia" w:ascii="仿宋" w:hAnsi="仿宋" w:eastAsia="仿宋" w:cs="Times New Roman"/>
          <w:color w:val="auto"/>
          <w:kern w:val="2"/>
          <w:sz w:val="24"/>
          <w:szCs w:val="28"/>
          <w:highlight w:val="none"/>
          <w:lang w:val="en-US" w:eastAsia="zh-CN" w:bidi="ar-SA"/>
        </w:rPr>
        <w:t>...............</w:t>
      </w:r>
      <w:r>
        <w:rPr>
          <w:rFonts w:hint="eastAsia"/>
          <w:color w:val="auto"/>
          <w:sz w:val="24"/>
          <w:highlight w:val="none"/>
          <w:lang w:val="en-US" w:eastAsia="zh-CN"/>
        </w:rPr>
        <w:t>55</w:t>
      </w:r>
    </w:p>
    <w:p>
      <w:pPr>
        <w:pStyle w:val="12"/>
        <w:adjustRightInd w:val="0"/>
        <w:snapToGrid w:val="0"/>
        <w:spacing w:line="440" w:lineRule="exact"/>
        <w:jc w:val="left"/>
        <w:rPr>
          <w:rFonts w:hint="default" w:eastAsia="宋体"/>
          <w:color w:val="auto"/>
          <w:sz w:val="24"/>
          <w:highlight w:val="none"/>
          <w:lang w:val="en-US" w:eastAsia="zh-CN"/>
        </w:rPr>
      </w:pPr>
      <w:r>
        <w:rPr>
          <w:rFonts w:hint="eastAsia"/>
          <w:color w:val="auto"/>
          <w:sz w:val="24"/>
          <w:highlight w:val="none"/>
        </w:rPr>
        <w:t>十一、政府性基金预算财政拨款收入支出决算表</w:t>
      </w:r>
      <w:r>
        <w:rPr>
          <w:rFonts w:hint="eastAsia" w:ascii="仿宋" w:hAnsi="仿宋" w:eastAsia="仿宋" w:cs="Times New Roman"/>
          <w:color w:val="auto"/>
          <w:kern w:val="2"/>
          <w:sz w:val="24"/>
          <w:szCs w:val="28"/>
          <w:highlight w:val="none"/>
          <w:lang w:val="en-US" w:eastAsia="zh-CN" w:bidi="ar-SA"/>
        </w:rPr>
        <w:t>...................</w:t>
      </w:r>
      <w:r>
        <w:rPr>
          <w:rFonts w:hint="eastAsia"/>
          <w:color w:val="auto"/>
          <w:sz w:val="24"/>
          <w:highlight w:val="none"/>
          <w:lang w:val="en-US" w:eastAsia="zh-CN"/>
        </w:rPr>
        <w:t>55</w:t>
      </w:r>
    </w:p>
    <w:p>
      <w:pPr>
        <w:pStyle w:val="12"/>
        <w:adjustRightInd w:val="0"/>
        <w:snapToGrid w:val="0"/>
        <w:spacing w:line="440" w:lineRule="exact"/>
        <w:jc w:val="left"/>
        <w:rPr>
          <w:rFonts w:hint="default" w:eastAsia="宋体"/>
          <w:color w:val="auto"/>
          <w:sz w:val="24"/>
          <w:highlight w:val="none"/>
          <w:lang w:val="en-US" w:eastAsia="zh-CN"/>
        </w:rPr>
      </w:pPr>
      <w:r>
        <w:rPr>
          <w:rFonts w:hint="eastAsia"/>
          <w:color w:val="auto"/>
          <w:sz w:val="24"/>
          <w:highlight w:val="none"/>
        </w:rPr>
        <w:t>十二、政府性基金预算财政拨款“三公”经费支出决算表</w:t>
      </w:r>
      <w:r>
        <w:rPr>
          <w:rFonts w:hint="eastAsia" w:ascii="仿宋" w:hAnsi="仿宋" w:eastAsia="仿宋" w:cs="Times New Roman"/>
          <w:color w:val="auto"/>
          <w:kern w:val="2"/>
          <w:sz w:val="24"/>
          <w:szCs w:val="28"/>
          <w:highlight w:val="none"/>
          <w:lang w:val="en-US" w:eastAsia="zh-CN" w:bidi="ar-SA"/>
        </w:rPr>
        <w:t>...........</w:t>
      </w:r>
      <w:r>
        <w:rPr>
          <w:rFonts w:hint="eastAsia"/>
          <w:color w:val="auto"/>
          <w:sz w:val="24"/>
          <w:highlight w:val="none"/>
          <w:lang w:val="en-US" w:eastAsia="zh-CN"/>
        </w:rPr>
        <w:t>55</w:t>
      </w:r>
    </w:p>
    <w:p>
      <w:pPr>
        <w:pStyle w:val="12"/>
        <w:adjustRightInd w:val="0"/>
        <w:snapToGrid w:val="0"/>
        <w:spacing w:line="440" w:lineRule="exact"/>
        <w:jc w:val="left"/>
        <w:rPr>
          <w:rFonts w:hint="default" w:eastAsia="宋体"/>
          <w:color w:val="auto"/>
          <w:sz w:val="24"/>
          <w:highlight w:val="none"/>
          <w:lang w:val="en-US" w:eastAsia="zh-CN"/>
        </w:rPr>
      </w:pPr>
      <w:r>
        <w:rPr>
          <w:rFonts w:hint="eastAsia"/>
          <w:color w:val="auto"/>
          <w:sz w:val="24"/>
          <w:highlight w:val="none"/>
        </w:rPr>
        <w:t>十三、国有资本经营预算</w:t>
      </w:r>
      <w:r>
        <w:rPr>
          <w:rFonts w:hint="eastAsia"/>
          <w:color w:val="auto"/>
          <w:sz w:val="24"/>
          <w:highlight w:val="none"/>
          <w:lang w:eastAsia="zh-CN"/>
        </w:rPr>
        <w:t>财政拨款收入</w:t>
      </w:r>
      <w:r>
        <w:rPr>
          <w:rFonts w:hint="eastAsia"/>
          <w:color w:val="auto"/>
          <w:sz w:val="24"/>
          <w:highlight w:val="none"/>
        </w:rPr>
        <w:t>支出决算表</w:t>
      </w:r>
      <w:r>
        <w:rPr>
          <w:rFonts w:hint="eastAsia" w:ascii="仿宋" w:hAnsi="仿宋" w:eastAsia="仿宋" w:cs="Times New Roman"/>
          <w:color w:val="auto"/>
          <w:kern w:val="2"/>
          <w:sz w:val="24"/>
          <w:szCs w:val="28"/>
          <w:highlight w:val="none"/>
          <w:lang w:val="en-US" w:eastAsia="zh-CN" w:bidi="ar-SA"/>
        </w:rPr>
        <w:t>.................</w:t>
      </w:r>
      <w:r>
        <w:rPr>
          <w:rFonts w:hint="eastAsia"/>
          <w:color w:val="auto"/>
          <w:sz w:val="24"/>
          <w:highlight w:val="none"/>
          <w:lang w:val="en-US" w:eastAsia="zh-CN"/>
        </w:rPr>
        <w:t>55</w:t>
      </w:r>
    </w:p>
    <w:p>
      <w:pPr>
        <w:pStyle w:val="12"/>
        <w:adjustRightInd w:val="0"/>
        <w:snapToGrid w:val="0"/>
        <w:spacing w:line="440" w:lineRule="exact"/>
        <w:jc w:val="left"/>
        <w:rPr>
          <w:rFonts w:hint="default"/>
          <w:color w:val="auto"/>
          <w:sz w:val="24"/>
          <w:highlight w:val="none"/>
          <w:lang w:val="en-US" w:eastAsia="zh-CN"/>
        </w:rPr>
      </w:pPr>
      <w:r>
        <w:rPr>
          <w:rFonts w:hint="eastAsia"/>
          <w:color w:val="auto"/>
          <w:sz w:val="24"/>
          <w:highlight w:val="none"/>
          <w:lang w:val="en-US" w:eastAsia="zh-CN"/>
        </w:rPr>
        <w:t>十四、国有资本经营预算财政拨款支出决算表</w:t>
      </w:r>
      <w:r>
        <w:rPr>
          <w:rFonts w:hint="eastAsia" w:ascii="仿宋" w:hAnsi="仿宋" w:eastAsia="仿宋" w:cs="Times New Roman"/>
          <w:color w:val="auto"/>
          <w:kern w:val="2"/>
          <w:sz w:val="24"/>
          <w:szCs w:val="28"/>
          <w:highlight w:val="none"/>
          <w:lang w:val="en-US" w:eastAsia="zh-CN" w:bidi="ar-SA"/>
        </w:rPr>
        <w:t>.....................</w:t>
      </w:r>
      <w:r>
        <w:rPr>
          <w:rFonts w:hint="eastAsia"/>
          <w:color w:val="auto"/>
          <w:sz w:val="24"/>
          <w:highlight w:val="none"/>
          <w:lang w:val="en-US" w:eastAsia="zh-CN"/>
        </w:rPr>
        <w:t>55</w:t>
      </w:r>
    </w:p>
    <w:p>
      <w:pPr>
        <w:widowControl/>
        <w:spacing w:line="440" w:lineRule="exact"/>
        <w:jc w:val="left"/>
        <w:rPr>
          <w:rFonts w:ascii="仿宋" w:hAnsi="仿宋" w:eastAsia="仿宋"/>
          <w:bCs/>
          <w:color w:val="auto"/>
          <w:kern w:val="44"/>
          <w:sz w:val="24"/>
          <w:highlight w:val="none"/>
        </w:rPr>
      </w:pPr>
      <w:bookmarkStart w:id="12" w:name="_Toc15377196"/>
      <w:bookmarkStart w:id="13" w:name="_Toc15396599"/>
      <w:r>
        <w:rPr>
          <w:rFonts w:ascii="仿宋" w:hAnsi="仿宋" w:eastAsia="仿宋"/>
          <w:b/>
          <w:color w:val="auto"/>
          <w:sz w:val="24"/>
          <w:highlight w:val="none"/>
        </w:rPr>
        <w:br w:type="page"/>
      </w:r>
    </w:p>
    <w:p>
      <w:pPr>
        <w:pStyle w:val="3"/>
        <w:jc w:val="center"/>
        <w:rPr>
          <w:rFonts w:ascii="黑体" w:eastAsia="黑体"/>
          <w:color w:val="auto"/>
          <w:sz w:val="32"/>
          <w:szCs w:val="32"/>
          <w:highlight w:val="none"/>
        </w:rPr>
      </w:pPr>
      <w:r>
        <w:rPr>
          <w:rFonts w:hint="eastAsia" w:ascii="黑体" w:hAnsi="黑体" w:eastAsia="黑体"/>
          <w:b w:val="0"/>
          <w:color w:val="auto"/>
          <w:highlight w:val="none"/>
        </w:rPr>
        <w:t xml:space="preserve">第一部分 </w:t>
      </w:r>
      <w:r>
        <w:rPr>
          <w:rFonts w:hint="eastAsia" w:ascii="黑体" w:hAnsi="黑体" w:eastAsia="黑体"/>
          <w:b w:val="0"/>
          <w:color w:val="auto"/>
          <w:highlight w:val="none"/>
          <w:lang w:eastAsia="zh-CN"/>
        </w:rPr>
        <w:t>单位</w:t>
      </w:r>
      <w:r>
        <w:rPr>
          <w:rStyle w:val="26"/>
          <w:rFonts w:hint="eastAsia" w:ascii="黑体" w:hAnsi="黑体" w:eastAsia="黑体"/>
          <w:b w:val="0"/>
          <w:bCs w:val="0"/>
          <w:color w:val="auto"/>
          <w:highlight w:val="none"/>
        </w:rPr>
        <w:t>概况</w:t>
      </w:r>
      <w:bookmarkEnd w:id="12"/>
      <w:bookmarkEnd w:id="13"/>
    </w:p>
    <w:p>
      <w:pPr>
        <w:bidi w:val="0"/>
        <w:ind w:firstLine="640" w:firstLineChars="200"/>
        <w:rPr>
          <w:rStyle w:val="27"/>
          <w:rFonts w:hint="eastAsia" w:ascii="黑体" w:hAnsi="黑体" w:eastAsia="黑体"/>
          <w:b w:val="0"/>
          <w:bCs w:val="0"/>
          <w:color w:val="auto"/>
          <w:highlight w:val="none"/>
          <w:lang w:val="en-US" w:eastAsia="zh-CN" w:bidi="ar-SA"/>
        </w:rPr>
      </w:pPr>
      <w:bookmarkStart w:id="14" w:name="_Toc15396600"/>
      <w:bookmarkStart w:id="15" w:name="_Toc15377197"/>
      <w:r>
        <w:rPr>
          <w:rStyle w:val="27"/>
          <w:rFonts w:hint="eastAsia" w:ascii="黑体" w:hAnsi="黑体" w:eastAsia="黑体"/>
          <w:b w:val="0"/>
          <w:bCs w:val="0"/>
          <w:color w:val="auto"/>
          <w:highlight w:val="none"/>
          <w:lang w:val="en-US" w:eastAsia="zh-CN" w:bidi="ar-SA"/>
        </w:rPr>
        <w:t>一、职能简介</w:t>
      </w:r>
    </w:p>
    <w:p>
      <w:pPr>
        <w:pageBreakBefore w:val="0"/>
        <w:widowControl w:val="0"/>
        <w:kinsoku/>
        <w:wordWrap/>
        <w:overflowPunct/>
        <w:topLinePunct w:val="0"/>
        <w:autoSpaceDE/>
        <w:autoSpaceDN/>
        <w:bidi w:val="0"/>
        <w:adjustRightInd/>
        <w:snapToGrid/>
        <w:spacing w:line="576" w:lineRule="exact"/>
        <w:textAlignment w:val="auto"/>
        <w:rPr>
          <w:rFonts w:hint="default" w:ascii="仿宋_GB2312" w:hAnsi="仿宋_GB2312" w:eastAsia="仿宋_GB2312" w:cs="仿宋_GB2312"/>
          <w:b w:val="0"/>
          <w:bCs w:val="0"/>
          <w:sz w:val="32"/>
          <w:szCs w:val="32"/>
          <w:lang w:val="en-US"/>
        </w:rPr>
      </w:pPr>
      <w:r>
        <w:rPr>
          <w:rStyle w:val="27"/>
          <w:rFonts w:hint="eastAsia" w:ascii="黑体" w:hAnsi="黑体" w:eastAsia="黑体"/>
          <w:b w:val="0"/>
          <w:bCs w:val="0"/>
          <w:color w:val="auto"/>
          <w:highlight w:val="none"/>
          <w:lang w:val="en-US" w:eastAsia="zh-CN"/>
        </w:rPr>
        <w:t xml:space="preserve">    </w:t>
      </w:r>
      <w:r>
        <w:rPr>
          <w:rFonts w:hint="eastAsia" w:ascii="仿宋_GB2312" w:hAnsi="仿宋_GB2312" w:eastAsia="仿宋_GB2312" w:cs="仿宋_GB2312"/>
          <w:sz w:val="32"/>
          <w:szCs w:val="32"/>
          <w:lang w:val="en-US" w:eastAsia="zh-CN"/>
        </w:rPr>
        <w:t>广元市儿童福利院负责本地区弃婴和孤儿收养，并为其提供养护、医疗、康复、教育等服务；协助机关开展儿童福利服务指导工作；暂为代管市社会福利院事务。</w:t>
      </w:r>
    </w:p>
    <w:p>
      <w:pPr>
        <w:bidi w:val="0"/>
        <w:ind w:firstLine="640" w:firstLineChars="200"/>
        <w:rPr>
          <w:rStyle w:val="27"/>
          <w:rFonts w:hint="eastAsia" w:ascii="黑体" w:hAnsi="黑体" w:eastAsia="黑体"/>
          <w:b w:val="0"/>
          <w:bCs w:val="0"/>
          <w:color w:val="auto"/>
          <w:highlight w:val="none"/>
          <w:lang w:val="en-US" w:eastAsia="zh-CN" w:bidi="ar-SA"/>
        </w:rPr>
      </w:pPr>
      <w:r>
        <w:rPr>
          <w:rStyle w:val="27"/>
          <w:rFonts w:hint="eastAsia" w:ascii="黑体" w:hAnsi="黑体" w:eastAsia="黑体"/>
          <w:b w:val="0"/>
          <w:bCs w:val="0"/>
          <w:color w:val="auto"/>
          <w:highlight w:val="none"/>
          <w:lang w:val="en-US" w:eastAsia="zh-CN" w:bidi="ar-SA"/>
        </w:rPr>
        <w:t>二、2021年重点工作</w:t>
      </w:r>
      <w:bookmarkEnd w:id="14"/>
      <w:bookmarkEnd w:id="15"/>
      <w:r>
        <w:rPr>
          <w:rStyle w:val="27"/>
          <w:rFonts w:hint="eastAsia" w:ascii="黑体" w:hAnsi="黑体" w:eastAsia="黑体"/>
          <w:b w:val="0"/>
          <w:bCs w:val="0"/>
          <w:color w:val="auto"/>
          <w:highlight w:val="none"/>
          <w:lang w:val="en-US" w:eastAsia="zh-CN" w:bidi="ar-SA"/>
        </w:rPr>
        <w:t>完成情况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（一）夯实开展党建工作</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bCs/>
          <w:sz w:val="32"/>
          <w:szCs w:val="32"/>
        </w:rPr>
        <w:t>一</w:t>
      </w:r>
      <w:r>
        <w:rPr>
          <w:rFonts w:hint="eastAsia" w:ascii="仿宋_GB2312" w:hAnsi="仿宋_GB2312" w:eastAsia="仿宋_GB2312" w:cs="仿宋_GB2312"/>
          <w:b/>
          <w:bCs/>
          <w:sz w:val="32"/>
          <w:szCs w:val="32"/>
          <w:lang w:eastAsia="zh-CN"/>
        </w:rPr>
        <w:t>是</w:t>
      </w:r>
      <w:r>
        <w:rPr>
          <w:rStyle w:val="15"/>
          <w:rFonts w:hint="eastAsia" w:ascii="仿宋_GB2312" w:hAnsi="仿宋_GB2312" w:eastAsia="仿宋_GB2312" w:cs="仿宋_GB2312"/>
          <w:b/>
          <w:bCs/>
          <w:i w:val="0"/>
          <w:caps w:val="0"/>
          <w:color w:val="000000"/>
          <w:spacing w:val="0"/>
          <w:sz w:val="32"/>
          <w:szCs w:val="32"/>
          <w:shd w:val="clear" w:color="auto" w:fill="FFFFFF"/>
        </w:rPr>
        <w:t>政治建设</w:t>
      </w:r>
      <w:r>
        <w:rPr>
          <w:rStyle w:val="15"/>
          <w:rFonts w:hint="eastAsia" w:ascii="仿宋_GB2312" w:hAnsi="仿宋_GB2312" w:eastAsia="仿宋_GB2312" w:cs="仿宋_GB2312"/>
          <w:b/>
          <w:bCs/>
          <w:i w:val="0"/>
          <w:caps w:val="0"/>
          <w:color w:val="000000"/>
          <w:spacing w:val="0"/>
          <w:sz w:val="32"/>
          <w:szCs w:val="32"/>
          <w:shd w:val="clear" w:color="auto" w:fill="FFFFFF"/>
          <w:lang w:eastAsia="zh-CN"/>
        </w:rPr>
        <w:t>为引领。</w:t>
      </w:r>
      <w:r>
        <w:rPr>
          <w:rFonts w:hint="eastAsia" w:ascii="仿宋_GB2312" w:hAnsi="仿宋_GB2312" w:eastAsia="仿宋_GB2312" w:cs="仿宋_GB2312"/>
          <w:b w:val="0"/>
          <w:bCs w:val="0"/>
          <w:sz w:val="32"/>
          <w:szCs w:val="32"/>
          <w:lang w:eastAsia="zh-CN"/>
        </w:rPr>
        <w:t>教育引导党员干部</w:t>
      </w:r>
      <w:r>
        <w:rPr>
          <w:rFonts w:hint="eastAsia" w:ascii="仿宋_GB2312" w:hAnsi="仿宋_GB2312" w:eastAsia="仿宋_GB2312" w:cs="仿宋_GB2312"/>
          <w:b w:val="0"/>
          <w:bCs w:val="0"/>
          <w:sz w:val="32"/>
          <w:szCs w:val="32"/>
        </w:rPr>
        <w:t>同</w:t>
      </w:r>
      <w:r>
        <w:rPr>
          <w:rFonts w:hint="default" w:ascii="仿宋_GB2312" w:hAnsi="仿宋_GB2312" w:eastAsia="仿宋_GB2312" w:cs="仿宋_GB2312"/>
          <w:b w:val="0"/>
          <w:bCs w:val="0"/>
          <w:sz w:val="32"/>
          <w:szCs w:val="32"/>
          <w:lang w:val="en"/>
        </w:rPr>
        <w:t>以习近平同志为核心的党中央</w:t>
      </w:r>
      <w:r>
        <w:rPr>
          <w:rFonts w:hint="eastAsia" w:ascii="仿宋_GB2312" w:hAnsi="仿宋_GB2312" w:eastAsia="仿宋_GB2312" w:cs="仿宋_GB2312"/>
          <w:b w:val="0"/>
          <w:bCs w:val="0"/>
          <w:sz w:val="32"/>
          <w:szCs w:val="32"/>
        </w:rPr>
        <w:t>保持高度一致，</w:t>
      </w:r>
      <w:r>
        <w:rPr>
          <w:rFonts w:hint="eastAsia" w:ascii="仿宋_GB2312" w:hAnsi="仿宋_GB2312" w:eastAsia="仿宋_GB2312" w:cs="仿宋_GB2312"/>
          <w:sz w:val="32"/>
          <w:szCs w:val="32"/>
          <w:lang w:val="en-US" w:eastAsia="zh-CN"/>
        </w:rPr>
        <w:t>坚持以习近平新时代中国特色社会主义思想为指导，增强“四个意识”、坚定“四个自信”、做到“两个维护”，认真贯彻省委、市委党代会精神；充分发挥支部在单位意识形态建设方面的组织领导作用，让党的精神成为本单位各项工作的真正核心引领指导。</w:t>
      </w:r>
      <w:r>
        <w:rPr>
          <w:rFonts w:hint="eastAsia" w:ascii="仿宋_GB2312" w:hAnsi="仿宋_GB2312" w:eastAsia="仿宋_GB2312" w:cs="仿宋_GB2312"/>
          <w:b/>
          <w:bCs/>
          <w:sz w:val="32"/>
          <w:szCs w:val="32"/>
        </w:rPr>
        <w:t>二</w:t>
      </w:r>
      <w:r>
        <w:rPr>
          <w:rFonts w:hint="eastAsia" w:ascii="仿宋_GB2312" w:hAnsi="仿宋_GB2312" w:eastAsia="仿宋_GB2312" w:cs="仿宋_GB2312"/>
          <w:b/>
          <w:bCs/>
          <w:sz w:val="32"/>
          <w:szCs w:val="32"/>
          <w:lang w:eastAsia="zh-CN"/>
        </w:rPr>
        <w:t>是以学党史为契机</w:t>
      </w:r>
      <w:r>
        <w:rPr>
          <w:rFonts w:hint="eastAsia" w:ascii="仿宋_GB2312" w:hAnsi="仿宋_GB2312" w:eastAsia="仿宋_GB2312" w:cs="仿宋_GB2312"/>
          <w:b/>
          <w:bCs/>
          <w:sz w:val="32"/>
          <w:szCs w:val="32"/>
        </w:rPr>
        <w:t>深化理论</w:t>
      </w:r>
      <w:r>
        <w:rPr>
          <w:rFonts w:hint="eastAsia" w:ascii="仿宋_GB2312" w:hAnsi="仿宋_GB2312" w:eastAsia="仿宋_GB2312" w:cs="仿宋_GB2312"/>
          <w:b/>
          <w:bCs/>
          <w:sz w:val="32"/>
          <w:szCs w:val="32"/>
          <w:lang w:eastAsia="zh-CN"/>
        </w:rPr>
        <w:t>学习</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eastAsia="zh-CN"/>
        </w:rPr>
        <w:t>支部于</w:t>
      </w:r>
      <w:r>
        <w:rPr>
          <w:rFonts w:hint="eastAsia" w:ascii="仿宋_GB2312" w:hAnsi="仿宋_GB2312" w:eastAsia="仿宋_GB2312" w:cs="仿宋_GB2312"/>
          <w:sz w:val="32"/>
          <w:szCs w:val="32"/>
        </w:rPr>
        <w:t>3月</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eastAsia="zh-CN"/>
        </w:rPr>
        <w:t>成立了庆祝中国共产党成立</w:t>
      </w:r>
      <w:r>
        <w:rPr>
          <w:rFonts w:hint="eastAsia" w:ascii="仿宋_GB2312" w:hAnsi="仿宋_GB2312" w:eastAsia="仿宋_GB2312" w:cs="仿宋_GB2312"/>
          <w:sz w:val="32"/>
          <w:szCs w:val="32"/>
          <w:lang w:val="en-US" w:eastAsia="zh-CN"/>
        </w:rPr>
        <w:t>100周年活动暨党史学习教育领导小组，</w:t>
      </w:r>
      <w:r>
        <w:rPr>
          <w:rFonts w:hint="eastAsia" w:ascii="仿宋_GB2312" w:hAnsi="仿宋_GB2312" w:eastAsia="仿宋_GB2312" w:cs="仿宋_GB2312"/>
          <w:sz w:val="32"/>
          <w:szCs w:val="32"/>
          <w:lang w:eastAsia="zh-CN"/>
        </w:rPr>
        <w:t>组织</w:t>
      </w:r>
      <w:r>
        <w:rPr>
          <w:rFonts w:hint="eastAsia" w:ascii="仿宋_GB2312" w:hAnsi="仿宋_GB2312" w:eastAsia="仿宋_GB2312" w:cs="仿宋_GB2312"/>
          <w:sz w:val="32"/>
          <w:szCs w:val="32"/>
        </w:rPr>
        <w:t>召开</w:t>
      </w:r>
      <w:r>
        <w:rPr>
          <w:rFonts w:hint="eastAsia" w:ascii="仿宋_GB2312" w:hAnsi="仿宋_GB2312" w:eastAsia="仿宋_GB2312" w:cs="仿宋_GB2312"/>
          <w:sz w:val="32"/>
          <w:szCs w:val="32"/>
          <w:lang w:eastAsia="zh-CN"/>
        </w:rPr>
        <w:t>了</w:t>
      </w:r>
      <w:r>
        <w:rPr>
          <w:rFonts w:hint="eastAsia" w:ascii="仿宋_GB2312" w:hAnsi="仿宋_GB2312" w:eastAsia="仿宋_GB2312" w:cs="仿宋_GB2312"/>
          <w:sz w:val="32"/>
          <w:szCs w:val="32"/>
        </w:rPr>
        <w:t>党史</w:t>
      </w:r>
      <w:r>
        <w:rPr>
          <w:rFonts w:hint="eastAsia" w:ascii="仿宋_GB2312" w:hAnsi="仿宋_GB2312" w:eastAsia="仿宋_GB2312" w:cs="仿宋_GB2312"/>
          <w:sz w:val="32"/>
          <w:szCs w:val="32"/>
          <w:lang w:eastAsia="zh-CN"/>
        </w:rPr>
        <w:t>学习教育安排部署</w:t>
      </w:r>
      <w:r>
        <w:rPr>
          <w:rFonts w:hint="eastAsia" w:ascii="仿宋_GB2312" w:hAnsi="仿宋_GB2312" w:eastAsia="仿宋_GB2312" w:cs="仿宋_GB2312"/>
          <w:sz w:val="32"/>
          <w:szCs w:val="32"/>
        </w:rPr>
        <w:t>动员会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6月18日，市政局党组成员、副局长贺国华到市儿童福利院上了一堂题为《中国共产党是历史进程的必然选择》的党课，强化党史学习工作；“七·一”前组织慰问了支部老党员,七·一之后院支部书记和市优秀党员专题上了党课。11月23日支部组织党员干部前往旺苍实地学习党史、做党员志愿者服务和开展为民办实事。近期，按照要求给每名党员和院领导购买了“三史”学习教材，并安排大家按要求开始系统学习。</w:t>
      </w:r>
      <w:r>
        <w:rPr>
          <w:rFonts w:hint="eastAsia" w:ascii="仿宋_GB2312" w:hAnsi="仿宋_GB2312" w:eastAsia="仿宋_GB2312" w:cs="仿宋_GB2312"/>
          <w:b/>
          <w:bCs/>
          <w:sz w:val="32"/>
          <w:szCs w:val="32"/>
        </w:rPr>
        <w:t>三</w:t>
      </w:r>
      <w:r>
        <w:rPr>
          <w:rFonts w:hint="eastAsia" w:ascii="仿宋_GB2312" w:hAnsi="仿宋_GB2312" w:eastAsia="仿宋_GB2312" w:cs="仿宋_GB2312"/>
          <w:b/>
          <w:bCs/>
          <w:sz w:val="32"/>
          <w:szCs w:val="32"/>
          <w:lang w:eastAsia="zh-CN"/>
        </w:rPr>
        <w:t>是强化支部</w:t>
      </w:r>
      <w:r>
        <w:rPr>
          <w:rFonts w:hint="eastAsia" w:ascii="仿宋_GB2312" w:hAnsi="仿宋_GB2312" w:eastAsia="仿宋_GB2312" w:cs="仿宋_GB2312"/>
          <w:b/>
          <w:bCs/>
          <w:sz w:val="32"/>
          <w:szCs w:val="32"/>
        </w:rPr>
        <w:t>战斗堡垒</w:t>
      </w:r>
      <w:r>
        <w:rPr>
          <w:rFonts w:hint="eastAsia" w:ascii="仿宋_GB2312" w:hAnsi="仿宋_GB2312" w:eastAsia="仿宋_GB2312" w:cs="仿宋_GB2312"/>
          <w:b/>
          <w:bCs/>
          <w:sz w:val="32"/>
          <w:szCs w:val="32"/>
          <w:lang w:eastAsia="zh-CN"/>
        </w:rPr>
        <w:t>作用。</w:t>
      </w:r>
      <w:r>
        <w:rPr>
          <w:rFonts w:hint="eastAsia" w:ascii="仿宋_GB2312" w:hAnsi="仿宋_GB2312" w:eastAsia="仿宋_GB2312" w:cs="仿宋_GB2312"/>
          <w:b w:val="0"/>
          <w:bCs w:val="0"/>
          <w:sz w:val="32"/>
          <w:szCs w:val="32"/>
          <w:lang w:val="en-US" w:eastAsia="zh-CN"/>
        </w:rPr>
        <w:t>抓好基层党组织标准化建设，</w:t>
      </w:r>
      <w:r>
        <w:rPr>
          <w:rFonts w:hint="eastAsia" w:ascii="仿宋_GB2312" w:hAnsi="仿宋_GB2312" w:eastAsia="仿宋_GB2312" w:cs="仿宋_GB2312"/>
          <w:b w:val="0"/>
          <w:bCs w:val="0"/>
          <w:sz w:val="32"/>
          <w:szCs w:val="32"/>
          <w:lang w:eastAsia="zh-CN"/>
        </w:rPr>
        <w:t>严格党员教育管理监督，在三月份民主生活会基础上</w:t>
      </w:r>
      <w:r>
        <w:rPr>
          <w:rFonts w:hint="eastAsia" w:ascii="仿宋_GB2312" w:hAnsi="仿宋_GB2312" w:eastAsia="仿宋_GB2312" w:cs="仿宋_GB2312"/>
          <w:b w:val="0"/>
          <w:bCs w:val="0"/>
          <w:sz w:val="32"/>
          <w:szCs w:val="32"/>
          <w:lang w:val="en-US" w:eastAsia="zh-CN"/>
        </w:rPr>
        <w:t>坚持问题导向提升党建质量</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压实党的廉政建责任，加强自身建设，做到党建工作和业务工作同谋划、同部署、同检查、同落实。</w:t>
      </w:r>
      <w:r>
        <w:rPr>
          <w:rFonts w:hint="eastAsia" w:ascii="仿宋_GB2312" w:hAnsi="仿宋_GB2312" w:eastAsia="仿宋_GB2312" w:cs="仿宋_GB2312"/>
          <w:b/>
          <w:bCs/>
          <w:sz w:val="32"/>
          <w:szCs w:val="32"/>
          <w:lang w:val="en-US" w:eastAsia="zh-CN"/>
        </w:rPr>
        <w:t>四</w:t>
      </w:r>
      <w:r>
        <w:rPr>
          <w:rFonts w:hint="eastAsia" w:ascii="仿宋_GB2312" w:hAnsi="仿宋_GB2312" w:eastAsia="仿宋_GB2312" w:cs="仿宋_GB2312"/>
          <w:b/>
          <w:bCs/>
          <w:sz w:val="32"/>
          <w:szCs w:val="32"/>
          <w:lang w:eastAsia="zh-CN"/>
        </w:rPr>
        <w:t>是</w:t>
      </w:r>
      <w:r>
        <w:rPr>
          <w:rFonts w:hint="eastAsia" w:ascii="仿宋_GB2312" w:hAnsi="仿宋_GB2312" w:eastAsia="仿宋_GB2312" w:cs="仿宋_GB2312"/>
          <w:b/>
          <w:bCs/>
          <w:sz w:val="32"/>
          <w:szCs w:val="32"/>
        </w:rPr>
        <w:t>创新服务理念，提升工作效能</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val="0"/>
          <w:bCs w:val="0"/>
          <w:sz w:val="32"/>
          <w:szCs w:val="32"/>
          <w:lang w:eastAsia="zh-CN"/>
        </w:rPr>
        <w:t>院支部</w:t>
      </w:r>
      <w:r>
        <w:rPr>
          <w:rFonts w:hint="eastAsia" w:ascii="仿宋_GB2312" w:hAnsi="仿宋_GB2312" w:eastAsia="仿宋_GB2312" w:cs="仿宋_GB2312"/>
          <w:b w:val="0"/>
          <w:bCs w:val="0"/>
          <w:sz w:val="32"/>
          <w:szCs w:val="32"/>
          <w:lang w:val="en-US" w:eastAsia="zh-CN"/>
        </w:rPr>
        <w:t>指导配合做好院务工作，</w:t>
      </w:r>
      <w:r>
        <w:rPr>
          <w:rFonts w:hint="eastAsia" w:ascii="仿宋_GB2312" w:hAnsi="仿宋_GB2312" w:eastAsia="仿宋_GB2312" w:cs="仿宋_GB2312"/>
          <w:b w:val="0"/>
          <w:bCs w:val="0"/>
          <w:sz w:val="32"/>
          <w:szCs w:val="32"/>
          <w:lang w:eastAsia="zh-CN"/>
        </w:rPr>
        <w:t>加强</w:t>
      </w:r>
      <w:r>
        <w:rPr>
          <w:rFonts w:hint="eastAsia" w:ascii="仿宋_GB2312" w:hAnsi="仿宋_GB2312" w:eastAsia="仿宋_GB2312" w:cs="仿宋_GB2312"/>
          <w:b w:val="0"/>
          <w:bCs w:val="0"/>
          <w:sz w:val="32"/>
          <w:szCs w:val="32"/>
          <w:lang w:val="en-US" w:eastAsia="zh-CN"/>
        </w:rPr>
        <w:t>群团</w:t>
      </w:r>
      <w:r>
        <w:rPr>
          <w:rFonts w:hint="eastAsia" w:ascii="仿宋_GB2312" w:hAnsi="仿宋_GB2312" w:eastAsia="仿宋_GB2312" w:cs="仿宋_GB2312"/>
          <w:b w:val="0"/>
          <w:bCs w:val="0"/>
          <w:sz w:val="32"/>
          <w:szCs w:val="32"/>
          <w:lang w:eastAsia="zh-CN"/>
        </w:rPr>
        <w:t>统战工作，</w:t>
      </w:r>
      <w:r>
        <w:rPr>
          <w:rFonts w:hint="eastAsia" w:ascii="仿宋_GB2312" w:hAnsi="仿宋_GB2312" w:eastAsia="仿宋_GB2312" w:cs="仿宋_GB2312"/>
          <w:b w:val="0"/>
          <w:bCs w:val="0"/>
          <w:sz w:val="32"/>
          <w:szCs w:val="32"/>
          <w:lang w:val="en-US" w:eastAsia="zh-CN"/>
        </w:rPr>
        <w:t>带头落实党</w:t>
      </w:r>
      <w:r>
        <w:rPr>
          <w:rFonts w:hint="eastAsia" w:ascii="仿宋_GB2312" w:hAnsi="仿宋_GB2312" w:eastAsia="仿宋_GB2312" w:cs="仿宋_GB2312"/>
          <w:b w:val="0"/>
          <w:bCs w:val="0"/>
          <w:sz w:val="32"/>
          <w:szCs w:val="32"/>
          <w:lang w:eastAsia="zh-CN"/>
        </w:rPr>
        <w:t>中央、省委</w:t>
      </w:r>
      <w:r>
        <w:rPr>
          <w:rFonts w:hint="eastAsia" w:ascii="仿宋_GB2312" w:hAnsi="仿宋_GB2312" w:eastAsia="仿宋_GB2312" w:cs="仿宋_GB2312"/>
          <w:b w:val="0"/>
          <w:bCs w:val="0"/>
          <w:sz w:val="32"/>
          <w:szCs w:val="32"/>
          <w:lang w:val="en-US" w:eastAsia="zh-CN"/>
        </w:rPr>
        <w:t>和</w:t>
      </w:r>
      <w:r>
        <w:rPr>
          <w:rFonts w:hint="eastAsia" w:ascii="仿宋_GB2312" w:hAnsi="仿宋_GB2312" w:eastAsia="仿宋_GB2312" w:cs="仿宋_GB2312"/>
          <w:b w:val="0"/>
          <w:bCs w:val="0"/>
          <w:sz w:val="32"/>
          <w:szCs w:val="32"/>
          <w:lang w:eastAsia="zh-CN"/>
        </w:rPr>
        <w:t>市委</w:t>
      </w:r>
      <w:r>
        <w:rPr>
          <w:rFonts w:hint="eastAsia" w:ascii="仿宋_GB2312" w:hAnsi="仿宋_GB2312" w:eastAsia="仿宋_GB2312" w:cs="仿宋_GB2312"/>
          <w:b w:val="0"/>
          <w:bCs w:val="0"/>
          <w:sz w:val="32"/>
          <w:szCs w:val="32"/>
          <w:lang w:val="en-US" w:eastAsia="zh-CN"/>
        </w:rPr>
        <w:t>决策部署</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组织引导党员干部立足儿童福利院职能职责发挥</w:t>
      </w:r>
      <w:r>
        <w:rPr>
          <w:rFonts w:hint="eastAsia" w:ascii="仿宋_GB2312" w:hAnsi="仿宋_GB2312" w:eastAsia="仿宋_GB2312" w:cs="仿宋_GB2312"/>
          <w:b w:val="0"/>
          <w:bCs w:val="0"/>
          <w:sz w:val="32"/>
          <w:szCs w:val="32"/>
        </w:rPr>
        <w:t>党员当先锋</w:t>
      </w:r>
      <w:r>
        <w:rPr>
          <w:rFonts w:hint="eastAsia" w:ascii="仿宋_GB2312" w:hAnsi="仿宋_GB2312" w:eastAsia="仿宋_GB2312" w:cs="仿宋_GB2312"/>
          <w:b w:val="0"/>
          <w:bCs w:val="0"/>
          <w:sz w:val="32"/>
          <w:szCs w:val="32"/>
          <w:lang w:eastAsia="zh-CN"/>
        </w:rPr>
        <w:t>模范作用</w:t>
      </w:r>
      <w:r>
        <w:rPr>
          <w:rFonts w:hint="eastAsia" w:ascii="仿宋_GB2312" w:hAnsi="仿宋_GB2312" w:eastAsia="仿宋_GB2312" w:cs="仿宋_GB2312"/>
          <w:b w:val="0"/>
          <w:bCs w:val="0"/>
          <w:sz w:val="32"/>
          <w:szCs w:val="32"/>
        </w:rPr>
        <w:t>，激励党员干部在落实市委重大中心工作中强素质、提能力、打头阵、当先锋</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持续施力</w:t>
      </w:r>
      <w:r>
        <w:rPr>
          <w:rFonts w:hint="eastAsia" w:ascii="仿宋_GB2312" w:hAnsi="仿宋_GB2312" w:eastAsia="仿宋_GB2312" w:cs="仿宋_GB2312"/>
          <w:b w:val="0"/>
          <w:bCs w:val="0"/>
          <w:sz w:val="32"/>
          <w:szCs w:val="32"/>
          <w:lang w:eastAsia="zh-CN"/>
        </w:rPr>
        <w:t>抓好疫情防控工作。</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楷体" w:hAnsi="楷体" w:eastAsia="楷体" w:cs="楷体"/>
          <w:sz w:val="32"/>
          <w:szCs w:val="32"/>
          <w:lang w:val="en-US" w:eastAsia="zh-CN"/>
        </w:rPr>
      </w:pPr>
      <w:r>
        <w:rPr>
          <w:rFonts w:hint="eastAsia" w:ascii="楷体" w:hAnsi="楷体" w:eastAsia="楷体" w:cs="楷体"/>
          <w:sz w:val="32"/>
          <w:szCs w:val="32"/>
          <w:lang w:val="en-US" w:eastAsia="zh-CN"/>
        </w:rPr>
        <w:t>（二）纪律作风整顿深入开展</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2" w:firstLineChars="200"/>
        <w:textAlignment w:val="auto"/>
        <w:rPr>
          <w:rFonts w:hint="eastAsia" w:ascii="楷体" w:hAnsi="楷体" w:eastAsia="楷体" w:cs="楷体"/>
          <w:sz w:val="32"/>
          <w:szCs w:val="32"/>
          <w:lang w:val="en-US" w:eastAsia="zh-CN"/>
        </w:rPr>
      </w:pPr>
      <w:r>
        <w:rPr>
          <w:rFonts w:hint="eastAsia" w:ascii="仿宋_GB2312" w:hAnsi="仿宋_GB2312" w:eastAsia="仿宋_GB2312" w:cs="仿宋_GB2312"/>
          <w:b/>
          <w:bCs/>
          <w:sz w:val="32"/>
          <w:szCs w:val="32"/>
          <w:lang w:val="en-US" w:eastAsia="zh-CN"/>
        </w:rPr>
        <w:t>一是强化理论学习。</w:t>
      </w:r>
      <w:r>
        <w:rPr>
          <w:rFonts w:hint="eastAsia" w:ascii="仿宋_GB2312" w:hAnsi="仿宋_GB2312" w:eastAsia="仿宋_GB2312" w:cs="仿宋_GB2312"/>
          <w:sz w:val="32"/>
          <w:szCs w:val="32"/>
          <w:lang w:val="en-US" w:eastAsia="zh-CN"/>
        </w:rPr>
        <w:t>全面学习邹自景书记关于作风纪律建设的重要批示，认真贯彻落实全市干部纪律作风整顿工作要求和系列文件精神，严格执行市委《七条禁令》《十条规定》。</w:t>
      </w:r>
      <w:r>
        <w:rPr>
          <w:rFonts w:hint="eastAsia" w:ascii="仿宋_GB2312" w:hAnsi="仿宋_GB2312" w:eastAsia="仿宋_GB2312" w:cs="仿宋_GB2312"/>
          <w:b/>
          <w:bCs/>
          <w:sz w:val="32"/>
          <w:szCs w:val="32"/>
          <w:lang w:val="en-US" w:eastAsia="zh-CN"/>
        </w:rPr>
        <w:t>二是勇于担当作为。</w:t>
      </w:r>
      <w:r>
        <w:rPr>
          <w:rFonts w:hint="eastAsia" w:ascii="仿宋_GB2312" w:hAnsi="仿宋_GB2312" w:eastAsia="仿宋_GB2312" w:cs="仿宋_GB2312"/>
          <w:sz w:val="32"/>
          <w:szCs w:val="32"/>
          <w:lang w:val="en-US" w:eastAsia="zh-CN"/>
        </w:rPr>
        <w:t>全院干部职工</w:t>
      </w:r>
      <w:r>
        <w:rPr>
          <w:rFonts w:hint="eastAsia" w:ascii="仿宋_GB2312" w:hAnsi="仿宋_GB2312" w:eastAsia="仿宋_GB2312" w:cs="仿宋_GB2312"/>
          <w:b w:val="0"/>
          <w:bCs w:val="0"/>
          <w:sz w:val="32"/>
          <w:szCs w:val="32"/>
          <w:lang w:eastAsia="zh-CN"/>
        </w:rPr>
        <w:t>扎实开展干部纪律作风整顿工作，</w:t>
      </w:r>
      <w:r>
        <w:rPr>
          <w:rFonts w:hint="eastAsia" w:ascii="仿宋_GB2312" w:hAnsi="仿宋_GB2312" w:eastAsia="仿宋_GB2312" w:cs="仿宋_GB2312"/>
          <w:sz w:val="32"/>
          <w:szCs w:val="32"/>
          <w:lang w:val="en-US" w:eastAsia="zh-CN"/>
        </w:rPr>
        <w:t>严格按照纪律作风整顿突出的12个问题，建立</w:t>
      </w:r>
      <w:r>
        <w:rPr>
          <w:rFonts w:hint="eastAsia" w:ascii="仿宋_GB2312" w:hAnsi="仿宋_GB2312" w:eastAsia="仿宋_GB2312" w:cs="仿宋_GB2312"/>
          <w:b w:val="0"/>
          <w:bCs w:val="0"/>
          <w:sz w:val="32"/>
          <w:szCs w:val="32"/>
          <w:lang w:eastAsia="zh-CN"/>
        </w:rPr>
        <w:t>“两单一台账”，撰写自我对照剖析材料，</w:t>
      </w:r>
      <w:r>
        <w:rPr>
          <w:rFonts w:hint="eastAsia" w:ascii="仿宋_GB2312" w:hAnsi="仿宋_GB2312" w:eastAsia="仿宋_GB2312" w:cs="仿宋_GB2312"/>
          <w:sz w:val="32"/>
          <w:szCs w:val="32"/>
          <w:lang w:val="en-US" w:eastAsia="zh-CN"/>
        </w:rPr>
        <w:t>落实具体整改措施，明确整改时限，</w:t>
      </w:r>
      <w:r>
        <w:rPr>
          <w:rFonts w:hint="eastAsia" w:ascii="仿宋_GB2312" w:hAnsi="仿宋_GB2312" w:eastAsia="仿宋_GB2312" w:cs="仿宋_GB2312"/>
          <w:b w:val="0"/>
          <w:bCs w:val="0"/>
          <w:sz w:val="32"/>
          <w:szCs w:val="32"/>
          <w:lang w:eastAsia="zh-CN"/>
        </w:rPr>
        <w:t>营造宣传氛围，到目前此项工作效果良好。</w:t>
      </w:r>
      <w:r>
        <w:rPr>
          <w:rFonts w:hint="eastAsia" w:ascii="仿宋_GB2312" w:hAnsi="仿宋_GB2312" w:eastAsia="仿宋_GB2312" w:cs="仿宋_GB2312"/>
          <w:b/>
          <w:bCs/>
          <w:sz w:val="32"/>
          <w:szCs w:val="32"/>
          <w:lang w:eastAsia="zh-CN"/>
        </w:rPr>
        <w:t>三是弘扬廉洁正气。</w:t>
      </w:r>
      <w:r>
        <w:rPr>
          <w:rFonts w:hint="eastAsia" w:ascii="仿宋_GB2312" w:hAnsi="仿宋_GB2312" w:eastAsia="仿宋_GB2312" w:cs="仿宋_GB2312"/>
          <w:sz w:val="32"/>
          <w:szCs w:val="32"/>
          <w:lang w:eastAsia="zh-CN"/>
        </w:rPr>
        <w:t>持续</w:t>
      </w:r>
      <w:r>
        <w:rPr>
          <w:rFonts w:hint="eastAsia" w:ascii="仿宋_GB2312" w:hAnsi="仿宋_GB2312" w:eastAsia="仿宋_GB2312" w:cs="仿宋_GB2312"/>
          <w:sz w:val="32"/>
          <w:szCs w:val="32"/>
          <w:lang w:val="en-US" w:eastAsia="zh-CN"/>
        </w:rPr>
        <w:t>加强项目管理，守好廉洁底线，严防腐败问题的发生，以纪律作风整顿工作为契机，加强干部管理，提升服务能力，规范工作作风。</w:t>
      </w:r>
    </w:p>
    <w:p>
      <w:pPr>
        <w:keepNext w:val="0"/>
        <w:keepLines w:val="0"/>
        <w:pageBreakBefore w:val="0"/>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baseline"/>
        <w:rPr>
          <w:rStyle w:val="16"/>
          <w:rFonts w:ascii="仿宋_GB2312" w:hAnsi="仿宋_GB2312" w:eastAsia="仿宋_GB2312"/>
          <w:b w:val="0"/>
          <w:i w:val="0"/>
          <w:caps w:val="0"/>
          <w:spacing w:val="0"/>
          <w:w w:val="100"/>
          <w:kern w:val="2"/>
          <w:sz w:val="32"/>
          <w:szCs w:val="32"/>
          <w:lang w:val="en-US" w:eastAsia="zh-CN" w:bidi="ar-SA"/>
        </w:rPr>
      </w:pPr>
      <w:r>
        <w:rPr>
          <w:rStyle w:val="16"/>
          <w:rFonts w:ascii="楷体" w:hAnsi="楷体" w:eastAsia="楷体"/>
          <w:b w:val="0"/>
          <w:i w:val="0"/>
          <w:caps w:val="0"/>
          <w:spacing w:val="0"/>
          <w:w w:val="100"/>
          <w:kern w:val="2"/>
          <w:sz w:val="32"/>
          <w:szCs w:val="32"/>
          <w:lang w:val="en-US" w:eastAsia="zh-CN" w:bidi="ar-SA"/>
        </w:rPr>
        <w:t>（</w:t>
      </w:r>
      <w:r>
        <w:rPr>
          <w:rStyle w:val="16"/>
          <w:rFonts w:hint="eastAsia" w:ascii="楷体" w:hAnsi="楷体" w:eastAsia="楷体"/>
          <w:b w:val="0"/>
          <w:i w:val="0"/>
          <w:caps w:val="0"/>
          <w:spacing w:val="0"/>
          <w:w w:val="100"/>
          <w:kern w:val="2"/>
          <w:sz w:val="32"/>
          <w:szCs w:val="32"/>
          <w:lang w:val="en-US" w:eastAsia="zh-CN" w:bidi="ar-SA"/>
        </w:rPr>
        <w:t>三</w:t>
      </w:r>
      <w:r>
        <w:rPr>
          <w:rStyle w:val="16"/>
          <w:rFonts w:ascii="楷体" w:hAnsi="楷体" w:eastAsia="楷体"/>
          <w:b w:val="0"/>
          <w:i w:val="0"/>
          <w:caps w:val="0"/>
          <w:spacing w:val="0"/>
          <w:w w:val="100"/>
          <w:kern w:val="2"/>
          <w:sz w:val="32"/>
          <w:szCs w:val="32"/>
          <w:lang w:val="en-US" w:eastAsia="zh-CN" w:bidi="ar-SA"/>
        </w:rPr>
        <w:t>）严抓严控</w:t>
      </w:r>
      <w:r>
        <w:rPr>
          <w:rStyle w:val="16"/>
          <w:rFonts w:hint="eastAsia" w:ascii="楷体" w:hAnsi="楷体" w:eastAsia="楷体"/>
          <w:b w:val="0"/>
          <w:i w:val="0"/>
          <w:caps w:val="0"/>
          <w:spacing w:val="0"/>
          <w:w w:val="100"/>
          <w:kern w:val="2"/>
          <w:sz w:val="32"/>
          <w:szCs w:val="32"/>
          <w:lang w:val="en-US" w:eastAsia="zh-CN" w:bidi="ar-SA"/>
        </w:rPr>
        <w:t>开展业务</w:t>
      </w:r>
      <w:r>
        <w:rPr>
          <w:rStyle w:val="16"/>
          <w:rFonts w:ascii="楷体" w:hAnsi="楷体" w:eastAsia="楷体"/>
          <w:b w:val="0"/>
          <w:i w:val="0"/>
          <w:caps w:val="0"/>
          <w:spacing w:val="0"/>
          <w:w w:val="100"/>
          <w:kern w:val="2"/>
          <w:sz w:val="32"/>
          <w:szCs w:val="32"/>
          <w:lang w:val="en-US" w:eastAsia="zh-CN" w:bidi="ar-SA"/>
        </w:rPr>
        <w:t>工作</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2" w:firstLineChars="200"/>
        <w:textAlignment w:val="auto"/>
        <w:rPr>
          <w:rStyle w:val="16"/>
          <w:rFonts w:ascii="仿宋_GB2312" w:hAnsi="仿宋_GB2312" w:eastAsia="仿宋_GB2312"/>
          <w:b w:val="0"/>
          <w:i w:val="0"/>
          <w:caps w:val="0"/>
          <w:spacing w:val="0"/>
          <w:w w:val="100"/>
          <w:kern w:val="2"/>
          <w:sz w:val="32"/>
          <w:szCs w:val="32"/>
          <w:lang w:val="en-US" w:eastAsia="zh-CN" w:bidi="ar-SA"/>
        </w:rPr>
      </w:pPr>
      <w:r>
        <w:rPr>
          <w:rStyle w:val="16"/>
          <w:rFonts w:ascii="仿宋_GB2312" w:hAnsi="仿宋_GB2312" w:eastAsia="仿宋_GB2312"/>
          <w:b/>
          <w:bCs/>
          <w:i w:val="0"/>
          <w:caps w:val="0"/>
          <w:spacing w:val="0"/>
          <w:w w:val="100"/>
          <w:kern w:val="2"/>
          <w:sz w:val="32"/>
          <w:szCs w:val="32"/>
          <w:lang w:val="en-US" w:eastAsia="zh-CN" w:bidi="ar-SA"/>
        </w:rPr>
        <w:t>1</w:t>
      </w:r>
      <w:r>
        <w:rPr>
          <w:rStyle w:val="16"/>
          <w:rFonts w:ascii="仿宋_GB2312" w:hAnsi="仿宋_GB2312" w:eastAsia="仿宋_GB2312"/>
          <w:b/>
          <w:bCs/>
          <w:i w:val="0"/>
          <w:caps w:val="0"/>
          <w:color w:val="000000"/>
          <w:spacing w:val="0"/>
          <w:w w:val="100"/>
          <w:kern w:val="2"/>
          <w:sz w:val="32"/>
          <w:szCs w:val="32"/>
          <w:lang w:val="en-US" w:eastAsia="zh-CN" w:bidi="ar-SA"/>
        </w:rPr>
        <w:t>.民政职能持续保障。</w:t>
      </w:r>
      <w:r>
        <w:rPr>
          <w:rStyle w:val="16"/>
          <w:rFonts w:ascii="仿宋_GB2312" w:hAnsi="仿宋_GB2312" w:eastAsia="仿宋_GB2312"/>
          <w:b w:val="0"/>
          <w:i w:val="0"/>
          <w:caps w:val="0"/>
          <w:color w:val="000000"/>
          <w:spacing w:val="0"/>
          <w:w w:val="100"/>
          <w:kern w:val="2"/>
          <w:sz w:val="32"/>
          <w:szCs w:val="32"/>
          <w:lang w:val="en-US" w:eastAsia="zh-CN" w:bidi="ar-SA"/>
        </w:rPr>
        <w:t>一是全面保障了城市特困人员和</w:t>
      </w:r>
      <w:r>
        <w:rPr>
          <w:rStyle w:val="16"/>
          <w:rFonts w:hint="eastAsia" w:ascii="仿宋_GB2312" w:hAnsi="仿宋_GB2312" w:eastAsia="仿宋_GB2312"/>
          <w:b w:val="0"/>
          <w:i w:val="0"/>
          <w:caps w:val="0"/>
          <w:color w:val="000000"/>
          <w:spacing w:val="0"/>
          <w:w w:val="100"/>
          <w:kern w:val="2"/>
          <w:sz w:val="32"/>
          <w:szCs w:val="32"/>
          <w:lang w:val="en-US" w:eastAsia="zh-CN" w:bidi="ar-SA"/>
        </w:rPr>
        <w:t>孤弃和困境</w:t>
      </w:r>
      <w:r>
        <w:rPr>
          <w:rStyle w:val="16"/>
          <w:rFonts w:ascii="仿宋_GB2312" w:hAnsi="仿宋_GB2312" w:eastAsia="仿宋_GB2312"/>
          <w:b w:val="0"/>
          <w:i w:val="0"/>
          <w:caps w:val="0"/>
          <w:color w:val="000000"/>
          <w:spacing w:val="0"/>
          <w:w w:val="100"/>
          <w:kern w:val="2"/>
          <w:sz w:val="32"/>
          <w:szCs w:val="32"/>
          <w:lang w:val="en-US" w:eastAsia="zh-CN" w:bidi="ar-SA"/>
        </w:rPr>
        <w:t>儿童的基本生活权益，并为社会</w:t>
      </w:r>
      <w:r>
        <w:rPr>
          <w:rStyle w:val="16"/>
          <w:rFonts w:ascii="仿宋_GB2312" w:hAnsi="仿宋_GB2312" w:eastAsia="仿宋_GB2312"/>
          <w:b w:val="0"/>
          <w:i w:val="0"/>
          <w:caps w:val="0"/>
          <w:spacing w:val="0"/>
          <w:w w:val="100"/>
          <w:kern w:val="2"/>
          <w:sz w:val="32"/>
          <w:szCs w:val="32"/>
          <w:lang w:val="en-US" w:eastAsia="zh-CN" w:bidi="ar-SA"/>
        </w:rPr>
        <w:t>老人提供代养服务，服务对象满意率在95%以上。</w:t>
      </w:r>
      <w:r>
        <w:rPr>
          <w:rFonts w:hint="eastAsia" w:ascii="仿宋_GB2312" w:hAnsi="仿宋_GB2312" w:eastAsia="仿宋_GB2312" w:cs="仿宋_GB2312"/>
          <w:b w:val="0"/>
          <w:bCs w:val="0"/>
          <w:sz w:val="32"/>
          <w:szCs w:val="32"/>
        </w:rPr>
        <w:t>二是</w:t>
      </w:r>
      <w:r>
        <w:rPr>
          <w:rFonts w:hint="eastAsia" w:ascii="仿宋_GB2312" w:hAnsi="宋体" w:eastAsia="仿宋_GB2312"/>
          <w:b w:val="0"/>
          <w:bCs w:val="0"/>
          <w:sz w:val="32"/>
          <w:szCs w:val="32"/>
        </w:rPr>
        <w:t>认真做好送入的城市特困人员</w:t>
      </w:r>
      <w:r>
        <w:rPr>
          <w:rFonts w:hint="eastAsia" w:ascii="仿宋_GB2312" w:hAnsi="宋体" w:eastAsia="仿宋_GB2312"/>
          <w:b w:val="0"/>
          <w:bCs w:val="0"/>
          <w:sz w:val="32"/>
          <w:szCs w:val="32"/>
          <w:lang w:eastAsia="zh-CN"/>
        </w:rPr>
        <w:t>、</w:t>
      </w:r>
      <w:r>
        <w:rPr>
          <w:rFonts w:hint="eastAsia" w:ascii="仿宋_GB2312" w:hAnsi="宋体" w:eastAsia="仿宋_GB2312"/>
          <w:b w:val="0"/>
          <w:bCs w:val="0"/>
          <w:sz w:val="32"/>
          <w:szCs w:val="32"/>
          <w:lang w:val="en-US" w:eastAsia="zh-CN"/>
        </w:rPr>
        <w:t>孤弃儿童和事实无人抚养儿童的</w:t>
      </w:r>
      <w:r>
        <w:rPr>
          <w:rFonts w:hint="eastAsia" w:ascii="仿宋_GB2312" w:hAnsi="宋体" w:eastAsia="仿宋_GB2312"/>
          <w:b w:val="0"/>
          <w:bCs w:val="0"/>
          <w:sz w:val="32"/>
          <w:szCs w:val="32"/>
        </w:rPr>
        <w:t>接收安置工作，</w:t>
      </w:r>
      <w:r>
        <w:rPr>
          <w:rFonts w:hint="eastAsia" w:ascii="仿宋_GB2312" w:hAnsi="宋体" w:eastAsia="仿宋_GB2312"/>
          <w:b w:val="0"/>
          <w:bCs w:val="0"/>
          <w:sz w:val="32"/>
          <w:szCs w:val="32"/>
          <w:lang w:val="en-US" w:eastAsia="zh-CN"/>
        </w:rPr>
        <w:t>全年</w:t>
      </w:r>
      <w:r>
        <w:rPr>
          <w:rFonts w:hint="eastAsia" w:ascii="仿宋_GB2312" w:hAnsi="宋体" w:eastAsia="仿宋_GB2312" w:cs="Tahoma"/>
          <w:b w:val="0"/>
          <w:bCs w:val="0"/>
          <w:kern w:val="0"/>
          <w:sz w:val="32"/>
          <w:szCs w:val="32"/>
        </w:rPr>
        <w:t>共接收</w:t>
      </w:r>
      <w:r>
        <w:rPr>
          <w:rFonts w:hint="eastAsia" w:ascii="仿宋_GB2312" w:hAnsi="宋体" w:eastAsia="仿宋_GB2312" w:cs="Tahoma"/>
          <w:b w:val="0"/>
          <w:bCs w:val="0"/>
          <w:kern w:val="0"/>
          <w:sz w:val="32"/>
          <w:szCs w:val="32"/>
          <w:lang w:val="en-US" w:eastAsia="zh-CN"/>
        </w:rPr>
        <w:t>7名儿童入院，</w:t>
      </w:r>
      <w:r>
        <w:rPr>
          <w:rFonts w:hint="eastAsia" w:ascii="仿宋_GB2312" w:hAnsi="仿宋_GB2312" w:eastAsia="仿宋_GB2312" w:cs="仿宋_GB2312"/>
          <w:sz w:val="32"/>
          <w:szCs w:val="32"/>
          <w:lang w:val="en-US" w:eastAsia="zh-CN"/>
        </w:rPr>
        <w:t>分别是孤弃儿童2人，事实无人抚养儿童5人</w:t>
      </w:r>
      <w:r>
        <w:rPr>
          <w:rFonts w:hint="eastAsia" w:ascii="仿宋_GB2312" w:hAnsi="宋体" w:eastAsia="仿宋_GB2312" w:cs="Tahoma"/>
          <w:b w:val="0"/>
          <w:bCs w:val="0"/>
          <w:kern w:val="0"/>
          <w:sz w:val="32"/>
          <w:szCs w:val="32"/>
        </w:rPr>
        <w:t>，</w:t>
      </w:r>
      <w:r>
        <w:rPr>
          <w:rFonts w:hint="eastAsia" w:ascii="仿宋_GB2312" w:hAnsi="宋体" w:eastAsia="仿宋_GB2312" w:cs="Tahoma"/>
          <w:b w:val="0"/>
          <w:bCs w:val="0"/>
          <w:kern w:val="0"/>
          <w:sz w:val="32"/>
          <w:szCs w:val="32"/>
          <w:lang w:val="en-US" w:eastAsia="zh-CN"/>
        </w:rPr>
        <w:t>并为新入户3人办理户籍登记手续。由于受新冠肺炎疫情影响，已经配对成功的1</w:t>
      </w:r>
      <w:r>
        <w:rPr>
          <w:rFonts w:hint="eastAsia" w:ascii="仿宋_GB2312" w:hAnsi="宋体" w:eastAsia="仿宋_GB2312" w:cs="Tahoma"/>
          <w:b w:val="0"/>
          <w:bCs w:val="0"/>
          <w:kern w:val="0"/>
          <w:sz w:val="32"/>
          <w:szCs w:val="32"/>
        </w:rPr>
        <w:t>名涉外收养</w:t>
      </w:r>
      <w:r>
        <w:rPr>
          <w:rFonts w:hint="eastAsia" w:ascii="仿宋_GB2312" w:hAnsi="宋体" w:eastAsia="仿宋_GB2312" w:cs="Tahoma"/>
          <w:b w:val="0"/>
          <w:bCs w:val="0"/>
          <w:kern w:val="0"/>
          <w:sz w:val="32"/>
          <w:szCs w:val="32"/>
          <w:lang w:val="en-US" w:eastAsia="zh-CN"/>
        </w:rPr>
        <w:t>儿童目前继续处于暂缓阶段，每月向家庭和联系的收养组织提供照片和视频信息。2021年共办理3名</w:t>
      </w:r>
      <w:r>
        <w:rPr>
          <w:rFonts w:hint="eastAsia" w:ascii="仿宋_GB2312" w:hAnsi="宋体" w:eastAsia="仿宋_GB2312" w:cs="Tahoma"/>
          <w:b w:val="0"/>
          <w:bCs w:val="0"/>
          <w:kern w:val="0"/>
          <w:sz w:val="32"/>
          <w:szCs w:val="32"/>
        </w:rPr>
        <w:t>国内收养工作</w:t>
      </w:r>
      <w:r>
        <w:rPr>
          <w:rFonts w:hint="eastAsia" w:ascii="仿宋_GB2312" w:hAnsi="宋体" w:eastAsia="仿宋_GB2312" w:cs="Tahoma"/>
          <w:b w:val="0"/>
          <w:bCs w:val="0"/>
          <w:kern w:val="0"/>
          <w:sz w:val="32"/>
          <w:szCs w:val="32"/>
          <w:lang w:eastAsia="zh-CN"/>
        </w:rPr>
        <w:t>，</w:t>
      </w:r>
      <w:r>
        <w:rPr>
          <w:rFonts w:hint="eastAsia" w:ascii="仿宋_GB2312" w:hAnsi="宋体" w:eastAsia="仿宋_GB2312" w:cs="Tahoma"/>
          <w:b w:val="0"/>
          <w:bCs w:val="0"/>
          <w:kern w:val="0"/>
          <w:sz w:val="32"/>
          <w:szCs w:val="32"/>
          <w:lang w:val="en-US" w:eastAsia="zh-CN"/>
        </w:rPr>
        <w:t>现目前正为1名儿童申报国内收养，资料已提交利州区民政局</w:t>
      </w:r>
      <w:r>
        <w:rPr>
          <w:rFonts w:hint="eastAsia" w:ascii="仿宋_GB2312" w:hAnsi="宋体" w:eastAsia="仿宋_GB2312" w:cs="Tahoma"/>
          <w:b w:val="0"/>
          <w:bCs w:val="0"/>
          <w:kern w:val="0"/>
          <w:sz w:val="32"/>
          <w:szCs w:val="32"/>
        </w:rPr>
        <w:t>。</w:t>
      </w:r>
      <w:r>
        <w:rPr>
          <w:rFonts w:hint="eastAsia" w:ascii="仿宋_GB2312" w:hAnsi="仿宋_GB2312" w:eastAsia="仿宋_GB2312" w:cs="仿宋_GB2312"/>
          <w:b w:val="0"/>
          <w:bCs w:val="0"/>
          <w:sz w:val="32"/>
          <w:szCs w:val="32"/>
        </w:rPr>
        <w:t>符合入学条件的</w:t>
      </w:r>
      <w:r>
        <w:rPr>
          <w:rFonts w:hint="eastAsia" w:ascii="仿宋_GB2312" w:hAnsi="仿宋_GB2312" w:eastAsia="仿宋_GB2312" w:cs="仿宋_GB2312"/>
          <w:b w:val="0"/>
          <w:bCs w:val="0"/>
          <w:sz w:val="32"/>
          <w:szCs w:val="32"/>
          <w:lang w:val="en-US" w:eastAsia="zh-CN"/>
        </w:rPr>
        <w:t>11</w:t>
      </w:r>
      <w:r>
        <w:rPr>
          <w:rFonts w:hint="eastAsia" w:ascii="仿宋_GB2312" w:hAnsi="仿宋_GB2312" w:eastAsia="仿宋_GB2312" w:cs="仿宋_GB2312"/>
          <w:b w:val="0"/>
          <w:bCs w:val="0"/>
          <w:sz w:val="32"/>
          <w:szCs w:val="32"/>
        </w:rPr>
        <w:t>名孤儿全部进入普通幼儿园、大中小学就读，入学率100％。</w:t>
      </w:r>
      <w:r>
        <w:rPr>
          <w:rStyle w:val="16"/>
          <w:rFonts w:hint="eastAsia" w:ascii="仿宋_GB2312" w:hAnsi="仿宋_GB2312" w:eastAsia="仿宋_GB2312" w:cs="仿宋_GB2312"/>
          <w:b w:val="0"/>
          <w:i w:val="0"/>
          <w:caps w:val="0"/>
          <w:spacing w:val="0"/>
          <w:w w:val="100"/>
          <w:kern w:val="2"/>
          <w:sz w:val="32"/>
          <w:szCs w:val="32"/>
          <w:lang w:val="en-US" w:eastAsia="zh-CN" w:bidi="ar-SA"/>
        </w:rPr>
        <w:t>三是落实供养人员医疗保障，</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门诊3000人次，测血压2800人次，儿童预防接种37人次，转诊住院30人次，组织体检90人次。协助院内儿童和老人外出就医80余人次，院外手术2人次，残疾鉴定5人次，换残疾证17人次。特困人员住院治疗与精神卫生中心、中医院、东晨医院、中心医院等多家医院有良好的合作联系。</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2" w:firstLineChars="200"/>
        <w:textAlignment w:val="auto"/>
        <w:rPr>
          <w:rStyle w:val="16"/>
          <w:rFonts w:ascii="仿宋_GB2312" w:hAnsi="仿宋_GB2312" w:eastAsia="仿宋_GB2312"/>
          <w:b w:val="0"/>
          <w:i w:val="0"/>
          <w:caps w:val="0"/>
          <w:spacing w:val="0"/>
          <w:w w:val="100"/>
          <w:kern w:val="2"/>
          <w:sz w:val="32"/>
          <w:szCs w:val="32"/>
          <w:lang w:val="en-US" w:eastAsia="zh-CN" w:bidi="ar-SA"/>
        </w:rPr>
      </w:pPr>
      <w:r>
        <w:rPr>
          <w:rStyle w:val="16"/>
          <w:rFonts w:ascii="仿宋_GB2312" w:hAnsi="仿宋_GB2312" w:eastAsia="仿宋_GB2312"/>
          <w:b/>
          <w:bCs/>
          <w:i w:val="0"/>
          <w:caps w:val="0"/>
          <w:spacing w:val="0"/>
          <w:w w:val="100"/>
          <w:kern w:val="2"/>
          <w:sz w:val="32"/>
          <w:szCs w:val="32"/>
          <w:lang w:val="en-US" w:eastAsia="zh-CN" w:bidi="ar-SA"/>
        </w:rPr>
        <w:t>2.儿童福利服务指导中心职能充分发挥。</w:t>
      </w:r>
      <w:r>
        <w:rPr>
          <w:rStyle w:val="16"/>
          <w:rFonts w:ascii="仿宋_GB2312" w:hAnsi="仿宋_GB2312" w:eastAsia="仿宋_GB2312"/>
          <w:b w:val="0"/>
          <w:bCs w:val="0"/>
          <w:i w:val="0"/>
          <w:caps w:val="0"/>
          <w:color w:val="000000"/>
          <w:spacing w:val="0"/>
          <w:w w:val="100"/>
          <w:kern w:val="2"/>
          <w:sz w:val="32"/>
          <w:szCs w:val="32"/>
          <w:lang w:val="en-US" w:eastAsia="zh-CN" w:bidi="ar-SA"/>
        </w:rPr>
        <w:t>引进社工组织</w:t>
      </w:r>
      <w:r>
        <w:rPr>
          <w:rStyle w:val="16"/>
          <w:rFonts w:ascii="仿宋_GB2312" w:hAnsi="仿宋_GB2312" w:eastAsia="仿宋_GB2312"/>
          <w:b w:val="0"/>
          <w:bCs w:val="0"/>
          <w:i w:val="0"/>
          <w:caps w:val="0"/>
          <w:color w:val="000000"/>
          <w:spacing w:val="0"/>
          <w:w w:val="100"/>
          <w:kern w:val="2"/>
          <w:sz w:val="32"/>
          <w:szCs w:val="32"/>
          <w:lang w:val="en-US" w:bidi="ar-SA"/>
        </w:rPr>
        <w:t>营山县</w:t>
      </w:r>
      <w:r>
        <w:rPr>
          <w:rStyle w:val="16"/>
          <w:rFonts w:ascii="仿宋_GB2312" w:hAnsi="仿宋_GB2312" w:eastAsia="仿宋_GB2312"/>
          <w:b w:val="0"/>
          <w:bCs w:val="0"/>
          <w:i w:val="0"/>
          <w:caps w:val="0"/>
          <w:color w:val="000000"/>
          <w:spacing w:val="0"/>
          <w:w w:val="100"/>
          <w:kern w:val="2"/>
          <w:sz w:val="32"/>
          <w:szCs w:val="32"/>
          <w:lang w:val="en-US" w:eastAsia="zh-CN" w:bidi="ar-SA"/>
        </w:rPr>
        <w:t>天翼助残社会服务中心，并</w:t>
      </w:r>
      <w:r>
        <w:rPr>
          <w:rStyle w:val="16"/>
          <w:rFonts w:ascii="仿宋_GB2312" w:hAnsi="仿宋_GB2312" w:eastAsia="仿宋_GB2312"/>
          <w:b w:val="0"/>
          <w:bCs w:val="0"/>
          <w:i w:val="0"/>
          <w:caps w:val="0"/>
          <w:color w:val="000000"/>
          <w:spacing w:val="0"/>
          <w:w w:val="100"/>
          <w:kern w:val="2"/>
          <w:sz w:val="32"/>
          <w:szCs w:val="32"/>
          <w:lang w:val="en-US" w:bidi="ar-SA"/>
        </w:rPr>
        <w:t>签订《</w:t>
      </w:r>
      <w:r>
        <w:rPr>
          <w:rStyle w:val="16"/>
          <w:rFonts w:ascii="仿宋_GB2312" w:hAnsi="仿宋_GB2312" w:eastAsia="仿宋_GB2312"/>
          <w:b w:val="0"/>
          <w:bCs w:val="0"/>
          <w:i w:val="0"/>
          <w:caps w:val="0"/>
          <w:color w:val="000000"/>
          <w:spacing w:val="0"/>
          <w:w w:val="100"/>
          <w:kern w:val="2"/>
          <w:sz w:val="32"/>
          <w:szCs w:val="32"/>
          <w:lang w:val="en-US" w:eastAsia="zh-CN" w:bidi="ar-SA"/>
        </w:rPr>
        <w:t>儿童服务体系建设项目</w:t>
      </w:r>
      <w:r>
        <w:rPr>
          <w:rStyle w:val="16"/>
          <w:rFonts w:ascii="仿宋_GB2312" w:hAnsi="仿宋_GB2312" w:eastAsia="仿宋_GB2312"/>
          <w:b w:val="0"/>
          <w:bCs w:val="0"/>
          <w:i w:val="0"/>
          <w:caps w:val="0"/>
          <w:color w:val="000000"/>
          <w:spacing w:val="0"/>
          <w:w w:val="100"/>
          <w:kern w:val="2"/>
          <w:sz w:val="32"/>
          <w:szCs w:val="32"/>
          <w:lang w:val="en-US" w:bidi="ar-SA"/>
        </w:rPr>
        <w:t>》</w:t>
      </w:r>
      <w:r>
        <w:rPr>
          <w:rStyle w:val="16"/>
          <w:rFonts w:ascii="仿宋_GB2312" w:hAnsi="仿宋_GB2312" w:eastAsia="仿宋_GB2312"/>
          <w:b w:val="0"/>
          <w:bCs w:val="0"/>
          <w:i w:val="0"/>
          <w:caps w:val="0"/>
          <w:color w:val="000000"/>
          <w:spacing w:val="0"/>
          <w:w w:val="100"/>
          <w:kern w:val="2"/>
          <w:sz w:val="32"/>
          <w:szCs w:val="32"/>
          <w:lang w:val="en-US" w:eastAsia="zh-CN" w:bidi="ar-SA"/>
        </w:rPr>
        <w:t>协议，推动构建政府主导、部门联动、家庭尽责、社会参与的“四位一体”工作格局。</w:t>
      </w:r>
      <w:r>
        <w:rPr>
          <w:rStyle w:val="16"/>
          <w:rFonts w:ascii="仿宋_GB2312" w:hAnsi="仿宋_GB2312" w:eastAsia="仿宋_GB2312"/>
          <w:b w:val="0"/>
          <w:i w:val="0"/>
          <w:caps w:val="0"/>
          <w:color w:val="000000"/>
          <w:spacing w:val="0"/>
          <w:w w:val="100"/>
          <w:kern w:val="2"/>
          <w:sz w:val="32"/>
          <w:szCs w:val="32"/>
          <w:lang w:val="en-US" w:eastAsia="zh-CN" w:bidi="ar-SA"/>
        </w:rPr>
        <w:t>对广元市利州区、旺苍县两试点已认定的事实无人抚养儿童及个别困难家庭儿童开展摸排工作,通过面访、电访方式访问困境儿童共计208人，建立一套</w:t>
      </w:r>
      <w:r>
        <w:rPr>
          <w:rStyle w:val="16"/>
          <w:rFonts w:ascii="仿宋_GB2312" w:hAnsi="仿宋_GB2312" w:eastAsia="仿宋_GB2312"/>
          <w:b w:val="0"/>
          <w:bCs w:val="0"/>
          <w:i w:val="0"/>
          <w:caps w:val="0"/>
          <w:color w:val="000000"/>
          <w:spacing w:val="0"/>
          <w:w w:val="100"/>
          <w:kern w:val="2"/>
          <w:sz w:val="32"/>
          <w:szCs w:val="32"/>
          <w:lang w:val="en-US" w:eastAsia="zh-CN" w:bidi="ar-SA"/>
        </w:rPr>
        <w:t>《广元市利州区、旺苍县事实无人抚养儿童档案》，</w:t>
      </w:r>
      <w:r>
        <w:rPr>
          <w:rStyle w:val="16"/>
          <w:rFonts w:ascii="仿宋_GB2312" w:hAnsi="仿宋_GB2312" w:eastAsia="仿宋_GB2312"/>
          <w:b w:val="0"/>
          <w:i w:val="0"/>
          <w:caps w:val="0"/>
          <w:color w:val="000000"/>
          <w:spacing w:val="0"/>
          <w:w w:val="100"/>
          <w:kern w:val="2"/>
          <w:sz w:val="32"/>
          <w:szCs w:val="32"/>
          <w:lang w:val="en-US" w:eastAsia="zh-CN" w:bidi="ar-SA"/>
        </w:rPr>
        <w:t>撰写</w:t>
      </w:r>
      <w:r>
        <w:rPr>
          <w:rStyle w:val="16"/>
          <w:rFonts w:ascii="仿宋_GB2312" w:hAnsi="仿宋_GB2312" w:eastAsia="仿宋_GB2312"/>
          <w:b w:val="0"/>
          <w:bCs w:val="0"/>
          <w:i w:val="0"/>
          <w:caps w:val="0"/>
          <w:color w:val="000000"/>
          <w:spacing w:val="0"/>
          <w:w w:val="100"/>
          <w:kern w:val="2"/>
          <w:sz w:val="32"/>
          <w:szCs w:val="32"/>
          <w:lang w:val="en-US" w:eastAsia="zh-CN" w:bidi="ar-SA"/>
        </w:rPr>
        <w:t>《广元市利州区、旺苍县事实无人抚养儿童现状调研报告》《广元市事实无人抚养儿童集中供养管理办法》。召开</w:t>
      </w:r>
      <w:r>
        <w:rPr>
          <w:rStyle w:val="16"/>
          <w:rFonts w:ascii="仿宋_GB2312" w:hAnsi="仿宋_GB2312" w:eastAsia="仿宋_GB2312"/>
          <w:b w:val="0"/>
          <w:bCs w:val="0"/>
          <w:i w:val="0"/>
          <w:caps w:val="0"/>
          <w:color w:val="000000"/>
          <w:spacing w:val="0"/>
          <w:w w:val="100"/>
          <w:kern w:val="2"/>
          <w:sz w:val="32"/>
          <w:szCs w:val="32"/>
          <w:lang w:val="en-US" w:bidi="ar-SA"/>
        </w:rPr>
        <w:t>儿童保护个案服务项目协调会，筛选重点个案，并上报上级主管部门同意，转介4个个案给启善社工进行跟进</w:t>
      </w:r>
      <w:r>
        <w:rPr>
          <w:rStyle w:val="16"/>
          <w:rFonts w:ascii="仿宋_GB2312" w:hAnsi="仿宋_GB2312" w:eastAsia="仿宋_GB2312"/>
          <w:b w:val="0"/>
          <w:bCs w:val="0"/>
          <w:i w:val="0"/>
          <w:caps w:val="0"/>
          <w:color w:val="000000"/>
          <w:spacing w:val="0"/>
          <w:w w:val="100"/>
          <w:kern w:val="2"/>
          <w:sz w:val="32"/>
          <w:szCs w:val="32"/>
          <w:lang w:val="en-US" w:eastAsia="zh-CN" w:bidi="ar-SA"/>
        </w:rPr>
        <w:t>。针对两试点</w:t>
      </w:r>
      <w:r>
        <w:rPr>
          <w:rStyle w:val="16"/>
          <w:rFonts w:ascii="仿宋_GB2312" w:hAnsi="仿宋_GB2312" w:eastAsia="仿宋_GB2312"/>
          <w:b w:val="0"/>
          <w:i w:val="0"/>
          <w:caps w:val="0"/>
          <w:color w:val="000000"/>
          <w:spacing w:val="0"/>
          <w:w w:val="100"/>
          <w:kern w:val="2"/>
          <w:sz w:val="32"/>
          <w:szCs w:val="32"/>
          <w:lang w:val="en-US" w:eastAsia="zh-CN" w:bidi="ar-SA"/>
        </w:rPr>
        <w:t>策划开展儿童关爱、政策宣讲类活动共计20场次，服务1043人次，新闻讯息共13条，积极链接资源，引导社会各界参与到活动中，大力营造“人人参与”儿童关爱保护的良好氛围。</w:t>
      </w:r>
    </w:p>
    <w:p>
      <w:pPr>
        <w:keepNext w:val="0"/>
        <w:keepLines w:val="0"/>
        <w:pageBreakBefore w:val="0"/>
        <w:kinsoku/>
        <w:wordWrap/>
        <w:overflowPunct/>
        <w:topLinePunct w:val="0"/>
        <w:autoSpaceDE/>
        <w:autoSpaceDN/>
        <w:bidi w:val="0"/>
        <w:adjustRightInd/>
        <w:snapToGrid/>
        <w:spacing w:before="0" w:beforeAutospacing="0" w:after="0" w:afterAutospacing="0" w:line="576" w:lineRule="exact"/>
        <w:ind w:firstLine="642" w:firstLineChars="200"/>
        <w:jc w:val="left"/>
        <w:textAlignment w:val="baseline"/>
        <w:rPr>
          <w:rStyle w:val="16"/>
          <w:rFonts w:ascii="仿宋_GB2312" w:hAnsi="仿宋_GB2312" w:eastAsia="仿宋_GB2312"/>
          <w:b w:val="0"/>
          <w:i w:val="0"/>
          <w:caps w:val="0"/>
          <w:spacing w:val="0"/>
          <w:w w:val="100"/>
          <w:kern w:val="2"/>
          <w:sz w:val="32"/>
          <w:szCs w:val="32"/>
          <w:lang w:val="en-US" w:eastAsia="zh-CN" w:bidi="ar-SA"/>
        </w:rPr>
      </w:pPr>
      <w:r>
        <w:rPr>
          <w:rStyle w:val="16"/>
          <w:rFonts w:ascii="仿宋_GB2312" w:hAnsi="仿宋_GB2312" w:eastAsia="仿宋_GB2312"/>
          <w:b/>
          <w:bCs/>
          <w:i w:val="0"/>
          <w:caps w:val="0"/>
          <w:spacing w:val="0"/>
          <w:w w:val="100"/>
          <w:kern w:val="2"/>
          <w:sz w:val="32"/>
          <w:szCs w:val="32"/>
          <w:lang w:val="en-US" w:eastAsia="zh-CN" w:bidi="ar-SA"/>
        </w:rPr>
        <w:t>3.养治教康强化开展。</w:t>
      </w:r>
      <w:r>
        <w:rPr>
          <w:rStyle w:val="16"/>
          <w:rFonts w:ascii="仿宋_GB2312" w:hAnsi="仿宋_GB2312" w:eastAsia="仿宋_GB2312"/>
          <w:b w:val="0"/>
          <w:i w:val="0"/>
          <w:caps w:val="0"/>
          <w:color w:val="000000"/>
          <w:spacing w:val="0"/>
          <w:w w:val="100"/>
          <w:kern w:val="2"/>
          <w:sz w:val="32"/>
          <w:szCs w:val="32"/>
          <w:lang w:val="en-US" w:eastAsia="zh-CN" w:bidi="ar-SA"/>
        </w:rPr>
        <w:t>自2021年儿童关爱及养治康教服务项目启动以来，项目从儿童的基本需求出发，为福利院儿童提供医疗康复、特殊教育、心理疏导、支持小组等专业服务，协助儿童解决生活、学习、生理及心理等方面的问题，激发儿童的自我发展、自我成长的潜能，提升儿童自我认同感、重拾信心，促进儿童全面健康发展。全年共计开展56场活动，其中举办</w:t>
      </w:r>
      <w:r>
        <w:rPr>
          <w:rStyle w:val="16"/>
          <w:rFonts w:ascii="宋体" w:hAnsi="宋体" w:eastAsia="宋体"/>
          <w:b w:val="0"/>
          <w:i w:val="0"/>
          <w:caps w:val="0"/>
          <w:spacing w:val="0"/>
          <w:w w:val="100"/>
          <w:kern w:val="2"/>
          <w:sz w:val="28"/>
          <w:szCs w:val="24"/>
          <w:lang w:val="en-US" w:eastAsia="zh-CN" w:bidi="ar-SA"/>
        </w:rPr>
        <w:t>节假日活动</w:t>
      </w:r>
      <w:r>
        <w:rPr>
          <w:rStyle w:val="16"/>
          <w:rFonts w:ascii="仿宋_GB2312" w:hAnsi="仿宋_GB2312" w:eastAsia="仿宋_GB2312"/>
          <w:b w:val="0"/>
          <w:i w:val="0"/>
          <w:caps w:val="0"/>
          <w:color w:val="000000"/>
          <w:spacing w:val="0"/>
          <w:w w:val="100"/>
          <w:kern w:val="2"/>
          <w:sz w:val="32"/>
          <w:szCs w:val="32"/>
          <w:lang w:val="en-US" w:eastAsia="zh-CN" w:bidi="ar-SA"/>
        </w:rPr>
        <w:t>9场；爱国爱党活动7场，成长小组活动18场，安全教育讲座6场，联动志愿者全年开展4场志愿者联谊，针对院内员工开展活动12场，发表美篇25次，市级媒体报道6次，海报宣传1次及3分钟视频宣传片，成长册23本；社工活动室布置，装裱15幅优秀绘画作品，2本绘画集。聘请专业老师在课余时间辅导院内孩子，及时解决学习疑问，巩固学习方法。根据个案评估,将5名儿童纳入项目个案，了解儿童面临的问题及需求,帮助孩子找到适合自己的学习方法，增强了孩子的自我认</w:t>
      </w:r>
      <w:r>
        <w:rPr>
          <w:rStyle w:val="16"/>
          <w:rFonts w:ascii="Calibri" w:hAnsi="Calibri" w:eastAsia="宋体"/>
          <w:b w:val="0"/>
          <w:i w:val="0"/>
          <w:caps w:val="0"/>
          <w:spacing w:val="0"/>
          <w:w w:val="100"/>
          <w:kern w:val="2"/>
          <w:sz w:val="28"/>
          <w:szCs w:val="24"/>
          <w:lang w:val="en-US" w:eastAsia="zh-CN" w:bidi="ar-SA"/>
        </w:rPr>
        <w:t>识。</w:t>
      </w:r>
    </w:p>
    <w:p>
      <w:pPr>
        <w:keepNext w:val="0"/>
        <w:keepLines w:val="0"/>
        <w:pageBreakBefore w:val="0"/>
        <w:kinsoku/>
        <w:wordWrap/>
        <w:overflowPunct/>
        <w:topLinePunct w:val="0"/>
        <w:autoSpaceDE/>
        <w:autoSpaceDN/>
        <w:bidi w:val="0"/>
        <w:adjustRightInd/>
        <w:snapToGrid/>
        <w:spacing w:before="0" w:beforeAutospacing="0" w:after="0" w:afterAutospacing="0" w:line="576" w:lineRule="exact"/>
        <w:ind w:firstLine="642" w:firstLineChars="200"/>
        <w:jc w:val="both"/>
        <w:textAlignment w:val="baseline"/>
        <w:rPr>
          <w:rStyle w:val="16"/>
          <w:rFonts w:ascii="仿宋_GB2312" w:hAnsi="仿宋_GB2312" w:eastAsia="仿宋_GB2312"/>
          <w:b w:val="0"/>
          <w:i w:val="0"/>
          <w:caps w:val="0"/>
          <w:spacing w:val="0"/>
          <w:w w:val="100"/>
          <w:kern w:val="2"/>
          <w:sz w:val="32"/>
          <w:szCs w:val="32"/>
          <w:lang w:val="en-US" w:eastAsia="zh-CN" w:bidi="ar-SA"/>
        </w:rPr>
      </w:pPr>
      <w:r>
        <w:rPr>
          <w:rStyle w:val="16"/>
          <w:rFonts w:ascii="仿宋_GB2312" w:hAnsi="仿宋_GB2312" w:eastAsia="仿宋_GB2312"/>
          <w:b/>
          <w:bCs/>
          <w:i w:val="0"/>
          <w:caps w:val="0"/>
          <w:spacing w:val="0"/>
          <w:w w:val="100"/>
          <w:kern w:val="2"/>
          <w:sz w:val="32"/>
          <w:szCs w:val="32"/>
          <w:lang w:val="en-US" w:eastAsia="zh-CN" w:bidi="ar-SA"/>
        </w:rPr>
        <w:t>4.托育试点稳步推进。</w:t>
      </w:r>
      <w:r>
        <w:rPr>
          <w:rStyle w:val="16"/>
          <w:rFonts w:ascii="仿宋_GB2312" w:hAnsi="仿宋_GB2312" w:eastAsia="仿宋_GB2312"/>
          <w:b w:val="0"/>
          <w:bCs w:val="0"/>
          <w:i w:val="0"/>
          <w:caps w:val="0"/>
          <w:color w:val="000000"/>
          <w:spacing w:val="0"/>
          <w:w w:val="100"/>
          <w:kern w:val="2"/>
          <w:sz w:val="32"/>
          <w:szCs w:val="32"/>
          <w:lang w:val="en-US" w:eastAsia="zh-CN" w:bidi="ar-SA"/>
        </w:rPr>
        <w:t>按照《四川省儿童福利机构婴幼儿托育照护服务试点工作方案》的要求，依托</w:t>
      </w:r>
      <w:r>
        <w:rPr>
          <w:rStyle w:val="16"/>
          <w:rFonts w:ascii="仿宋_GB2312" w:hAnsi="仿宋_GB2312" w:eastAsia="仿宋_GB2312"/>
          <w:b w:val="0"/>
          <w:i w:val="0"/>
          <w:caps w:val="0"/>
          <w:color w:val="000000"/>
          <w:spacing w:val="0"/>
          <w:w w:val="100"/>
          <w:kern w:val="2"/>
          <w:sz w:val="32"/>
          <w:szCs w:val="40"/>
          <w:lang w:val="en-US" w:eastAsia="zh-CN" w:bidi="ar-SA"/>
        </w:rPr>
        <w:t>广元市利州区领英幼儿园</w:t>
      </w:r>
      <w:r>
        <w:rPr>
          <w:rStyle w:val="16"/>
          <w:rFonts w:ascii="仿宋_GB2312" w:hAnsi="仿宋_GB2312" w:eastAsia="仿宋_GB2312"/>
          <w:b w:val="0"/>
          <w:bCs w:val="0"/>
          <w:i w:val="0"/>
          <w:caps w:val="0"/>
          <w:color w:val="000000"/>
          <w:spacing w:val="0"/>
          <w:w w:val="100"/>
          <w:kern w:val="2"/>
          <w:sz w:val="32"/>
          <w:szCs w:val="32"/>
          <w:lang w:val="en-US" w:eastAsia="zh-CN" w:bidi="ar-SA"/>
        </w:rPr>
        <w:t>树立托育服务示范标杆,扩大服务供给,全年开展大型活动17场次，为22名0-3岁婴幼儿家庭提供照护需求,解决“幼有所托”的社会问题。</w:t>
      </w:r>
      <w:r>
        <w:rPr>
          <w:rStyle w:val="16"/>
          <w:rFonts w:ascii="仿宋_GB2312" w:hAnsi="仿宋_GB2312" w:eastAsia="仿宋_GB2312"/>
          <w:b w:val="0"/>
          <w:i w:val="0"/>
          <w:caps w:val="0"/>
          <w:color w:val="000000"/>
          <w:spacing w:val="0"/>
          <w:w w:val="100"/>
          <w:kern w:val="2"/>
          <w:sz w:val="32"/>
          <w:szCs w:val="40"/>
          <w:lang w:val="en-US" w:eastAsia="zh-CN" w:bidi="ar-SA"/>
        </w:rPr>
        <w:t>秉承“应学尽学”理念，全力保障我院学龄前儿童</w:t>
      </w:r>
      <w:r>
        <w:rPr>
          <w:rStyle w:val="16"/>
          <w:rFonts w:ascii="仿宋_GB2312" w:hAnsi="仿宋_GB2312" w:eastAsia="仿宋_GB2312"/>
          <w:b w:val="0"/>
          <w:bCs w:val="0"/>
          <w:i w:val="0"/>
          <w:caps w:val="0"/>
          <w:color w:val="000000"/>
          <w:spacing w:val="0"/>
          <w:w w:val="100"/>
          <w:kern w:val="2"/>
          <w:sz w:val="32"/>
          <w:szCs w:val="32"/>
          <w:lang w:val="en-US" w:eastAsia="zh-CN" w:bidi="ar-SA"/>
        </w:rPr>
        <w:t>受教育的权利。</w:t>
      </w:r>
      <w:r>
        <w:rPr>
          <w:rStyle w:val="16"/>
          <w:rFonts w:ascii="仿宋_GB2312" w:hAnsi="仿宋_GB2312" w:eastAsia="仿宋_GB2312"/>
          <w:b w:val="0"/>
          <w:i w:val="0"/>
          <w:caps w:val="0"/>
          <w:color w:val="000000"/>
          <w:spacing w:val="0"/>
          <w:w w:val="100"/>
          <w:kern w:val="2"/>
          <w:sz w:val="32"/>
          <w:szCs w:val="40"/>
          <w:lang w:val="en-US" w:eastAsia="zh-CN" w:bidi="ar-SA"/>
        </w:rPr>
        <w:t>同时形成社会效应，在莲花池社区3公里内解决幼儿学前教育近200余人。</w:t>
      </w:r>
    </w:p>
    <w:p>
      <w:pPr>
        <w:keepNext w:val="0"/>
        <w:keepLines w:val="0"/>
        <w:pageBreakBefore w:val="0"/>
        <w:kinsoku/>
        <w:wordWrap/>
        <w:overflowPunct/>
        <w:topLinePunct w:val="0"/>
        <w:autoSpaceDE/>
        <w:autoSpaceDN/>
        <w:bidi w:val="0"/>
        <w:adjustRightInd/>
        <w:snapToGrid/>
        <w:spacing w:before="0" w:beforeAutospacing="0" w:after="0" w:afterAutospacing="0" w:line="576" w:lineRule="exact"/>
        <w:ind w:firstLine="642" w:firstLineChars="200"/>
        <w:jc w:val="both"/>
        <w:textAlignment w:val="baseline"/>
        <w:rPr>
          <w:rStyle w:val="16"/>
          <w:rFonts w:ascii="仿宋_GB2312" w:hAnsi="Calibri" w:eastAsia="仿宋_GB2312"/>
          <w:b w:val="0"/>
          <w:i w:val="0"/>
          <w:caps w:val="0"/>
          <w:spacing w:val="0"/>
          <w:w w:val="100"/>
          <w:kern w:val="2"/>
          <w:sz w:val="32"/>
          <w:szCs w:val="32"/>
          <w:lang w:val="en-US" w:eastAsia="zh-CN" w:bidi="ar-SA"/>
        </w:rPr>
      </w:pPr>
      <w:r>
        <w:rPr>
          <w:rStyle w:val="16"/>
          <w:rFonts w:ascii="仿宋_GB2312" w:hAnsi="仿宋_GB2312" w:eastAsia="仿宋_GB2312"/>
          <w:b/>
          <w:bCs/>
          <w:i w:val="0"/>
          <w:caps w:val="0"/>
          <w:spacing w:val="0"/>
          <w:w w:val="100"/>
          <w:kern w:val="2"/>
          <w:sz w:val="32"/>
          <w:szCs w:val="32"/>
          <w:lang w:val="en-US" w:eastAsia="zh-CN" w:bidi="ar-SA"/>
        </w:rPr>
        <w:t>5.着力提升养老服务质量。</w:t>
      </w:r>
      <w:r>
        <w:rPr>
          <w:rStyle w:val="16"/>
          <w:rFonts w:ascii="仿宋_GB2312" w:hAnsi="Calibri" w:eastAsia="仿宋_GB2312"/>
          <w:b w:val="0"/>
          <w:i w:val="0"/>
          <w:caps w:val="0"/>
          <w:spacing w:val="0"/>
          <w:w w:val="100"/>
          <w:kern w:val="2"/>
          <w:sz w:val="32"/>
          <w:szCs w:val="32"/>
          <w:lang w:val="en-US" w:eastAsia="zh-CN" w:bidi="ar-SA"/>
        </w:rPr>
        <w:t>为改善老人生活环境，提高生活质量，我院始终把提供优质服务工作放在首位。一是进一步推行科室标准化实施和管理。健全护理人员岗位职责、值班制度，进一步加强服务人员综合素质教育，提升服务理念和增强服务意识；二是抓好基本生活服务，提升服务对象满意度。做好环境卫生保洁和美化,全力营造温馨和谐的养老环境；三是加强学习，提升服务能力。积极链接学习培训资源，参加养老护理技能培训</w:t>
      </w:r>
      <w:r>
        <w:rPr>
          <w:rStyle w:val="16"/>
          <w:rFonts w:hint="eastAsia" w:ascii="仿宋_GB2312" w:eastAsia="仿宋_GB2312"/>
          <w:b w:val="0"/>
          <w:i w:val="0"/>
          <w:caps w:val="0"/>
          <w:color w:val="auto"/>
          <w:spacing w:val="0"/>
          <w:w w:val="100"/>
          <w:kern w:val="2"/>
          <w:sz w:val="32"/>
          <w:szCs w:val="32"/>
          <w:lang w:val="en-US" w:eastAsia="zh-CN" w:bidi="ar-SA"/>
        </w:rPr>
        <w:t>2</w:t>
      </w:r>
      <w:r>
        <w:rPr>
          <w:rStyle w:val="16"/>
          <w:rFonts w:ascii="仿宋_GB2312" w:hAnsi="Calibri" w:eastAsia="仿宋_GB2312"/>
          <w:b w:val="0"/>
          <w:i w:val="0"/>
          <w:caps w:val="0"/>
          <w:spacing w:val="0"/>
          <w:w w:val="100"/>
          <w:kern w:val="2"/>
          <w:sz w:val="32"/>
          <w:szCs w:val="32"/>
          <w:lang w:val="en-US" w:eastAsia="zh-CN" w:bidi="ar-SA"/>
        </w:rPr>
        <w:t>次，推动护理人员职业技能提升，培育养老服务型人才，努力构筑爱老、敬老、孝老的养老服务阵地。</w:t>
      </w:r>
    </w:p>
    <w:p>
      <w:pPr>
        <w:keepNext w:val="0"/>
        <w:keepLines w:val="0"/>
        <w:pageBreakBefore w:val="0"/>
        <w:kinsoku/>
        <w:wordWrap/>
        <w:overflowPunct/>
        <w:topLinePunct w:val="0"/>
        <w:autoSpaceDE/>
        <w:autoSpaceDN/>
        <w:bidi w:val="0"/>
        <w:adjustRightInd/>
        <w:snapToGrid/>
        <w:spacing w:before="0" w:beforeAutospacing="0" w:after="0" w:afterAutospacing="0" w:line="576" w:lineRule="exact"/>
        <w:ind w:firstLine="642" w:firstLineChars="200"/>
        <w:jc w:val="both"/>
        <w:textAlignment w:val="baseline"/>
        <w:rPr>
          <w:rStyle w:val="16"/>
          <w:rFonts w:ascii="仿宋_GB2312" w:hAnsi="仿宋_GB2312" w:eastAsia="仿宋_GB2312"/>
          <w:b w:val="0"/>
          <w:i w:val="0"/>
          <w:caps w:val="0"/>
          <w:color w:val="auto"/>
          <w:spacing w:val="0"/>
          <w:w w:val="100"/>
          <w:kern w:val="2"/>
          <w:sz w:val="32"/>
          <w:szCs w:val="32"/>
          <w:lang w:val="en-US" w:eastAsia="zh-CN" w:bidi="ar-SA"/>
        </w:rPr>
      </w:pPr>
      <w:r>
        <w:rPr>
          <w:rStyle w:val="16"/>
          <w:rFonts w:ascii="仿宋_GB2312" w:hAnsi="仿宋_GB2312" w:eastAsia="仿宋_GB2312"/>
          <w:b/>
          <w:bCs/>
          <w:i w:val="0"/>
          <w:caps w:val="0"/>
          <w:color w:val="auto"/>
          <w:spacing w:val="0"/>
          <w:w w:val="100"/>
          <w:kern w:val="2"/>
          <w:sz w:val="32"/>
          <w:szCs w:val="32"/>
          <w:lang w:val="en-US" w:eastAsia="zh-CN" w:bidi="ar-SA"/>
        </w:rPr>
        <w:t>6.信息宣传持续重视。</w:t>
      </w:r>
      <w:r>
        <w:rPr>
          <w:rStyle w:val="16"/>
          <w:rFonts w:ascii="仿宋_GB2312" w:hAnsi="仿宋_GB2312" w:eastAsia="仿宋_GB2312"/>
          <w:b w:val="0"/>
          <w:i w:val="0"/>
          <w:caps w:val="0"/>
          <w:color w:val="auto"/>
          <w:spacing w:val="0"/>
          <w:w w:val="100"/>
          <w:kern w:val="2"/>
          <w:sz w:val="32"/>
          <w:szCs w:val="32"/>
          <w:lang w:val="en-US" w:eastAsia="zh-CN" w:bidi="ar-SA"/>
        </w:rPr>
        <w:t>为促进信息工作有序开展，制定信息规章制度，年初结合市局信息管理目标，结合我院实际情况，分解落实到相关业务科室。在完成数量的同时，严把信息质量，提高信息工作规范化建设。全年在我院官方网站上传信息135条，微信公众号发布信息95条，上报市局信息105条，《中国网中国舆情》采用48条，《广元新闻网》采用2条，《广元日报》采用5条，川观新闻采用2条。同时对单位网站进行定期维护和及时更新，强化我院对外的宣传作用。</w:t>
      </w:r>
    </w:p>
    <w:p>
      <w:pPr>
        <w:keepNext w:val="0"/>
        <w:keepLines w:val="0"/>
        <w:pageBreakBefore w:val="0"/>
        <w:kinsoku/>
        <w:wordWrap/>
        <w:overflowPunct/>
        <w:topLinePunct w:val="0"/>
        <w:autoSpaceDE/>
        <w:autoSpaceDN/>
        <w:bidi w:val="0"/>
        <w:adjustRightInd/>
        <w:snapToGrid/>
        <w:spacing w:before="0" w:beforeAutospacing="0" w:after="0" w:afterAutospacing="0" w:line="576" w:lineRule="exact"/>
        <w:ind w:firstLine="642" w:firstLineChars="200"/>
        <w:jc w:val="both"/>
        <w:textAlignment w:val="baseline"/>
        <w:rPr>
          <w:rStyle w:val="16"/>
          <w:rFonts w:ascii="仿宋_GB2312" w:hAnsi="仿宋_GB2312" w:eastAsia="仿宋_GB2312"/>
          <w:b w:val="0"/>
          <w:i w:val="0"/>
          <w:caps w:val="0"/>
          <w:color w:val="auto"/>
          <w:spacing w:val="0"/>
          <w:w w:val="100"/>
          <w:kern w:val="2"/>
          <w:sz w:val="32"/>
          <w:szCs w:val="32"/>
          <w:lang w:val="en-US" w:eastAsia="zh-CN" w:bidi="ar-SA"/>
        </w:rPr>
      </w:pPr>
      <w:r>
        <w:rPr>
          <w:rStyle w:val="16"/>
          <w:rFonts w:ascii="仿宋_GB2312" w:hAnsi="仿宋_GB2312" w:eastAsia="仿宋_GB2312"/>
          <w:b/>
          <w:bCs/>
          <w:i w:val="0"/>
          <w:caps w:val="0"/>
          <w:color w:val="auto"/>
          <w:spacing w:val="0"/>
          <w:w w:val="100"/>
          <w:kern w:val="2"/>
          <w:sz w:val="32"/>
          <w:szCs w:val="32"/>
          <w:lang w:val="en-US" w:eastAsia="zh-CN" w:bidi="ar-SA"/>
        </w:rPr>
        <w:t>7.其他工作有</w:t>
      </w:r>
      <w:r>
        <w:rPr>
          <w:rStyle w:val="16"/>
          <w:rFonts w:hint="eastAsia" w:ascii="仿宋_GB2312" w:hAnsi="仿宋_GB2312" w:eastAsia="仿宋_GB2312"/>
          <w:b/>
          <w:bCs/>
          <w:i w:val="0"/>
          <w:caps w:val="0"/>
          <w:color w:val="auto"/>
          <w:spacing w:val="0"/>
          <w:w w:val="100"/>
          <w:kern w:val="2"/>
          <w:sz w:val="32"/>
          <w:szCs w:val="32"/>
          <w:lang w:val="en-US" w:eastAsia="zh-CN" w:bidi="ar-SA"/>
        </w:rPr>
        <w:t>序</w:t>
      </w:r>
      <w:r>
        <w:rPr>
          <w:rStyle w:val="16"/>
          <w:rFonts w:ascii="仿宋_GB2312" w:hAnsi="仿宋_GB2312" w:eastAsia="仿宋_GB2312"/>
          <w:b/>
          <w:bCs/>
          <w:i w:val="0"/>
          <w:caps w:val="0"/>
          <w:color w:val="auto"/>
          <w:spacing w:val="0"/>
          <w:w w:val="100"/>
          <w:kern w:val="2"/>
          <w:sz w:val="32"/>
          <w:szCs w:val="32"/>
          <w:lang w:val="en-US" w:eastAsia="zh-CN" w:bidi="ar-SA"/>
        </w:rPr>
        <w:t>进行。</w:t>
      </w:r>
      <w:r>
        <w:rPr>
          <w:rStyle w:val="16"/>
          <w:rFonts w:ascii="仿宋_GB2312" w:hAnsi="仿宋_GB2312" w:eastAsia="仿宋_GB2312"/>
          <w:b w:val="0"/>
          <w:i w:val="0"/>
          <w:caps w:val="0"/>
          <w:color w:val="auto"/>
          <w:spacing w:val="0"/>
          <w:w w:val="100"/>
          <w:kern w:val="2"/>
          <w:sz w:val="32"/>
          <w:szCs w:val="32"/>
          <w:lang w:val="en-US" w:eastAsia="zh-CN" w:bidi="ar-SA"/>
        </w:rPr>
        <w:t>近年来，我院积极配合做好孤残儿童涉外收养工作，按照上级要求，及时开展涉外儿童清理排查工作，并以此为契机，再次全面整理涉外儿童档案，通过排查整理，截止2021年底，我院共涉外送养71名儿童。</w:t>
      </w:r>
    </w:p>
    <w:p>
      <w:pPr>
        <w:keepNext w:val="0"/>
        <w:keepLines w:val="0"/>
        <w:pageBreakBefore w:val="0"/>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baseline"/>
        <w:rPr>
          <w:rStyle w:val="16"/>
          <w:rFonts w:ascii="Calibri" w:hAnsi="Calibri" w:eastAsia="宋体"/>
          <w:b w:val="0"/>
          <w:i w:val="0"/>
          <w:caps w:val="0"/>
          <w:spacing w:val="0"/>
          <w:w w:val="100"/>
          <w:kern w:val="2"/>
          <w:sz w:val="21"/>
          <w:szCs w:val="24"/>
          <w:lang w:val="en-US" w:eastAsia="zh-CN" w:bidi="ar-SA"/>
        </w:rPr>
      </w:pPr>
      <w:r>
        <w:rPr>
          <w:rStyle w:val="16"/>
          <w:rFonts w:ascii="楷体" w:hAnsi="楷体" w:eastAsia="楷体"/>
          <w:b w:val="0"/>
          <w:i w:val="0"/>
          <w:caps w:val="0"/>
          <w:spacing w:val="0"/>
          <w:w w:val="100"/>
          <w:kern w:val="2"/>
          <w:sz w:val="32"/>
          <w:szCs w:val="32"/>
          <w:lang w:val="en-US" w:eastAsia="zh-CN" w:bidi="ar-SA"/>
        </w:rPr>
        <w:t>（</w:t>
      </w:r>
      <w:r>
        <w:rPr>
          <w:rStyle w:val="16"/>
          <w:rFonts w:hint="eastAsia" w:ascii="楷体" w:hAnsi="楷体" w:eastAsia="楷体"/>
          <w:b w:val="0"/>
          <w:i w:val="0"/>
          <w:caps w:val="0"/>
          <w:spacing w:val="0"/>
          <w:w w:val="100"/>
          <w:kern w:val="2"/>
          <w:sz w:val="32"/>
          <w:szCs w:val="32"/>
          <w:lang w:val="en-US" w:eastAsia="zh-CN" w:bidi="ar-SA"/>
        </w:rPr>
        <w:t>四</w:t>
      </w:r>
      <w:r>
        <w:rPr>
          <w:rStyle w:val="16"/>
          <w:rFonts w:ascii="楷体" w:hAnsi="楷体" w:eastAsia="楷体"/>
          <w:b w:val="0"/>
          <w:i w:val="0"/>
          <w:caps w:val="0"/>
          <w:spacing w:val="0"/>
          <w:w w:val="100"/>
          <w:kern w:val="2"/>
          <w:sz w:val="32"/>
          <w:szCs w:val="32"/>
          <w:lang w:val="en-US" w:eastAsia="zh-CN" w:bidi="ar-SA"/>
        </w:rPr>
        <w:t>）稳步推进项目工作</w:t>
      </w:r>
    </w:p>
    <w:p>
      <w:pPr>
        <w:keepNext w:val="0"/>
        <w:keepLines w:val="0"/>
        <w:pageBreakBefore w:val="0"/>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baseline"/>
        <w:rPr>
          <w:rStyle w:val="16"/>
          <w:rFonts w:ascii="仿宋_GB2312" w:hAnsi="仿宋_GB2312" w:eastAsia="仿宋_GB2312"/>
          <w:b w:val="0"/>
          <w:i w:val="0"/>
          <w:caps w:val="0"/>
          <w:spacing w:val="0"/>
          <w:w w:val="100"/>
          <w:kern w:val="2"/>
          <w:sz w:val="32"/>
          <w:szCs w:val="32"/>
          <w:lang w:val="en-US" w:eastAsia="zh-CN" w:bidi="ar-SA"/>
        </w:rPr>
      </w:pPr>
      <w:r>
        <w:rPr>
          <w:rStyle w:val="16"/>
          <w:rFonts w:ascii="仿宋_GB2312" w:hAnsi="仿宋_GB2312" w:eastAsia="仿宋_GB2312"/>
          <w:b w:val="0"/>
          <w:i w:val="0"/>
          <w:caps w:val="0"/>
          <w:spacing w:val="0"/>
          <w:w w:val="100"/>
          <w:kern w:val="2"/>
          <w:sz w:val="32"/>
          <w:szCs w:val="32"/>
          <w:lang w:val="en-US" w:eastAsia="zh-CN" w:bidi="ar-SA"/>
        </w:rPr>
        <w:t>1.完成广元市社会福利院适老化改造项目全部建设任务，并通过工程竣工验收，该项目于2021年9月26日正式投入使用，入住老年反映良好。经市政府同意，将该项目剩余资金实施了广元市社会福利院适老化改造项目补充工程，目前已经完成80%，预计12月中下旬全部完成。两项目的实施，极大完善了3号养老楼的使用功能，入住老人的安全性得到提高，老人入住的舒适度得到提升。广元市社会福利院适老化改造项目（二期），已经完成项目审批、设计、图审、造价、财评等环节，目前处于集采招标阶段。预计在今年内完成招标工作。广元市社会福利院老人活动场所适老化改造及消防设施改造项目已经完成项目审批、设计、图审、造价等环节，目前处于财政评审阶段。完成对广元东晨医院（</w:t>
      </w:r>
      <w:r>
        <w:rPr>
          <w:rStyle w:val="16"/>
          <w:rFonts w:hint="eastAsia" w:ascii="仿宋_GB2312" w:hAnsi="仿宋_GB2312" w:eastAsia="仿宋_GB2312"/>
          <w:b w:val="0"/>
          <w:i w:val="0"/>
          <w:caps w:val="0"/>
          <w:spacing w:val="0"/>
          <w:w w:val="100"/>
          <w:kern w:val="2"/>
          <w:sz w:val="32"/>
          <w:szCs w:val="32"/>
          <w:lang w:val="en-US" w:eastAsia="zh-CN" w:bidi="ar-SA"/>
        </w:rPr>
        <w:t>原</w:t>
      </w:r>
      <w:r>
        <w:rPr>
          <w:rStyle w:val="16"/>
          <w:rFonts w:ascii="仿宋_GB2312" w:hAnsi="仿宋_GB2312" w:eastAsia="仿宋_GB2312"/>
          <w:b w:val="0"/>
          <w:i w:val="0"/>
          <w:caps w:val="0"/>
          <w:spacing w:val="0"/>
          <w:w w:val="100"/>
          <w:kern w:val="2"/>
          <w:sz w:val="32"/>
          <w:szCs w:val="32"/>
          <w:lang w:val="en-US" w:eastAsia="zh-CN" w:bidi="ar-SA"/>
        </w:rPr>
        <w:t>广元协和医院）补充协议的修订工作。</w:t>
      </w:r>
    </w:p>
    <w:p>
      <w:pPr>
        <w:keepNext w:val="0"/>
        <w:keepLines w:val="0"/>
        <w:pageBreakBefore w:val="0"/>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baseline"/>
        <w:rPr>
          <w:rStyle w:val="16"/>
          <w:rFonts w:ascii="仿宋_GB2312" w:hAnsi="仿宋_GB2312" w:eastAsia="仿宋_GB2312"/>
          <w:b w:val="0"/>
          <w:i w:val="0"/>
          <w:caps w:val="0"/>
          <w:color w:val="auto"/>
          <w:spacing w:val="0"/>
          <w:w w:val="100"/>
          <w:kern w:val="2"/>
          <w:sz w:val="32"/>
          <w:szCs w:val="32"/>
          <w:lang w:val="en-US" w:eastAsia="zh-CN" w:bidi="ar-SA"/>
        </w:rPr>
      </w:pPr>
      <w:r>
        <w:rPr>
          <w:rStyle w:val="16"/>
          <w:rFonts w:ascii="仿宋_GB2312" w:hAnsi="仿宋_GB2312" w:eastAsia="仿宋_GB2312"/>
          <w:b w:val="0"/>
          <w:i w:val="0"/>
          <w:caps w:val="0"/>
          <w:spacing w:val="0"/>
          <w:w w:val="100"/>
          <w:kern w:val="2"/>
          <w:sz w:val="32"/>
          <w:szCs w:val="32"/>
          <w:lang w:val="en-US" w:eastAsia="zh-CN" w:bidi="ar-SA"/>
        </w:rPr>
        <w:t>2.全面完成2020年度5名脑瘫儿童康复训练项目，项目软件资料整理归档，完成验收，并在本年度向残联成功申请到2021年度6名脑瘫儿童康复项目。积极链接医疗资源为院内4名儿童提供更加专业的康复治疗。为丰富患儿的治疗方案和手段，添置了一部分康复辅材，新增两名康复技师，按计划顺利完成院内脑瘫、残疾儿童的康复治疗，共完成物理治疗351人次、作业治疗381人次、SET悬吊900人次、多感官治疗772人次、言语训练144人、针灸治疗121人次。积极开展脑瘫儿童康复定点机构自查自纠工作，找差距促改进，</w:t>
      </w:r>
      <w:r>
        <w:rPr>
          <w:rFonts w:ascii="仿宋_GB2312" w:hAnsi="仿宋_GB2312" w:eastAsia="仿宋_GB2312"/>
          <w:b w:val="0"/>
          <w:i w:val="0"/>
          <w:caps w:val="0"/>
          <w:color w:val="auto"/>
          <w:spacing w:val="0"/>
          <w:w w:val="100"/>
          <w:sz w:val="32"/>
          <w:highlight w:val="white"/>
        </w:rPr>
        <w:t>问题及整改措施以书面报告的形式及时向市残联康复科反馈。</w:t>
      </w:r>
    </w:p>
    <w:p>
      <w:pPr>
        <w:keepNext w:val="0"/>
        <w:keepLines w:val="0"/>
        <w:pageBreakBefore w:val="0"/>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baseline"/>
        <w:rPr>
          <w:rStyle w:val="16"/>
          <w:rFonts w:ascii="Calibri" w:hAnsi="Calibri" w:eastAsia="宋体"/>
          <w:b w:val="0"/>
          <w:i w:val="0"/>
          <w:caps w:val="0"/>
          <w:spacing w:val="0"/>
          <w:w w:val="100"/>
          <w:kern w:val="2"/>
          <w:sz w:val="21"/>
          <w:szCs w:val="24"/>
          <w:lang w:val="en-US" w:eastAsia="zh-CN" w:bidi="ar-SA"/>
        </w:rPr>
      </w:pPr>
      <w:r>
        <w:rPr>
          <w:rStyle w:val="16"/>
          <w:rFonts w:ascii="仿宋_GB2312" w:hAnsi="仿宋_GB2312" w:eastAsia="仿宋_GB2312"/>
          <w:b w:val="0"/>
          <w:i w:val="0"/>
          <w:caps w:val="0"/>
          <w:spacing w:val="0"/>
          <w:w w:val="100"/>
          <w:kern w:val="2"/>
          <w:sz w:val="32"/>
          <w:szCs w:val="32"/>
          <w:lang w:val="en-US" w:eastAsia="zh-CN" w:bidi="ar-SA"/>
        </w:rPr>
        <w:t>3.</w:t>
      </w:r>
      <w:r>
        <w:rPr>
          <w:rStyle w:val="16"/>
          <w:rFonts w:ascii="仿宋_GB2312" w:hAnsi="仿宋_GB2312" w:eastAsia="仿宋_GB2312"/>
          <w:b w:val="0"/>
          <w:bCs w:val="0"/>
          <w:i w:val="0"/>
          <w:caps w:val="0"/>
          <w:spacing w:val="0"/>
          <w:w w:val="100"/>
          <w:kern w:val="2"/>
          <w:sz w:val="32"/>
          <w:szCs w:val="32"/>
          <w:lang w:val="en-US" w:eastAsia="zh-CN" w:bidi="ar-SA"/>
        </w:rPr>
        <w:t>落实明天计划项目的申报。</w:t>
      </w:r>
      <w:r>
        <w:rPr>
          <w:rStyle w:val="16"/>
          <w:rFonts w:ascii="仿宋_GB2312" w:hAnsi="仿宋_GB2312" w:eastAsia="仿宋_GB2312"/>
          <w:b w:val="0"/>
          <w:i w:val="0"/>
          <w:caps w:val="0"/>
          <w:spacing w:val="0"/>
          <w:w w:val="100"/>
          <w:kern w:val="2"/>
          <w:sz w:val="32"/>
          <w:szCs w:val="32"/>
          <w:lang w:val="en-US" w:eastAsia="zh-CN" w:bidi="ar-SA"/>
        </w:rPr>
        <w:t>落实明天计划项目，按政策文件规定申报项目资金，今年按省民政厅要求完成上报2017年至2020年明天计划资金申报24.77万元，上报审核资料41人次。</w:t>
      </w:r>
    </w:p>
    <w:p>
      <w:pPr>
        <w:keepNext w:val="0"/>
        <w:keepLines w:val="0"/>
        <w:pageBreakBefore w:val="0"/>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baseline"/>
        <w:rPr>
          <w:rStyle w:val="16"/>
          <w:rFonts w:ascii="楷体" w:hAnsi="楷体" w:eastAsia="楷体"/>
          <w:b w:val="0"/>
          <w:i w:val="0"/>
          <w:caps w:val="0"/>
          <w:spacing w:val="0"/>
          <w:w w:val="100"/>
          <w:kern w:val="2"/>
          <w:sz w:val="32"/>
          <w:szCs w:val="32"/>
          <w:lang w:val="en-US" w:eastAsia="zh-CN" w:bidi="ar-SA"/>
        </w:rPr>
      </w:pPr>
      <w:r>
        <w:rPr>
          <w:rStyle w:val="16"/>
          <w:rFonts w:ascii="楷体" w:hAnsi="楷体" w:eastAsia="楷体"/>
          <w:b w:val="0"/>
          <w:i w:val="0"/>
          <w:caps w:val="0"/>
          <w:spacing w:val="0"/>
          <w:w w:val="100"/>
          <w:kern w:val="2"/>
          <w:sz w:val="32"/>
          <w:szCs w:val="32"/>
          <w:lang w:val="en-US" w:eastAsia="zh-CN" w:bidi="ar-SA"/>
        </w:rPr>
        <w:t>（</w:t>
      </w:r>
      <w:r>
        <w:rPr>
          <w:rStyle w:val="16"/>
          <w:rFonts w:hint="eastAsia" w:ascii="楷体" w:hAnsi="楷体" w:eastAsia="楷体"/>
          <w:b w:val="0"/>
          <w:i w:val="0"/>
          <w:caps w:val="0"/>
          <w:spacing w:val="0"/>
          <w:w w:val="100"/>
          <w:kern w:val="2"/>
          <w:sz w:val="32"/>
          <w:szCs w:val="32"/>
          <w:lang w:val="en-US" w:eastAsia="zh-CN" w:bidi="ar-SA"/>
        </w:rPr>
        <w:t>五</w:t>
      </w:r>
      <w:r>
        <w:rPr>
          <w:rStyle w:val="16"/>
          <w:rFonts w:ascii="楷体" w:hAnsi="楷体" w:eastAsia="楷体"/>
          <w:b w:val="0"/>
          <w:i w:val="0"/>
          <w:caps w:val="0"/>
          <w:spacing w:val="0"/>
          <w:w w:val="100"/>
          <w:kern w:val="2"/>
          <w:sz w:val="32"/>
          <w:szCs w:val="32"/>
          <w:lang w:val="en-US" w:eastAsia="zh-CN" w:bidi="ar-SA"/>
        </w:rPr>
        <w:t>）常态化开展疫情防控</w:t>
      </w:r>
    </w:p>
    <w:p>
      <w:pPr>
        <w:keepNext w:val="0"/>
        <w:keepLines w:val="0"/>
        <w:pageBreakBefore w:val="0"/>
        <w:kinsoku/>
        <w:wordWrap/>
        <w:overflowPunct/>
        <w:topLinePunct w:val="0"/>
        <w:autoSpaceDE/>
        <w:autoSpaceDN/>
        <w:bidi w:val="0"/>
        <w:adjustRightInd/>
        <w:snapToGrid/>
        <w:spacing w:before="0" w:beforeAutospacing="0" w:after="0" w:afterAutospacing="0" w:line="576" w:lineRule="exact"/>
        <w:ind w:firstLine="640" w:firstLineChars="200"/>
        <w:jc w:val="left"/>
        <w:textAlignment w:val="baseline"/>
        <w:rPr>
          <w:rStyle w:val="16"/>
          <w:rFonts w:ascii="仿宋_GB2312" w:hAnsi="仿宋_GB2312" w:eastAsia="仿宋_GB2312"/>
          <w:b w:val="0"/>
          <w:i w:val="0"/>
          <w:caps w:val="0"/>
          <w:color w:val="auto"/>
          <w:spacing w:val="0"/>
          <w:w w:val="100"/>
          <w:kern w:val="2"/>
          <w:sz w:val="28"/>
          <w:szCs w:val="28"/>
          <w:lang w:val="en-US" w:eastAsia="zh-CN" w:bidi="ar-SA"/>
        </w:rPr>
      </w:pPr>
      <w:r>
        <w:rPr>
          <w:rStyle w:val="16"/>
          <w:rFonts w:ascii="仿宋_GB2312" w:hAnsi="仿宋_GB2312" w:eastAsia="仿宋_GB2312"/>
          <w:b w:val="0"/>
          <w:bCs w:val="0"/>
          <w:i w:val="0"/>
          <w:caps w:val="0"/>
          <w:color w:val="auto"/>
          <w:spacing w:val="0"/>
          <w:w w:val="100"/>
          <w:kern w:val="2"/>
          <w:sz w:val="32"/>
          <w:szCs w:val="32"/>
          <w:lang w:val="en-US" w:eastAsia="zh-CN" w:bidi="ar-SA"/>
        </w:rPr>
        <w:t>我院严格按照儿童福利领域服务机构新冠肺炎疫情常态化防控指南开展全院管理工作。认真落实法人主体责任，成</w:t>
      </w:r>
      <w:r>
        <w:rPr>
          <w:rFonts w:ascii="仿宋_GB2312" w:hAnsi="仿宋_GB2312" w:eastAsia="仿宋_GB2312"/>
          <w:b w:val="0"/>
          <w:i w:val="0"/>
          <w:caps w:val="0"/>
          <w:color w:val="auto"/>
          <w:spacing w:val="0"/>
          <w:w w:val="100"/>
          <w:sz w:val="32"/>
          <w:highlight w:val="white"/>
        </w:rPr>
        <w:t>立以院</w:t>
      </w:r>
      <w:r>
        <w:rPr>
          <w:rFonts w:hint="eastAsia" w:ascii="仿宋_GB2312" w:hAnsi="仿宋_GB2312" w:eastAsia="仿宋_GB2312"/>
          <w:b w:val="0"/>
          <w:i w:val="0"/>
          <w:caps w:val="0"/>
          <w:color w:val="auto"/>
          <w:spacing w:val="0"/>
          <w:w w:val="100"/>
          <w:sz w:val="32"/>
          <w:highlight w:val="white"/>
          <w:lang w:val="en-US" w:eastAsia="zh-CN"/>
        </w:rPr>
        <w:t>长</w:t>
      </w:r>
      <w:r>
        <w:rPr>
          <w:rFonts w:ascii="仿宋_GB2312" w:hAnsi="仿宋_GB2312" w:eastAsia="仿宋_GB2312"/>
          <w:b w:val="0"/>
          <w:i w:val="0"/>
          <w:caps w:val="0"/>
          <w:color w:val="auto"/>
          <w:spacing w:val="0"/>
          <w:w w:val="100"/>
          <w:sz w:val="32"/>
          <w:highlight w:val="white"/>
        </w:rPr>
        <w:t>为组长的疫情防控领导小组，制定防控工作方案，规范防控制度6个，定</w:t>
      </w:r>
      <w:r>
        <w:rPr>
          <w:rStyle w:val="16"/>
          <w:rFonts w:ascii="仿宋_GB2312" w:hAnsi="仿宋_GB2312" w:eastAsia="仿宋_GB2312"/>
          <w:b w:val="0"/>
          <w:bCs w:val="0"/>
          <w:i w:val="0"/>
          <w:caps w:val="0"/>
          <w:color w:val="auto"/>
          <w:spacing w:val="0"/>
          <w:w w:val="100"/>
          <w:kern w:val="2"/>
          <w:sz w:val="32"/>
          <w:szCs w:val="32"/>
          <w:lang w:val="en-US" w:eastAsia="zh-CN" w:bidi="ar-SA"/>
        </w:rPr>
        <w:t>期开展疫情防控专题培训，开展应急演练2次。定期室内外消毒，并做好消毒记录。通过</w:t>
      </w:r>
      <w:r>
        <w:rPr>
          <w:rStyle w:val="16"/>
          <w:rFonts w:ascii="仿宋_GB2312" w:hAnsi="仿宋_GB2312" w:eastAsia="仿宋_GB2312"/>
          <w:b w:val="0"/>
          <w:bCs w:val="0"/>
          <w:i w:val="0"/>
          <w:caps w:val="0"/>
          <w:color w:val="auto"/>
          <w:spacing w:val="0"/>
          <w:w w:val="100"/>
          <w:kern w:val="2"/>
          <w:sz w:val="32"/>
          <w:szCs w:val="32"/>
          <w:lang w:val="en-US" w:eastAsia="zh-CN"/>
        </w:rPr>
        <w:t>宣传栏、LED显示屏和大厅视频滚动播放</w:t>
      </w:r>
      <w:r>
        <w:rPr>
          <w:rStyle w:val="16"/>
          <w:rFonts w:ascii="仿宋_GB2312" w:hAnsi="仿宋_GB2312" w:eastAsia="仿宋_GB2312"/>
          <w:b w:val="0"/>
          <w:bCs w:val="0"/>
          <w:i w:val="0"/>
          <w:caps w:val="0"/>
          <w:color w:val="auto"/>
          <w:spacing w:val="0"/>
          <w:w w:val="100"/>
          <w:kern w:val="2"/>
          <w:sz w:val="32"/>
          <w:szCs w:val="32"/>
          <w:lang w:val="en-US" w:eastAsia="zh-CN" w:bidi="ar-SA"/>
        </w:rPr>
        <w:t>等多种形式加强对全院人员进行新型冠状病毒感染的肺炎预防知识的宣传教育。持续全院人员健康监测，建立“一人一档”健康监测卡。</w:t>
      </w:r>
      <w:r>
        <w:rPr>
          <w:rStyle w:val="16"/>
          <w:rFonts w:ascii="仿宋_GB2312" w:hAnsi="仿宋_GB2312" w:eastAsia="仿宋_GB2312"/>
          <w:b w:val="0"/>
          <w:i w:val="0"/>
          <w:caps w:val="0"/>
          <w:color w:val="auto"/>
          <w:spacing w:val="0"/>
          <w:w w:val="100"/>
          <w:kern w:val="2"/>
          <w:sz w:val="32"/>
          <w:szCs w:val="32"/>
          <w:lang w:val="en-US" w:eastAsia="zh-CN" w:bidi="ar-SA"/>
        </w:rPr>
        <w:t>同时加强全院管理和监控，入院</w:t>
      </w:r>
      <w:r>
        <w:rPr>
          <w:rStyle w:val="16"/>
          <w:rFonts w:ascii="仿宋_GB2312" w:hAnsi="仿宋_GB2312" w:eastAsia="仿宋_GB2312"/>
          <w:b w:val="0"/>
          <w:bCs w:val="0"/>
          <w:i w:val="0"/>
          <w:caps w:val="0"/>
          <w:color w:val="auto"/>
          <w:spacing w:val="0"/>
          <w:w w:val="100"/>
          <w:kern w:val="2"/>
          <w:sz w:val="32"/>
          <w:szCs w:val="32"/>
          <w:lang w:val="en-US" w:eastAsia="zh-CN" w:bidi="ar-SA"/>
        </w:rPr>
        <w:t>必须健康询问、测体温、戴口罩、双码查验；</w:t>
      </w:r>
      <w:r>
        <w:rPr>
          <w:rStyle w:val="16"/>
          <w:rFonts w:ascii="仿宋_GB2312" w:hAnsi="仿宋_GB2312" w:eastAsia="仿宋_GB2312"/>
          <w:b w:val="0"/>
          <w:i w:val="0"/>
          <w:caps w:val="0"/>
          <w:color w:val="auto"/>
          <w:spacing w:val="0"/>
          <w:w w:val="100"/>
          <w:kern w:val="2"/>
          <w:sz w:val="32"/>
          <w:szCs w:val="32"/>
          <w:lang w:val="en-US" w:eastAsia="zh-CN" w:bidi="ar-SA"/>
        </w:rPr>
        <w:t>建立人员进出登记和外来物资</w:t>
      </w:r>
      <w:r>
        <w:rPr>
          <w:rStyle w:val="16"/>
          <w:rFonts w:hint="eastAsia" w:ascii="仿宋_GB2312" w:hAnsi="仿宋_GB2312" w:eastAsia="仿宋_GB2312"/>
          <w:b w:val="0"/>
          <w:i w:val="0"/>
          <w:caps w:val="0"/>
          <w:color w:val="auto"/>
          <w:spacing w:val="0"/>
          <w:w w:val="100"/>
          <w:kern w:val="2"/>
          <w:sz w:val="32"/>
          <w:szCs w:val="32"/>
          <w:lang w:val="en-US" w:eastAsia="zh-CN" w:bidi="ar-SA"/>
        </w:rPr>
        <w:t>进院</w:t>
      </w:r>
      <w:r>
        <w:rPr>
          <w:rStyle w:val="16"/>
          <w:rFonts w:ascii="仿宋_GB2312" w:hAnsi="仿宋_GB2312" w:eastAsia="仿宋_GB2312"/>
          <w:b w:val="0"/>
          <w:i w:val="0"/>
          <w:caps w:val="0"/>
          <w:color w:val="auto"/>
          <w:spacing w:val="0"/>
          <w:w w:val="100"/>
          <w:kern w:val="2"/>
          <w:sz w:val="32"/>
          <w:szCs w:val="32"/>
          <w:lang w:val="en-US" w:eastAsia="zh-CN" w:bidi="ar-SA"/>
        </w:rPr>
        <w:t>台账。组织新冠疫苗接种116人，全院核酸检测大排查3次共计</w:t>
      </w:r>
      <w:r>
        <w:rPr>
          <w:rFonts w:hint="eastAsia" w:ascii="仿宋_GB2312" w:hAnsi="仿宋_GB2312" w:eastAsia="仿宋_GB2312"/>
          <w:b w:val="0"/>
          <w:i w:val="0"/>
          <w:caps w:val="0"/>
          <w:color w:val="auto"/>
          <w:spacing w:val="0"/>
          <w:w w:val="100"/>
          <w:sz w:val="32"/>
          <w:highlight w:val="none"/>
          <w:lang w:val="en-US" w:eastAsia="zh-CN"/>
        </w:rPr>
        <w:t>615</w:t>
      </w:r>
      <w:r>
        <w:rPr>
          <w:rFonts w:ascii="仿宋_GB2312" w:hAnsi="仿宋_GB2312" w:eastAsia="仿宋_GB2312"/>
          <w:b w:val="0"/>
          <w:i w:val="0"/>
          <w:caps w:val="0"/>
          <w:color w:val="auto"/>
          <w:spacing w:val="0"/>
          <w:w w:val="100"/>
          <w:sz w:val="32"/>
          <w:highlight w:val="none"/>
        </w:rPr>
        <w:t>人次</w:t>
      </w:r>
      <w:r>
        <w:rPr>
          <w:rStyle w:val="16"/>
          <w:rFonts w:ascii="仿宋_GB2312" w:hAnsi="仿宋_GB2312" w:eastAsia="仿宋_GB2312"/>
          <w:b w:val="0"/>
          <w:i w:val="0"/>
          <w:caps w:val="0"/>
          <w:color w:val="auto"/>
          <w:spacing w:val="0"/>
          <w:w w:val="100"/>
          <w:kern w:val="2"/>
          <w:sz w:val="32"/>
          <w:szCs w:val="32"/>
          <w:highlight w:val="none"/>
          <w:lang w:val="en-US" w:eastAsia="zh-CN" w:bidi="ar-SA"/>
        </w:rPr>
        <w:t>，</w:t>
      </w:r>
      <w:r>
        <w:rPr>
          <w:rStyle w:val="16"/>
          <w:rFonts w:ascii="仿宋_GB2312" w:hAnsi="仿宋_GB2312" w:eastAsia="仿宋_GB2312"/>
          <w:b w:val="0"/>
          <w:i w:val="0"/>
          <w:caps w:val="0"/>
          <w:color w:val="auto"/>
          <w:spacing w:val="0"/>
          <w:w w:val="100"/>
          <w:kern w:val="2"/>
          <w:sz w:val="32"/>
          <w:szCs w:val="32"/>
          <w:lang w:val="en-US" w:eastAsia="zh-CN" w:bidi="ar-SA"/>
        </w:rPr>
        <w:t>每月核酸检测抽检全年共</w:t>
      </w:r>
      <w:r>
        <w:rPr>
          <w:rFonts w:ascii="仿宋_GB2312" w:hAnsi="仿宋_GB2312" w:eastAsia="仿宋_GB2312"/>
          <w:b w:val="0"/>
          <w:i w:val="0"/>
          <w:caps w:val="0"/>
          <w:color w:val="auto"/>
          <w:spacing w:val="0"/>
          <w:w w:val="100"/>
          <w:sz w:val="32"/>
          <w:highlight w:val="white"/>
        </w:rPr>
        <w:t>计</w:t>
      </w:r>
      <w:r>
        <w:rPr>
          <w:rFonts w:hint="eastAsia" w:ascii="仿宋_GB2312" w:hAnsi="仿宋_GB2312" w:eastAsia="仿宋_GB2312"/>
          <w:b w:val="0"/>
          <w:i w:val="0"/>
          <w:caps w:val="0"/>
          <w:color w:val="auto"/>
          <w:spacing w:val="0"/>
          <w:w w:val="100"/>
          <w:sz w:val="32"/>
          <w:highlight w:val="white"/>
          <w:lang w:val="en-US" w:eastAsia="zh-CN"/>
        </w:rPr>
        <w:t>120</w:t>
      </w:r>
      <w:r>
        <w:rPr>
          <w:rFonts w:ascii="仿宋_GB2312" w:hAnsi="仿宋_GB2312" w:eastAsia="仿宋_GB2312"/>
          <w:b w:val="0"/>
          <w:i w:val="0"/>
          <w:caps w:val="0"/>
          <w:color w:val="auto"/>
          <w:spacing w:val="0"/>
          <w:w w:val="100"/>
          <w:sz w:val="32"/>
          <w:highlight w:val="white"/>
        </w:rPr>
        <w:t>次。</w:t>
      </w:r>
      <w:r>
        <w:rPr>
          <w:rStyle w:val="16"/>
          <w:rFonts w:ascii="仿宋_GB2312" w:hAnsi="仿宋_GB2312" w:eastAsia="仿宋_GB2312"/>
          <w:b w:val="0"/>
          <w:i w:val="0"/>
          <w:caps w:val="0"/>
          <w:color w:val="auto"/>
          <w:spacing w:val="0"/>
          <w:w w:val="100"/>
          <w:kern w:val="2"/>
          <w:sz w:val="32"/>
          <w:szCs w:val="32"/>
          <w:lang w:val="en-US" w:eastAsia="zh-CN" w:bidi="ar-SA"/>
        </w:rPr>
        <w:t>协助环境</w:t>
      </w:r>
      <w:r>
        <w:rPr>
          <w:rStyle w:val="16"/>
          <w:rFonts w:hint="eastAsia" w:ascii="仿宋_GB2312" w:hAnsi="仿宋_GB2312" w:eastAsia="仿宋_GB2312"/>
          <w:b w:val="0"/>
          <w:i w:val="0"/>
          <w:caps w:val="0"/>
          <w:color w:val="auto"/>
          <w:spacing w:val="0"/>
          <w:w w:val="100"/>
          <w:kern w:val="2"/>
          <w:sz w:val="32"/>
          <w:szCs w:val="32"/>
          <w:lang w:val="en-US" w:eastAsia="zh-CN" w:bidi="ar-SA"/>
        </w:rPr>
        <w:t>核酸检测</w:t>
      </w:r>
      <w:r>
        <w:rPr>
          <w:rStyle w:val="16"/>
          <w:rFonts w:ascii="仿宋_GB2312" w:hAnsi="仿宋_GB2312" w:eastAsia="仿宋_GB2312"/>
          <w:b w:val="0"/>
          <w:i w:val="0"/>
          <w:caps w:val="0"/>
          <w:color w:val="auto"/>
          <w:spacing w:val="0"/>
          <w:w w:val="100"/>
          <w:kern w:val="2"/>
          <w:sz w:val="32"/>
          <w:szCs w:val="32"/>
          <w:lang w:val="en-US" w:eastAsia="zh-CN" w:bidi="ar-SA"/>
        </w:rPr>
        <w:t>采样，多次接受我院上级部门和卫生部门疫情防控督查检查。保障在院儿童、老人及员工身体健康和人身安全。</w:t>
      </w:r>
    </w:p>
    <w:p>
      <w:pPr>
        <w:keepNext w:val="0"/>
        <w:keepLines w:val="0"/>
        <w:pageBreakBefore w:val="0"/>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baseline"/>
        <w:rPr>
          <w:rStyle w:val="16"/>
          <w:rFonts w:ascii="楷体" w:hAnsi="楷体" w:eastAsia="楷体"/>
          <w:b w:val="0"/>
          <w:i w:val="0"/>
          <w:caps w:val="0"/>
          <w:spacing w:val="0"/>
          <w:w w:val="100"/>
          <w:kern w:val="2"/>
          <w:sz w:val="32"/>
          <w:szCs w:val="32"/>
          <w:lang w:val="en-US" w:eastAsia="zh-CN" w:bidi="ar-SA"/>
        </w:rPr>
      </w:pPr>
      <w:r>
        <w:rPr>
          <w:rStyle w:val="16"/>
          <w:rFonts w:ascii="楷体" w:hAnsi="楷体" w:eastAsia="楷体"/>
          <w:b w:val="0"/>
          <w:i w:val="0"/>
          <w:caps w:val="0"/>
          <w:spacing w:val="0"/>
          <w:w w:val="100"/>
          <w:kern w:val="2"/>
          <w:sz w:val="32"/>
          <w:szCs w:val="32"/>
          <w:lang w:val="en-US" w:eastAsia="zh-CN" w:bidi="ar-SA"/>
        </w:rPr>
        <w:t>（</w:t>
      </w:r>
      <w:r>
        <w:rPr>
          <w:rStyle w:val="16"/>
          <w:rFonts w:hint="eastAsia" w:ascii="楷体" w:hAnsi="楷体" w:eastAsia="楷体"/>
          <w:b w:val="0"/>
          <w:i w:val="0"/>
          <w:caps w:val="0"/>
          <w:spacing w:val="0"/>
          <w:w w:val="100"/>
          <w:kern w:val="2"/>
          <w:sz w:val="32"/>
          <w:szCs w:val="32"/>
          <w:lang w:val="en-US" w:eastAsia="zh-CN" w:bidi="ar-SA"/>
        </w:rPr>
        <w:t>六</w:t>
      </w:r>
      <w:r>
        <w:rPr>
          <w:rStyle w:val="16"/>
          <w:rFonts w:ascii="楷体" w:hAnsi="楷体" w:eastAsia="楷体"/>
          <w:b w:val="0"/>
          <w:i w:val="0"/>
          <w:caps w:val="0"/>
          <w:spacing w:val="0"/>
          <w:w w:val="100"/>
          <w:kern w:val="2"/>
          <w:sz w:val="32"/>
          <w:szCs w:val="32"/>
          <w:lang w:val="en-US" w:eastAsia="zh-CN" w:bidi="ar-SA"/>
        </w:rPr>
        <w:t>）全面落实安全生产</w:t>
      </w:r>
    </w:p>
    <w:p>
      <w:pPr>
        <w:keepNext w:val="0"/>
        <w:keepLines w:val="0"/>
        <w:pageBreakBefore w:val="0"/>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baseline"/>
        <w:rPr>
          <w:rStyle w:val="16"/>
          <w:rFonts w:ascii="仿宋_GB2312" w:hAnsi="仿宋_GB2312" w:eastAsia="仿宋_GB2312"/>
          <w:b w:val="0"/>
          <w:i w:val="0"/>
          <w:caps w:val="0"/>
          <w:spacing w:val="0"/>
          <w:w w:val="100"/>
          <w:kern w:val="2"/>
          <w:sz w:val="32"/>
          <w:szCs w:val="32"/>
          <w:lang w:val="en-US" w:eastAsia="zh-CN" w:bidi="ar-SA"/>
        </w:rPr>
      </w:pPr>
      <w:r>
        <w:rPr>
          <w:rStyle w:val="16"/>
          <w:rFonts w:ascii="仿宋_GB2312" w:hAnsi="仿宋_GB2312" w:eastAsia="仿宋_GB2312"/>
          <w:b w:val="0"/>
          <w:i w:val="0"/>
          <w:caps w:val="0"/>
          <w:spacing w:val="0"/>
          <w:w w:val="100"/>
          <w:kern w:val="2"/>
          <w:sz w:val="32"/>
          <w:szCs w:val="32"/>
          <w:lang w:val="en-US" w:eastAsia="zh-CN" w:bidi="ar-SA"/>
        </w:rPr>
        <w:t>一是强化责任领导。成立院安全生产领导小组，并常态化对院内重点区域进行全面细致开展安全隐患排查，消除各类潜在安全隐患，每月不少于2次。二是落实安全责任机制。以院长为第一责任人，单位与各科室签订安全责任书，</w:t>
      </w:r>
      <w:r>
        <w:rPr>
          <w:rStyle w:val="16"/>
          <w:rFonts w:hint="eastAsia" w:ascii="仿宋_GB2312" w:hAnsi="仿宋_GB2312" w:eastAsia="仿宋_GB2312"/>
          <w:b w:val="0"/>
          <w:i w:val="0"/>
          <w:caps w:val="0"/>
          <w:spacing w:val="0"/>
          <w:w w:val="100"/>
          <w:kern w:val="2"/>
          <w:sz w:val="32"/>
          <w:szCs w:val="32"/>
          <w:lang w:val="en-US" w:eastAsia="zh-CN" w:bidi="ar-SA"/>
        </w:rPr>
        <w:t>修订</w:t>
      </w:r>
      <w:r>
        <w:rPr>
          <w:rStyle w:val="16"/>
          <w:rFonts w:ascii="仿宋_GB2312" w:hAnsi="仿宋_GB2312" w:eastAsia="仿宋_GB2312"/>
          <w:b w:val="0"/>
          <w:i w:val="0"/>
          <w:caps w:val="0"/>
          <w:spacing w:val="0"/>
          <w:w w:val="100"/>
          <w:kern w:val="2"/>
          <w:sz w:val="32"/>
          <w:szCs w:val="32"/>
          <w:lang w:val="en-US" w:eastAsia="zh-CN" w:bidi="ar-SA"/>
        </w:rPr>
        <w:t>完善相关制度和应急预案。三是加大安全知识宣传和演练。全院开展防灾减灾避震逃生专项应急疏散演练和消防知识宣传和应急演练共2次，培训人员300余人次；同时深入脱贫帮扶村集中开展了安全知识宣讲，并发放安全知识宣传传单400余份。四是坚持隐患清“零”工作。</w:t>
      </w:r>
      <w:r>
        <w:rPr>
          <w:rStyle w:val="16"/>
          <w:rFonts w:ascii="仿宋" w:hAnsi="仿宋" w:eastAsia="仿宋"/>
          <w:b w:val="0"/>
          <w:i w:val="0"/>
          <w:caps w:val="0"/>
          <w:spacing w:val="0"/>
          <w:w w:val="100"/>
          <w:kern w:val="2"/>
          <w:sz w:val="32"/>
          <w:szCs w:val="32"/>
          <w:lang w:val="en-US" w:eastAsia="zh-CN" w:bidi="ar-SA"/>
        </w:rPr>
        <w:t>全面开展安全隐患排查,</w:t>
      </w:r>
      <w:r>
        <w:rPr>
          <w:rStyle w:val="16"/>
          <w:rFonts w:ascii="仿宋_GB2312" w:hAnsi="仿宋_GB2312" w:eastAsia="仿宋_GB2312"/>
          <w:b w:val="0"/>
          <w:i w:val="0"/>
          <w:caps w:val="0"/>
          <w:spacing w:val="0"/>
          <w:w w:val="100"/>
          <w:kern w:val="2"/>
          <w:sz w:val="32"/>
          <w:szCs w:val="32"/>
          <w:lang w:val="en-US" w:eastAsia="zh-CN" w:bidi="ar-SA"/>
        </w:rPr>
        <w:t>在安全隐患排查工作中发现的隐患，制定安全清单制，依托“双控平台”，下发隐患整改清单，明确整治要求、期限、责任人和具体督办人员，对存在重大隐患的地方实施全过程的监控和整改，直至隐患消除。</w:t>
      </w:r>
    </w:p>
    <w:p>
      <w:pPr>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baseline"/>
        <w:rPr>
          <w:rStyle w:val="16"/>
          <w:rFonts w:ascii="楷体" w:hAnsi="楷体" w:eastAsia="楷体"/>
          <w:b w:val="0"/>
          <w:bCs w:val="0"/>
          <w:i w:val="0"/>
          <w:caps w:val="0"/>
          <w:spacing w:val="0"/>
          <w:w w:val="100"/>
          <w:kern w:val="2"/>
          <w:sz w:val="32"/>
          <w:szCs w:val="32"/>
          <w:lang w:val="en-US" w:eastAsia="zh-CN" w:bidi="ar-SA"/>
        </w:rPr>
      </w:pPr>
      <w:r>
        <w:rPr>
          <w:rStyle w:val="16"/>
          <w:rFonts w:hint="eastAsia" w:ascii="楷体" w:hAnsi="楷体" w:eastAsia="楷体"/>
          <w:b w:val="0"/>
          <w:bCs w:val="0"/>
          <w:i w:val="0"/>
          <w:caps w:val="0"/>
          <w:spacing w:val="0"/>
          <w:w w:val="100"/>
          <w:kern w:val="2"/>
          <w:sz w:val="32"/>
          <w:szCs w:val="32"/>
          <w:lang w:val="en-US" w:eastAsia="zh-CN" w:bidi="ar-SA"/>
        </w:rPr>
        <w:t>（七）</w:t>
      </w:r>
      <w:r>
        <w:rPr>
          <w:rStyle w:val="16"/>
          <w:rFonts w:ascii="楷体" w:hAnsi="楷体" w:eastAsia="楷体"/>
          <w:b w:val="0"/>
          <w:bCs w:val="0"/>
          <w:i w:val="0"/>
          <w:caps w:val="0"/>
          <w:spacing w:val="0"/>
          <w:w w:val="100"/>
          <w:kern w:val="2"/>
          <w:sz w:val="32"/>
          <w:szCs w:val="32"/>
          <w:lang w:val="en-US" w:eastAsia="zh-CN" w:bidi="ar-SA"/>
        </w:rPr>
        <w:t>认真做好脱贫攻坚收尾和乡村振兴开局工作</w:t>
      </w:r>
    </w:p>
    <w:p>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baseline"/>
        <w:rPr>
          <w:rStyle w:val="16"/>
          <w:rFonts w:ascii="Calibri" w:hAnsi="Calibri" w:eastAsia="仿宋_GB2312"/>
          <w:b w:val="0"/>
          <w:i w:val="0"/>
          <w:caps w:val="0"/>
          <w:spacing w:val="0"/>
          <w:w w:val="100"/>
          <w:kern w:val="2"/>
          <w:sz w:val="21"/>
          <w:szCs w:val="24"/>
          <w:lang w:val="en-US" w:eastAsia="zh-CN" w:bidi="ar-SA"/>
        </w:rPr>
      </w:pPr>
      <w:r>
        <w:rPr>
          <w:rStyle w:val="16"/>
          <w:rFonts w:ascii="仿宋_GB2312" w:hAnsi="仿宋_GB2312" w:eastAsia="仿宋_GB2312"/>
          <w:b w:val="0"/>
          <w:bCs w:val="0"/>
          <w:i w:val="0"/>
          <w:caps w:val="0"/>
          <w:spacing w:val="0"/>
          <w:w w:val="100"/>
          <w:kern w:val="2"/>
          <w:sz w:val="32"/>
          <w:szCs w:val="32"/>
          <w:lang w:val="en-US" w:eastAsia="zh-CN" w:bidi="ar-SA"/>
        </w:rPr>
        <w:t>我院承接的脱贫攻坚村完美收官，全部按照政策完成相关工作。</w:t>
      </w:r>
      <w:r>
        <w:rPr>
          <w:rStyle w:val="16"/>
          <w:rFonts w:ascii="仿宋_GB2312" w:hAnsi="仿宋_GB2312" w:eastAsia="仿宋_GB2312"/>
          <w:b w:val="0"/>
          <w:i w:val="0"/>
          <w:caps w:val="0"/>
          <w:spacing w:val="0"/>
          <w:w w:val="100"/>
          <w:kern w:val="2"/>
          <w:sz w:val="32"/>
          <w:szCs w:val="32"/>
          <w:lang w:val="en-US" w:eastAsia="zh-CN" w:bidi="ar-SA"/>
        </w:rPr>
        <w:t>自今年8月10日由市局安排对旺苍县三江镇三江坝社区开展乡村振兴帮扶工作，根据市局和单位的总体安排部署，实施推进三江坝社区乡村振兴工作任务。严格按照乡村振兴工作队管理制度和具体要求，积极到社区开展工作。一是认真开展调研，熟悉基本情况。通过查阅资料、实地走访深入群众，全面了解社区情况，撰写《三江社区基本情况汇报》。二是协助社区加强基层组织建设，发挥堡垒作用。以十九大精神为指导，结合社区实际，坚持自治、法制、德治并举，努力促使社区社会崇尚新风、充满活力、和谐有序。三是积极协助社区疫情联防联控，打赢疫情防控阻击战。四是抓稳定，促和谐。协助社区两委班子抓好社会治安综合治理，积极排查和化解矛盾纠纷</w:t>
      </w:r>
      <w:r>
        <w:rPr>
          <w:rStyle w:val="16"/>
          <w:rFonts w:hint="eastAsia" w:ascii="仿宋_GB2312" w:hAnsi="仿宋_GB2312" w:eastAsia="仿宋_GB2312"/>
          <w:b w:val="0"/>
          <w:i w:val="0"/>
          <w:caps w:val="0"/>
          <w:spacing w:val="0"/>
          <w:w w:val="100"/>
          <w:kern w:val="2"/>
          <w:sz w:val="32"/>
          <w:szCs w:val="32"/>
          <w:lang w:val="en-US" w:eastAsia="zh-CN" w:bidi="ar-SA"/>
        </w:rPr>
        <w:t>。</w:t>
      </w:r>
      <w:r>
        <w:rPr>
          <w:rStyle w:val="16"/>
          <w:rFonts w:ascii="仿宋_GB2312" w:hAnsi="仿宋_GB2312" w:eastAsia="仿宋_GB2312"/>
          <w:b w:val="0"/>
          <w:i w:val="0"/>
          <w:caps w:val="0"/>
          <w:spacing w:val="0"/>
          <w:w w:val="100"/>
          <w:kern w:val="2"/>
          <w:sz w:val="32"/>
          <w:szCs w:val="32"/>
          <w:lang w:val="en-US" w:eastAsia="zh-CN" w:bidi="ar-SA"/>
        </w:rPr>
        <w:t>五是积极协调，帮办实事。</w:t>
      </w:r>
    </w:p>
    <w:p>
      <w:pPr>
        <w:pageBreakBefore w:val="0"/>
        <w:kinsoku/>
        <w:wordWrap/>
        <w:overflowPunct/>
        <w:topLinePunct w:val="0"/>
        <w:bidi w:val="0"/>
        <w:snapToGrid/>
        <w:spacing w:line="576" w:lineRule="exact"/>
        <w:rPr>
          <w:rFonts w:hint="eastAsia"/>
          <w:lang w:eastAsia="zh-CN"/>
        </w:rPr>
      </w:pPr>
    </w:p>
    <w:p>
      <w:pPr>
        <w:pageBreakBefore w:val="0"/>
        <w:kinsoku/>
        <w:wordWrap/>
        <w:overflowPunct/>
        <w:topLinePunct w:val="0"/>
        <w:bidi w:val="0"/>
        <w:snapToGrid/>
        <w:spacing w:line="576" w:lineRule="exact"/>
        <w:rPr>
          <w:rFonts w:hint="eastAsia"/>
        </w:rPr>
      </w:pPr>
    </w:p>
    <w:p>
      <w:pPr>
        <w:pageBreakBefore w:val="0"/>
        <w:widowControl/>
        <w:kinsoku/>
        <w:wordWrap/>
        <w:overflowPunct/>
        <w:topLinePunct w:val="0"/>
        <w:bidi w:val="0"/>
        <w:snapToGrid/>
        <w:spacing w:line="576" w:lineRule="exact"/>
        <w:jc w:val="left"/>
        <w:rPr>
          <w:rFonts w:ascii="仿宋" w:hAnsi="仿宋" w:eastAsia="仿宋"/>
          <w:color w:val="auto"/>
          <w:kern w:val="0"/>
          <w:sz w:val="32"/>
          <w:szCs w:val="32"/>
          <w:highlight w:val="none"/>
        </w:rPr>
      </w:pPr>
      <w:r>
        <w:rPr>
          <w:rFonts w:ascii="仿宋" w:hAnsi="仿宋" w:eastAsia="仿宋"/>
          <w:color w:val="auto"/>
          <w:sz w:val="32"/>
          <w:szCs w:val="32"/>
          <w:highlight w:val="none"/>
        </w:rPr>
        <w:br w:type="page"/>
      </w:r>
    </w:p>
    <w:p>
      <w:pPr>
        <w:pStyle w:val="3"/>
        <w:pageBreakBefore w:val="0"/>
        <w:kinsoku/>
        <w:wordWrap/>
        <w:overflowPunct/>
        <w:topLinePunct w:val="0"/>
        <w:bidi w:val="0"/>
        <w:snapToGrid/>
        <w:spacing w:line="576" w:lineRule="exact"/>
        <w:ind w:right="440"/>
        <w:jc w:val="center"/>
        <w:rPr>
          <w:rStyle w:val="26"/>
          <w:rFonts w:ascii="黑体" w:hAnsi="黑体" w:eastAsia="黑体"/>
          <w:b w:val="0"/>
          <w:bCs/>
          <w:color w:val="auto"/>
          <w:highlight w:val="none"/>
        </w:rPr>
      </w:pPr>
      <w:bookmarkStart w:id="16" w:name="_Toc15396602"/>
      <w:bookmarkStart w:id="17" w:name="_Toc15377204"/>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2021年度</w:t>
      </w:r>
      <w:r>
        <w:rPr>
          <w:rStyle w:val="26"/>
          <w:rFonts w:hint="eastAsia" w:ascii="黑体" w:hAnsi="黑体" w:eastAsia="黑体"/>
          <w:b w:val="0"/>
          <w:bCs/>
          <w:color w:val="auto"/>
          <w:highlight w:val="none"/>
          <w:lang w:eastAsia="zh-CN"/>
        </w:rPr>
        <w:t>单位</w:t>
      </w:r>
      <w:r>
        <w:rPr>
          <w:rStyle w:val="26"/>
          <w:rFonts w:hint="eastAsia" w:ascii="黑体" w:hAnsi="黑体" w:eastAsia="黑体"/>
          <w:b w:val="0"/>
          <w:bCs/>
          <w:color w:val="auto"/>
          <w:highlight w:val="none"/>
        </w:rPr>
        <w:t>决算情况说明</w:t>
      </w:r>
      <w:bookmarkEnd w:id="16"/>
      <w:bookmarkEnd w:id="17"/>
    </w:p>
    <w:p>
      <w:pPr>
        <w:pageBreakBefore w:val="0"/>
        <w:kinsoku/>
        <w:wordWrap/>
        <w:overflowPunct/>
        <w:topLinePunct w:val="0"/>
        <w:bidi w:val="0"/>
        <w:snapToGrid/>
        <w:spacing w:line="576" w:lineRule="exact"/>
        <w:rPr>
          <w:color w:val="auto"/>
          <w:highlight w:val="none"/>
        </w:rPr>
      </w:pPr>
    </w:p>
    <w:p>
      <w:pPr>
        <w:pStyle w:val="25"/>
        <w:pageBreakBefore w:val="0"/>
        <w:numPr>
          <w:ilvl w:val="0"/>
          <w:numId w:val="1"/>
        </w:numPr>
        <w:kinsoku/>
        <w:wordWrap/>
        <w:overflowPunct/>
        <w:topLinePunct w:val="0"/>
        <w:bidi w:val="0"/>
        <w:snapToGrid/>
        <w:spacing w:line="576" w:lineRule="exact"/>
        <w:ind w:firstLineChars="0"/>
        <w:outlineLvl w:val="1"/>
        <w:rPr>
          <w:rStyle w:val="27"/>
          <w:rFonts w:ascii="黑体" w:hAnsi="黑体" w:eastAsia="黑体"/>
          <w:b w:val="0"/>
          <w:color w:val="auto"/>
          <w:highlight w:val="none"/>
        </w:rPr>
      </w:pPr>
      <w:bookmarkStart w:id="18" w:name="_Toc15377205"/>
      <w:bookmarkStart w:id="19" w:name="_Toc15396603"/>
      <w:r>
        <w:rPr>
          <w:rFonts w:hint="eastAsia" w:ascii="黑体" w:hAnsi="黑体" w:eastAsia="黑体"/>
          <w:color w:val="auto"/>
          <w:sz w:val="32"/>
          <w:szCs w:val="32"/>
          <w:highlight w:val="none"/>
        </w:rPr>
        <w:t>收</w:t>
      </w:r>
      <w:r>
        <w:rPr>
          <w:rStyle w:val="27"/>
          <w:rFonts w:hint="eastAsia" w:ascii="黑体" w:hAnsi="黑体" w:eastAsia="黑体"/>
          <w:b w:val="0"/>
          <w:color w:val="auto"/>
          <w:highlight w:val="none"/>
        </w:rPr>
        <w:t>入支出决算总体情况说明</w:t>
      </w:r>
      <w:bookmarkEnd w:id="18"/>
      <w:bookmarkEnd w:id="19"/>
    </w:p>
    <w:p>
      <w:pPr>
        <w:pageBreakBefore w:val="0"/>
        <w:kinsoku/>
        <w:wordWrap/>
        <w:overflowPunct/>
        <w:topLinePunct w:val="0"/>
        <w:bidi w:val="0"/>
        <w:snapToGrid/>
        <w:spacing w:line="576" w:lineRule="exact"/>
        <w:ind w:firstLine="640" w:firstLineChars="200"/>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年度收、支总计</w:t>
      </w:r>
      <w:r>
        <w:rPr>
          <w:rFonts w:hint="eastAsia" w:ascii="仿宋" w:hAnsi="仿宋" w:eastAsia="仿宋"/>
          <w:color w:val="auto"/>
          <w:sz w:val="32"/>
          <w:szCs w:val="32"/>
          <w:highlight w:val="none"/>
          <w:lang w:val="en-US" w:eastAsia="zh-CN"/>
        </w:rPr>
        <w:t>919.24</w:t>
      </w:r>
      <w:r>
        <w:rPr>
          <w:rFonts w:hint="eastAsia" w:ascii="仿宋" w:hAnsi="仿宋" w:eastAsia="仿宋"/>
          <w:color w:val="auto"/>
          <w:sz w:val="32"/>
          <w:szCs w:val="32"/>
          <w:highlight w:val="none"/>
        </w:rPr>
        <w:t>万元。与20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年相比，收、支总计各增加</w:t>
      </w:r>
      <w:r>
        <w:rPr>
          <w:rFonts w:hint="eastAsia" w:ascii="仿宋" w:hAnsi="仿宋" w:eastAsia="仿宋"/>
          <w:color w:val="auto"/>
          <w:sz w:val="32"/>
          <w:szCs w:val="32"/>
          <w:highlight w:val="none"/>
          <w:lang w:val="en-US" w:eastAsia="zh-CN"/>
        </w:rPr>
        <w:t>858.84</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1421.92</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val="en-US" w:eastAsia="zh-CN"/>
        </w:rPr>
        <w:t>2020年3月因机构改革新设立广元市儿童福利院，12月底由市社会福利院划转29名编制到市儿童福利院，2020年初无预算编制，2021年开始正式编制预算，实现人员运转及项目支出。</w:t>
      </w:r>
    </w:p>
    <w:p>
      <w:pPr>
        <w:keepNext w:val="0"/>
        <w:keepLines w:val="0"/>
        <w:pageBreakBefore w:val="0"/>
        <w:widowControl w:val="0"/>
        <w:kinsoku/>
        <w:wordWrap/>
        <w:overflowPunct/>
        <w:topLinePunct w:val="0"/>
        <w:autoSpaceDE/>
        <w:autoSpaceDN/>
        <w:bidi w:val="0"/>
        <w:adjustRightInd/>
        <w:snapToGrid/>
        <w:spacing w:line="576" w:lineRule="exact"/>
        <w:ind w:firstLine="0" w:firstLineChars="0"/>
        <w:jc w:val="center"/>
        <w:textAlignment w:val="auto"/>
        <w:rPr>
          <w:rFonts w:hint="eastAsia" w:ascii="仿宋" w:hAnsi="仿宋" w:eastAsia="仿宋"/>
          <w:color w:val="auto"/>
          <w:sz w:val="32"/>
          <w:szCs w:val="32"/>
          <w:highlight w:val="none"/>
        </w:rPr>
      </w:pPr>
      <w:r>
        <w:rPr>
          <w:rFonts w:hint="default"/>
          <w:lang w:val="en-US" w:eastAsia="zh-CN"/>
        </w:rPr>
        <w:drawing>
          <wp:anchor distT="0" distB="0" distL="114300" distR="114300" simplePos="0" relativeHeight="251662336" behindDoc="0" locked="0" layoutInCell="1" allowOverlap="1">
            <wp:simplePos x="0" y="0"/>
            <wp:positionH relativeFrom="column">
              <wp:posOffset>90170</wp:posOffset>
            </wp:positionH>
            <wp:positionV relativeFrom="paragraph">
              <wp:posOffset>299085</wp:posOffset>
            </wp:positionV>
            <wp:extent cx="5080000" cy="3810000"/>
            <wp:effectExtent l="4445" t="4445" r="20955" b="14605"/>
            <wp:wrapSquare wrapText="bothSides"/>
            <wp:docPr id="6" name="图表 6" descr="7b0a202020202263686172745265734964223a202234353638333034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r>
        <w:rPr>
          <w:rFonts w:hint="eastAsia" w:ascii="仿宋" w:hAnsi="仿宋" w:eastAsia="仿宋"/>
          <w:color w:val="auto"/>
          <w:sz w:val="32"/>
          <w:szCs w:val="32"/>
          <w:highlight w:val="none"/>
        </w:rPr>
        <w:t>（图1：收、支决算总计变动情况图）（柱状图）</w:t>
      </w:r>
    </w:p>
    <w:p>
      <w:pPr>
        <w:pageBreakBefore w:val="0"/>
        <w:kinsoku/>
        <w:wordWrap/>
        <w:overflowPunct/>
        <w:topLinePunct w:val="0"/>
        <w:bidi w:val="0"/>
        <w:snapToGrid/>
        <w:spacing w:line="576" w:lineRule="exact"/>
        <w:ind w:firstLine="640" w:firstLineChars="200"/>
        <w:jc w:val="left"/>
        <w:rPr>
          <w:rFonts w:ascii="仿宋_GB2312" w:eastAsia="仿宋_GB2312"/>
          <w:color w:val="auto"/>
          <w:sz w:val="32"/>
          <w:szCs w:val="32"/>
          <w:highlight w:val="none"/>
        </w:rPr>
      </w:pPr>
    </w:p>
    <w:p>
      <w:pPr>
        <w:pStyle w:val="25"/>
        <w:pageBreakBefore w:val="0"/>
        <w:numPr>
          <w:ilvl w:val="0"/>
          <w:numId w:val="1"/>
        </w:numPr>
        <w:kinsoku/>
        <w:wordWrap/>
        <w:overflowPunct/>
        <w:topLinePunct w:val="0"/>
        <w:bidi w:val="0"/>
        <w:snapToGrid/>
        <w:spacing w:line="576" w:lineRule="exact"/>
        <w:ind w:firstLineChars="0"/>
        <w:outlineLvl w:val="1"/>
        <w:rPr>
          <w:rStyle w:val="27"/>
          <w:rFonts w:ascii="黑体" w:hAnsi="黑体" w:eastAsia="黑体"/>
          <w:b w:val="0"/>
          <w:color w:val="auto"/>
          <w:highlight w:val="none"/>
        </w:rPr>
      </w:pPr>
      <w:bookmarkStart w:id="20" w:name="_Toc15396604"/>
      <w:bookmarkStart w:id="21" w:name="_Toc15377206"/>
      <w:r>
        <w:rPr>
          <w:rFonts w:hint="eastAsia" w:ascii="黑体" w:hAnsi="黑体" w:eastAsia="黑体"/>
          <w:color w:val="auto"/>
          <w:sz w:val="32"/>
          <w:szCs w:val="32"/>
          <w:highlight w:val="none"/>
        </w:rPr>
        <w:t>收</w:t>
      </w:r>
      <w:r>
        <w:rPr>
          <w:rStyle w:val="27"/>
          <w:rFonts w:hint="eastAsia" w:ascii="黑体" w:hAnsi="黑体" w:eastAsia="黑体"/>
          <w:b w:val="0"/>
          <w:color w:val="auto"/>
          <w:highlight w:val="none"/>
        </w:rPr>
        <w:t>入决算情况说明</w:t>
      </w:r>
      <w:bookmarkEnd w:id="20"/>
      <w:bookmarkEnd w:id="21"/>
    </w:p>
    <w:p>
      <w:pPr>
        <w:pageBreakBefore w:val="0"/>
        <w:kinsoku/>
        <w:wordWrap/>
        <w:overflowPunct/>
        <w:topLinePunct w:val="0"/>
        <w:bidi w:val="0"/>
        <w:snapToGrid/>
        <w:spacing w:line="576" w:lineRule="exact"/>
        <w:ind w:firstLine="640" w:firstLineChars="200"/>
        <w:outlineLvl w:val="1"/>
        <w:rPr>
          <w:rFonts w:hint="eastAsia" w:ascii="仿宋" w:hAnsi="仿宋" w:eastAsia="仿宋"/>
          <w:color w:val="FF0000"/>
          <w:sz w:val="32"/>
          <w:szCs w:val="32"/>
          <w:highlight w:val="none"/>
          <w:lang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年本年收入合计</w:t>
      </w:r>
      <w:r>
        <w:rPr>
          <w:rFonts w:hint="eastAsia" w:ascii="仿宋" w:hAnsi="仿宋" w:eastAsia="仿宋"/>
          <w:color w:val="auto"/>
          <w:sz w:val="32"/>
          <w:szCs w:val="32"/>
          <w:highlight w:val="none"/>
          <w:lang w:val="en-US" w:eastAsia="zh-CN"/>
        </w:rPr>
        <w:t>774.49</w:t>
      </w:r>
      <w:r>
        <w:rPr>
          <w:rFonts w:hint="eastAsia" w:ascii="仿宋" w:hAnsi="仿宋" w:eastAsia="仿宋"/>
          <w:color w:val="auto"/>
          <w:sz w:val="32"/>
          <w:szCs w:val="32"/>
          <w:highlight w:val="none"/>
        </w:rPr>
        <w:t>万元，其中：一般公共预算财政拨款收入</w:t>
      </w:r>
      <w:r>
        <w:rPr>
          <w:rFonts w:hint="eastAsia" w:ascii="仿宋" w:hAnsi="仿宋" w:eastAsia="仿宋"/>
          <w:color w:val="auto"/>
          <w:sz w:val="32"/>
          <w:szCs w:val="32"/>
          <w:highlight w:val="none"/>
          <w:lang w:val="en-US" w:eastAsia="zh-CN"/>
        </w:rPr>
        <w:t>703.1</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90.78</w:t>
      </w:r>
      <w:r>
        <w:rPr>
          <w:rFonts w:ascii="仿宋" w:hAnsi="仿宋" w:eastAsia="仿宋"/>
          <w:color w:val="auto"/>
          <w:sz w:val="32"/>
          <w:szCs w:val="32"/>
          <w:highlight w:val="none"/>
        </w:rPr>
        <w:t>%</w:t>
      </w:r>
      <w:r>
        <w:rPr>
          <w:rFonts w:hint="eastAsia" w:ascii="仿宋" w:hAnsi="仿宋" w:eastAsia="仿宋"/>
          <w:color w:val="auto"/>
          <w:sz w:val="32"/>
          <w:szCs w:val="32"/>
          <w:highlight w:val="none"/>
        </w:rPr>
        <w:t>；政府性基金预算财政拨款收入</w:t>
      </w:r>
      <w:r>
        <w:rPr>
          <w:rFonts w:hint="eastAsia" w:ascii="仿宋" w:hAnsi="仿宋" w:eastAsia="仿宋"/>
          <w:color w:val="auto"/>
          <w:sz w:val="32"/>
          <w:szCs w:val="32"/>
          <w:highlight w:val="none"/>
          <w:lang w:val="en-US" w:eastAsia="zh-CN"/>
        </w:rPr>
        <w:t>26</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3.36</w:t>
      </w:r>
      <w:r>
        <w:rPr>
          <w:rFonts w:ascii="仿宋" w:hAnsi="仿宋" w:eastAsia="仿宋"/>
          <w:color w:val="auto"/>
          <w:sz w:val="32"/>
          <w:szCs w:val="32"/>
          <w:highlight w:val="none"/>
        </w:rPr>
        <w:t>%</w:t>
      </w:r>
      <w:r>
        <w:rPr>
          <w:rFonts w:hint="eastAsia" w:ascii="仿宋" w:hAnsi="仿宋" w:eastAsia="仿宋"/>
          <w:color w:val="auto"/>
          <w:sz w:val="32"/>
          <w:szCs w:val="32"/>
          <w:highlight w:val="none"/>
        </w:rPr>
        <w:t>；其他收入</w:t>
      </w:r>
      <w:r>
        <w:rPr>
          <w:rFonts w:hint="eastAsia" w:ascii="仿宋" w:hAnsi="仿宋" w:eastAsia="仿宋"/>
          <w:color w:val="auto"/>
          <w:sz w:val="32"/>
          <w:szCs w:val="32"/>
          <w:highlight w:val="none"/>
          <w:lang w:val="en-US" w:eastAsia="zh-CN"/>
        </w:rPr>
        <w:t>45.39</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5.86</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76" w:lineRule="exact"/>
        <w:ind w:firstLine="0" w:firstLineChars="0"/>
        <w:jc w:val="center"/>
        <w:textAlignment w:val="auto"/>
        <w:outlineLvl w:val="1"/>
        <w:rPr>
          <w:rFonts w:ascii="仿宋" w:hAnsi="仿宋" w:eastAsia="仿宋"/>
          <w:color w:val="auto"/>
          <w:sz w:val="32"/>
          <w:szCs w:val="32"/>
          <w:highlight w:val="none"/>
        </w:rPr>
      </w:pPr>
      <w:r>
        <w:rPr>
          <w:rFonts w:hint="eastAsia" w:ascii="仿宋" w:hAnsi="仿宋" w:eastAsia="仿宋"/>
          <w:b/>
          <w:color w:val="auto"/>
          <w:sz w:val="32"/>
          <w:szCs w:val="32"/>
          <w:highlight w:val="none"/>
          <w:lang w:eastAsia="zh-CN"/>
        </w:rPr>
        <w:drawing>
          <wp:anchor distT="0" distB="0" distL="114935" distR="114935" simplePos="0" relativeHeight="251659264" behindDoc="0" locked="0" layoutInCell="1" allowOverlap="1">
            <wp:simplePos x="0" y="0"/>
            <wp:positionH relativeFrom="column">
              <wp:posOffset>166370</wp:posOffset>
            </wp:positionH>
            <wp:positionV relativeFrom="paragraph">
              <wp:posOffset>233045</wp:posOffset>
            </wp:positionV>
            <wp:extent cx="5080000" cy="3810000"/>
            <wp:effectExtent l="4445" t="4445" r="20955" b="52705"/>
            <wp:wrapSquare wrapText="bothSides"/>
            <wp:docPr id="11" name="图表 11" descr="7b0a202020202263686172745265734964223a20223230343732313936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r>
        <w:rPr>
          <w:rFonts w:hint="eastAsia" w:ascii="仿宋" w:hAnsi="仿宋" w:eastAsia="仿宋"/>
          <w:color w:val="auto"/>
          <w:sz w:val="32"/>
          <w:szCs w:val="32"/>
          <w:highlight w:val="none"/>
        </w:rPr>
        <w:t>（图2：收入决算结构图）（饼状图）</w:t>
      </w:r>
    </w:p>
    <w:p>
      <w:pPr>
        <w:pageBreakBefore w:val="0"/>
        <w:kinsoku/>
        <w:wordWrap/>
        <w:overflowPunct/>
        <w:topLinePunct w:val="0"/>
        <w:bidi w:val="0"/>
        <w:snapToGrid/>
        <w:spacing w:line="576" w:lineRule="exact"/>
        <w:ind w:firstLine="640" w:firstLineChars="200"/>
        <w:rPr>
          <w:rFonts w:ascii="仿宋_GB2312" w:eastAsia="仿宋_GB2312"/>
          <w:color w:val="auto"/>
          <w:sz w:val="32"/>
          <w:szCs w:val="32"/>
          <w:highlight w:val="none"/>
        </w:rPr>
      </w:pPr>
    </w:p>
    <w:p>
      <w:pPr>
        <w:pStyle w:val="25"/>
        <w:pageBreakBefore w:val="0"/>
        <w:numPr>
          <w:ilvl w:val="0"/>
          <w:numId w:val="1"/>
        </w:numPr>
        <w:kinsoku/>
        <w:wordWrap/>
        <w:overflowPunct/>
        <w:topLinePunct w:val="0"/>
        <w:bidi w:val="0"/>
        <w:snapToGrid/>
        <w:spacing w:line="576" w:lineRule="exact"/>
        <w:ind w:firstLineChars="0"/>
        <w:outlineLvl w:val="1"/>
        <w:rPr>
          <w:rStyle w:val="27"/>
          <w:rFonts w:ascii="黑体" w:hAnsi="黑体" w:eastAsia="黑体"/>
          <w:b w:val="0"/>
          <w:color w:val="auto"/>
          <w:highlight w:val="none"/>
        </w:rPr>
      </w:pPr>
      <w:bookmarkStart w:id="22" w:name="_Toc15377207"/>
      <w:bookmarkStart w:id="23" w:name="_Toc15396605"/>
      <w:r>
        <w:rPr>
          <w:rFonts w:hint="eastAsia" w:ascii="黑体" w:hAnsi="黑体" w:eastAsia="黑体"/>
          <w:color w:val="auto"/>
          <w:sz w:val="32"/>
          <w:szCs w:val="32"/>
          <w:highlight w:val="none"/>
        </w:rPr>
        <w:t>支</w:t>
      </w:r>
      <w:r>
        <w:rPr>
          <w:rStyle w:val="27"/>
          <w:rFonts w:hint="eastAsia" w:ascii="黑体" w:hAnsi="黑体" w:eastAsia="黑体"/>
          <w:b w:val="0"/>
          <w:color w:val="auto"/>
          <w:highlight w:val="none"/>
        </w:rPr>
        <w:t>出决算情况说明</w:t>
      </w:r>
      <w:bookmarkEnd w:id="22"/>
      <w:bookmarkEnd w:id="23"/>
    </w:p>
    <w:p>
      <w:pPr>
        <w:pageBreakBefore w:val="0"/>
        <w:kinsoku/>
        <w:wordWrap/>
        <w:overflowPunct/>
        <w:topLinePunct w:val="0"/>
        <w:bidi w:val="0"/>
        <w:snapToGrid/>
        <w:spacing w:line="576" w:lineRule="exact"/>
        <w:ind w:firstLine="640" w:firstLineChars="200"/>
        <w:outlineLvl w:val="1"/>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年本年支出合计</w:t>
      </w:r>
      <w:r>
        <w:rPr>
          <w:rFonts w:hint="eastAsia" w:ascii="仿宋" w:hAnsi="仿宋" w:eastAsia="仿宋"/>
          <w:color w:val="auto"/>
          <w:sz w:val="32"/>
          <w:szCs w:val="32"/>
          <w:highlight w:val="none"/>
          <w:lang w:val="en-US" w:eastAsia="zh-CN"/>
        </w:rPr>
        <w:t>839.76</w:t>
      </w:r>
      <w:r>
        <w:rPr>
          <w:rFonts w:hint="eastAsia" w:ascii="仿宋" w:hAnsi="仿宋" w:eastAsia="仿宋"/>
          <w:color w:val="auto"/>
          <w:sz w:val="32"/>
          <w:szCs w:val="32"/>
          <w:highlight w:val="none"/>
        </w:rPr>
        <w:t>万元，其中：基本支出</w:t>
      </w:r>
      <w:r>
        <w:rPr>
          <w:rFonts w:hint="eastAsia" w:ascii="仿宋" w:hAnsi="仿宋" w:eastAsia="仿宋"/>
          <w:color w:val="auto"/>
          <w:sz w:val="32"/>
          <w:szCs w:val="32"/>
          <w:highlight w:val="none"/>
          <w:lang w:val="en-US" w:eastAsia="zh-CN"/>
        </w:rPr>
        <w:t>501.63</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59.73</w:t>
      </w:r>
      <w:r>
        <w:rPr>
          <w:rFonts w:ascii="仿宋" w:hAnsi="仿宋" w:eastAsia="仿宋"/>
          <w:color w:val="auto"/>
          <w:sz w:val="32"/>
          <w:szCs w:val="32"/>
          <w:highlight w:val="none"/>
        </w:rPr>
        <w:t>%</w:t>
      </w:r>
      <w:r>
        <w:rPr>
          <w:rFonts w:hint="eastAsia" w:ascii="仿宋" w:hAnsi="仿宋" w:eastAsia="仿宋"/>
          <w:color w:val="auto"/>
          <w:sz w:val="32"/>
          <w:szCs w:val="32"/>
          <w:highlight w:val="none"/>
        </w:rPr>
        <w:t>；项目支出</w:t>
      </w:r>
      <w:r>
        <w:rPr>
          <w:rFonts w:hint="eastAsia" w:ascii="仿宋" w:hAnsi="仿宋" w:eastAsia="仿宋"/>
          <w:color w:val="auto"/>
          <w:sz w:val="32"/>
          <w:szCs w:val="32"/>
          <w:highlight w:val="none"/>
          <w:lang w:val="en-US" w:eastAsia="zh-CN"/>
        </w:rPr>
        <w:t>338.14</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40.27</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pageBreakBefore w:val="0"/>
        <w:kinsoku/>
        <w:wordWrap/>
        <w:overflowPunct/>
        <w:topLinePunct w:val="0"/>
        <w:bidi w:val="0"/>
        <w:snapToGrid/>
        <w:spacing w:line="576" w:lineRule="exact"/>
        <w:outlineLvl w:val="1"/>
      </w:pPr>
    </w:p>
    <w:p>
      <w:pPr>
        <w:pageBreakBefore w:val="0"/>
        <w:kinsoku/>
        <w:wordWrap/>
        <w:overflowPunct/>
        <w:topLinePunct w:val="0"/>
        <w:bidi w:val="0"/>
        <w:snapToGrid/>
        <w:spacing w:line="576" w:lineRule="exact"/>
        <w:jc w:val="center"/>
        <w:outlineLvl w:val="1"/>
        <w:rPr>
          <w:rFonts w:ascii="仿宋" w:hAnsi="仿宋" w:eastAsia="仿宋"/>
          <w:color w:val="auto"/>
          <w:sz w:val="32"/>
          <w:szCs w:val="32"/>
          <w:highlight w:val="none"/>
        </w:rPr>
      </w:pPr>
      <w:r>
        <w:rPr>
          <w:rFonts w:hint="eastAsia" w:ascii="仿宋" w:hAnsi="仿宋" w:eastAsia="仿宋"/>
          <w:color w:val="auto"/>
          <w:sz w:val="32"/>
          <w:szCs w:val="32"/>
          <w:highlight w:val="none"/>
          <w:shd w:val="pct10" w:color="auto" w:fill="FFFFFF"/>
          <w:lang w:eastAsia="zh-CN"/>
        </w:rPr>
        <w:drawing>
          <wp:anchor distT="0" distB="0" distL="114300" distR="114300" simplePos="0" relativeHeight="251660288" behindDoc="0" locked="0" layoutInCell="1" allowOverlap="1">
            <wp:simplePos x="0" y="0"/>
            <wp:positionH relativeFrom="column">
              <wp:posOffset>86995</wp:posOffset>
            </wp:positionH>
            <wp:positionV relativeFrom="paragraph">
              <wp:posOffset>166370</wp:posOffset>
            </wp:positionV>
            <wp:extent cx="5080000" cy="3810000"/>
            <wp:effectExtent l="4445" t="4445" r="20955" b="52705"/>
            <wp:wrapSquare wrapText="bothSides"/>
            <wp:docPr id="12" name="图表 12" descr="7b0a202020202263686172745265734964223a20223230343732313936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Pr>
          <w:rFonts w:hint="eastAsia" w:ascii="仿宋" w:hAnsi="仿宋" w:eastAsia="仿宋"/>
          <w:color w:val="auto"/>
          <w:sz w:val="32"/>
          <w:szCs w:val="32"/>
          <w:highlight w:val="none"/>
        </w:rPr>
        <w:t>（图3：支出决算结构图）（饼状图）</w:t>
      </w:r>
    </w:p>
    <w:p>
      <w:pPr>
        <w:pageBreakBefore w:val="0"/>
        <w:kinsoku/>
        <w:wordWrap/>
        <w:overflowPunct/>
        <w:topLinePunct w:val="0"/>
        <w:bidi w:val="0"/>
        <w:snapToGrid/>
        <w:spacing w:line="576" w:lineRule="exact"/>
        <w:ind w:firstLine="640" w:firstLineChars="200"/>
        <w:rPr>
          <w:rFonts w:ascii="仿宋_GB2312" w:eastAsia="仿宋_GB2312"/>
          <w:color w:val="auto"/>
          <w:sz w:val="32"/>
          <w:szCs w:val="32"/>
          <w:highlight w:val="none"/>
        </w:rPr>
      </w:pPr>
    </w:p>
    <w:p>
      <w:pPr>
        <w:pageBreakBefore w:val="0"/>
        <w:kinsoku/>
        <w:wordWrap/>
        <w:overflowPunct/>
        <w:topLinePunct w:val="0"/>
        <w:bidi w:val="0"/>
        <w:snapToGrid/>
        <w:spacing w:line="576" w:lineRule="exact"/>
        <w:ind w:firstLine="640" w:firstLineChars="200"/>
        <w:outlineLvl w:val="1"/>
        <w:rPr>
          <w:rStyle w:val="27"/>
          <w:rFonts w:ascii="黑体" w:hAnsi="黑体" w:eastAsia="黑体"/>
          <w:b w:val="0"/>
          <w:color w:val="auto"/>
          <w:highlight w:val="none"/>
        </w:rPr>
      </w:pPr>
      <w:bookmarkStart w:id="24" w:name="_Toc15377208"/>
      <w:bookmarkStart w:id="25" w:name="_Toc15396606"/>
      <w:r>
        <w:rPr>
          <w:rFonts w:hint="eastAsia" w:ascii="黑体" w:hAnsi="黑体" w:eastAsia="黑体"/>
          <w:color w:val="auto"/>
          <w:sz w:val="32"/>
          <w:szCs w:val="32"/>
          <w:highlight w:val="none"/>
        </w:rPr>
        <w:t>四、财</w:t>
      </w:r>
      <w:r>
        <w:rPr>
          <w:rStyle w:val="27"/>
          <w:rFonts w:hint="eastAsia" w:ascii="黑体" w:hAnsi="黑体" w:eastAsia="黑体"/>
          <w:b w:val="0"/>
          <w:color w:val="auto"/>
          <w:highlight w:val="none"/>
        </w:rPr>
        <w:t>政拨款收入支出决算总体情况说明</w:t>
      </w:r>
      <w:bookmarkEnd w:id="24"/>
      <w:bookmarkEnd w:id="25"/>
    </w:p>
    <w:p>
      <w:pPr>
        <w:pageBreakBefore w:val="0"/>
        <w:kinsoku/>
        <w:wordWrap/>
        <w:overflowPunct/>
        <w:topLinePunct w:val="0"/>
        <w:bidi w:val="0"/>
        <w:snapToGrid/>
        <w:spacing w:line="576" w:lineRule="exact"/>
        <w:ind w:firstLine="640" w:firstLineChars="200"/>
        <w:rPr>
          <w:rFonts w:hint="default" w:ascii="仿宋" w:hAnsi="仿宋" w:eastAsia="仿宋"/>
          <w:color w:val="auto"/>
          <w:sz w:val="32"/>
          <w:szCs w:val="32"/>
          <w:highlight w:val="none"/>
          <w:lang w:val="en-US"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年财政拨款收、支总计</w:t>
      </w:r>
      <w:r>
        <w:rPr>
          <w:rFonts w:hint="eastAsia" w:ascii="仿宋" w:hAnsi="仿宋" w:eastAsia="仿宋"/>
          <w:color w:val="auto"/>
          <w:sz w:val="32"/>
          <w:szCs w:val="32"/>
          <w:highlight w:val="none"/>
          <w:lang w:val="en-US" w:eastAsia="zh-CN"/>
        </w:rPr>
        <w:t>873.84</w:t>
      </w:r>
      <w:r>
        <w:rPr>
          <w:rFonts w:hint="eastAsia" w:ascii="仿宋" w:hAnsi="仿宋" w:eastAsia="仿宋"/>
          <w:color w:val="auto"/>
          <w:sz w:val="32"/>
          <w:szCs w:val="32"/>
          <w:highlight w:val="none"/>
        </w:rPr>
        <w:t>万元。与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年相比，财政拨款收、支总计各增加</w:t>
      </w:r>
      <w:r>
        <w:rPr>
          <w:rFonts w:hint="eastAsia" w:ascii="仿宋" w:hAnsi="仿宋" w:eastAsia="仿宋"/>
          <w:color w:val="auto"/>
          <w:sz w:val="32"/>
          <w:szCs w:val="32"/>
          <w:highlight w:val="none"/>
          <w:lang w:val="en-US" w:eastAsia="zh-CN"/>
        </w:rPr>
        <w:t>813.44</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1346.75</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val="en-US" w:eastAsia="zh-CN"/>
        </w:rPr>
        <w:t>2020年3月因机构改革新设立广元市儿童福利院，12月底由市社会福利院划转29名编制到市儿童福利院，2020年初无预算编制，2021年开始正式编制预算，实现人员运转及项目支出。</w:t>
      </w:r>
    </w:p>
    <w:p>
      <w:pPr>
        <w:pStyle w:val="2"/>
        <w:pageBreakBefore w:val="0"/>
        <w:kinsoku/>
        <w:wordWrap/>
        <w:overflowPunct/>
        <w:topLinePunct w:val="0"/>
        <w:bidi w:val="0"/>
        <w:snapToGrid/>
        <w:spacing w:line="576" w:lineRule="exact"/>
        <w:rPr>
          <w:rFonts w:hint="eastAsia" w:ascii="仿宋" w:hAnsi="仿宋" w:eastAsia="仿宋"/>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drawing>
          <wp:anchor distT="0" distB="0" distL="114935" distR="114935" simplePos="0" relativeHeight="251663360" behindDoc="0" locked="0" layoutInCell="1" allowOverlap="1">
            <wp:simplePos x="0" y="0"/>
            <wp:positionH relativeFrom="column">
              <wp:posOffset>144145</wp:posOffset>
            </wp:positionH>
            <wp:positionV relativeFrom="paragraph">
              <wp:posOffset>156845</wp:posOffset>
            </wp:positionV>
            <wp:extent cx="5080000" cy="3810000"/>
            <wp:effectExtent l="4445" t="4445" r="20955" b="14605"/>
            <wp:wrapSquare wrapText="bothSides"/>
            <wp:docPr id="18" name="图表 18" descr="7b0a202020202263686172745265734964223a202234353638333034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Pr>
          <w:rFonts w:hint="eastAsia" w:ascii="仿宋" w:hAnsi="仿宋" w:eastAsia="仿宋"/>
          <w:color w:val="auto"/>
          <w:sz w:val="32"/>
          <w:szCs w:val="32"/>
          <w:highlight w:val="none"/>
        </w:rPr>
        <w:t>（图4：财政拨款收、支决算总计变动情况）（柱状图）</w:t>
      </w:r>
    </w:p>
    <w:p>
      <w:pPr>
        <w:pageBreakBefore w:val="0"/>
        <w:kinsoku/>
        <w:wordWrap/>
        <w:overflowPunct/>
        <w:topLinePunct w:val="0"/>
        <w:bidi w:val="0"/>
        <w:snapToGrid/>
        <w:spacing w:line="576" w:lineRule="exact"/>
        <w:ind w:firstLine="640"/>
        <w:rPr>
          <w:rFonts w:ascii="仿宋" w:hAnsi="仿宋" w:eastAsia="仿宋"/>
          <w:b/>
          <w:color w:val="auto"/>
          <w:sz w:val="32"/>
          <w:szCs w:val="32"/>
          <w:highlight w:val="none"/>
        </w:rPr>
      </w:pPr>
    </w:p>
    <w:p>
      <w:pPr>
        <w:pageBreakBefore w:val="0"/>
        <w:kinsoku/>
        <w:wordWrap/>
        <w:overflowPunct/>
        <w:topLinePunct w:val="0"/>
        <w:bidi w:val="0"/>
        <w:snapToGrid/>
        <w:spacing w:line="576" w:lineRule="exact"/>
        <w:ind w:firstLine="640" w:firstLineChars="200"/>
        <w:outlineLvl w:val="1"/>
        <w:rPr>
          <w:rStyle w:val="27"/>
          <w:rFonts w:ascii="黑体" w:hAnsi="黑体" w:eastAsia="黑体"/>
          <w:b w:val="0"/>
          <w:color w:val="auto"/>
          <w:highlight w:val="none"/>
        </w:rPr>
      </w:pPr>
      <w:bookmarkStart w:id="26" w:name="_Toc15396607"/>
      <w:bookmarkStart w:id="27" w:name="_Toc15377209"/>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27"/>
          <w:rFonts w:hint="eastAsia" w:ascii="黑体" w:hAnsi="黑体" w:eastAsia="黑体"/>
          <w:b w:val="0"/>
          <w:color w:val="auto"/>
          <w:highlight w:val="none"/>
        </w:rPr>
        <w:t>般公共预算财政拨款支出决算情况说明</w:t>
      </w:r>
      <w:bookmarkEnd w:id="26"/>
      <w:bookmarkEnd w:id="27"/>
    </w:p>
    <w:p>
      <w:pPr>
        <w:pageBreakBefore w:val="0"/>
        <w:kinsoku/>
        <w:wordWrap/>
        <w:overflowPunct/>
        <w:topLinePunct w:val="0"/>
        <w:bidi w:val="0"/>
        <w:snapToGrid/>
        <w:spacing w:line="576" w:lineRule="exact"/>
        <w:ind w:firstLine="642" w:firstLineChars="200"/>
        <w:outlineLvl w:val="2"/>
        <w:rPr>
          <w:rFonts w:ascii="仿宋" w:hAnsi="仿宋" w:eastAsia="仿宋"/>
          <w:b/>
          <w:color w:val="auto"/>
          <w:sz w:val="32"/>
          <w:szCs w:val="32"/>
          <w:highlight w:val="none"/>
        </w:rPr>
      </w:pPr>
      <w:bookmarkStart w:id="28" w:name="_Toc15377210"/>
      <w:r>
        <w:rPr>
          <w:rFonts w:hint="eastAsia" w:ascii="仿宋" w:hAnsi="仿宋" w:eastAsia="仿宋"/>
          <w:b/>
          <w:color w:val="auto"/>
          <w:sz w:val="32"/>
          <w:szCs w:val="32"/>
          <w:highlight w:val="none"/>
        </w:rPr>
        <w:t>（一）一般公共预算财政拨款支出决算总体情况</w:t>
      </w:r>
      <w:bookmarkEnd w:id="28"/>
    </w:p>
    <w:p>
      <w:pPr>
        <w:pageBreakBefore w:val="0"/>
        <w:kinsoku/>
        <w:wordWrap/>
        <w:overflowPunct/>
        <w:topLinePunct w:val="0"/>
        <w:bidi w:val="0"/>
        <w:snapToGrid/>
        <w:spacing w:line="576" w:lineRule="exact"/>
        <w:ind w:firstLine="640" w:firstLineChars="20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678.03</w:t>
      </w:r>
      <w:r>
        <w:rPr>
          <w:rFonts w:hint="eastAsia" w:ascii="仿宋" w:hAnsi="仿宋" w:eastAsia="仿宋"/>
          <w:color w:val="auto"/>
          <w:sz w:val="32"/>
          <w:szCs w:val="32"/>
          <w:highlight w:val="none"/>
        </w:rPr>
        <w:t>万元，占本年支出合计的</w:t>
      </w:r>
      <w:r>
        <w:rPr>
          <w:rFonts w:hint="eastAsia" w:ascii="仿宋" w:hAnsi="仿宋" w:eastAsia="仿宋"/>
          <w:color w:val="auto"/>
          <w:sz w:val="32"/>
          <w:szCs w:val="32"/>
          <w:highlight w:val="none"/>
          <w:lang w:val="en-US" w:eastAsia="zh-CN"/>
        </w:rPr>
        <w:t>82.47</w:t>
      </w:r>
      <w:r>
        <w:rPr>
          <w:rFonts w:ascii="仿宋" w:hAnsi="仿宋" w:eastAsia="仿宋"/>
          <w:color w:val="auto"/>
          <w:sz w:val="32"/>
          <w:szCs w:val="32"/>
          <w:highlight w:val="none"/>
        </w:rPr>
        <w:t>%</w:t>
      </w:r>
      <w:r>
        <w:rPr>
          <w:rFonts w:hint="eastAsia" w:ascii="仿宋" w:hAnsi="仿宋" w:eastAsia="仿宋"/>
          <w:color w:val="auto"/>
          <w:sz w:val="32"/>
          <w:szCs w:val="32"/>
          <w:highlight w:val="none"/>
        </w:rPr>
        <w:t>。与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年相比，一般公共预算财政拨款</w:t>
      </w:r>
      <w:r>
        <w:rPr>
          <w:rFonts w:hint="eastAsia" w:ascii="仿宋" w:hAnsi="仿宋" w:eastAsia="仿宋"/>
          <w:color w:val="auto"/>
          <w:sz w:val="32"/>
          <w:szCs w:val="32"/>
          <w:highlight w:val="none"/>
          <w:lang w:eastAsia="zh-CN"/>
        </w:rPr>
        <w:t>支出</w:t>
      </w:r>
      <w:r>
        <w:rPr>
          <w:rFonts w:hint="eastAsia" w:ascii="仿宋" w:hAnsi="仿宋" w:eastAsia="仿宋"/>
          <w:color w:val="auto"/>
          <w:sz w:val="32"/>
          <w:szCs w:val="32"/>
          <w:highlight w:val="none"/>
        </w:rPr>
        <w:t>增加</w:t>
      </w:r>
      <w:r>
        <w:rPr>
          <w:rFonts w:hint="eastAsia" w:ascii="仿宋" w:hAnsi="仿宋" w:eastAsia="仿宋"/>
          <w:color w:val="auto"/>
          <w:sz w:val="32"/>
          <w:szCs w:val="32"/>
          <w:highlight w:val="none"/>
          <w:lang w:val="en-US" w:eastAsia="zh-CN"/>
        </w:rPr>
        <w:t>617.63</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1022.57</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val="en-US" w:eastAsia="zh-CN"/>
        </w:rPr>
        <w:t>2020年3月因机构改革新设立广元市儿童福利院，12月底由市社会福利院划转29名编制到市儿童福利院，2020年初无预算编制，2021年开始正式编制预算，实现人员运转及项目支出。</w:t>
      </w:r>
    </w:p>
    <w:p>
      <w:pPr>
        <w:pageBreakBefore w:val="0"/>
        <w:kinsoku/>
        <w:wordWrap/>
        <w:overflowPunct/>
        <w:topLinePunct w:val="0"/>
        <w:bidi w:val="0"/>
        <w:snapToGrid/>
        <w:spacing w:line="576" w:lineRule="exact"/>
        <w:jc w:val="both"/>
        <w:rPr>
          <w:rFonts w:hint="eastAsia" w:ascii="仿宋" w:hAnsi="仿宋" w:eastAsia="仿宋"/>
          <w:color w:val="auto"/>
          <w:w w:val="95"/>
          <w:sz w:val="32"/>
          <w:szCs w:val="32"/>
          <w:highlight w:val="none"/>
        </w:rPr>
      </w:pPr>
    </w:p>
    <w:p>
      <w:pPr>
        <w:pageBreakBefore w:val="0"/>
        <w:kinsoku/>
        <w:wordWrap/>
        <w:overflowPunct/>
        <w:topLinePunct w:val="0"/>
        <w:bidi w:val="0"/>
        <w:snapToGrid/>
        <w:spacing w:line="576" w:lineRule="exact"/>
        <w:jc w:val="both"/>
        <w:rPr>
          <w:rFonts w:hint="eastAsia" w:ascii="仿宋" w:hAnsi="仿宋" w:eastAsia="仿宋"/>
          <w:color w:val="auto"/>
          <w:w w:val="95"/>
          <w:sz w:val="32"/>
          <w:szCs w:val="32"/>
          <w:highlight w:val="none"/>
        </w:rPr>
      </w:pPr>
    </w:p>
    <w:p>
      <w:pPr>
        <w:pageBreakBefore w:val="0"/>
        <w:kinsoku/>
        <w:wordWrap/>
        <w:overflowPunct/>
        <w:topLinePunct w:val="0"/>
        <w:bidi w:val="0"/>
        <w:snapToGrid/>
        <w:spacing w:line="576" w:lineRule="exact"/>
        <w:jc w:val="both"/>
        <w:rPr>
          <w:rFonts w:hint="eastAsia" w:ascii="仿宋" w:hAnsi="仿宋" w:eastAsia="仿宋"/>
          <w:color w:val="auto"/>
          <w:w w:val="95"/>
          <w:sz w:val="32"/>
          <w:szCs w:val="32"/>
          <w:highlight w:val="none"/>
        </w:rPr>
      </w:pPr>
      <w:r>
        <w:rPr>
          <w:rFonts w:hint="eastAsia" w:eastAsia="仿宋"/>
          <w:w w:val="95"/>
          <w:lang w:eastAsia="zh-CN"/>
        </w:rPr>
        <w:drawing>
          <wp:anchor distT="0" distB="0" distL="114300" distR="114300" simplePos="0" relativeHeight="251664384" behindDoc="0" locked="0" layoutInCell="1" allowOverlap="1">
            <wp:simplePos x="0" y="0"/>
            <wp:positionH relativeFrom="column">
              <wp:posOffset>433070</wp:posOffset>
            </wp:positionH>
            <wp:positionV relativeFrom="paragraph">
              <wp:posOffset>-5080</wp:posOffset>
            </wp:positionV>
            <wp:extent cx="4451985" cy="2887345"/>
            <wp:effectExtent l="4445" t="5080" r="20320" b="22225"/>
            <wp:wrapSquare wrapText="bothSides"/>
            <wp:docPr id="19" name="图表 19" descr="7b0a202020202263686172745265734964223a202234353638333034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pageBreakBefore w:val="0"/>
        <w:kinsoku/>
        <w:wordWrap/>
        <w:overflowPunct/>
        <w:topLinePunct w:val="0"/>
        <w:bidi w:val="0"/>
        <w:snapToGrid/>
        <w:spacing w:line="576" w:lineRule="exact"/>
        <w:jc w:val="both"/>
        <w:rPr>
          <w:rFonts w:hint="eastAsia" w:ascii="仿宋" w:hAnsi="仿宋" w:eastAsia="仿宋"/>
          <w:color w:val="auto"/>
          <w:w w:val="95"/>
          <w:sz w:val="32"/>
          <w:szCs w:val="32"/>
          <w:highlight w:val="none"/>
        </w:rPr>
      </w:pPr>
    </w:p>
    <w:p>
      <w:pPr>
        <w:pageBreakBefore w:val="0"/>
        <w:kinsoku/>
        <w:wordWrap/>
        <w:overflowPunct/>
        <w:topLinePunct w:val="0"/>
        <w:bidi w:val="0"/>
        <w:snapToGrid/>
        <w:spacing w:line="576" w:lineRule="exact"/>
        <w:jc w:val="both"/>
        <w:rPr>
          <w:rFonts w:hint="eastAsia" w:ascii="仿宋" w:hAnsi="仿宋" w:eastAsia="仿宋"/>
          <w:color w:val="auto"/>
          <w:w w:val="95"/>
          <w:sz w:val="32"/>
          <w:szCs w:val="32"/>
          <w:highlight w:val="none"/>
        </w:rPr>
      </w:pPr>
    </w:p>
    <w:p>
      <w:pPr>
        <w:pageBreakBefore w:val="0"/>
        <w:kinsoku/>
        <w:wordWrap/>
        <w:overflowPunct/>
        <w:topLinePunct w:val="0"/>
        <w:bidi w:val="0"/>
        <w:snapToGrid/>
        <w:spacing w:line="576" w:lineRule="exact"/>
        <w:jc w:val="both"/>
        <w:rPr>
          <w:rFonts w:hint="eastAsia" w:ascii="仿宋" w:hAnsi="仿宋" w:eastAsia="仿宋"/>
          <w:color w:val="auto"/>
          <w:w w:val="95"/>
          <w:sz w:val="32"/>
          <w:szCs w:val="32"/>
          <w:highlight w:val="none"/>
        </w:rPr>
      </w:pPr>
    </w:p>
    <w:p>
      <w:pPr>
        <w:pageBreakBefore w:val="0"/>
        <w:kinsoku/>
        <w:wordWrap/>
        <w:overflowPunct/>
        <w:topLinePunct w:val="0"/>
        <w:bidi w:val="0"/>
        <w:snapToGrid/>
        <w:spacing w:line="576" w:lineRule="exact"/>
        <w:jc w:val="both"/>
        <w:rPr>
          <w:rFonts w:hint="eastAsia" w:ascii="仿宋" w:hAnsi="仿宋" w:eastAsia="仿宋"/>
          <w:color w:val="auto"/>
          <w:w w:val="95"/>
          <w:sz w:val="32"/>
          <w:szCs w:val="32"/>
          <w:highlight w:val="none"/>
        </w:rPr>
      </w:pPr>
    </w:p>
    <w:p>
      <w:pPr>
        <w:pageBreakBefore w:val="0"/>
        <w:kinsoku/>
        <w:wordWrap/>
        <w:overflowPunct/>
        <w:topLinePunct w:val="0"/>
        <w:bidi w:val="0"/>
        <w:snapToGrid/>
        <w:spacing w:line="576" w:lineRule="exact"/>
        <w:jc w:val="both"/>
        <w:rPr>
          <w:rFonts w:hint="eastAsia" w:ascii="仿宋" w:hAnsi="仿宋" w:eastAsia="仿宋"/>
          <w:color w:val="auto"/>
          <w:w w:val="95"/>
          <w:sz w:val="32"/>
          <w:szCs w:val="32"/>
          <w:highlight w:val="none"/>
        </w:rPr>
      </w:pPr>
    </w:p>
    <w:p>
      <w:pPr>
        <w:pageBreakBefore w:val="0"/>
        <w:kinsoku/>
        <w:wordWrap/>
        <w:overflowPunct/>
        <w:topLinePunct w:val="0"/>
        <w:bidi w:val="0"/>
        <w:snapToGrid/>
        <w:spacing w:line="576" w:lineRule="exact"/>
        <w:jc w:val="both"/>
        <w:rPr>
          <w:rFonts w:hint="eastAsia" w:ascii="仿宋" w:hAnsi="仿宋" w:eastAsia="仿宋"/>
          <w:color w:val="auto"/>
          <w:w w:val="95"/>
          <w:sz w:val="32"/>
          <w:szCs w:val="32"/>
          <w:highlight w:val="none"/>
        </w:rPr>
      </w:pPr>
    </w:p>
    <w:p>
      <w:pPr>
        <w:pageBreakBefore w:val="0"/>
        <w:kinsoku/>
        <w:wordWrap/>
        <w:overflowPunct/>
        <w:topLinePunct w:val="0"/>
        <w:bidi w:val="0"/>
        <w:snapToGrid/>
        <w:spacing w:line="576" w:lineRule="exact"/>
        <w:jc w:val="both"/>
        <w:rPr>
          <w:rFonts w:hint="eastAsia" w:ascii="仿宋" w:hAnsi="仿宋" w:eastAsia="仿宋"/>
          <w:color w:val="auto"/>
          <w:w w:val="95"/>
          <w:sz w:val="32"/>
          <w:szCs w:val="32"/>
          <w:highlight w:val="none"/>
        </w:rPr>
      </w:pPr>
    </w:p>
    <w:p>
      <w:pPr>
        <w:pageBreakBefore w:val="0"/>
        <w:kinsoku/>
        <w:wordWrap/>
        <w:overflowPunct/>
        <w:topLinePunct w:val="0"/>
        <w:bidi w:val="0"/>
        <w:snapToGrid/>
        <w:spacing w:line="576" w:lineRule="exact"/>
        <w:jc w:val="both"/>
        <w:rPr>
          <w:rFonts w:ascii="仿宋" w:hAnsi="仿宋" w:eastAsia="仿宋"/>
          <w:color w:val="auto"/>
          <w:sz w:val="32"/>
          <w:szCs w:val="32"/>
          <w:highlight w:val="none"/>
        </w:rPr>
      </w:pPr>
      <w:r>
        <w:rPr>
          <w:rFonts w:hint="eastAsia" w:ascii="仿宋" w:hAnsi="仿宋" w:eastAsia="仿宋"/>
          <w:color w:val="auto"/>
          <w:w w:val="95"/>
          <w:sz w:val="32"/>
          <w:szCs w:val="32"/>
          <w:highlight w:val="none"/>
        </w:rPr>
        <w:t>（图5：一般公共预算财政拨款支出决算变动情况）（柱状图）</w:t>
      </w:r>
    </w:p>
    <w:p>
      <w:pPr>
        <w:pageBreakBefore w:val="0"/>
        <w:kinsoku/>
        <w:wordWrap/>
        <w:overflowPunct/>
        <w:topLinePunct w:val="0"/>
        <w:bidi w:val="0"/>
        <w:snapToGrid/>
        <w:spacing w:line="576" w:lineRule="exact"/>
        <w:ind w:firstLine="642" w:firstLineChars="200"/>
        <w:outlineLvl w:val="2"/>
        <w:rPr>
          <w:rFonts w:ascii="仿宋" w:hAnsi="仿宋" w:eastAsia="仿宋"/>
          <w:b/>
          <w:color w:val="auto"/>
          <w:sz w:val="32"/>
          <w:szCs w:val="32"/>
          <w:highlight w:val="none"/>
        </w:rPr>
      </w:pPr>
      <w:bookmarkStart w:id="29" w:name="_Toc15377211"/>
      <w:r>
        <w:rPr>
          <w:rFonts w:hint="eastAsia" w:ascii="仿宋" w:hAnsi="仿宋" w:eastAsia="仿宋"/>
          <w:b/>
          <w:color w:val="auto"/>
          <w:sz w:val="32"/>
          <w:szCs w:val="32"/>
          <w:highlight w:val="none"/>
        </w:rPr>
        <w:t>（二）一般公共预算财政拨款支出决算结构情况</w:t>
      </w:r>
      <w:bookmarkEnd w:id="29"/>
    </w:p>
    <w:p>
      <w:pPr>
        <w:pageBreakBefore w:val="0"/>
        <w:kinsoku/>
        <w:wordWrap/>
        <w:overflowPunct/>
        <w:topLinePunct w:val="0"/>
        <w:bidi w:val="0"/>
        <w:snapToGrid/>
        <w:spacing w:line="576" w:lineRule="exact"/>
        <w:ind w:firstLine="640"/>
        <w:rPr>
          <w:rFonts w:hint="eastAsia" w:ascii="仿宋" w:hAnsi="仿宋" w:eastAsia="仿宋"/>
          <w:b/>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678.03</w:t>
      </w:r>
      <w:r>
        <w:rPr>
          <w:rFonts w:hint="eastAsia" w:ascii="仿宋" w:hAnsi="仿宋" w:eastAsia="仿宋"/>
          <w:color w:val="auto"/>
          <w:sz w:val="32"/>
          <w:szCs w:val="32"/>
          <w:highlight w:val="none"/>
        </w:rPr>
        <w:t>万元，主要用于以下方面</w:t>
      </w:r>
      <w:r>
        <w:rPr>
          <w:rFonts w:ascii="仿宋" w:hAnsi="仿宋" w:eastAsia="仿宋"/>
          <w:color w:val="auto"/>
          <w:sz w:val="32"/>
          <w:szCs w:val="32"/>
          <w:highlight w:val="none"/>
        </w:rPr>
        <w:t>:</w:t>
      </w:r>
      <w:r>
        <w:rPr>
          <w:rFonts w:hint="eastAsia" w:ascii="仿宋" w:hAnsi="仿宋" w:eastAsia="仿宋"/>
          <w:b/>
          <w:color w:val="auto"/>
          <w:sz w:val="32"/>
          <w:szCs w:val="32"/>
          <w:highlight w:val="none"/>
        </w:rPr>
        <w:t>社会保障和就业（类）</w:t>
      </w:r>
      <w:r>
        <w:rPr>
          <w:rFonts w:hint="eastAsia" w:ascii="仿宋" w:hAnsi="仿宋" w:eastAsia="仿宋"/>
          <w:color w:val="auto"/>
          <w:sz w:val="32"/>
          <w:szCs w:val="32"/>
          <w:highlight w:val="none"/>
        </w:rPr>
        <w:t>支出</w:t>
      </w:r>
      <w:r>
        <w:rPr>
          <w:rFonts w:hint="eastAsia" w:ascii="仿宋" w:hAnsi="仿宋" w:eastAsia="仿宋"/>
          <w:color w:val="auto"/>
          <w:sz w:val="32"/>
          <w:szCs w:val="32"/>
          <w:highlight w:val="none"/>
          <w:lang w:val="en-US" w:eastAsia="zh-CN"/>
        </w:rPr>
        <w:t>608.19</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89.70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卫生健康支出</w:t>
      </w:r>
      <w:r>
        <w:rPr>
          <w:rFonts w:hint="eastAsia" w:ascii="仿宋" w:hAnsi="仿宋" w:eastAsia="仿宋"/>
          <w:b/>
          <w:color w:val="auto"/>
          <w:sz w:val="32"/>
          <w:szCs w:val="32"/>
          <w:highlight w:val="none"/>
        </w:rPr>
        <w:t>（类）</w:t>
      </w:r>
      <w:r>
        <w:rPr>
          <w:rFonts w:hint="eastAsia" w:ascii="仿宋" w:hAnsi="仿宋" w:eastAsia="仿宋"/>
          <w:color w:val="auto"/>
          <w:sz w:val="32"/>
          <w:szCs w:val="32"/>
          <w:highlight w:val="none"/>
          <w:lang w:val="en-US" w:eastAsia="zh-CN"/>
        </w:rPr>
        <w:t>23.13</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3.41</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cs="Times New Roman"/>
          <w:b/>
          <w:color w:val="auto"/>
          <w:sz w:val="32"/>
          <w:szCs w:val="32"/>
          <w:highlight w:val="none"/>
        </w:rPr>
        <w:t>住房保障支出</w:t>
      </w:r>
      <w:r>
        <w:rPr>
          <w:rFonts w:hint="eastAsia" w:ascii="仿宋" w:hAnsi="仿宋" w:eastAsia="仿宋"/>
          <w:b/>
          <w:color w:val="auto"/>
          <w:sz w:val="32"/>
          <w:szCs w:val="32"/>
          <w:highlight w:val="none"/>
        </w:rPr>
        <w:t>（类）</w:t>
      </w:r>
      <w:r>
        <w:rPr>
          <w:rFonts w:hint="eastAsia" w:ascii="仿宋" w:hAnsi="仿宋" w:eastAsia="仿宋"/>
          <w:color w:val="auto"/>
          <w:sz w:val="32"/>
          <w:szCs w:val="32"/>
          <w:highlight w:val="none"/>
          <w:lang w:val="en-US" w:eastAsia="zh-CN"/>
        </w:rPr>
        <w:t>46.71</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6.89</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pageBreakBefore w:val="0"/>
        <w:kinsoku/>
        <w:wordWrap/>
        <w:overflowPunct/>
        <w:topLinePunct w:val="0"/>
        <w:bidi w:val="0"/>
        <w:snapToGrid/>
        <w:spacing w:line="576" w:lineRule="exact"/>
        <w:ind w:firstLine="640"/>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drawing>
          <wp:anchor distT="0" distB="0" distL="114300" distR="114300" simplePos="0" relativeHeight="251661312" behindDoc="0" locked="0" layoutInCell="1" allowOverlap="1">
            <wp:simplePos x="0" y="0"/>
            <wp:positionH relativeFrom="column">
              <wp:posOffset>506095</wp:posOffset>
            </wp:positionH>
            <wp:positionV relativeFrom="paragraph">
              <wp:posOffset>60960</wp:posOffset>
            </wp:positionV>
            <wp:extent cx="4395470" cy="3296285"/>
            <wp:effectExtent l="4445" t="5080" r="19685" b="51435"/>
            <wp:wrapSquare wrapText="bothSides"/>
            <wp:docPr id="20" name="图表 20" descr="7b0a202020202263686172745265734964223a20223230343732313936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pageBreakBefore w:val="0"/>
        <w:kinsoku/>
        <w:wordWrap/>
        <w:overflowPunct/>
        <w:topLinePunct w:val="0"/>
        <w:bidi w:val="0"/>
        <w:snapToGrid/>
        <w:spacing w:line="576" w:lineRule="exact"/>
        <w:ind w:firstLine="640" w:firstLineChars="200"/>
        <w:rPr>
          <w:rFonts w:hint="eastAsia" w:ascii="仿宋" w:hAnsi="仿宋" w:eastAsia="仿宋"/>
          <w:color w:val="auto"/>
          <w:sz w:val="32"/>
          <w:szCs w:val="32"/>
          <w:highlight w:val="none"/>
          <w:lang w:eastAsia="zh-CN"/>
        </w:rPr>
      </w:pPr>
    </w:p>
    <w:p>
      <w:pPr>
        <w:pageBreakBefore w:val="0"/>
        <w:kinsoku/>
        <w:wordWrap/>
        <w:overflowPunct/>
        <w:topLinePunct w:val="0"/>
        <w:bidi w:val="0"/>
        <w:snapToGrid/>
        <w:spacing w:line="576" w:lineRule="exact"/>
        <w:ind w:firstLine="640" w:firstLineChars="200"/>
        <w:rPr>
          <w:rFonts w:hint="eastAsia" w:ascii="仿宋" w:hAnsi="仿宋" w:eastAsia="仿宋"/>
          <w:color w:val="auto"/>
          <w:sz w:val="32"/>
          <w:szCs w:val="32"/>
          <w:highlight w:val="none"/>
        </w:rPr>
      </w:pPr>
    </w:p>
    <w:p>
      <w:pPr>
        <w:pStyle w:val="2"/>
        <w:pageBreakBefore w:val="0"/>
        <w:kinsoku/>
        <w:wordWrap/>
        <w:overflowPunct/>
        <w:topLinePunct w:val="0"/>
        <w:bidi w:val="0"/>
        <w:snapToGrid/>
        <w:spacing w:line="576" w:lineRule="exact"/>
        <w:rPr>
          <w:rFonts w:hint="eastAsia"/>
        </w:rPr>
      </w:pPr>
    </w:p>
    <w:p>
      <w:pPr>
        <w:pageBreakBefore w:val="0"/>
        <w:kinsoku/>
        <w:wordWrap/>
        <w:overflowPunct/>
        <w:topLinePunct w:val="0"/>
        <w:bidi w:val="0"/>
        <w:snapToGrid/>
        <w:spacing w:line="576" w:lineRule="exact"/>
        <w:rPr>
          <w:rFonts w:hint="eastAsia"/>
        </w:rPr>
      </w:pPr>
    </w:p>
    <w:p>
      <w:pPr>
        <w:pStyle w:val="2"/>
        <w:keepNext w:val="0"/>
        <w:keepLines w:val="0"/>
        <w:pageBreakBefore w:val="0"/>
        <w:widowControl w:val="0"/>
        <w:kinsoku/>
        <w:wordWrap/>
        <w:overflowPunct/>
        <w:topLinePunct w:val="0"/>
        <w:autoSpaceDE/>
        <w:autoSpaceDN/>
        <w:bidi w:val="0"/>
        <w:adjustRightInd/>
        <w:snapToGrid/>
        <w:spacing w:line="576" w:lineRule="exact"/>
        <w:jc w:val="center"/>
        <w:textAlignment w:val="baseline"/>
        <w:rPr>
          <w:rFonts w:hint="eastAsia" w:ascii="仿宋" w:hAnsi="仿宋" w:eastAsia="仿宋"/>
          <w:color w:val="auto"/>
          <w:sz w:val="32"/>
          <w:szCs w:val="32"/>
          <w:highlight w:val="none"/>
        </w:rPr>
      </w:pPr>
    </w:p>
    <w:p>
      <w:pPr>
        <w:pStyle w:val="2"/>
        <w:keepNext w:val="0"/>
        <w:keepLines w:val="0"/>
        <w:pageBreakBefore w:val="0"/>
        <w:widowControl w:val="0"/>
        <w:kinsoku/>
        <w:wordWrap/>
        <w:overflowPunct/>
        <w:topLinePunct w:val="0"/>
        <w:autoSpaceDE/>
        <w:autoSpaceDN/>
        <w:bidi w:val="0"/>
        <w:adjustRightInd/>
        <w:snapToGrid/>
        <w:spacing w:line="576" w:lineRule="exact"/>
        <w:jc w:val="center"/>
        <w:textAlignment w:val="baseline"/>
        <w:rPr>
          <w:rFonts w:hint="eastAsia" w:ascii="仿宋" w:hAnsi="仿宋" w:eastAsia="仿宋"/>
          <w:color w:val="auto"/>
          <w:sz w:val="32"/>
          <w:szCs w:val="32"/>
          <w:highlight w:val="none"/>
        </w:rPr>
      </w:pPr>
    </w:p>
    <w:p>
      <w:pPr>
        <w:pStyle w:val="2"/>
        <w:keepNext w:val="0"/>
        <w:keepLines w:val="0"/>
        <w:pageBreakBefore w:val="0"/>
        <w:widowControl w:val="0"/>
        <w:kinsoku/>
        <w:wordWrap/>
        <w:overflowPunct/>
        <w:topLinePunct w:val="0"/>
        <w:autoSpaceDE/>
        <w:autoSpaceDN/>
        <w:bidi w:val="0"/>
        <w:adjustRightInd/>
        <w:snapToGrid/>
        <w:spacing w:line="576" w:lineRule="exact"/>
        <w:jc w:val="center"/>
        <w:textAlignment w:val="baseline"/>
        <w:rPr>
          <w:rFonts w:hint="eastAsia" w:ascii="仿宋" w:hAnsi="仿宋" w:eastAsia="仿宋"/>
          <w:color w:val="auto"/>
          <w:sz w:val="32"/>
          <w:szCs w:val="32"/>
          <w:highlight w:val="none"/>
        </w:rPr>
      </w:pPr>
    </w:p>
    <w:p>
      <w:pPr>
        <w:pStyle w:val="2"/>
        <w:keepNext w:val="0"/>
        <w:keepLines w:val="0"/>
        <w:pageBreakBefore w:val="0"/>
        <w:widowControl w:val="0"/>
        <w:kinsoku/>
        <w:wordWrap/>
        <w:overflowPunct/>
        <w:topLinePunct w:val="0"/>
        <w:autoSpaceDE/>
        <w:autoSpaceDN/>
        <w:bidi w:val="0"/>
        <w:adjustRightInd/>
        <w:snapToGrid/>
        <w:spacing w:line="576" w:lineRule="exact"/>
        <w:jc w:val="center"/>
        <w:textAlignment w:val="baseline"/>
        <w:rPr>
          <w:rFonts w:hint="eastAsia" w:ascii="仿宋" w:hAnsi="仿宋" w:eastAsia="仿宋"/>
          <w:color w:val="auto"/>
          <w:sz w:val="32"/>
          <w:szCs w:val="32"/>
          <w:highlight w:val="none"/>
        </w:rPr>
      </w:pPr>
    </w:p>
    <w:p>
      <w:pPr>
        <w:pStyle w:val="2"/>
        <w:keepNext w:val="0"/>
        <w:keepLines w:val="0"/>
        <w:pageBreakBefore w:val="0"/>
        <w:widowControl w:val="0"/>
        <w:kinsoku/>
        <w:wordWrap/>
        <w:overflowPunct/>
        <w:topLinePunct w:val="0"/>
        <w:autoSpaceDE/>
        <w:autoSpaceDN/>
        <w:bidi w:val="0"/>
        <w:adjustRightInd/>
        <w:snapToGrid/>
        <w:spacing w:line="576" w:lineRule="exact"/>
        <w:jc w:val="center"/>
        <w:textAlignment w:val="baseline"/>
        <w:rPr>
          <w:rFonts w:hint="eastAsia" w:ascii="仿宋" w:hAnsi="仿宋" w:eastAsia="仿宋"/>
          <w:color w:val="auto"/>
          <w:sz w:val="32"/>
          <w:szCs w:val="32"/>
          <w:highlight w:val="none"/>
        </w:rPr>
      </w:pPr>
    </w:p>
    <w:p>
      <w:pPr>
        <w:pStyle w:val="2"/>
        <w:keepNext w:val="0"/>
        <w:keepLines w:val="0"/>
        <w:pageBreakBefore w:val="0"/>
        <w:widowControl w:val="0"/>
        <w:kinsoku/>
        <w:wordWrap/>
        <w:overflowPunct/>
        <w:topLinePunct w:val="0"/>
        <w:autoSpaceDE/>
        <w:autoSpaceDN/>
        <w:bidi w:val="0"/>
        <w:adjustRightInd/>
        <w:snapToGrid/>
        <w:spacing w:line="576" w:lineRule="exact"/>
        <w:jc w:val="center"/>
        <w:textAlignment w:val="baseline"/>
        <w:rPr>
          <w:rFonts w:ascii="仿宋" w:hAnsi="仿宋" w:eastAsia="仿宋"/>
          <w:color w:val="auto"/>
          <w:sz w:val="32"/>
          <w:szCs w:val="32"/>
          <w:highlight w:val="none"/>
        </w:rPr>
      </w:pPr>
      <w:r>
        <w:rPr>
          <w:rFonts w:hint="eastAsia" w:ascii="仿宋" w:hAnsi="仿宋" w:eastAsia="仿宋"/>
          <w:color w:val="auto"/>
          <w:sz w:val="32"/>
          <w:szCs w:val="32"/>
          <w:highlight w:val="none"/>
        </w:rPr>
        <w:t>（图6：一般公共预算财政拨款支出决算结构）（饼状图）</w:t>
      </w:r>
    </w:p>
    <w:p>
      <w:pPr>
        <w:pageBreakBefore w:val="0"/>
        <w:kinsoku/>
        <w:wordWrap/>
        <w:overflowPunct/>
        <w:topLinePunct w:val="0"/>
        <w:bidi w:val="0"/>
        <w:snapToGrid/>
        <w:spacing w:line="576" w:lineRule="exact"/>
        <w:ind w:firstLine="640" w:firstLineChars="200"/>
        <w:rPr>
          <w:rFonts w:ascii="仿宋" w:hAnsi="仿宋" w:eastAsia="仿宋"/>
          <w:color w:val="auto"/>
          <w:sz w:val="32"/>
          <w:szCs w:val="32"/>
          <w:highlight w:val="none"/>
        </w:rPr>
      </w:pPr>
    </w:p>
    <w:p>
      <w:pPr>
        <w:pageBreakBefore w:val="0"/>
        <w:kinsoku/>
        <w:wordWrap/>
        <w:overflowPunct/>
        <w:topLinePunct w:val="0"/>
        <w:bidi w:val="0"/>
        <w:snapToGrid/>
        <w:spacing w:line="576" w:lineRule="exact"/>
        <w:ind w:firstLine="642" w:firstLineChars="200"/>
        <w:outlineLvl w:val="2"/>
        <w:rPr>
          <w:rFonts w:ascii="仿宋" w:hAnsi="仿宋" w:eastAsia="仿宋"/>
          <w:b/>
          <w:color w:val="auto"/>
          <w:sz w:val="32"/>
          <w:szCs w:val="32"/>
          <w:highlight w:val="none"/>
        </w:rPr>
      </w:pPr>
      <w:bookmarkStart w:id="30" w:name="_Toc15377212"/>
      <w:r>
        <w:rPr>
          <w:rFonts w:hint="eastAsia" w:ascii="仿宋" w:hAnsi="仿宋" w:eastAsia="仿宋"/>
          <w:b/>
          <w:color w:val="auto"/>
          <w:sz w:val="32"/>
          <w:szCs w:val="32"/>
          <w:highlight w:val="none"/>
        </w:rPr>
        <w:t>（三）一般公共预算财政拨款支出决算具体情况</w:t>
      </w:r>
      <w:bookmarkEnd w:id="30"/>
    </w:p>
    <w:p>
      <w:pPr>
        <w:pageBreakBefore w:val="0"/>
        <w:kinsoku/>
        <w:wordWrap/>
        <w:overflowPunct/>
        <w:topLinePunct w:val="0"/>
        <w:bidi w:val="0"/>
        <w:snapToGrid/>
        <w:spacing w:line="576" w:lineRule="exact"/>
        <w:ind w:firstLine="642" w:firstLineChars="200"/>
        <w:outlineLvl w:val="2"/>
        <w:rPr>
          <w:rFonts w:ascii="仿宋" w:hAnsi="仿宋" w:eastAsia="仿宋"/>
          <w:color w:val="auto"/>
          <w:sz w:val="32"/>
          <w:szCs w:val="32"/>
          <w:highlight w:val="none"/>
        </w:rPr>
      </w:pPr>
      <w:bookmarkStart w:id="31" w:name="_Toc15378460"/>
      <w:bookmarkStart w:id="32" w:name="_Toc15377444"/>
      <w:bookmarkStart w:id="33" w:name="_Toc15377213"/>
      <w:r>
        <w:rPr>
          <w:rFonts w:hint="eastAsia" w:ascii="仿宋" w:hAnsi="仿宋" w:eastAsia="仿宋"/>
          <w:b/>
          <w:color w:val="auto"/>
          <w:sz w:val="32"/>
          <w:szCs w:val="32"/>
          <w:highlight w:val="none"/>
        </w:rPr>
        <w:t>20</w:t>
      </w:r>
      <w:r>
        <w:rPr>
          <w:rFonts w:hint="eastAsia" w:ascii="仿宋" w:hAnsi="仿宋" w:eastAsia="仿宋"/>
          <w:b/>
          <w:color w:val="auto"/>
          <w:sz w:val="32"/>
          <w:szCs w:val="32"/>
          <w:highlight w:val="none"/>
          <w:lang w:val="en-US" w:eastAsia="zh-CN"/>
        </w:rPr>
        <w:t>21</w:t>
      </w:r>
      <w:r>
        <w:rPr>
          <w:rFonts w:hint="eastAsia" w:ascii="仿宋" w:hAnsi="仿宋" w:eastAsia="仿宋"/>
          <w:b/>
          <w:color w:val="auto"/>
          <w:sz w:val="32"/>
          <w:szCs w:val="32"/>
          <w:highlight w:val="none"/>
        </w:rPr>
        <w:t>年</w:t>
      </w:r>
      <w:r>
        <w:rPr>
          <w:rFonts w:hint="eastAsia" w:ascii="仿宋" w:hAnsi="仿宋" w:eastAsia="仿宋"/>
          <w:b/>
          <w:color w:val="auto"/>
          <w:sz w:val="32"/>
          <w:szCs w:val="32"/>
          <w:highlight w:val="none"/>
          <w:lang w:eastAsia="zh-CN"/>
        </w:rPr>
        <w:t>一</w:t>
      </w:r>
      <w:r>
        <w:rPr>
          <w:rFonts w:hint="eastAsia" w:ascii="仿宋" w:hAnsi="仿宋" w:eastAsia="仿宋"/>
          <w:b/>
          <w:color w:val="auto"/>
          <w:sz w:val="32"/>
          <w:szCs w:val="32"/>
          <w:highlight w:val="none"/>
        </w:rPr>
        <w:t>般公共预算支出决算数为</w:t>
      </w:r>
      <w:r>
        <w:rPr>
          <w:rFonts w:hint="eastAsia" w:ascii="仿宋" w:hAnsi="仿宋" w:eastAsia="仿宋"/>
          <w:b/>
          <w:color w:val="auto"/>
          <w:sz w:val="32"/>
          <w:szCs w:val="32"/>
          <w:highlight w:val="none"/>
          <w:lang w:val="en-US" w:eastAsia="zh-CN"/>
        </w:rPr>
        <w:t>678.03万元</w:t>
      </w:r>
      <w:r>
        <w:rPr>
          <w:rFonts w:hint="eastAsia" w:ascii="仿宋" w:hAnsi="仿宋" w:eastAsia="仿宋"/>
          <w:color w:val="auto"/>
          <w:sz w:val="32"/>
          <w:szCs w:val="32"/>
          <w:highlight w:val="none"/>
        </w:rPr>
        <w:t>，</w:t>
      </w:r>
      <w:r>
        <w:rPr>
          <w:rStyle w:val="15"/>
          <w:rFonts w:hint="eastAsia" w:ascii="仿宋" w:hAnsi="仿宋" w:eastAsia="仿宋"/>
          <w:bCs/>
          <w:color w:val="auto"/>
          <w:sz w:val="32"/>
          <w:szCs w:val="32"/>
          <w:highlight w:val="none"/>
        </w:rPr>
        <w:t>完成预算</w:t>
      </w:r>
      <w:r>
        <w:rPr>
          <w:rStyle w:val="15"/>
          <w:rFonts w:hint="eastAsia" w:ascii="仿宋" w:hAnsi="仿宋" w:eastAsia="仿宋"/>
          <w:bCs/>
          <w:color w:val="auto"/>
          <w:sz w:val="32"/>
          <w:szCs w:val="32"/>
          <w:highlight w:val="none"/>
          <w:lang w:val="en-US" w:eastAsia="zh-CN"/>
        </w:rPr>
        <w:t>96.63</w:t>
      </w:r>
      <w:r>
        <w:rPr>
          <w:rStyle w:val="15"/>
          <w:rFonts w:ascii="仿宋" w:hAnsi="仿宋" w:eastAsia="仿宋"/>
          <w:bCs/>
          <w:color w:val="auto"/>
          <w:sz w:val="32"/>
          <w:szCs w:val="32"/>
          <w:highlight w:val="none"/>
        </w:rPr>
        <w:t>%</w:t>
      </w:r>
      <w:r>
        <w:rPr>
          <w:rStyle w:val="15"/>
          <w:rFonts w:hint="eastAsia" w:ascii="仿宋" w:hAnsi="仿宋" w:eastAsia="仿宋"/>
          <w:bCs/>
          <w:color w:val="auto"/>
          <w:sz w:val="32"/>
          <w:szCs w:val="32"/>
          <w:highlight w:val="none"/>
        </w:rPr>
        <w:t>。其中：</w:t>
      </w:r>
      <w:bookmarkEnd w:id="31"/>
      <w:bookmarkEnd w:id="32"/>
      <w:bookmarkEnd w:id="33"/>
    </w:p>
    <w:p>
      <w:pPr>
        <w:pageBreakBefore w:val="0"/>
        <w:kinsoku/>
        <w:wordWrap/>
        <w:overflowPunct/>
        <w:topLinePunct w:val="0"/>
        <w:bidi w:val="0"/>
        <w:snapToGrid/>
        <w:spacing w:line="576" w:lineRule="exact"/>
        <w:ind w:firstLine="640" w:firstLineChars="200"/>
        <w:rPr>
          <w:rStyle w:val="15"/>
          <w:rFonts w:hint="eastAsia" w:ascii="仿宋" w:hAnsi="仿宋" w:eastAsia="仿宋"/>
          <w:b w:val="0"/>
          <w:bCs/>
          <w:color w:val="auto"/>
          <w:sz w:val="32"/>
          <w:szCs w:val="32"/>
          <w:highlight w:val="none"/>
        </w:rPr>
      </w:pPr>
      <w:r>
        <w:rPr>
          <w:rStyle w:val="15"/>
          <w:rFonts w:hint="eastAsia" w:ascii="仿宋" w:hAnsi="仿宋" w:eastAsia="仿宋"/>
          <w:bCs/>
          <w:color w:val="auto"/>
          <w:sz w:val="32"/>
          <w:szCs w:val="32"/>
          <w:highlight w:val="none"/>
          <w:lang w:val="en-US" w:eastAsia="zh-CN"/>
        </w:rPr>
        <w:t>1.</w:t>
      </w:r>
      <w:r>
        <w:rPr>
          <w:rStyle w:val="15"/>
          <w:rFonts w:hint="eastAsia" w:ascii="仿宋" w:hAnsi="仿宋" w:eastAsia="仿宋"/>
          <w:bCs/>
          <w:color w:val="auto"/>
          <w:sz w:val="32"/>
          <w:szCs w:val="32"/>
          <w:highlight w:val="none"/>
        </w:rPr>
        <w:t>社会保障和就业（类）行政事业单位养老支出（款）  机关事业单位基本养老保险缴费支出（项）</w:t>
      </w:r>
      <w:r>
        <w:rPr>
          <w:rStyle w:val="15"/>
          <w:rFonts w:ascii="仿宋" w:hAnsi="仿宋" w:eastAsia="仿宋"/>
          <w:bCs/>
          <w:color w:val="auto"/>
          <w:sz w:val="32"/>
          <w:szCs w:val="32"/>
          <w:highlight w:val="none"/>
        </w:rPr>
        <w:t>:</w:t>
      </w:r>
      <w:r>
        <w:rPr>
          <w:rStyle w:val="15"/>
          <w:rFonts w:ascii="仿宋" w:hAnsi="仿宋" w:eastAsia="仿宋"/>
          <w:b w:val="0"/>
          <w:bCs/>
          <w:color w:val="auto"/>
          <w:sz w:val="32"/>
          <w:szCs w:val="32"/>
          <w:highlight w:val="none"/>
        </w:rPr>
        <w:t xml:space="preserve"> </w:t>
      </w:r>
      <w:r>
        <w:rPr>
          <w:rStyle w:val="15"/>
          <w:rFonts w:hint="eastAsia" w:ascii="仿宋" w:hAnsi="仿宋" w:eastAsia="仿宋"/>
          <w:b w:val="0"/>
          <w:bCs/>
          <w:color w:val="auto"/>
          <w:sz w:val="32"/>
          <w:szCs w:val="32"/>
          <w:highlight w:val="none"/>
        </w:rPr>
        <w:t>支出决算为</w:t>
      </w:r>
      <w:r>
        <w:rPr>
          <w:rStyle w:val="15"/>
          <w:rFonts w:hint="eastAsia" w:ascii="仿宋" w:hAnsi="仿宋" w:eastAsia="仿宋"/>
          <w:b w:val="0"/>
          <w:bCs/>
          <w:color w:val="auto"/>
          <w:sz w:val="32"/>
          <w:szCs w:val="32"/>
          <w:highlight w:val="none"/>
          <w:lang w:val="en-US" w:eastAsia="zh-CN"/>
        </w:rPr>
        <w:t>30.23</w:t>
      </w:r>
      <w:r>
        <w:rPr>
          <w:rStyle w:val="15"/>
          <w:rFonts w:hint="eastAsia" w:ascii="仿宋" w:hAnsi="仿宋" w:eastAsia="仿宋"/>
          <w:b w:val="0"/>
          <w:bCs/>
          <w:color w:val="auto"/>
          <w:sz w:val="32"/>
          <w:szCs w:val="32"/>
          <w:highlight w:val="none"/>
        </w:rPr>
        <w:t>万元，完成预算</w:t>
      </w:r>
      <w:r>
        <w:rPr>
          <w:rStyle w:val="15"/>
          <w:rFonts w:hint="eastAsia" w:ascii="仿宋" w:hAnsi="仿宋" w:eastAsia="仿宋"/>
          <w:b w:val="0"/>
          <w:bCs/>
          <w:color w:val="auto"/>
          <w:sz w:val="32"/>
          <w:szCs w:val="32"/>
          <w:highlight w:val="none"/>
          <w:lang w:val="en-US" w:eastAsia="zh-CN"/>
        </w:rPr>
        <w:t>100</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rPr>
        <w:t>。</w:t>
      </w:r>
    </w:p>
    <w:p>
      <w:pPr>
        <w:pageBreakBefore w:val="0"/>
        <w:kinsoku/>
        <w:wordWrap/>
        <w:overflowPunct/>
        <w:topLinePunct w:val="0"/>
        <w:bidi w:val="0"/>
        <w:snapToGrid/>
        <w:spacing w:line="576" w:lineRule="exact"/>
        <w:ind w:firstLine="640" w:firstLineChars="200"/>
        <w:rPr>
          <w:rFonts w:ascii="仿宋" w:hAnsi="仿宋" w:eastAsia="仿宋"/>
          <w:b/>
          <w:color w:val="auto"/>
          <w:sz w:val="32"/>
          <w:szCs w:val="32"/>
          <w:highlight w:val="none"/>
        </w:rPr>
      </w:pPr>
      <w:r>
        <w:rPr>
          <w:rStyle w:val="15"/>
          <w:rFonts w:hint="eastAsia" w:ascii="仿宋" w:hAnsi="仿宋" w:eastAsia="仿宋"/>
          <w:bCs/>
          <w:color w:val="auto"/>
          <w:sz w:val="32"/>
          <w:szCs w:val="32"/>
          <w:highlight w:val="none"/>
          <w:lang w:val="en-US" w:eastAsia="zh-CN"/>
        </w:rPr>
        <w:t>2.</w:t>
      </w:r>
      <w:r>
        <w:rPr>
          <w:rStyle w:val="15"/>
          <w:rFonts w:hint="eastAsia" w:ascii="仿宋" w:hAnsi="仿宋" w:eastAsia="仿宋"/>
          <w:bCs/>
          <w:color w:val="auto"/>
          <w:sz w:val="32"/>
          <w:szCs w:val="32"/>
          <w:highlight w:val="none"/>
        </w:rPr>
        <w:t>社会保障和就业（类）行政事业单位养老支出（款）  机关事业单位职业年金缴费支出（项）</w:t>
      </w:r>
      <w:r>
        <w:rPr>
          <w:rStyle w:val="15"/>
          <w:rFonts w:ascii="仿宋" w:hAnsi="仿宋" w:eastAsia="仿宋"/>
          <w:bCs/>
          <w:color w:val="auto"/>
          <w:sz w:val="32"/>
          <w:szCs w:val="32"/>
          <w:highlight w:val="none"/>
        </w:rPr>
        <w:t>:</w:t>
      </w:r>
      <w:r>
        <w:rPr>
          <w:rStyle w:val="15"/>
          <w:rFonts w:ascii="仿宋" w:hAnsi="仿宋" w:eastAsia="仿宋"/>
          <w:b w:val="0"/>
          <w:bCs/>
          <w:color w:val="auto"/>
          <w:sz w:val="32"/>
          <w:szCs w:val="32"/>
          <w:highlight w:val="none"/>
        </w:rPr>
        <w:t xml:space="preserve"> </w:t>
      </w:r>
      <w:r>
        <w:rPr>
          <w:rStyle w:val="15"/>
          <w:rFonts w:hint="eastAsia" w:ascii="仿宋" w:hAnsi="仿宋" w:eastAsia="仿宋"/>
          <w:b w:val="0"/>
          <w:bCs/>
          <w:color w:val="auto"/>
          <w:sz w:val="32"/>
          <w:szCs w:val="32"/>
          <w:highlight w:val="none"/>
        </w:rPr>
        <w:t>支出决算为</w:t>
      </w:r>
      <w:r>
        <w:rPr>
          <w:rStyle w:val="15"/>
          <w:rFonts w:hint="eastAsia" w:ascii="仿宋" w:hAnsi="仿宋" w:eastAsia="仿宋"/>
          <w:b w:val="0"/>
          <w:bCs/>
          <w:color w:val="auto"/>
          <w:sz w:val="32"/>
          <w:szCs w:val="32"/>
          <w:highlight w:val="none"/>
          <w:lang w:val="en-US" w:eastAsia="zh-CN"/>
        </w:rPr>
        <w:t>12.16</w:t>
      </w:r>
      <w:r>
        <w:rPr>
          <w:rStyle w:val="15"/>
          <w:rFonts w:hint="eastAsia" w:ascii="仿宋" w:hAnsi="仿宋" w:eastAsia="仿宋"/>
          <w:b w:val="0"/>
          <w:bCs/>
          <w:color w:val="auto"/>
          <w:sz w:val="32"/>
          <w:szCs w:val="32"/>
          <w:highlight w:val="none"/>
        </w:rPr>
        <w:t>万元，完成预算</w:t>
      </w:r>
      <w:r>
        <w:rPr>
          <w:rStyle w:val="15"/>
          <w:rFonts w:hint="eastAsia" w:ascii="仿宋" w:hAnsi="仿宋" w:eastAsia="仿宋"/>
          <w:b w:val="0"/>
          <w:bCs/>
          <w:color w:val="auto"/>
          <w:sz w:val="32"/>
          <w:szCs w:val="32"/>
          <w:highlight w:val="none"/>
          <w:lang w:val="en-US" w:eastAsia="zh-CN"/>
        </w:rPr>
        <w:t>100</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rPr>
        <w:t>。</w:t>
      </w:r>
    </w:p>
    <w:p>
      <w:pPr>
        <w:pageBreakBefore w:val="0"/>
        <w:kinsoku/>
        <w:wordWrap/>
        <w:overflowPunct/>
        <w:topLinePunct w:val="0"/>
        <w:bidi w:val="0"/>
        <w:snapToGrid/>
        <w:spacing w:line="576" w:lineRule="exact"/>
        <w:ind w:firstLine="640" w:firstLineChars="200"/>
        <w:rPr>
          <w:rFonts w:ascii="仿宋" w:hAnsi="仿宋" w:eastAsia="仿宋"/>
          <w:b/>
          <w:color w:val="auto"/>
          <w:sz w:val="32"/>
          <w:szCs w:val="32"/>
          <w:highlight w:val="none"/>
        </w:rPr>
      </w:pPr>
      <w:r>
        <w:rPr>
          <w:rStyle w:val="15"/>
          <w:rFonts w:hint="eastAsia" w:ascii="仿宋" w:hAnsi="仿宋" w:eastAsia="仿宋"/>
          <w:bCs/>
          <w:color w:val="auto"/>
          <w:sz w:val="32"/>
          <w:szCs w:val="32"/>
          <w:highlight w:val="none"/>
          <w:lang w:val="en-US" w:eastAsia="zh-CN"/>
        </w:rPr>
        <w:t>3.</w:t>
      </w:r>
      <w:r>
        <w:rPr>
          <w:rStyle w:val="15"/>
          <w:rFonts w:hint="eastAsia" w:ascii="仿宋" w:hAnsi="仿宋" w:eastAsia="仿宋"/>
          <w:bCs/>
          <w:color w:val="auto"/>
          <w:sz w:val="32"/>
          <w:szCs w:val="32"/>
          <w:highlight w:val="none"/>
        </w:rPr>
        <w:t>社会保障和就业（类）</w:t>
      </w:r>
      <w:r>
        <w:rPr>
          <w:rStyle w:val="15"/>
          <w:rFonts w:hint="eastAsia" w:ascii="仿宋" w:hAnsi="仿宋" w:eastAsia="仿宋"/>
          <w:bCs/>
          <w:color w:val="auto"/>
          <w:sz w:val="32"/>
          <w:szCs w:val="32"/>
          <w:highlight w:val="none"/>
          <w:lang w:eastAsia="zh-CN"/>
        </w:rPr>
        <w:t>社会福利</w:t>
      </w:r>
      <w:r>
        <w:rPr>
          <w:rStyle w:val="15"/>
          <w:rFonts w:hint="eastAsia" w:ascii="仿宋" w:hAnsi="仿宋" w:eastAsia="仿宋"/>
          <w:bCs/>
          <w:color w:val="auto"/>
          <w:sz w:val="32"/>
          <w:szCs w:val="32"/>
          <w:highlight w:val="none"/>
        </w:rPr>
        <w:t>（款）</w:t>
      </w:r>
      <w:r>
        <w:rPr>
          <w:rStyle w:val="15"/>
          <w:rFonts w:hint="eastAsia" w:ascii="仿宋" w:hAnsi="仿宋" w:eastAsia="仿宋"/>
          <w:bCs/>
          <w:color w:val="auto"/>
          <w:sz w:val="32"/>
          <w:szCs w:val="32"/>
          <w:highlight w:val="none"/>
          <w:lang w:eastAsia="zh-CN"/>
        </w:rPr>
        <w:t>儿童福利</w:t>
      </w:r>
      <w:r>
        <w:rPr>
          <w:rStyle w:val="15"/>
          <w:rFonts w:hint="eastAsia" w:ascii="仿宋" w:hAnsi="仿宋" w:eastAsia="仿宋"/>
          <w:bCs/>
          <w:color w:val="auto"/>
          <w:sz w:val="32"/>
          <w:szCs w:val="32"/>
          <w:highlight w:val="none"/>
        </w:rPr>
        <w:t>（项）</w:t>
      </w:r>
      <w:r>
        <w:rPr>
          <w:rStyle w:val="15"/>
          <w:rFonts w:ascii="仿宋" w:hAnsi="仿宋" w:eastAsia="仿宋"/>
          <w:bCs/>
          <w:color w:val="auto"/>
          <w:sz w:val="32"/>
          <w:szCs w:val="32"/>
          <w:highlight w:val="none"/>
        </w:rPr>
        <w:t>:</w:t>
      </w:r>
      <w:r>
        <w:rPr>
          <w:rStyle w:val="15"/>
          <w:rFonts w:ascii="仿宋" w:hAnsi="仿宋" w:eastAsia="仿宋"/>
          <w:b w:val="0"/>
          <w:bCs/>
          <w:color w:val="auto"/>
          <w:sz w:val="32"/>
          <w:szCs w:val="32"/>
          <w:highlight w:val="none"/>
        </w:rPr>
        <w:t xml:space="preserve"> </w:t>
      </w:r>
      <w:r>
        <w:rPr>
          <w:rStyle w:val="15"/>
          <w:rFonts w:hint="eastAsia" w:ascii="仿宋" w:hAnsi="仿宋" w:eastAsia="仿宋"/>
          <w:b w:val="0"/>
          <w:bCs/>
          <w:color w:val="auto"/>
          <w:sz w:val="32"/>
          <w:szCs w:val="32"/>
          <w:highlight w:val="none"/>
        </w:rPr>
        <w:t>支出决算为</w:t>
      </w:r>
      <w:r>
        <w:rPr>
          <w:rStyle w:val="15"/>
          <w:rFonts w:hint="eastAsia" w:ascii="仿宋" w:hAnsi="仿宋" w:eastAsia="仿宋"/>
          <w:b w:val="0"/>
          <w:bCs/>
          <w:color w:val="auto"/>
          <w:sz w:val="32"/>
          <w:szCs w:val="32"/>
          <w:highlight w:val="none"/>
          <w:lang w:val="en-US" w:eastAsia="zh-CN"/>
        </w:rPr>
        <w:t>565.8</w:t>
      </w:r>
      <w:r>
        <w:rPr>
          <w:rStyle w:val="15"/>
          <w:rFonts w:hint="eastAsia" w:ascii="仿宋" w:hAnsi="仿宋" w:eastAsia="仿宋"/>
          <w:b w:val="0"/>
          <w:bCs/>
          <w:color w:val="auto"/>
          <w:sz w:val="32"/>
          <w:szCs w:val="32"/>
          <w:highlight w:val="none"/>
        </w:rPr>
        <w:t>万元，完成预算</w:t>
      </w:r>
      <w:r>
        <w:rPr>
          <w:rStyle w:val="15"/>
          <w:rFonts w:hint="eastAsia" w:ascii="仿宋" w:hAnsi="仿宋" w:eastAsia="仿宋"/>
          <w:b w:val="0"/>
          <w:bCs/>
          <w:color w:val="auto"/>
          <w:sz w:val="32"/>
          <w:szCs w:val="32"/>
          <w:highlight w:val="none"/>
          <w:lang w:val="en-US" w:eastAsia="zh-CN"/>
        </w:rPr>
        <w:t>100</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rPr>
        <w:t>。</w:t>
      </w:r>
    </w:p>
    <w:p>
      <w:pPr>
        <w:pageBreakBefore w:val="0"/>
        <w:kinsoku/>
        <w:wordWrap/>
        <w:overflowPunct/>
        <w:topLinePunct w:val="0"/>
        <w:bidi w:val="0"/>
        <w:snapToGrid/>
        <w:spacing w:line="576" w:lineRule="exact"/>
        <w:ind w:firstLine="640" w:firstLineChars="200"/>
        <w:rPr>
          <w:rStyle w:val="15"/>
          <w:rFonts w:hint="eastAsia" w:ascii="仿宋" w:hAnsi="仿宋" w:eastAsia="仿宋"/>
          <w:b w:val="0"/>
          <w:bCs/>
          <w:color w:val="auto"/>
          <w:sz w:val="32"/>
          <w:szCs w:val="32"/>
          <w:highlight w:val="none"/>
        </w:rPr>
      </w:pPr>
      <w:r>
        <w:rPr>
          <w:rStyle w:val="15"/>
          <w:rFonts w:hint="eastAsia" w:ascii="仿宋" w:hAnsi="仿宋" w:eastAsia="仿宋"/>
          <w:bCs/>
          <w:color w:val="auto"/>
          <w:sz w:val="32"/>
          <w:szCs w:val="32"/>
          <w:highlight w:val="none"/>
          <w:lang w:val="en-US" w:eastAsia="zh-CN"/>
        </w:rPr>
        <w:t>4.</w:t>
      </w:r>
      <w:r>
        <w:rPr>
          <w:rStyle w:val="15"/>
          <w:rFonts w:hint="eastAsia" w:ascii="仿宋" w:hAnsi="仿宋" w:eastAsia="仿宋" w:cs="Times New Roman"/>
          <w:bCs/>
          <w:color w:val="auto"/>
          <w:sz w:val="32"/>
          <w:szCs w:val="32"/>
          <w:highlight w:val="none"/>
        </w:rPr>
        <w:t>卫生健康（</w:t>
      </w:r>
      <w:r>
        <w:rPr>
          <w:rStyle w:val="15"/>
          <w:rFonts w:hint="eastAsia" w:ascii="仿宋" w:hAnsi="仿宋" w:eastAsia="仿宋"/>
          <w:bCs/>
          <w:color w:val="auto"/>
          <w:sz w:val="32"/>
          <w:szCs w:val="32"/>
          <w:highlight w:val="none"/>
        </w:rPr>
        <w:t>类）</w:t>
      </w:r>
      <w:r>
        <w:rPr>
          <w:rStyle w:val="15"/>
          <w:rFonts w:hint="eastAsia" w:ascii="仿宋" w:hAnsi="仿宋" w:eastAsia="仿宋"/>
          <w:bCs/>
          <w:color w:val="auto"/>
          <w:sz w:val="32"/>
          <w:szCs w:val="32"/>
          <w:highlight w:val="none"/>
          <w:lang w:eastAsia="zh-CN"/>
        </w:rPr>
        <w:t>行政事业单位医疗</w:t>
      </w:r>
      <w:r>
        <w:rPr>
          <w:rStyle w:val="15"/>
          <w:rFonts w:hint="eastAsia" w:ascii="仿宋" w:hAnsi="仿宋" w:eastAsia="仿宋"/>
          <w:bCs/>
          <w:color w:val="auto"/>
          <w:sz w:val="32"/>
          <w:szCs w:val="32"/>
          <w:highlight w:val="none"/>
        </w:rPr>
        <w:t>（款）</w:t>
      </w:r>
      <w:r>
        <w:rPr>
          <w:rStyle w:val="15"/>
          <w:rFonts w:hint="eastAsia" w:ascii="仿宋" w:hAnsi="仿宋" w:eastAsia="仿宋"/>
          <w:bCs/>
          <w:color w:val="auto"/>
          <w:sz w:val="32"/>
          <w:szCs w:val="32"/>
          <w:highlight w:val="none"/>
          <w:lang w:eastAsia="zh-CN"/>
        </w:rPr>
        <w:t>事业单位医疗</w:t>
      </w:r>
      <w:r>
        <w:rPr>
          <w:rStyle w:val="15"/>
          <w:rFonts w:hint="eastAsia" w:ascii="仿宋" w:hAnsi="仿宋" w:eastAsia="仿宋"/>
          <w:bCs/>
          <w:color w:val="auto"/>
          <w:sz w:val="32"/>
          <w:szCs w:val="32"/>
          <w:highlight w:val="none"/>
        </w:rPr>
        <w:t>（项）</w:t>
      </w:r>
      <w:r>
        <w:rPr>
          <w:rStyle w:val="15"/>
          <w:rFonts w:ascii="仿宋" w:hAnsi="仿宋" w:eastAsia="仿宋"/>
          <w:bCs/>
          <w:color w:val="auto"/>
          <w:sz w:val="32"/>
          <w:szCs w:val="32"/>
          <w:highlight w:val="none"/>
        </w:rPr>
        <w:t>:</w:t>
      </w:r>
      <w:r>
        <w:rPr>
          <w:rStyle w:val="15"/>
          <w:rFonts w:hint="eastAsia" w:ascii="仿宋" w:hAnsi="仿宋" w:eastAsia="仿宋"/>
          <w:b w:val="0"/>
          <w:bCs/>
          <w:color w:val="auto"/>
          <w:sz w:val="32"/>
          <w:szCs w:val="32"/>
          <w:highlight w:val="none"/>
        </w:rPr>
        <w:t>支出决算为</w:t>
      </w:r>
      <w:r>
        <w:rPr>
          <w:rStyle w:val="15"/>
          <w:rFonts w:hint="eastAsia" w:ascii="仿宋" w:hAnsi="仿宋" w:eastAsia="仿宋"/>
          <w:b w:val="0"/>
          <w:bCs/>
          <w:color w:val="auto"/>
          <w:sz w:val="32"/>
          <w:szCs w:val="32"/>
          <w:highlight w:val="none"/>
          <w:lang w:val="en-US" w:eastAsia="zh-CN"/>
        </w:rPr>
        <w:t>19.86</w:t>
      </w:r>
      <w:r>
        <w:rPr>
          <w:rStyle w:val="15"/>
          <w:rFonts w:hint="eastAsia" w:ascii="仿宋" w:hAnsi="仿宋" w:eastAsia="仿宋"/>
          <w:b w:val="0"/>
          <w:bCs/>
          <w:color w:val="auto"/>
          <w:sz w:val="32"/>
          <w:szCs w:val="32"/>
          <w:highlight w:val="none"/>
        </w:rPr>
        <w:t>万元，完成预算</w:t>
      </w:r>
      <w:r>
        <w:rPr>
          <w:rStyle w:val="15"/>
          <w:rFonts w:hint="eastAsia" w:ascii="仿宋" w:hAnsi="仿宋" w:eastAsia="仿宋"/>
          <w:b w:val="0"/>
          <w:bCs/>
          <w:color w:val="auto"/>
          <w:sz w:val="32"/>
          <w:szCs w:val="32"/>
          <w:highlight w:val="none"/>
          <w:lang w:val="en-US" w:eastAsia="zh-CN"/>
        </w:rPr>
        <w:t>100</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rPr>
        <w:t>。</w:t>
      </w:r>
    </w:p>
    <w:p>
      <w:pPr>
        <w:pageBreakBefore w:val="0"/>
        <w:kinsoku/>
        <w:wordWrap/>
        <w:overflowPunct/>
        <w:topLinePunct w:val="0"/>
        <w:bidi w:val="0"/>
        <w:snapToGrid/>
        <w:spacing w:line="576" w:lineRule="exact"/>
        <w:ind w:firstLine="640" w:firstLineChars="200"/>
        <w:rPr>
          <w:rFonts w:ascii="仿宋" w:hAnsi="仿宋" w:eastAsia="仿宋"/>
          <w:b/>
          <w:color w:val="auto"/>
          <w:sz w:val="32"/>
          <w:szCs w:val="32"/>
          <w:highlight w:val="none"/>
        </w:rPr>
      </w:pPr>
      <w:r>
        <w:rPr>
          <w:rStyle w:val="15"/>
          <w:rFonts w:hint="eastAsia" w:ascii="仿宋" w:hAnsi="仿宋" w:eastAsia="仿宋"/>
          <w:bCs/>
          <w:color w:val="auto"/>
          <w:sz w:val="32"/>
          <w:szCs w:val="32"/>
          <w:highlight w:val="none"/>
          <w:lang w:val="en-US" w:eastAsia="zh-CN"/>
        </w:rPr>
        <w:t>5.</w:t>
      </w:r>
      <w:r>
        <w:rPr>
          <w:rStyle w:val="15"/>
          <w:rFonts w:hint="eastAsia" w:ascii="仿宋" w:hAnsi="仿宋" w:eastAsia="仿宋" w:cs="Times New Roman"/>
          <w:bCs/>
          <w:color w:val="auto"/>
          <w:sz w:val="32"/>
          <w:szCs w:val="32"/>
          <w:highlight w:val="none"/>
        </w:rPr>
        <w:t>卫生健康</w:t>
      </w:r>
      <w:r>
        <w:rPr>
          <w:rStyle w:val="15"/>
          <w:rFonts w:hint="eastAsia" w:ascii="仿宋" w:hAnsi="仿宋" w:eastAsia="仿宋"/>
          <w:bCs/>
          <w:color w:val="auto"/>
          <w:sz w:val="32"/>
          <w:szCs w:val="32"/>
          <w:highlight w:val="none"/>
        </w:rPr>
        <w:t>（类）</w:t>
      </w:r>
      <w:r>
        <w:rPr>
          <w:rStyle w:val="15"/>
          <w:rFonts w:hint="eastAsia" w:ascii="仿宋" w:hAnsi="仿宋" w:eastAsia="仿宋"/>
          <w:bCs/>
          <w:color w:val="auto"/>
          <w:sz w:val="32"/>
          <w:szCs w:val="32"/>
          <w:highlight w:val="none"/>
          <w:lang w:eastAsia="zh-CN"/>
        </w:rPr>
        <w:t>行政事业单位医疗</w:t>
      </w:r>
      <w:r>
        <w:rPr>
          <w:rStyle w:val="15"/>
          <w:rFonts w:hint="eastAsia" w:ascii="仿宋" w:hAnsi="仿宋" w:eastAsia="仿宋"/>
          <w:bCs/>
          <w:color w:val="auto"/>
          <w:sz w:val="32"/>
          <w:szCs w:val="32"/>
          <w:highlight w:val="none"/>
        </w:rPr>
        <w:t>（款）</w:t>
      </w:r>
      <w:r>
        <w:rPr>
          <w:rStyle w:val="15"/>
          <w:rFonts w:hint="eastAsia" w:ascii="仿宋" w:hAnsi="仿宋" w:eastAsia="仿宋"/>
          <w:bCs/>
          <w:color w:val="auto"/>
          <w:sz w:val="32"/>
          <w:szCs w:val="32"/>
          <w:highlight w:val="none"/>
          <w:lang w:eastAsia="zh-CN"/>
        </w:rPr>
        <w:t>事业单位医疗</w:t>
      </w:r>
      <w:r>
        <w:rPr>
          <w:rStyle w:val="15"/>
          <w:rFonts w:hint="eastAsia" w:ascii="仿宋" w:hAnsi="仿宋" w:eastAsia="仿宋"/>
          <w:bCs/>
          <w:color w:val="auto"/>
          <w:sz w:val="32"/>
          <w:szCs w:val="32"/>
          <w:highlight w:val="none"/>
        </w:rPr>
        <w:t>（项）</w:t>
      </w:r>
      <w:r>
        <w:rPr>
          <w:rStyle w:val="15"/>
          <w:rFonts w:ascii="仿宋" w:hAnsi="仿宋" w:eastAsia="仿宋"/>
          <w:bCs/>
          <w:color w:val="auto"/>
          <w:sz w:val="32"/>
          <w:szCs w:val="32"/>
          <w:highlight w:val="none"/>
        </w:rPr>
        <w:t>:</w:t>
      </w:r>
      <w:r>
        <w:rPr>
          <w:rStyle w:val="15"/>
          <w:rFonts w:hint="eastAsia" w:ascii="仿宋" w:hAnsi="仿宋" w:eastAsia="仿宋"/>
          <w:b w:val="0"/>
          <w:bCs/>
          <w:color w:val="auto"/>
          <w:sz w:val="32"/>
          <w:szCs w:val="32"/>
          <w:highlight w:val="none"/>
        </w:rPr>
        <w:t>支出决算为</w:t>
      </w:r>
      <w:r>
        <w:rPr>
          <w:rStyle w:val="15"/>
          <w:rFonts w:hint="eastAsia" w:ascii="仿宋" w:hAnsi="仿宋" w:eastAsia="仿宋"/>
          <w:b w:val="0"/>
          <w:bCs/>
          <w:color w:val="auto"/>
          <w:sz w:val="32"/>
          <w:szCs w:val="32"/>
          <w:highlight w:val="none"/>
          <w:lang w:val="en-US" w:eastAsia="zh-CN"/>
        </w:rPr>
        <w:t>3.27</w:t>
      </w:r>
      <w:r>
        <w:rPr>
          <w:rStyle w:val="15"/>
          <w:rFonts w:hint="eastAsia" w:ascii="仿宋" w:hAnsi="仿宋" w:eastAsia="仿宋"/>
          <w:b w:val="0"/>
          <w:bCs/>
          <w:color w:val="auto"/>
          <w:sz w:val="32"/>
          <w:szCs w:val="32"/>
          <w:highlight w:val="none"/>
        </w:rPr>
        <w:t>万元，完成预算</w:t>
      </w:r>
      <w:r>
        <w:rPr>
          <w:rStyle w:val="15"/>
          <w:rFonts w:hint="eastAsia" w:ascii="仿宋" w:hAnsi="仿宋" w:eastAsia="仿宋"/>
          <w:b w:val="0"/>
          <w:bCs/>
          <w:color w:val="auto"/>
          <w:sz w:val="32"/>
          <w:szCs w:val="32"/>
          <w:highlight w:val="none"/>
          <w:lang w:val="en-US" w:eastAsia="zh-CN"/>
        </w:rPr>
        <w:t>10.90</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rPr>
        <w:t>，决算数小于预算数的主要原因是</w:t>
      </w:r>
      <w:r>
        <w:rPr>
          <w:rStyle w:val="15"/>
          <w:rFonts w:hint="eastAsia" w:ascii="仿宋" w:hAnsi="仿宋" w:eastAsia="仿宋"/>
          <w:b w:val="0"/>
          <w:bCs/>
          <w:color w:val="auto"/>
          <w:sz w:val="32"/>
          <w:szCs w:val="32"/>
          <w:highlight w:val="none"/>
          <w:lang w:eastAsia="zh-CN"/>
        </w:rPr>
        <w:t>该项目资金下达时间较晚，无法实现支出</w:t>
      </w:r>
      <w:r>
        <w:rPr>
          <w:rStyle w:val="15"/>
          <w:rFonts w:hint="eastAsia" w:ascii="仿宋" w:hAnsi="仿宋" w:eastAsia="仿宋"/>
          <w:b w:val="0"/>
          <w:bCs/>
          <w:color w:val="auto"/>
          <w:sz w:val="32"/>
          <w:szCs w:val="32"/>
          <w:highlight w:val="none"/>
        </w:rPr>
        <w:t>。</w:t>
      </w:r>
    </w:p>
    <w:p>
      <w:pPr>
        <w:pageBreakBefore w:val="0"/>
        <w:kinsoku/>
        <w:wordWrap/>
        <w:overflowPunct/>
        <w:topLinePunct w:val="0"/>
        <w:bidi w:val="0"/>
        <w:snapToGrid/>
        <w:spacing w:line="576" w:lineRule="exact"/>
        <w:ind w:firstLine="640" w:firstLineChars="200"/>
        <w:rPr>
          <w:rFonts w:ascii="仿宋" w:hAnsi="仿宋" w:eastAsia="仿宋"/>
          <w:b/>
          <w:color w:val="auto"/>
          <w:sz w:val="32"/>
          <w:szCs w:val="32"/>
          <w:highlight w:val="none"/>
        </w:rPr>
      </w:pPr>
      <w:r>
        <w:rPr>
          <w:rStyle w:val="15"/>
          <w:rFonts w:hint="eastAsia" w:ascii="仿宋" w:hAnsi="仿宋" w:eastAsia="仿宋"/>
          <w:bCs/>
          <w:color w:val="auto"/>
          <w:sz w:val="32"/>
          <w:szCs w:val="32"/>
          <w:highlight w:val="none"/>
          <w:lang w:val="en-US" w:eastAsia="zh-CN"/>
        </w:rPr>
        <w:t>6.住房保障支出（类）住房改革支出（款）住房公积金（项）:</w:t>
      </w:r>
      <w:r>
        <w:rPr>
          <w:rStyle w:val="15"/>
          <w:rFonts w:hint="eastAsia" w:ascii="仿宋" w:hAnsi="仿宋" w:eastAsia="仿宋"/>
          <w:b w:val="0"/>
          <w:bCs/>
          <w:color w:val="auto"/>
          <w:sz w:val="32"/>
          <w:szCs w:val="32"/>
          <w:highlight w:val="none"/>
        </w:rPr>
        <w:t>支出决算为</w:t>
      </w:r>
      <w:r>
        <w:rPr>
          <w:rStyle w:val="15"/>
          <w:rFonts w:hint="eastAsia" w:ascii="仿宋" w:hAnsi="仿宋" w:eastAsia="仿宋"/>
          <w:b w:val="0"/>
          <w:bCs/>
          <w:color w:val="auto"/>
          <w:sz w:val="32"/>
          <w:szCs w:val="32"/>
          <w:highlight w:val="none"/>
          <w:lang w:val="en-US" w:eastAsia="zh-CN"/>
        </w:rPr>
        <w:t>46.71</w:t>
      </w:r>
      <w:r>
        <w:rPr>
          <w:rStyle w:val="15"/>
          <w:rFonts w:hint="eastAsia" w:ascii="仿宋" w:hAnsi="仿宋" w:eastAsia="仿宋"/>
          <w:b w:val="0"/>
          <w:bCs/>
          <w:color w:val="auto"/>
          <w:sz w:val="32"/>
          <w:szCs w:val="32"/>
          <w:highlight w:val="none"/>
        </w:rPr>
        <w:t>万元，完成预算</w:t>
      </w:r>
      <w:r>
        <w:rPr>
          <w:rStyle w:val="15"/>
          <w:rFonts w:hint="eastAsia" w:ascii="仿宋" w:hAnsi="仿宋" w:eastAsia="仿宋"/>
          <w:b w:val="0"/>
          <w:bCs/>
          <w:color w:val="auto"/>
          <w:sz w:val="32"/>
          <w:szCs w:val="32"/>
          <w:highlight w:val="none"/>
          <w:lang w:val="en-US" w:eastAsia="zh-CN"/>
        </w:rPr>
        <w:t>100</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rPr>
        <w:t>。</w:t>
      </w:r>
    </w:p>
    <w:p>
      <w:pPr>
        <w:pageBreakBefore w:val="0"/>
        <w:kinsoku/>
        <w:wordWrap/>
        <w:overflowPunct/>
        <w:topLinePunct w:val="0"/>
        <w:bidi w:val="0"/>
        <w:snapToGrid/>
        <w:spacing w:line="576" w:lineRule="exact"/>
        <w:ind w:firstLine="640"/>
        <w:rPr>
          <w:rFonts w:ascii="仿宋" w:hAnsi="仿宋" w:eastAsia="仿宋"/>
          <w:b/>
          <w:color w:val="auto"/>
          <w:sz w:val="32"/>
          <w:szCs w:val="32"/>
          <w:highlight w:val="none"/>
        </w:rPr>
      </w:pPr>
    </w:p>
    <w:p>
      <w:pPr>
        <w:pageBreakBefore w:val="0"/>
        <w:tabs>
          <w:tab w:val="right" w:pos="8306"/>
        </w:tabs>
        <w:kinsoku/>
        <w:wordWrap/>
        <w:overflowPunct/>
        <w:topLinePunct w:val="0"/>
        <w:bidi w:val="0"/>
        <w:snapToGrid/>
        <w:spacing w:line="576" w:lineRule="exact"/>
        <w:ind w:firstLine="640"/>
        <w:outlineLvl w:val="1"/>
        <w:rPr>
          <w:rStyle w:val="27"/>
          <w:color w:val="auto"/>
          <w:highlight w:val="none"/>
        </w:rPr>
      </w:pPr>
      <w:bookmarkStart w:id="34" w:name="_Toc15377214"/>
      <w:bookmarkStart w:id="35" w:name="_Toc15396608"/>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27"/>
          <w:rFonts w:hint="eastAsia" w:ascii="黑体" w:hAnsi="黑体" w:eastAsia="黑体"/>
          <w:b w:val="0"/>
          <w:color w:val="auto"/>
          <w:highlight w:val="none"/>
        </w:rPr>
        <w:t>般公共预算财政拨款基本支出决算情况说明</w:t>
      </w:r>
      <w:bookmarkEnd w:id="34"/>
      <w:bookmarkEnd w:id="35"/>
      <w:r>
        <w:rPr>
          <w:rStyle w:val="27"/>
          <w:rFonts w:ascii="黑体" w:hAnsi="黑体" w:eastAsia="黑体"/>
          <w:b w:val="0"/>
          <w:color w:val="auto"/>
          <w:highlight w:val="none"/>
        </w:rPr>
        <w:tab/>
      </w:r>
    </w:p>
    <w:p>
      <w:pPr>
        <w:pageBreakBefore w:val="0"/>
        <w:kinsoku/>
        <w:wordWrap/>
        <w:overflowPunct/>
        <w:topLinePunct w:val="0"/>
        <w:bidi w:val="0"/>
        <w:snapToGrid/>
        <w:spacing w:line="576" w:lineRule="exact"/>
        <w:ind w:firstLine="645"/>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年一般公共预算财政拨款基本支出</w:t>
      </w:r>
      <w:r>
        <w:rPr>
          <w:rFonts w:hint="eastAsia" w:ascii="仿宋" w:hAnsi="仿宋" w:eastAsia="仿宋"/>
          <w:color w:val="auto"/>
          <w:sz w:val="32"/>
          <w:szCs w:val="32"/>
          <w:highlight w:val="none"/>
          <w:lang w:val="en-US" w:eastAsia="zh-CN"/>
        </w:rPr>
        <w:t>506.1</w:t>
      </w:r>
      <w:r>
        <w:rPr>
          <w:rFonts w:hint="eastAsia" w:ascii="仿宋" w:hAnsi="仿宋" w:eastAsia="仿宋"/>
          <w:color w:val="auto"/>
          <w:sz w:val="32"/>
          <w:szCs w:val="32"/>
          <w:highlight w:val="none"/>
        </w:rPr>
        <w:t>万元，其中：</w:t>
      </w:r>
    </w:p>
    <w:p>
      <w:pPr>
        <w:pageBreakBefore w:val="0"/>
        <w:kinsoku/>
        <w:wordWrap/>
        <w:overflowPunct/>
        <w:topLinePunct w:val="0"/>
        <w:bidi w:val="0"/>
        <w:snapToGrid/>
        <w:spacing w:line="576" w:lineRule="exact"/>
        <w:ind w:firstLine="645"/>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rPr>
        <w:t>人员经费</w:t>
      </w:r>
      <w:r>
        <w:rPr>
          <w:rFonts w:hint="eastAsia" w:ascii="仿宋" w:hAnsi="仿宋" w:eastAsia="仿宋"/>
          <w:color w:val="auto"/>
          <w:sz w:val="32"/>
          <w:szCs w:val="32"/>
          <w:highlight w:val="none"/>
          <w:lang w:val="en-US" w:eastAsia="zh-CN"/>
        </w:rPr>
        <w:t>459.69</w:t>
      </w:r>
      <w:r>
        <w:rPr>
          <w:rFonts w:hint="eastAsia" w:ascii="仿宋" w:hAnsi="仿宋" w:eastAsia="仿宋"/>
          <w:color w:val="auto"/>
          <w:sz w:val="32"/>
          <w:szCs w:val="32"/>
          <w:highlight w:val="none"/>
        </w:rPr>
        <w:t>万元，主要包括：基本工资、津贴补贴、绩效工资、机关事业单位基本养老保险缴费、职业年金缴费、职工基本医疗保险缴费</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其他社会保障缴费、其他工资福利支出、生活补助</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住房公积金等。</w:t>
      </w:r>
    </w:p>
    <w:p>
      <w:pPr>
        <w:pageBreakBefore w:val="0"/>
        <w:kinsoku/>
        <w:wordWrap/>
        <w:overflowPunct/>
        <w:topLinePunct w:val="0"/>
        <w:bidi w:val="0"/>
        <w:snapToGrid/>
        <w:spacing w:line="576" w:lineRule="exact"/>
        <w:ind w:firstLine="645"/>
        <w:rPr>
          <w:rFonts w:ascii="仿宋" w:hAnsi="仿宋" w:eastAsia="仿宋"/>
          <w:color w:val="auto"/>
          <w:sz w:val="32"/>
          <w:szCs w:val="32"/>
          <w:highlight w:val="none"/>
        </w:rPr>
      </w:pPr>
      <w:r>
        <w:rPr>
          <w:rFonts w:hint="eastAsia" w:ascii="仿宋" w:hAnsi="仿宋" w:eastAsia="仿宋"/>
          <w:color w:val="auto"/>
          <w:sz w:val="32"/>
          <w:szCs w:val="32"/>
          <w:highlight w:val="none"/>
        </w:rPr>
        <w:t>公用经费</w:t>
      </w:r>
      <w:r>
        <w:rPr>
          <w:rFonts w:hint="eastAsia" w:ascii="仿宋" w:hAnsi="仿宋" w:eastAsia="仿宋"/>
          <w:color w:val="auto"/>
          <w:sz w:val="32"/>
          <w:szCs w:val="32"/>
          <w:highlight w:val="none"/>
          <w:lang w:val="en-US" w:eastAsia="zh-CN"/>
        </w:rPr>
        <w:t>41.9</w:t>
      </w:r>
      <w:r>
        <w:rPr>
          <w:rFonts w:hint="eastAsia" w:ascii="仿宋" w:hAnsi="仿宋" w:eastAsia="仿宋"/>
          <w:color w:val="auto"/>
          <w:sz w:val="32"/>
          <w:szCs w:val="32"/>
          <w:highlight w:val="none"/>
        </w:rPr>
        <w:t>万元，主要包括：办公费、印刷费</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手续费、水费、电费、邮电费、物业管理费、差旅费</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维修（护）费、培训费、公务接待费、劳务费、工会经费、公务用车运行维护费</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其他商品和服务支出。</w:t>
      </w:r>
    </w:p>
    <w:p>
      <w:pPr>
        <w:pageBreakBefore w:val="0"/>
        <w:kinsoku/>
        <w:wordWrap/>
        <w:overflowPunct/>
        <w:topLinePunct w:val="0"/>
        <w:bidi w:val="0"/>
        <w:snapToGrid/>
        <w:spacing w:line="576" w:lineRule="exact"/>
        <w:ind w:firstLine="645"/>
        <w:rPr>
          <w:rFonts w:ascii="仿宋" w:hAnsi="仿宋" w:eastAsia="仿宋"/>
          <w:b/>
          <w:color w:val="auto"/>
          <w:sz w:val="32"/>
          <w:szCs w:val="32"/>
          <w:highlight w:val="none"/>
        </w:rPr>
      </w:pPr>
    </w:p>
    <w:p>
      <w:pPr>
        <w:pageBreakBefore w:val="0"/>
        <w:kinsoku/>
        <w:wordWrap/>
        <w:overflowPunct/>
        <w:topLinePunct w:val="0"/>
        <w:bidi w:val="0"/>
        <w:snapToGrid/>
        <w:spacing w:line="576" w:lineRule="exact"/>
        <w:ind w:firstLine="640"/>
        <w:outlineLvl w:val="1"/>
        <w:rPr>
          <w:rStyle w:val="27"/>
          <w:rFonts w:ascii="黑体" w:hAnsi="黑体" w:eastAsia="黑体"/>
          <w:b w:val="0"/>
          <w:color w:val="auto"/>
          <w:highlight w:val="none"/>
        </w:rPr>
      </w:pPr>
      <w:bookmarkStart w:id="36" w:name="_Toc15396609"/>
      <w:bookmarkStart w:id="37" w:name="_Toc15377215"/>
      <w:r>
        <w:rPr>
          <w:rFonts w:hint="eastAsia" w:ascii="黑体" w:eastAsia="黑体"/>
          <w:color w:val="auto"/>
          <w:sz w:val="32"/>
          <w:szCs w:val="32"/>
          <w:highlight w:val="none"/>
        </w:rPr>
        <w:t>七、</w:t>
      </w:r>
      <w:r>
        <w:rPr>
          <w:rStyle w:val="27"/>
          <w:rFonts w:hint="eastAsia" w:ascii="黑体" w:hAnsi="黑体" w:eastAsia="黑体"/>
          <w:color w:val="auto"/>
          <w:highlight w:val="none"/>
        </w:rPr>
        <w:t>“</w:t>
      </w:r>
      <w:r>
        <w:rPr>
          <w:rStyle w:val="27"/>
          <w:rFonts w:hint="eastAsia" w:ascii="黑体" w:hAnsi="黑体" w:eastAsia="黑体"/>
          <w:b w:val="0"/>
          <w:color w:val="auto"/>
          <w:highlight w:val="none"/>
        </w:rPr>
        <w:t>三公”经费财政拨款支出决算情况说明</w:t>
      </w:r>
      <w:bookmarkEnd w:id="36"/>
      <w:bookmarkEnd w:id="37"/>
    </w:p>
    <w:p>
      <w:pPr>
        <w:pageBreakBefore w:val="0"/>
        <w:kinsoku/>
        <w:wordWrap/>
        <w:overflowPunct/>
        <w:topLinePunct w:val="0"/>
        <w:bidi w:val="0"/>
        <w:snapToGrid/>
        <w:spacing w:line="576" w:lineRule="exact"/>
        <w:ind w:firstLine="640"/>
        <w:outlineLvl w:val="2"/>
        <w:rPr>
          <w:rFonts w:ascii="仿宋" w:hAnsi="仿宋" w:eastAsia="仿宋"/>
          <w:b/>
          <w:color w:val="auto"/>
          <w:sz w:val="32"/>
          <w:szCs w:val="32"/>
          <w:highlight w:val="none"/>
        </w:rPr>
      </w:pPr>
      <w:bookmarkStart w:id="38" w:name="_Toc15377216"/>
      <w:r>
        <w:rPr>
          <w:rFonts w:hint="eastAsia" w:ascii="仿宋" w:hAnsi="仿宋" w:eastAsia="仿宋"/>
          <w:b/>
          <w:color w:val="auto"/>
          <w:sz w:val="32"/>
          <w:szCs w:val="32"/>
          <w:highlight w:val="none"/>
        </w:rPr>
        <w:t>（一）“三公”经费财政拨款支出决算总体情况说明</w:t>
      </w:r>
      <w:bookmarkEnd w:id="38"/>
    </w:p>
    <w:p>
      <w:pPr>
        <w:pageBreakBefore w:val="0"/>
        <w:kinsoku/>
        <w:wordWrap/>
        <w:overflowPunct/>
        <w:topLinePunct w:val="0"/>
        <w:bidi w:val="0"/>
        <w:snapToGrid/>
        <w:spacing w:line="576" w:lineRule="exact"/>
        <w:ind w:firstLine="640"/>
        <w:rPr>
          <w:rFonts w:hint="eastAsia" w:ascii="仿宋" w:hAnsi="仿宋" w:eastAsia="仿宋"/>
          <w:color w:val="auto"/>
          <w:sz w:val="32"/>
          <w:szCs w:val="32"/>
          <w:highlight w:val="none"/>
          <w:lang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年“三公”经费财政拨款支出决算为</w:t>
      </w:r>
      <w:r>
        <w:rPr>
          <w:rFonts w:hint="eastAsia" w:ascii="仿宋" w:hAnsi="仿宋" w:eastAsia="仿宋"/>
          <w:color w:val="auto"/>
          <w:sz w:val="32"/>
          <w:szCs w:val="32"/>
          <w:highlight w:val="none"/>
          <w:lang w:val="en-US" w:eastAsia="zh-CN"/>
        </w:rPr>
        <w:t>7.32</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val="en-US" w:eastAsia="zh-CN"/>
        </w:rPr>
        <w:t>81.33</w:t>
      </w:r>
      <w:r>
        <w:rPr>
          <w:rFonts w:ascii="仿宋" w:hAnsi="仿宋" w:eastAsia="仿宋"/>
          <w:color w:val="auto"/>
          <w:sz w:val="32"/>
          <w:szCs w:val="32"/>
          <w:highlight w:val="none"/>
        </w:rPr>
        <w:t>%</w:t>
      </w:r>
      <w:r>
        <w:rPr>
          <w:rFonts w:hint="eastAsia" w:ascii="仿宋" w:hAnsi="仿宋" w:eastAsia="仿宋"/>
          <w:color w:val="auto"/>
          <w:sz w:val="32"/>
          <w:szCs w:val="32"/>
          <w:highlight w:val="none"/>
        </w:rPr>
        <w:t>，决算数小于预算数的主要原因</w:t>
      </w:r>
      <w:r>
        <w:rPr>
          <w:rFonts w:hint="eastAsia" w:ascii="仿宋" w:hAnsi="仿宋" w:eastAsia="仿宋"/>
          <w:color w:val="auto"/>
          <w:sz w:val="32"/>
          <w:szCs w:val="32"/>
          <w:highlight w:val="none"/>
          <w:lang w:eastAsia="zh-CN"/>
        </w:rPr>
        <w:t>一</w:t>
      </w:r>
      <w:r>
        <w:rPr>
          <w:rFonts w:hint="eastAsia" w:ascii="仿宋" w:hAnsi="仿宋" w:eastAsia="仿宋"/>
          <w:color w:val="auto"/>
          <w:sz w:val="32"/>
          <w:szCs w:val="32"/>
          <w:highlight w:val="none"/>
        </w:rPr>
        <w:t>是</w:t>
      </w:r>
      <w:r>
        <w:rPr>
          <w:rFonts w:hint="eastAsia" w:ascii="仿宋" w:hAnsi="仿宋" w:eastAsia="仿宋"/>
          <w:color w:val="auto"/>
          <w:sz w:val="32"/>
          <w:szCs w:val="32"/>
          <w:highlight w:val="none"/>
          <w:lang w:eastAsia="zh-CN"/>
        </w:rPr>
        <w:t>响应市级部门单位“过紧日子”十三措施要求，二是近年疫情持续，各市州减少线下接待</w:t>
      </w:r>
      <w:r>
        <w:rPr>
          <w:rFonts w:hint="eastAsia" w:ascii="仿宋" w:hAnsi="仿宋" w:eastAsia="仿宋"/>
          <w:color w:val="auto"/>
          <w:sz w:val="32"/>
          <w:szCs w:val="32"/>
          <w:highlight w:val="none"/>
        </w:rPr>
        <w:t>。</w:t>
      </w:r>
    </w:p>
    <w:p>
      <w:pPr>
        <w:pageBreakBefore w:val="0"/>
        <w:kinsoku/>
        <w:wordWrap/>
        <w:overflowPunct/>
        <w:topLinePunct w:val="0"/>
        <w:bidi w:val="0"/>
        <w:snapToGrid/>
        <w:spacing w:line="576" w:lineRule="exact"/>
        <w:ind w:firstLine="640"/>
        <w:outlineLvl w:val="2"/>
        <w:rPr>
          <w:rFonts w:ascii="仿宋" w:hAnsi="仿宋" w:eastAsia="仿宋"/>
          <w:b/>
          <w:color w:val="auto"/>
          <w:sz w:val="32"/>
          <w:szCs w:val="32"/>
          <w:highlight w:val="none"/>
        </w:rPr>
      </w:pPr>
      <w:bookmarkStart w:id="39" w:name="_Toc15377217"/>
      <w:r>
        <w:rPr>
          <w:rFonts w:hint="eastAsia" w:ascii="仿宋" w:hAnsi="仿宋" w:eastAsia="仿宋"/>
          <w:b/>
          <w:color w:val="auto"/>
          <w:sz w:val="32"/>
          <w:szCs w:val="32"/>
          <w:highlight w:val="none"/>
        </w:rPr>
        <w:t>（二）“三公”经费财政拨款支出决算具体情况说明</w:t>
      </w:r>
      <w:bookmarkEnd w:id="39"/>
    </w:p>
    <w:p>
      <w:pPr>
        <w:pageBreakBefore w:val="0"/>
        <w:kinsoku/>
        <w:wordWrap/>
        <w:overflowPunct/>
        <w:topLinePunct w:val="0"/>
        <w:bidi w:val="0"/>
        <w:snapToGrid/>
        <w:spacing w:line="576" w:lineRule="exact"/>
        <w:ind w:firstLine="640"/>
        <w:rPr>
          <w:rFonts w:hint="eastAsia"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年“三公”经费财政拨款支出决算中，因公出国（境）费支出决算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万元；公务用车购置及运行维护费支出决算</w:t>
      </w:r>
      <w:r>
        <w:rPr>
          <w:rFonts w:hint="eastAsia" w:ascii="仿宋" w:hAnsi="仿宋" w:eastAsia="仿宋"/>
          <w:color w:val="auto"/>
          <w:sz w:val="32"/>
          <w:szCs w:val="32"/>
          <w:highlight w:val="none"/>
          <w:lang w:val="en-US" w:eastAsia="zh-CN"/>
        </w:rPr>
        <w:t>7</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95.63</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；公务接待费支出决算</w:t>
      </w:r>
      <w:r>
        <w:rPr>
          <w:rFonts w:hint="eastAsia" w:ascii="仿宋" w:hAnsi="仿宋" w:eastAsia="仿宋"/>
          <w:color w:val="auto"/>
          <w:sz w:val="32"/>
          <w:szCs w:val="32"/>
          <w:highlight w:val="none"/>
          <w:lang w:val="en-US" w:eastAsia="zh-CN"/>
        </w:rPr>
        <w:t>0.32</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4.37</w:t>
      </w:r>
      <w:r>
        <w:rPr>
          <w:rFonts w:ascii="仿宋" w:hAnsi="仿宋" w:eastAsia="仿宋"/>
          <w:color w:val="auto"/>
          <w:sz w:val="32"/>
          <w:szCs w:val="32"/>
          <w:highlight w:val="none"/>
        </w:rPr>
        <w:t>%</w:t>
      </w:r>
      <w:r>
        <w:rPr>
          <w:rFonts w:hint="eastAsia" w:ascii="仿宋" w:hAnsi="仿宋" w:eastAsia="仿宋"/>
          <w:color w:val="auto"/>
          <w:sz w:val="32"/>
          <w:szCs w:val="32"/>
          <w:highlight w:val="none"/>
        </w:rPr>
        <w:t>。具体情况如下：</w:t>
      </w:r>
    </w:p>
    <w:p>
      <w:pPr>
        <w:pStyle w:val="2"/>
        <w:pageBreakBefore w:val="0"/>
        <w:kinsoku/>
        <w:wordWrap/>
        <w:overflowPunct/>
        <w:topLinePunct w:val="0"/>
        <w:bidi w:val="0"/>
        <w:snapToGrid/>
        <w:spacing w:line="576" w:lineRule="exact"/>
        <w:jc w:val="center"/>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drawing>
          <wp:anchor distT="0" distB="0" distL="114300" distR="114300" simplePos="0" relativeHeight="251665408" behindDoc="0" locked="0" layoutInCell="1" allowOverlap="1">
            <wp:simplePos x="0" y="0"/>
            <wp:positionH relativeFrom="column">
              <wp:posOffset>128270</wp:posOffset>
            </wp:positionH>
            <wp:positionV relativeFrom="paragraph">
              <wp:posOffset>185420</wp:posOffset>
            </wp:positionV>
            <wp:extent cx="5080000" cy="3810000"/>
            <wp:effectExtent l="4445" t="4445" r="20955" b="52705"/>
            <wp:wrapSquare wrapText="bothSides"/>
            <wp:docPr id="21" name="图表 21" descr="7b0a202020202263686172745265734964223a20223230343732313936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Pr>
          <w:rFonts w:hint="eastAsia" w:ascii="仿宋" w:hAnsi="仿宋" w:eastAsia="仿宋"/>
          <w:color w:val="auto"/>
          <w:sz w:val="32"/>
          <w:szCs w:val="32"/>
          <w:highlight w:val="none"/>
        </w:rPr>
        <w:t>（图7：“三公”经费财政拨款支出结构）（饼状图）</w:t>
      </w:r>
    </w:p>
    <w:p>
      <w:pPr>
        <w:pageBreakBefore w:val="0"/>
        <w:kinsoku/>
        <w:wordWrap/>
        <w:overflowPunct/>
        <w:topLinePunct w:val="0"/>
        <w:bidi w:val="0"/>
        <w:snapToGrid/>
        <w:spacing w:line="576" w:lineRule="exact"/>
        <w:ind w:firstLine="640"/>
        <w:rPr>
          <w:rFonts w:ascii="仿宋_GB2312" w:eastAsia="仿宋_GB2312"/>
          <w:b/>
          <w:color w:val="auto"/>
          <w:sz w:val="32"/>
          <w:szCs w:val="32"/>
          <w:highlight w:val="none"/>
        </w:rPr>
      </w:pPr>
    </w:p>
    <w:p>
      <w:pPr>
        <w:pageBreakBefore w:val="0"/>
        <w:kinsoku/>
        <w:wordWrap/>
        <w:overflowPunct/>
        <w:topLinePunct w:val="0"/>
        <w:bidi w:val="0"/>
        <w:snapToGrid/>
        <w:spacing w:line="576" w:lineRule="exact"/>
        <w:ind w:firstLine="640"/>
        <w:rPr>
          <w:rFonts w:ascii="仿宋_GB2312" w:eastAsia="仿宋_GB2312"/>
          <w:b/>
          <w:color w:val="auto"/>
          <w:sz w:val="32"/>
          <w:szCs w:val="32"/>
          <w:highlight w:val="none"/>
        </w:rPr>
      </w:pPr>
      <w:r>
        <w:rPr>
          <w:rFonts w:ascii="仿宋_GB2312" w:eastAsia="仿宋_GB2312"/>
          <w:b/>
          <w:color w:val="auto"/>
          <w:sz w:val="32"/>
          <w:szCs w:val="32"/>
          <w:highlight w:val="none"/>
        </w:rPr>
        <w:t>1.</w:t>
      </w:r>
      <w:r>
        <w:rPr>
          <w:rFonts w:hint="eastAsia" w:ascii="仿宋_GB2312" w:eastAsia="仿宋_GB2312"/>
          <w:b/>
          <w:color w:val="auto"/>
          <w:sz w:val="32"/>
          <w:szCs w:val="32"/>
          <w:highlight w:val="none"/>
        </w:rPr>
        <w:t>因公出国（境）经费支出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Style w:val="15"/>
          <w:rFonts w:hint="eastAsia" w:ascii="仿宋" w:hAnsi="仿宋" w:eastAsia="仿宋"/>
          <w:b w:val="0"/>
          <w:bCs/>
          <w:color w:val="auto"/>
          <w:sz w:val="32"/>
          <w:szCs w:val="32"/>
          <w:highlight w:val="none"/>
        </w:rPr>
        <w:t>年初未安排预算。</w:t>
      </w:r>
      <w:r>
        <w:rPr>
          <w:rFonts w:hint="eastAsia" w:ascii="仿宋_GB2312" w:eastAsia="仿宋_GB2312"/>
          <w:color w:val="auto"/>
          <w:sz w:val="32"/>
          <w:szCs w:val="32"/>
          <w:highlight w:val="none"/>
        </w:rPr>
        <w:t>因公出国（境）支出决算较2020年无变化。</w:t>
      </w:r>
    </w:p>
    <w:p>
      <w:pPr>
        <w:pageBreakBefore w:val="0"/>
        <w:kinsoku/>
        <w:wordWrap/>
        <w:overflowPunct/>
        <w:topLinePunct w:val="0"/>
        <w:bidi w:val="0"/>
        <w:snapToGrid/>
        <w:spacing w:line="576" w:lineRule="exact"/>
        <w:ind w:firstLine="640"/>
        <w:rPr>
          <w:rFonts w:ascii="仿宋_GB2312" w:eastAsia="仿宋_GB2312"/>
          <w:b/>
          <w:color w:val="auto"/>
          <w:sz w:val="32"/>
          <w:szCs w:val="32"/>
          <w:highlight w:val="none"/>
        </w:rPr>
      </w:pPr>
      <w:r>
        <w:rPr>
          <w:rFonts w:ascii="仿宋_GB2312" w:eastAsia="仿宋_GB2312"/>
          <w:b/>
          <w:color w:val="auto"/>
          <w:sz w:val="32"/>
          <w:szCs w:val="32"/>
          <w:highlight w:val="none"/>
        </w:rPr>
        <w:t>2.</w:t>
      </w:r>
      <w:r>
        <w:rPr>
          <w:rFonts w:hint="eastAsia" w:ascii="仿宋_GB2312" w:eastAsia="仿宋_GB2312"/>
          <w:b/>
          <w:color w:val="auto"/>
          <w:sz w:val="32"/>
          <w:szCs w:val="32"/>
          <w:highlight w:val="none"/>
        </w:rPr>
        <w:t>公务用车购置及运行维护费支出</w:t>
      </w:r>
      <w:r>
        <w:rPr>
          <w:rFonts w:hint="eastAsia" w:ascii="仿宋_GB2312" w:eastAsia="仿宋_GB2312"/>
          <w:color w:val="auto"/>
          <w:sz w:val="32"/>
          <w:szCs w:val="32"/>
          <w:highlight w:val="none"/>
          <w:lang w:val="en-US" w:eastAsia="zh-CN"/>
        </w:rPr>
        <w:t>7</w:t>
      </w:r>
      <w:r>
        <w:rPr>
          <w:rFonts w:hint="eastAsia" w:ascii="仿宋_GB2312" w:eastAsia="仿宋_GB2312"/>
          <w:color w:val="auto"/>
          <w:sz w:val="32"/>
          <w:szCs w:val="32"/>
          <w:highlight w:val="none"/>
        </w:rPr>
        <w:t>万元,</w:t>
      </w:r>
      <w:r>
        <w:rPr>
          <w:rStyle w:val="15"/>
          <w:rFonts w:hint="eastAsia" w:ascii="仿宋" w:hAnsi="仿宋" w:eastAsia="仿宋"/>
          <w:b w:val="0"/>
          <w:bCs/>
          <w:color w:val="auto"/>
          <w:sz w:val="32"/>
          <w:szCs w:val="32"/>
          <w:highlight w:val="none"/>
        </w:rPr>
        <w:t>完成预算</w:t>
      </w:r>
      <w:r>
        <w:rPr>
          <w:rStyle w:val="15"/>
          <w:rFonts w:hint="eastAsia" w:ascii="仿宋" w:hAnsi="仿宋" w:eastAsia="仿宋"/>
          <w:b w:val="0"/>
          <w:bCs/>
          <w:color w:val="auto"/>
          <w:sz w:val="32"/>
          <w:szCs w:val="32"/>
          <w:highlight w:val="none"/>
          <w:lang w:val="en-US"/>
        </w:rPr>
        <w:t>100</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公务用车购置及运行维护费支出决算比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年增加</w:t>
      </w:r>
      <w:r>
        <w:rPr>
          <w:rFonts w:hint="eastAsia" w:ascii="仿宋_GB2312" w:eastAsia="仿宋_GB2312"/>
          <w:color w:val="auto"/>
          <w:sz w:val="32"/>
          <w:szCs w:val="32"/>
          <w:highlight w:val="none"/>
          <w:lang w:val="en-US" w:eastAsia="zh-CN"/>
        </w:rPr>
        <w:t>7</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2020年无数据无法比较</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val="en-US" w:eastAsia="zh-CN"/>
        </w:rPr>
        <w:t>2020年3月新设立广元市儿童福利院，</w:t>
      </w:r>
      <w:r>
        <w:rPr>
          <w:rFonts w:hint="eastAsia" w:ascii="仿宋" w:hAnsi="仿宋" w:eastAsia="仿宋"/>
          <w:color w:val="auto"/>
          <w:sz w:val="32"/>
          <w:szCs w:val="32"/>
          <w:highlight w:val="none"/>
          <w:lang w:val="en-US" w:eastAsia="zh-CN"/>
        </w:rPr>
        <w:t>2020年初无预算编制，2021年开始正式编制预算</w:t>
      </w:r>
      <w:r>
        <w:rPr>
          <w:rFonts w:hint="eastAsia" w:ascii="仿宋_GB2312" w:eastAsia="仿宋_GB2312"/>
          <w:color w:val="auto"/>
          <w:sz w:val="32"/>
          <w:szCs w:val="32"/>
          <w:highlight w:val="none"/>
        </w:rPr>
        <w:t>。</w:t>
      </w:r>
    </w:p>
    <w:p>
      <w:pPr>
        <w:pageBreakBefore w:val="0"/>
        <w:kinsoku/>
        <w:wordWrap/>
        <w:overflowPunct/>
        <w:topLinePunct w:val="0"/>
        <w:bidi w:val="0"/>
        <w:snapToGrid/>
        <w:spacing w:line="576" w:lineRule="exact"/>
        <w:ind w:firstLine="640" w:firstLineChars="200"/>
        <w:rPr>
          <w:rFonts w:hint="default" w:ascii="仿宋_GB2312" w:eastAsia="仿宋_GB2312"/>
          <w:b/>
          <w:color w:val="auto"/>
          <w:sz w:val="32"/>
          <w:szCs w:val="32"/>
          <w:highlight w:val="none"/>
          <w:lang w:val="en-US" w:eastAsia="zh-CN"/>
        </w:rPr>
      </w:pPr>
      <w:r>
        <w:rPr>
          <w:rFonts w:hint="eastAsia" w:ascii="仿宋_GB2312" w:eastAsia="仿宋_GB2312"/>
          <w:color w:val="auto"/>
          <w:sz w:val="32"/>
          <w:szCs w:val="32"/>
          <w:highlight w:val="none"/>
        </w:rPr>
        <w:t>其中：</w:t>
      </w:r>
      <w:r>
        <w:rPr>
          <w:rFonts w:hint="eastAsia" w:ascii="仿宋_GB2312" w:eastAsia="仿宋_GB2312"/>
          <w:b/>
          <w:color w:val="auto"/>
          <w:sz w:val="32"/>
          <w:szCs w:val="32"/>
          <w:highlight w:val="none"/>
        </w:rPr>
        <w:t>公务用车购置支出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val="en-US" w:eastAsia="zh-CN"/>
        </w:rPr>
        <w:t>全年未更新购置公务用车。截至2021年12月底，单位共</w:t>
      </w:r>
      <w:r>
        <w:rPr>
          <w:rFonts w:hint="eastAsia" w:ascii="仿宋_GB2312" w:eastAsia="仿宋_GB2312"/>
          <w:color w:val="auto"/>
          <w:sz w:val="32"/>
          <w:szCs w:val="32"/>
          <w:highlight w:val="none"/>
        </w:rPr>
        <w:t>有公务用车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主要原因为</w:t>
      </w:r>
      <w:r>
        <w:rPr>
          <w:rFonts w:hint="eastAsia" w:ascii="仿宋" w:hAnsi="仿宋" w:eastAsia="仿宋"/>
          <w:color w:val="auto"/>
          <w:sz w:val="32"/>
          <w:szCs w:val="32"/>
          <w:highlight w:val="none"/>
          <w:lang w:val="en-US" w:eastAsia="zh-CN"/>
        </w:rPr>
        <w:t>2020年3月因机构改革新设立广元市儿童福利院，实行两个单位一套人员的配置，由广元市儿童福利院暂时代管广元市社会福利院，两院固定资产交接还未完成，共用3辆公务用车，公务用车运行维护费支出由儿童福利院公用经费承担。</w:t>
      </w:r>
    </w:p>
    <w:p>
      <w:pPr>
        <w:pageBreakBefore w:val="0"/>
        <w:kinsoku/>
        <w:wordWrap/>
        <w:overflowPunct/>
        <w:topLinePunct w:val="0"/>
        <w:bidi w:val="0"/>
        <w:snapToGrid/>
        <w:spacing w:line="576" w:lineRule="exact"/>
        <w:ind w:firstLine="640"/>
        <w:rPr>
          <w:rFonts w:hint="eastAsia" w:ascii="仿宋_GB2312" w:eastAsia="仿宋_GB2312"/>
          <w:color w:val="auto"/>
          <w:sz w:val="32"/>
          <w:szCs w:val="32"/>
          <w:highlight w:val="none"/>
        </w:rPr>
      </w:pPr>
      <w:r>
        <w:rPr>
          <w:rFonts w:hint="eastAsia" w:ascii="仿宋_GB2312" w:eastAsia="仿宋_GB2312"/>
          <w:b/>
          <w:color w:val="auto"/>
          <w:sz w:val="32"/>
          <w:szCs w:val="32"/>
          <w:highlight w:val="none"/>
        </w:rPr>
        <w:t>公务用车运行维护费支出</w:t>
      </w:r>
      <w:r>
        <w:rPr>
          <w:rFonts w:hint="eastAsia" w:ascii="仿宋_GB2312" w:eastAsia="仿宋_GB2312"/>
          <w:color w:val="auto"/>
          <w:sz w:val="32"/>
          <w:szCs w:val="32"/>
          <w:highlight w:val="none"/>
          <w:lang w:val="en-US" w:eastAsia="zh-CN"/>
        </w:rPr>
        <w:t>7</w:t>
      </w:r>
      <w:r>
        <w:rPr>
          <w:rFonts w:hint="eastAsia" w:ascii="仿宋_GB2312" w:eastAsia="仿宋_GB2312"/>
          <w:color w:val="auto"/>
          <w:sz w:val="32"/>
          <w:szCs w:val="32"/>
          <w:highlight w:val="none"/>
        </w:rPr>
        <w:t>万元。主要用于</w:t>
      </w:r>
      <w:r>
        <w:rPr>
          <w:rFonts w:hint="eastAsia" w:ascii="仿宋_GB2312" w:eastAsia="仿宋_GB2312"/>
          <w:color w:val="auto"/>
          <w:sz w:val="32"/>
          <w:szCs w:val="32"/>
          <w:highlight w:val="none"/>
          <w:lang w:eastAsia="zh-CN"/>
        </w:rPr>
        <w:t>本单位适龄儿童上下学接送，社会代养老人、特困人员、孤儿弃婴就医、出行</w:t>
      </w:r>
      <w:r>
        <w:rPr>
          <w:rFonts w:hint="eastAsia" w:ascii="仿宋_GB2312" w:eastAsia="仿宋_GB2312"/>
          <w:color w:val="auto"/>
          <w:sz w:val="32"/>
          <w:szCs w:val="32"/>
          <w:highlight w:val="none"/>
        </w:rPr>
        <w:t>等所需的公务用车燃料费、维修费、过路过桥费、保险费</w:t>
      </w:r>
      <w:r>
        <w:rPr>
          <w:rFonts w:hint="eastAsia" w:ascii="仿宋_GB2312" w:eastAsia="仿宋_GB2312"/>
          <w:color w:val="auto"/>
          <w:sz w:val="32"/>
          <w:szCs w:val="32"/>
          <w:highlight w:val="none"/>
          <w:lang w:eastAsia="zh-CN"/>
        </w:rPr>
        <w:t>、停洗车费</w:t>
      </w:r>
      <w:r>
        <w:rPr>
          <w:rFonts w:hint="eastAsia" w:ascii="仿宋_GB2312" w:eastAsia="仿宋_GB2312"/>
          <w:color w:val="auto"/>
          <w:sz w:val="32"/>
          <w:szCs w:val="32"/>
          <w:highlight w:val="none"/>
        </w:rPr>
        <w:t>等支出。</w:t>
      </w:r>
    </w:p>
    <w:p>
      <w:pPr>
        <w:pageBreakBefore w:val="0"/>
        <w:kinsoku/>
        <w:wordWrap/>
        <w:overflowPunct/>
        <w:topLinePunct w:val="0"/>
        <w:bidi w:val="0"/>
        <w:snapToGrid/>
        <w:spacing w:line="576" w:lineRule="exact"/>
        <w:ind w:firstLine="640"/>
        <w:rPr>
          <w:rFonts w:ascii="仿宋_GB2312" w:eastAsia="仿宋_GB2312"/>
          <w:color w:val="auto"/>
          <w:sz w:val="32"/>
          <w:szCs w:val="32"/>
          <w:highlight w:val="none"/>
        </w:rPr>
      </w:pPr>
      <w:r>
        <w:rPr>
          <w:rFonts w:ascii="仿宋_GB2312" w:eastAsia="仿宋_GB2312"/>
          <w:b/>
          <w:color w:val="auto"/>
          <w:sz w:val="32"/>
          <w:szCs w:val="32"/>
          <w:highlight w:val="none"/>
        </w:rPr>
        <w:t>3.</w:t>
      </w:r>
      <w:r>
        <w:rPr>
          <w:rFonts w:hint="eastAsia" w:ascii="仿宋_GB2312" w:eastAsia="仿宋_GB2312"/>
          <w:b/>
          <w:color w:val="auto"/>
          <w:sz w:val="32"/>
          <w:szCs w:val="32"/>
          <w:highlight w:val="none"/>
        </w:rPr>
        <w:t>公务接待费支出</w:t>
      </w:r>
      <w:r>
        <w:rPr>
          <w:rFonts w:hint="eastAsia" w:ascii="仿宋_GB2312" w:eastAsia="仿宋_GB2312"/>
          <w:color w:val="auto"/>
          <w:sz w:val="32"/>
          <w:szCs w:val="32"/>
          <w:highlight w:val="none"/>
          <w:lang w:val="en-US" w:eastAsia="zh-CN"/>
        </w:rPr>
        <w:t>0.32</w:t>
      </w:r>
      <w:r>
        <w:rPr>
          <w:rFonts w:hint="eastAsia" w:ascii="仿宋_GB2312" w:eastAsia="仿宋_GB2312"/>
          <w:color w:val="auto"/>
          <w:sz w:val="32"/>
          <w:szCs w:val="32"/>
          <w:highlight w:val="none"/>
        </w:rPr>
        <w:t>万元，</w:t>
      </w:r>
      <w:r>
        <w:rPr>
          <w:rStyle w:val="15"/>
          <w:rFonts w:hint="eastAsia" w:ascii="仿宋" w:hAnsi="仿宋" w:eastAsia="仿宋"/>
          <w:b w:val="0"/>
          <w:bCs/>
          <w:color w:val="auto"/>
          <w:sz w:val="32"/>
          <w:szCs w:val="32"/>
          <w:highlight w:val="none"/>
        </w:rPr>
        <w:t>完成预算</w:t>
      </w:r>
      <w:r>
        <w:rPr>
          <w:rStyle w:val="15"/>
          <w:rFonts w:hint="eastAsia" w:ascii="仿宋" w:hAnsi="仿宋" w:eastAsia="仿宋"/>
          <w:b w:val="0"/>
          <w:bCs/>
          <w:color w:val="auto"/>
          <w:sz w:val="32"/>
          <w:szCs w:val="32"/>
          <w:highlight w:val="none"/>
          <w:lang w:val="en-US"/>
        </w:rPr>
        <w:t>32</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公务接待费支出决算比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年增加</w:t>
      </w:r>
      <w:r>
        <w:rPr>
          <w:rFonts w:hint="eastAsia" w:ascii="仿宋_GB2312" w:eastAsia="仿宋_GB2312"/>
          <w:color w:val="auto"/>
          <w:sz w:val="32"/>
          <w:szCs w:val="32"/>
          <w:highlight w:val="none"/>
          <w:lang w:val="en-US" w:eastAsia="zh-CN"/>
        </w:rPr>
        <w:t>0.32</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val="en-US" w:eastAsia="zh-CN"/>
        </w:rPr>
        <w:t>2020年无数据无法比较</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val="en-US" w:eastAsia="zh-CN"/>
        </w:rPr>
        <w:t>2020年3月新设立广元市儿童福利院，</w:t>
      </w:r>
      <w:r>
        <w:rPr>
          <w:rFonts w:hint="eastAsia" w:ascii="仿宋" w:hAnsi="仿宋" w:eastAsia="仿宋"/>
          <w:color w:val="auto"/>
          <w:sz w:val="32"/>
          <w:szCs w:val="32"/>
          <w:highlight w:val="none"/>
          <w:lang w:val="en-US" w:eastAsia="zh-CN"/>
        </w:rPr>
        <w:t>2020年初无预算编制，2021年开始正式编制预算</w:t>
      </w:r>
      <w:r>
        <w:rPr>
          <w:rFonts w:hint="eastAsia" w:ascii="仿宋_GB2312" w:eastAsia="仿宋_GB2312"/>
          <w:color w:val="auto"/>
          <w:sz w:val="32"/>
          <w:szCs w:val="32"/>
          <w:highlight w:val="none"/>
        </w:rPr>
        <w:t>。其中：</w:t>
      </w:r>
    </w:p>
    <w:p>
      <w:pPr>
        <w:pageBreakBefore w:val="0"/>
        <w:kinsoku/>
        <w:wordWrap/>
        <w:overflowPunct/>
        <w:topLinePunct w:val="0"/>
        <w:bidi w:val="0"/>
        <w:snapToGrid/>
        <w:spacing w:line="576" w:lineRule="exact"/>
        <w:ind w:firstLine="640"/>
        <w:rPr>
          <w:rFonts w:ascii="仿宋_GB2312" w:eastAsia="仿宋_GB2312"/>
          <w:color w:val="auto"/>
          <w:sz w:val="32"/>
          <w:szCs w:val="32"/>
          <w:highlight w:val="none"/>
        </w:rPr>
      </w:pPr>
      <w:r>
        <w:rPr>
          <w:rFonts w:hint="eastAsia" w:ascii="仿宋" w:hAnsi="仿宋" w:eastAsia="仿宋"/>
          <w:b/>
          <w:color w:val="auto"/>
          <w:sz w:val="32"/>
          <w:szCs w:val="32"/>
          <w:highlight w:val="none"/>
        </w:rPr>
        <w:t>国内公务接待支出</w:t>
      </w:r>
      <w:r>
        <w:rPr>
          <w:rFonts w:hint="eastAsia" w:ascii="仿宋" w:hAnsi="仿宋" w:eastAsia="仿宋"/>
          <w:color w:val="auto"/>
          <w:sz w:val="32"/>
          <w:szCs w:val="32"/>
          <w:highlight w:val="none"/>
          <w:lang w:val="en-US" w:eastAsia="zh-CN"/>
        </w:rPr>
        <w:t>0.32</w:t>
      </w:r>
      <w:r>
        <w:rPr>
          <w:rFonts w:hint="eastAsia" w:ascii="仿宋_GB2312" w:eastAsia="仿宋_GB2312"/>
          <w:color w:val="auto"/>
          <w:sz w:val="32"/>
          <w:szCs w:val="32"/>
          <w:highlight w:val="none"/>
        </w:rPr>
        <w:t>万元，主要用于</w:t>
      </w:r>
      <w:r>
        <w:rPr>
          <w:rFonts w:hint="eastAsia" w:ascii="仿宋_GB2312" w:eastAsia="仿宋_GB2312"/>
          <w:color w:val="auto"/>
          <w:sz w:val="32"/>
          <w:szCs w:val="32"/>
          <w:highlight w:val="none"/>
          <w:lang w:eastAsia="zh-CN"/>
        </w:rPr>
        <w:t>接待外市来访人员用餐费</w:t>
      </w:r>
      <w:r>
        <w:rPr>
          <w:rFonts w:hint="eastAsia" w:ascii="仿宋_GB2312" w:eastAsia="仿宋_GB2312"/>
          <w:color w:val="auto"/>
          <w:sz w:val="32"/>
          <w:szCs w:val="32"/>
          <w:highlight w:val="none"/>
        </w:rPr>
        <w:t>。国内公务接待</w:t>
      </w:r>
      <w:r>
        <w:rPr>
          <w:rFonts w:hint="eastAsia" w:ascii="仿宋_GB2312" w:eastAsia="仿宋_GB2312"/>
          <w:color w:val="auto"/>
          <w:sz w:val="32"/>
          <w:szCs w:val="32"/>
          <w:highlight w:val="none"/>
          <w:lang w:val="en-US" w:eastAsia="zh-CN"/>
        </w:rPr>
        <w:t>5</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37</w:t>
      </w:r>
      <w:r>
        <w:rPr>
          <w:rFonts w:hint="eastAsia" w:ascii="仿宋_GB2312" w:eastAsia="仿宋_GB2312"/>
          <w:color w:val="auto"/>
          <w:sz w:val="32"/>
          <w:szCs w:val="32"/>
          <w:highlight w:val="none"/>
        </w:rPr>
        <w:t>人次（不包括陪同人员），共计支出</w:t>
      </w:r>
      <w:r>
        <w:rPr>
          <w:rFonts w:hint="eastAsia" w:ascii="仿宋_GB2312" w:eastAsia="仿宋_GB2312"/>
          <w:color w:val="auto"/>
          <w:sz w:val="32"/>
          <w:szCs w:val="32"/>
          <w:highlight w:val="none"/>
          <w:lang w:val="en-US" w:eastAsia="zh-CN"/>
        </w:rPr>
        <w:t>0.32</w:t>
      </w:r>
      <w:r>
        <w:rPr>
          <w:rFonts w:hint="eastAsia" w:ascii="仿宋_GB2312" w:eastAsia="仿宋_GB2312"/>
          <w:color w:val="auto"/>
          <w:sz w:val="32"/>
          <w:szCs w:val="32"/>
          <w:highlight w:val="none"/>
        </w:rPr>
        <w:t>万元，具体内容包括：</w:t>
      </w:r>
      <w:r>
        <w:rPr>
          <w:rFonts w:hint="eastAsia" w:ascii="仿宋_GB2312" w:eastAsia="仿宋_GB2312"/>
          <w:color w:val="auto"/>
          <w:sz w:val="32"/>
          <w:szCs w:val="32"/>
          <w:highlight w:val="none"/>
          <w:lang w:eastAsia="zh-CN"/>
        </w:rPr>
        <w:t>四川民政康复医院接送儿童做康复</w:t>
      </w:r>
      <w:r>
        <w:rPr>
          <w:rFonts w:hint="eastAsia" w:ascii="仿宋_GB2312" w:eastAsia="仿宋_GB2312"/>
          <w:color w:val="auto"/>
          <w:sz w:val="32"/>
          <w:szCs w:val="32"/>
          <w:highlight w:val="none"/>
          <w:lang w:val="en-US" w:eastAsia="zh-CN"/>
        </w:rPr>
        <w:t>2次，合计0.1万元；甘孜州儿童福利院到我院交流学习，0.08万元；乐山社会福利院到我院养老交流学习，0.06万元；省康复辅具技术中心调研明天计划项目，0.08万元。</w:t>
      </w:r>
    </w:p>
    <w:p>
      <w:pPr>
        <w:pageBreakBefore w:val="0"/>
        <w:kinsoku/>
        <w:wordWrap/>
        <w:overflowPunct/>
        <w:topLinePunct w:val="0"/>
        <w:bidi w:val="0"/>
        <w:snapToGrid/>
        <w:spacing w:line="576" w:lineRule="exact"/>
        <w:ind w:firstLine="642" w:firstLineChars="200"/>
        <w:rPr>
          <w:rFonts w:ascii="仿宋_GB2312" w:eastAsia="仿宋_GB2312"/>
          <w:color w:val="auto"/>
          <w:sz w:val="32"/>
          <w:szCs w:val="32"/>
          <w:highlight w:val="none"/>
        </w:rPr>
      </w:pPr>
      <w:r>
        <w:rPr>
          <w:rFonts w:hint="eastAsia" w:ascii="仿宋" w:hAnsi="仿宋" w:eastAsia="仿宋"/>
          <w:b/>
          <w:color w:val="auto"/>
          <w:sz w:val="32"/>
          <w:szCs w:val="32"/>
          <w:highlight w:val="none"/>
        </w:rPr>
        <w:t>外事接待支出</w:t>
      </w:r>
      <w:r>
        <w:rPr>
          <w:rFonts w:hint="eastAsia" w:ascii="仿宋" w:hAnsi="仿宋" w:eastAsia="仿宋"/>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val="en-US" w:eastAsia="zh-CN"/>
        </w:rPr>
        <w:t>2021年</w:t>
      </w:r>
      <w:r>
        <w:rPr>
          <w:rFonts w:hint="eastAsia" w:ascii="仿宋_GB2312" w:eastAsia="仿宋_GB2312"/>
          <w:color w:val="auto"/>
          <w:sz w:val="32"/>
          <w:szCs w:val="32"/>
          <w:highlight w:val="none"/>
          <w:lang w:eastAsia="zh-CN"/>
        </w:rPr>
        <w:t>无外事接待</w:t>
      </w:r>
      <w:r>
        <w:rPr>
          <w:rFonts w:hint="eastAsia" w:ascii="仿宋_GB2312" w:eastAsia="仿宋_GB2312"/>
          <w:color w:val="auto"/>
          <w:sz w:val="32"/>
          <w:szCs w:val="32"/>
          <w:highlight w:val="none"/>
        </w:rPr>
        <w:t>。</w:t>
      </w:r>
    </w:p>
    <w:p>
      <w:pPr>
        <w:pageBreakBefore w:val="0"/>
        <w:kinsoku/>
        <w:wordWrap/>
        <w:overflowPunct/>
        <w:topLinePunct w:val="0"/>
        <w:bidi w:val="0"/>
        <w:snapToGrid/>
        <w:spacing w:line="576" w:lineRule="exact"/>
        <w:ind w:firstLine="640"/>
        <w:outlineLvl w:val="1"/>
        <w:rPr>
          <w:rFonts w:ascii="黑体" w:eastAsia="黑体"/>
          <w:color w:val="auto"/>
          <w:sz w:val="32"/>
          <w:szCs w:val="32"/>
          <w:highlight w:val="none"/>
        </w:rPr>
      </w:pPr>
      <w:bookmarkStart w:id="40" w:name="_Toc15396610"/>
      <w:bookmarkStart w:id="41" w:name="_Toc15377218"/>
    </w:p>
    <w:p>
      <w:pPr>
        <w:pageBreakBefore w:val="0"/>
        <w:kinsoku/>
        <w:wordWrap/>
        <w:overflowPunct/>
        <w:topLinePunct w:val="0"/>
        <w:bidi w:val="0"/>
        <w:snapToGrid/>
        <w:spacing w:line="576" w:lineRule="exact"/>
        <w:ind w:firstLine="640"/>
        <w:outlineLvl w:val="1"/>
        <w:rPr>
          <w:rStyle w:val="27"/>
          <w:rFonts w:ascii="黑体" w:hAnsi="黑体" w:eastAsia="黑体"/>
          <w:color w:val="auto"/>
          <w:highlight w:val="none"/>
        </w:rPr>
      </w:pPr>
      <w:r>
        <w:rPr>
          <w:rFonts w:hint="eastAsia" w:ascii="黑体" w:eastAsia="黑体"/>
          <w:color w:val="auto"/>
          <w:sz w:val="32"/>
          <w:szCs w:val="32"/>
          <w:highlight w:val="none"/>
        </w:rPr>
        <w:t>八、</w:t>
      </w:r>
      <w:r>
        <w:rPr>
          <w:rStyle w:val="27"/>
          <w:rFonts w:hint="eastAsia" w:ascii="黑体" w:hAnsi="黑体" w:eastAsia="黑体"/>
          <w:b w:val="0"/>
          <w:color w:val="auto"/>
          <w:highlight w:val="none"/>
        </w:rPr>
        <w:t>政府性基金预算支出决算情况说明</w:t>
      </w:r>
      <w:bookmarkEnd w:id="40"/>
      <w:bookmarkEnd w:id="41"/>
    </w:p>
    <w:p>
      <w:pPr>
        <w:pageBreakBefore w:val="0"/>
        <w:kinsoku/>
        <w:wordWrap/>
        <w:overflowPunct/>
        <w:topLinePunct w:val="0"/>
        <w:bidi w:val="0"/>
        <w:snapToGrid/>
        <w:spacing w:line="576" w:lineRule="exact"/>
        <w:ind w:firstLine="64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144.08</w:t>
      </w:r>
      <w:r>
        <w:rPr>
          <w:rFonts w:hint="eastAsia" w:ascii="仿宋_GB2312" w:eastAsia="仿宋_GB2312"/>
          <w:color w:val="auto"/>
          <w:sz w:val="32"/>
          <w:szCs w:val="32"/>
          <w:highlight w:val="none"/>
        </w:rPr>
        <w:t>万元。</w:t>
      </w:r>
    </w:p>
    <w:p>
      <w:pPr>
        <w:pageBreakBefore w:val="0"/>
        <w:kinsoku/>
        <w:wordWrap/>
        <w:overflowPunct/>
        <w:topLinePunct w:val="0"/>
        <w:bidi w:val="0"/>
        <w:snapToGrid/>
        <w:spacing w:line="576" w:lineRule="exact"/>
        <w:ind w:firstLine="640"/>
        <w:rPr>
          <w:rFonts w:ascii="仿宋_GB2312" w:eastAsia="仿宋_GB2312"/>
          <w:color w:val="auto"/>
          <w:sz w:val="32"/>
          <w:szCs w:val="32"/>
          <w:highlight w:val="none"/>
        </w:rPr>
      </w:pPr>
    </w:p>
    <w:p>
      <w:pPr>
        <w:pageBreakBefore w:val="0"/>
        <w:numPr>
          <w:ilvl w:val="0"/>
          <w:numId w:val="2"/>
        </w:numPr>
        <w:kinsoku/>
        <w:wordWrap/>
        <w:overflowPunct/>
        <w:topLinePunct w:val="0"/>
        <w:bidi w:val="0"/>
        <w:snapToGrid/>
        <w:spacing w:line="576" w:lineRule="exact"/>
        <w:ind w:firstLine="640"/>
        <w:outlineLvl w:val="1"/>
        <w:rPr>
          <w:rStyle w:val="27"/>
          <w:rFonts w:ascii="黑体" w:hAnsi="黑体" w:eastAsia="黑体"/>
          <w:b w:val="0"/>
          <w:color w:val="auto"/>
          <w:highlight w:val="none"/>
        </w:rPr>
      </w:pPr>
      <w:bookmarkStart w:id="42" w:name="_Toc15396611"/>
      <w:bookmarkStart w:id="43" w:name="_Toc15377219"/>
      <w:r>
        <w:rPr>
          <w:rStyle w:val="27"/>
          <w:rFonts w:hint="eastAsia" w:ascii="黑体" w:hAnsi="黑体" w:eastAsia="黑体"/>
          <w:b w:val="0"/>
          <w:color w:val="auto"/>
          <w:highlight w:val="none"/>
        </w:rPr>
        <w:t>国有资本经营预算支出决算情况说明</w:t>
      </w:r>
      <w:bookmarkEnd w:id="42"/>
      <w:bookmarkEnd w:id="43"/>
    </w:p>
    <w:p>
      <w:pPr>
        <w:pageBreakBefore w:val="0"/>
        <w:kinsoku/>
        <w:wordWrap/>
        <w:overflowPunct/>
        <w:topLinePunct w:val="0"/>
        <w:bidi w:val="0"/>
        <w:snapToGrid/>
        <w:spacing w:line="576" w:lineRule="exact"/>
        <w:ind w:firstLine="64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pageBreakBefore w:val="0"/>
        <w:kinsoku/>
        <w:wordWrap/>
        <w:overflowPunct/>
        <w:topLinePunct w:val="0"/>
        <w:bidi w:val="0"/>
        <w:snapToGrid/>
        <w:spacing w:line="576" w:lineRule="exact"/>
        <w:jc w:val="center"/>
        <w:rPr>
          <w:rFonts w:ascii="方正小标宋简体" w:hAnsi="方正小标宋简体" w:eastAsia="方正小标宋简体" w:cs="方正小标宋简体"/>
          <w:color w:val="auto"/>
          <w:sz w:val="44"/>
          <w:szCs w:val="44"/>
          <w:highlight w:val="none"/>
        </w:rPr>
      </w:pPr>
    </w:p>
    <w:p>
      <w:pPr>
        <w:pageBreakBefore w:val="0"/>
        <w:numPr>
          <w:ilvl w:val="0"/>
          <w:numId w:val="2"/>
        </w:numPr>
        <w:kinsoku/>
        <w:wordWrap/>
        <w:overflowPunct/>
        <w:topLinePunct w:val="0"/>
        <w:bidi w:val="0"/>
        <w:snapToGrid/>
        <w:spacing w:line="576" w:lineRule="exact"/>
        <w:ind w:firstLine="640"/>
        <w:outlineLvl w:val="1"/>
        <w:rPr>
          <w:rStyle w:val="27"/>
          <w:rFonts w:hint="eastAsia" w:ascii="黑体" w:hAnsi="黑体" w:eastAsia="黑体"/>
          <w:b w:val="0"/>
          <w:color w:val="auto"/>
          <w:highlight w:val="none"/>
        </w:rPr>
      </w:pPr>
      <w:bookmarkStart w:id="44" w:name="_Toc15396612"/>
      <w:bookmarkStart w:id="45" w:name="_Toc15377221"/>
      <w:r>
        <w:rPr>
          <w:rStyle w:val="27"/>
          <w:rFonts w:hint="eastAsia" w:ascii="黑体" w:hAnsi="黑体" w:eastAsia="黑体"/>
          <w:b w:val="0"/>
          <w:color w:val="auto"/>
          <w:highlight w:val="none"/>
          <w:lang w:val="en-US" w:eastAsia="zh-CN"/>
        </w:rPr>
        <w:t>预算绩效管理情况</w:t>
      </w:r>
    </w:p>
    <w:p>
      <w:pPr>
        <w:pageBreakBefore w:val="0"/>
        <w:kinsoku/>
        <w:wordWrap/>
        <w:overflowPunct/>
        <w:topLinePunct w:val="0"/>
        <w:bidi w:val="0"/>
        <w:snapToGrid/>
        <w:spacing w:line="576" w:lineRule="exact"/>
        <w:ind w:firstLine="640" w:firstLineChars="200"/>
        <w:rPr>
          <w:rFonts w:ascii="仿宋" w:hAnsi="仿宋" w:eastAsia="仿宋"/>
          <w:b/>
          <w:bCs w:val="0"/>
          <w:color w:val="auto"/>
          <w:sz w:val="32"/>
          <w:szCs w:val="32"/>
          <w:highlight w:val="yellow"/>
        </w:rPr>
      </w:pPr>
      <w:r>
        <w:rPr>
          <w:rFonts w:hint="eastAsia" w:ascii="仿宋_GB2312" w:hAnsi="仿宋_GB2312" w:eastAsia="仿宋_GB2312" w:cs="仿宋_GB2312"/>
          <w:color w:val="auto"/>
          <w:sz w:val="32"/>
          <w:szCs w:val="32"/>
          <w:highlight w:val="none"/>
        </w:rPr>
        <w:t>根据预算绩效管理要求，本单位在</w:t>
      </w:r>
      <w:r>
        <w:rPr>
          <w:rFonts w:hint="eastAsia" w:ascii="仿宋_GB2312" w:hAnsi="仿宋_GB2312" w:eastAsia="仿宋_GB2312" w:cs="仿宋_GB2312"/>
          <w:color w:val="auto"/>
          <w:sz w:val="32"/>
          <w:szCs w:val="32"/>
          <w:highlight w:val="none"/>
          <w:lang w:val="en-US" w:eastAsia="zh-CN"/>
        </w:rPr>
        <w:t>2021年度</w:t>
      </w:r>
      <w:r>
        <w:rPr>
          <w:rFonts w:hint="eastAsia" w:ascii="仿宋_GB2312" w:hAnsi="仿宋_GB2312" w:eastAsia="仿宋_GB2312" w:cs="仿宋_GB2312"/>
          <w:color w:val="auto"/>
          <w:sz w:val="32"/>
          <w:szCs w:val="32"/>
          <w:highlight w:val="none"/>
        </w:rPr>
        <w:t>预算编制阶段，组织对</w:t>
      </w:r>
      <w:r>
        <w:rPr>
          <w:rFonts w:hint="eastAsia" w:ascii="方正仿宋_GB2312" w:hAnsi="方正仿宋_GB2312" w:eastAsia="方正仿宋_GB2312" w:cs="方正仿宋_GB2312"/>
          <w:i w:val="0"/>
          <w:iCs w:val="0"/>
          <w:color w:val="auto"/>
          <w:kern w:val="0"/>
          <w:sz w:val="28"/>
          <w:szCs w:val="28"/>
          <w:u w:val="none"/>
          <w:lang w:val="en-US" w:eastAsia="zh-CN" w:bidi="ar"/>
        </w:rPr>
        <w:t>特困人员、孤儿弃婴养育及医疗经费</w:t>
      </w:r>
      <w:r>
        <w:rPr>
          <w:rFonts w:hint="eastAsia" w:ascii="仿宋_GB2312" w:hAnsi="仿宋_GB2312" w:eastAsia="仿宋_GB2312" w:cs="仿宋_GB2312"/>
          <w:color w:val="auto"/>
          <w:sz w:val="32"/>
          <w:szCs w:val="32"/>
          <w:highlight w:val="none"/>
        </w:rPr>
        <w:t>项目</w:t>
      </w:r>
      <w:r>
        <w:rPr>
          <w:rFonts w:hint="eastAsia" w:ascii="仿宋_GB2312" w:hAnsi="仿宋_GB2312" w:eastAsia="仿宋_GB2312" w:cs="仿宋_GB2312"/>
          <w:color w:val="auto"/>
          <w:sz w:val="32"/>
          <w:szCs w:val="32"/>
          <w:highlight w:val="none"/>
          <w:lang w:eastAsia="zh-CN"/>
        </w:rPr>
        <w:t>、</w:t>
      </w:r>
      <w:r>
        <w:rPr>
          <w:rFonts w:hint="eastAsia" w:ascii="方正仿宋_GB2312" w:hAnsi="方正仿宋_GB2312" w:eastAsia="方正仿宋_GB2312" w:cs="方正仿宋_GB2312"/>
          <w:i w:val="0"/>
          <w:iCs w:val="0"/>
          <w:color w:val="auto"/>
          <w:kern w:val="0"/>
          <w:sz w:val="28"/>
          <w:szCs w:val="28"/>
          <w:u w:val="none"/>
          <w:lang w:val="en-US" w:eastAsia="zh-CN" w:bidi="ar"/>
        </w:rPr>
        <w:t>聘用人员工资、儿童福利服务指导中心运行经费、值班人员专用经费、电梯运行及维护费、业务用车运行费、物业管理及绿化清洁费、家庭寄养经费</w:t>
      </w:r>
      <w:r>
        <w:rPr>
          <w:rFonts w:hint="eastAsia" w:ascii="仿宋_GB2312" w:hAnsi="仿宋_GB2312" w:eastAsia="仿宋_GB2312" w:cs="仿宋_GB2312"/>
          <w:color w:val="auto"/>
          <w:sz w:val="32"/>
          <w:szCs w:val="32"/>
          <w:highlight w:val="none"/>
          <w:lang w:eastAsia="zh-CN"/>
        </w:rPr>
        <w:t>等</w:t>
      </w:r>
      <w:r>
        <w:rPr>
          <w:rFonts w:hint="eastAsia" w:ascii="仿宋_GB2312" w:hAnsi="仿宋_GB2312" w:eastAsia="仿宋_GB2312" w:cs="仿宋_GB2312"/>
          <w:color w:val="auto"/>
          <w:sz w:val="32"/>
          <w:szCs w:val="32"/>
          <w:highlight w:val="none"/>
          <w:lang w:val="en-US" w:eastAsia="zh-CN"/>
        </w:rPr>
        <w:t>8个项目</w:t>
      </w:r>
      <w:r>
        <w:rPr>
          <w:rFonts w:hint="eastAsia" w:ascii="仿宋_GB2312" w:hAnsi="仿宋_GB2312" w:eastAsia="仿宋_GB2312" w:cs="仿宋_GB2312"/>
          <w:color w:val="auto"/>
          <w:sz w:val="32"/>
          <w:szCs w:val="32"/>
          <w:highlight w:val="none"/>
        </w:rPr>
        <w:t>开展了预算事前绩效评估，对</w:t>
      </w:r>
      <w:r>
        <w:rPr>
          <w:rFonts w:hint="eastAsia" w:ascii="仿宋_GB2312" w:hAnsi="仿宋_GB2312" w:eastAsia="仿宋_GB2312" w:cs="仿宋_GB2312"/>
          <w:color w:val="auto"/>
          <w:sz w:val="32"/>
          <w:szCs w:val="32"/>
          <w:highlight w:val="none"/>
          <w:lang w:val="en-US" w:eastAsia="zh-CN"/>
        </w:rPr>
        <w:t>8</w:t>
      </w:r>
      <w:r>
        <w:rPr>
          <w:rFonts w:hint="eastAsia" w:ascii="仿宋_GB2312" w:hAnsi="仿宋_GB2312" w:eastAsia="仿宋_GB2312" w:cs="仿宋_GB2312"/>
          <w:color w:val="auto"/>
          <w:sz w:val="32"/>
          <w:szCs w:val="32"/>
          <w:highlight w:val="none"/>
        </w:rPr>
        <w:t>个项目编制了绩效目标，预算执行过程中，选取</w:t>
      </w:r>
      <w:r>
        <w:rPr>
          <w:rFonts w:hint="eastAsia" w:ascii="仿宋_GB2312" w:hAnsi="仿宋_GB2312" w:eastAsia="仿宋_GB2312" w:cs="仿宋_GB2312"/>
          <w:color w:val="auto"/>
          <w:sz w:val="32"/>
          <w:szCs w:val="32"/>
          <w:highlight w:val="none"/>
          <w:lang w:val="en-US" w:eastAsia="zh-CN"/>
        </w:rPr>
        <w:t>8</w:t>
      </w:r>
      <w:r>
        <w:rPr>
          <w:rFonts w:hint="eastAsia" w:ascii="仿宋_GB2312" w:hAnsi="仿宋_GB2312" w:eastAsia="仿宋_GB2312" w:cs="仿宋_GB2312"/>
          <w:color w:val="auto"/>
          <w:sz w:val="32"/>
          <w:szCs w:val="32"/>
          <w:highlight w:val="none"/>
        </w:rPr>
        <w:t>个项目开展绩效监控，年终执行完毕后，对</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个项目开展了绩效自评</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2021年部门预算项目绩效目标自评表见附件（第四部分）</w:t>
      </w:r>
      <w:r>
        <w:rPr>
          <w:rFonts w:hint="eastAsia" w:ascii="仿宋_GB2312" w:hAnsi="仿宋_GB2312" w:eastAsia="仿宋_GB2312" w:cs="仿宋_GB2312"/>
          <w:color w:val="auto"/>
          <w:sz w:val="32"/>
          <w:szCs w:val="32"/>
          <w:highlight w:val="none"/>
        </w:rPr>
        <w:t>。</w:t>
      </w:r>
    </w:p>
    <w:p>
      <w:pPr>
        <w:pStyle w:val="6"/>
        <w:pageBreakBefore w:val="0"/>
        <w:kinsoku/>
        <w:wordWrap/>
        <w:overflowPunct/>
        <w:topLinePunct w:val="0"/>
        <w:bidi w:val="0"/>
        <w:snapToGrid/>
        <w:spacing w:line="576" w:lineRule="exact"/>
        <w:rPr>
          <w:rFonts w:hint="eastAsia"/>
        </w:rPr>
      </w:pPr>
    </w:p>
    <w:p>
      <w:pPr>
        <w:pageBreakBefore w:val="0"/>
        <w:numPr>
          <w:ilvl w:val="0"/>
          <w:numId w:val="2"/>
        </w:numPr>
        <w:kinsoku/>
        <w:wordWrap/>
        <w:overflowPunct/>
        <w:topLinePunct w:val="0"/>
        <w:bidi w:val="0"/>
        <w:snapToGrid/>
        <w:spacing w:line="576" w:lineRule="exact"/>
        <w:ind w:firstLine="640"/>
        <w:outlineLvl w:val="1"/>
        <w:rPr>
          <w:rStyle w:val="27"/>
          <w:rFonts w:hint="eastAsia" w:ascii="黑体" w:hAnsi="黑体" w:eastAsia="黑体"/>
          <w:b w:val="0"/>
          <w:color w:val="auto"/>
          <w:highlight w:val="none"/>
        </w:rPr>
      </w:pPr>
      <w:r>
        <w:rPr>
          <w:rStyle w:val="27"/>
          <w:rFonts w:hint="eastAsia" w:ascii="黑体" w:hAnsi="黑体" w:eastAsia="黑体"/>
          <w:b w:val="0"/>
          <w:color w:val="auto"/>
          <w:highlight w:val="none"/>
        </w:rPr>
        <w:t>其他重要事项的情况说明</w:t>
      </w:r>
      <w:bookmarkEnd w:id="44"/>
      <w:bookmarkEnd w:id="45"/>
    </w:p>
    <w:p>
      <w:pPr>
        <w:pageBreakBefore w:val="0"/>
        <w:kinsoku/>
        <w:wordWrap/>
        <w:overflowPunct/>
        <w:topLinePunct w:val="0"/>
        <w:bidi w:val="0"/>
        <w:snapToGrid/>
        <w:spacing w:line="576" w:lineRule="exact"/>
        <w:ind w:firstLine="642" w:firstLineChars="200"/>
        <w:outlineLvl w:val="2"/>
        <w:rPr>
          <w:rFonts w:ascii="仿宋" w:hAnsi="仿宋" w:eastAsia="仿宋"/>
          <w:color w:val="auto"/>
          <w:sz w:val="32"/>
          <w:szCs w:val="32"/>
          <w:highlight w:val="none"/>
        </w:rPr>
      </w:pPr>
      <w:bookmarkStart w:id="46" w:name="_Toc15377222"/>
      <w:r>
        <w:rPr>
          <w:rFonts w:hint="eastAsia" w:ascii="仿宋" w:hAnsi="仿宋" w:eastAsia="仿宋"/>
          <w:b/>
          <w:color w:val="auto"/>
          <w:sz w:val="32"/>
          <w:szCs w:val="32"/>
          <w:highlight w:val="none"/>
        </w:rPr>
        <w:t>（一）机关运行经费支出情况</w:t>
      </w:r>
      <w:bookmarkEnd w:id="46"/>
    </w:p>
    <w:p>
      <w:pPr>
        <w:pageBreakBefore w:val="0"/>
        <w:kinsoku/>
        <w:wordWrap/>
        <w:overflowPunct/>
        <w:topLinePunct w:val="0"/>
        <w:bidi w:val="0"/>
        <w:snapToGrid/>
        <w:spacing w:line="576" w:lineRule="exact"/>
        <w:ind w:firstLine="640" w:firstLineChars="200"/>
        <w:rPr>
          <w:rFonts w:hint="eastAsia" w:ascii="仿宋_GB2312" w:eastAsia="仿宋_GB2312"/>
          <w:color w:val="auto"/>
          <w:sz w:val="32"/>
          <w:szCs w:val="32"/>
          <w:highlight w:val="none"/>
          <w:lang w:eastAsia="zh-CN"/>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广元市儿童福利院</w:t>
      </w:r>
      <w:r>
        <w:rPr>
          <w:rFonts w:hint="eastAsia" w:ascii="仿宋_GB2312" w:eastAsia="仿宋_GB2312"/>
          <w:color w:val="auto"/>
          <w:sz w:val="32"/>
          <w:szCs w:val="32"/>
          <w:highlight w:val="none"/>
        </w:rPr>
        <w:t>未发生机关运行经费支出，与2020年决算数持平</w:t>
      </w:r>
      <w:r>
        <w:rPr>
          <w:rFonts w:hint="eastAsia" w:ascii="仿宋_GB2312" w:eastAsia="仿宋_GB2312"/>
          <w:color w:val="auto"/>
          <w:sz w:val="32"/>
          <w:szCs w:val="32"/>
          <w:highlight w:val="none"/>
          <w:lang w:eastAsia="zh-CN"/>
        </w:rPr>
        <w:t>。</w:t>
      </w:r>
    </w:p>
    <w:p>
      <w:pPr>
        <w:pageBreakBefore w:val="0"/>
        <w:kinsoku/>
        <w:wordWrap/>
        <w:overflowPunct/>
        <w:topLinePunct w:val="0"/>
        <w:autoSpaceDE w:val="0"/>
        <w:autoSpaceDN w:val="0"/>
        <w:bidi w:val="0"/>
        <w:adjustRightInd w:val="0"/>
        <w:snapToGrid/>
        <w:spacing w:line="576" w:lineRule="exact"/>
        <w:ind w:firstLine="642" w:firstLineChars="200"/>
        <w:jc w:val="left"/>
        <w:outlineLvl w:val="2"/>
        <w:rPr>
          <w:rFonts w:ascii="仿宋" w:hAnsi="仿宋" w:eastAsia="仿宋"/>
          <w:b/>
          <w:color w:val="auto"/>
          <w:sz w:val="32"/>
          <w:szCs w:val="32"/>
          <w:highlight w:val="none"/>
        </w:rPr>
      </w:pPr>
      <w:bookmarkStart w:id="47" w:name="_Toc15377223"/>
      <w:r>
        <w:rPr>
          <w:rFonts w:hint="eastAsia" w:ascii="仿宋" w:hAnsi="仿宋" w:eastAsia="仿宋"/>
          <w:b/>
          <w:color w:val="auto"/>
          <w:sz w:val="32"/>
          <w:szCs w:val="32"/>
          <w:highlight w:val="none"/>
        </w:rPr>
        <w:t>（二）政府采购支出情况</w:t>
      </w:r>
      <w:bookmarkEnd w:id="47"/>
    </w:p>
    <w:p>
      <w:pPr>
        <w:pageBreakBefore w:val="0"/>
        <w:kinsoku/>
        <w:wordWrap/>
        <w:overflowPunct/>
        <w:topLinePunct w:val="0"/>
        <w:bidi w:val="0"/>
        <w:snapToGrid/>
        <w:spacing w:line="576" w:lineRule="exact"/>
        <w:ind w:firstLine="640" w:firstLineChars="200"/>
        <w:rPr>
          <w:rFonts w:ascii="仿宋" w:hAnsi="仿宋" w:eastAsia="仿宋"/>
          <w:b/>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广元市儿童福利院</w:t>
      </w:r>
      <w:r>
        <w:rPr>
          <w:rFonts w:hint="eastAsia" w:ascii="仿宋_GB2312" w:eastAsia="仿宋_GB2312"/>
          <w:color w:val="auto"/>
          <w:sz w:val="32"/>
          <w:szCs w:val="32"/>
          <w:highlight w:val="none"/>
        </w:rPr>
        <w:t>政府采购支出总额</w:t>
      </w:r>
      <w:r>
        <w:rPr>
          <w:rFonts w:hint="eastAsia" w:ascii="仿宋_GB2312" w:eastAsia="仿宋_GB2312"/>
          <w:color w:val="auto"/>
          <w:sz w:val="32"/>
          <w:szCs w:val="32"/>
          <w:highlight w:val="none"/>
          <w:lang w:val="en-US" w:eastAsia="zh-CN"/>
        </w:rPr>
        <w:t>31.12</w:t>
      </w:r>
      <w:r>
        <w:rPr>
          <w:rFonts w:hint="eastAsia" w:ascii="仿宋_GB2312" w:eastAsia="仿宋_GB2312"/>
          <w:color w:val="auto"/>
          <w:sz w:val="32"/>
          <w:szCs w:val="32"/>
          <w:highlight w:val="none"/>
        </w:rPr>
        <w:t>万元，其中：政府采购货物支出</w:t>
      </w:r>
      <w:r>
        <w:rPr>
          <w:rFonts w:hint="eastAsia" w:ascii="仿宋_GB2312" w:eastAsia="仿宋_GB2312"/>
          <w:color w:val="auto"/>
          <w:sz w:val="32"/>
          <w:szCs w:val="32"/>
          <w:highlight w:val="none"/>
          <w:lang w:val="en-US" w:eastAsia="zh-CN"/>
        </w:rPr>
        <w:t>31.12</w:t>
      </w:r>
      <w:r>
        <w:rPr>
          <w:rFonts w:hint="eastAsia" w:ascii="仿宋_GB2312" w:eastAsia="仿宋_GB2312"/>
          <w:color w:val="auto"/>
          <w:sz w:val="32"/>
          <w:szCs w:val="32"/>
          <w:highlight w:val="none"/>
        </w:rPr>
        <w:t>万元、政府采购工程支出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万元、政府采购服务支出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万元。主要用于</w:t>
      </w:r>
      <w:r>
        <w:rPr>
          <w:rFonts w:hint="eastAsia" w:ascii="仿宋_GB2312" w:eastAsia="仿宋_GB2312"/>
          <w:color w:val="auto"/>
          <w:sz w:val="32"/>
          <w:szCs w:val="32"/>
          <w:highlight w:val="none"/>
          <w:lang w:eastAsia="zh-CN"/>
        </w:rPr>
        <w:t>购买业务股室儿童、老人使用的家具用具、空调以及厨房专用设备</w:t>
      </w:r>
      <w:r>
        <w:rPr>
          <w:rFonts w:hint="eastAsia" w:ascii="仿宋_GB2312" w:eastAsia="仿宋_GB2312"/>
          <w:color w:val="auto"/>
          <w:sz w:val="32"/>
          <w:szCs w:val="32"/>
          <w:highlight w:val="none"/>
        </w:rPr>
        <w:t>。授予中小企业合同金额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pageBreakBefore w:val="0"/>
        <w:kinsoku/>
        <w:wordWrap/>
        <w:overflowPunct/>
        <w:topLinePunct w:val="0"/>
        <w:autoSpaceDE w:val="0"/>
        <w:autoSpaceDN w:val="0"/>
        <w:bidi w:val="0"/>
        <w:adjustRightInd w:val="0"/>
        <w:snapToGrid/>
        <w:spacing w:line="576" w:lineRule="exact"/>
        <w:ind w:firstLine="642" w:firstLineChars="200"/>
        <w:jc w:val="left"/>
        <w:outlineLvl w:val="2"/>
        <w:rPr>
          <w:rFonts w:ascii="仿宋" w:hAnsi="仿宋" w:eastAsia="仿宋"/>
          <w:b/>
          <w:color w:val="auto"/>
          <w:sz w:val="32"/>
          <w:szCs w:val="32"/>
          <w:highlight w:val="none"/>
        </w:rPr>
      </w:pPr>
      <w:bookmarkStart w:id="48" w:name="_Toc15377224"/>
      <w:r>
        <w:rPr>
          <w:rFonts w:hint="eastAsia" w:ascii="仿宋" w:hAnsi="仿宋" w:eastAsia="仿宋"/>
          <w:b/>
          <w:color w:val="auto"/>
          <w:sz w:val="32"/>
          <w:szCs w:val="32"/>
          <w:highlight w:val="none"/>
        </w:rPr>
        <w:t>（三）国有资产占有使用情况</w:t>
      </w:r>
      <w:bookmarkEnd w:id="48"/>
    </w:p>
    <w:p>
      <w:pPr>
        <w:pageBreakBefore w:val="0"/>
        <w:kinsoku/>
        <w:wordWrap/>
        <w:overflowPunct/>
        <w:topLinePunct w:val="0"/>
        <w:autoSpaceDE w:val="0"/>
        <w:autoSpaceDN w:val="0"/>
        <w:bidi w:val="0"/>
        <w:adjustRightInd w:val="0"/>
        <w:snapToGrid/>
        <w:spacing w:line="576" w:lineRule="exact"/>
        <w:ind w:firstLine="640" w:firstLineChars="200"/>
        <w:jc w:val="left"/>
        <w:rPr>
          <w:highlight w:val="yellow"/>
        </w:rPr>
      </w:pP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w:t>
      </w:r>
      <w:r>
        <w:rPr>
          <w:rFonts w:hint="eastAsia" w:ascii="仿宋_GB2312" w:eastAsia="仿宋_GB2312"/>
          <w:color w:val="auto"/>
          <w:sz w:val="32"/>
          <w:szCs w:val="32"/>
          <w:highlight w:val="none"/>
          <w:lang w:eastAsia="zh-CN"/>
        </w:rPr>
        <w:t>广元市儿童福利院</w:t>
      </w:r>
      <w:r>
        <w:rPr>
          <w:rFonts w:hint="eastAsia" w:ascii="仿宋_GB2312" w:eastAsia="仿宋_GB2312"/>
          <w:color w:val="auto"/>
          <w:sz w:val="32"/>
          <w:szCs w:val="32"/>
          <w:highlight w:val="none"/>
        </w:rPr>
        <w:t>共有车辆</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辆，单价</w:t>
      </w:r>
      <w:r>
        <w:rPr>
          <w:rFonts w:ascii="仿宋_GB2312" w:eastAsia="仿宋_GB2312"/>
          <w:color w:val="auto"/>
          <w:sz w:val="32"/>
          <w:szCs w:val="32"/>
          <w:highlight w:val="none"/>
        </w:rPr>
        <w:t>50</w:t>
      </w:r>
      <w:r>
        <w:rPr>
          <w:rFonts w:hint="eastAsia" w:ascii="仿宋_GB2312" w:eastAsia="仿宋_GB2312"/>
          <w:color w:val="auto"/>
          <w:sz w:val="32"/>
          <w:szCs w:val="32"/>
          <w:highlight w:val="none"/>
        </w:rPr>
        <w:t>万元以上通用设备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台（套），单价</w:t>
      </w:r>
      <w:r>
        <w:rPr>
          <w:rFonts w:ascii="仿宋_GB2312" w:eastAsia="仿宋_GB2312"/>
          <w:color w:val="auto"/>
          <w:sz w:val="32"/>
          <w:szCs w:val="32"/>
          <w:highlight w:val="none"/>
        </w:rPr>
        <w:t>100</w:t>
      </w:r>
      <w:r>
        <w:rPr>
          <w:rFonts w:hint="eastAsia" w:ascii="仿宋_GB2312" w:eastAsia="仿宋_GB2312"/>
          <w:color w:val="auto"/>
          <w:sz w:val="32"/>
          <w:szCs w:val="32"/>
          <w:highlight w:val="none"/>
        </w:rPr>
        <w:t>万元以上专用设备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w:t>
      </w:r>
    </w:p>
    <w:p>
      <w:pPr>
        <w:widowControl/>
        <w:jc w:val="left"/>
        <w:rPr>
          <w:rFonts w:ascii="仿宋_GB2312" w:eastAsia="仿宋_GB2312"/>
          <w:b/>
          <w:color w:val="auto"/>
          <w:sz w:val="32"/>
          <w:szCs w:val="32"/>
          <w:highlight w:val="none"/>
        </w:rPr>
      </w:pPr>
      <w:r>
        <w:rPr>
          <w:rFonts w:ascii="仿宋_GB2312" w:eastAsia="仿宋_GB2312"/>
          <w:b/>
          <w:color w:val="auto"/>
          <w:sz w:val="32"/>
          <w:szCs w:val="32"/>
          <w:highlight w:val="none"/>
        </w:rPr>
        <w:br w:type="page"/>
      </w:r>
    </w:p>
    <w:p>
      <w:pPr>
        <w:numPr>
          <w:ilvl w:val="0"/>
          <w:numId w:val="3"/>
        </w:numPr>
        <w:spacing w:line="600" w:lineRule="exact"/>
        <w:ind w:firstLine="660" w:firstLineChars="150"/>
        <w:jc w:val="center"/>
        <w:outlineLvl w:val="0"/>
        <w:rPr>
          <w:rStyle w:val="26"/>
          <w:rFonts w:ascii="黑体" w:hAnsi="黑体" w:eastAsia="黑体"/>
          <w:b w:val="0"/>
          <w:color w:val="auto"/>
          <w:highlight w:val="none"/>
        </w:rPr>
      </w:pPr>
      <w:bookmarkStart w:id="49" w:name="_Toc15396613"/>
      <w:bookmarkStart w:id="50" w:name="_Toc15377225"/>
      <w:r>
        <w:rPr>
          <w:rFonts w:hint="eastAsia" w:ascii="黑体" w:hAnsi="黑体" w:eastAsia="黑体"/>
          <w:color w:val="auto"/>
          <w:sz w:val="44"/>
          <w:szCs w:val="44"/>
          <w:highlight w:val="none"/>
        </w:rPr>
        <w:t>名</w:t>
      </w:r>
      <w:r>
        <w:rPr>
          <w:rStyle w:val="26"/>
          <w:rFonts w:hint="eastAsia" w:ascii="黑体" w:hAnsi="黑体" w:eastAsia="黑体"/>
          <w:b w:val="0"/>
          <w:color w:val="auto"/>
          <w:highlight w:val="none"/>
        </w:rPr>
        <w:t>词解释</w:t>
      </w:r>
      <w:bookmarkEnd w:id="49"/>
      <w:bookmarkEnd w:id="50"/>
    </w:p>
    <w:p>
      <w:pPr>
        <w:spacing w:line="600" w:lineRule="exact"/>
        <w:jc w:val="left"/>
        <w:rPr>
          <w:rFonts w:ascii="宋体"/>
          <w:b/>
          <w:color w:val="auto"/>
          <w:sz w:val="44"/>
          <w:szCs w:val="44"/>
          <w:highlight w:val="none"/>
        </w:rPr>
      </w:pPr>
    </w:p>
    <w:p>
      <w:pPr>
        <w:pStyle w:val="24"/>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1.</w:t>
      </w:r>
      <w:r>
        <w:rPr>
          <w:rFonts w:hint="eastAsia" w:ascii="仿宋_GB2312" w:eastAsia="仿宋_GB2312"/>
          <w:color w:val="auto"/>
          <w:sz w:val="32"/>
          <w:szCs w:val="32"/>
          <w:highlight w:val="none"/>
        </w:rPr>
        <w:t>财政拨款收入：指单位从同级财政部门取得的财政预算资金。</w:t>
      </w:r>
    </w:p>
    <w:p>
      <w:pPr>
        <w:pStyle w:val="24"/>
        <w:spacing w:line="560" w:lineRule="exact"/>
        <w:ind w:firstLine="640" w:firstLineChars="200"/>
        <w:rPr>
          <w:rFonts w:ascii="仿宋_GB2312" w:eastAsia="仿宋_GB2312"/>
          <w:color w:val="FF0000"/>
          <w:sz w:val="32"/>
          <w:szCs w:val="32"/>
          <w:highlight w:val="none"/>
        </w:rPr>
      </w:pPr>
      <w:r>
        <w:rPr>
          <w:rFonts w:hint="eastAsia" w:ascii="仿宋_GB2312" w:eastAsia="仿宋_GB2312"/>
          <w:color w:val="auto"/>
          <w:sz w:val="32"/>
          <w:szCs w:val="32"/>
          <w:highlight w:val="none"/>
          <w:lang w:val="en-US" w:eastAsia="zh-CN"/>
        </w:rPr>
        <w:t>2</w:t>
      </w:r>
      <w:r>
        <w:rPr>
          <w:rFonts w:ascii="仿宋_GB2312" w:eastAsia="仿宋_GB2312"/>
          <w:color w:val="auto"/>
          <w:sz w:val="32"/>
          <w:szCs w:val="32"/>
          <w:highlight w:val="none"/>
        </w:rPr>
        <w:t>.</w:t>
      </w:r>
      <w:r>
        <w:rPr>
          <w:rFonts w:hint="eastAsia" w:ascii="仿宋_GB2312" w:eastAsia="仿宋_GB2312"/>
          <w:color w:val="auto"/>
          <w:sz w:val="32"/>
          <w:szCs w:val="32"/>
          <w:highlight w:val="none"/>
        </w:rPr>
        <w:t>其他收入：指单位取得的除上述收入以外的各项收入。主要</w:t>
      </w:r>
      <w:r>
        <w:rPr>
          <w:rFonts w:hint="eastAsia" w:ascii="仿宋_GB2312" w:eastAsia="仿宋_GB2312"/>
          <w:color w:val="auto"/>
          <w:sz w:val="32"/>
          <w:szCs w:val="32"/>
          <w:highlight w:val="none"/>
          <w:lang w:eastAsia="zh-CN"/>
        </w:rPr>
        <w:t>是残疾人联合会拨付残疾儿童康复费用、人社局拨付公益性岗位人员补贴</w:t>
      </w:r>
      <w:r>
        <w:rPr>
          <w:rFonts w:hint="eastAsia" w:ascii="仿宋_GB2312" w:eastAsia="仿宋_GB2312"/>
          <w:color w:val="auto"/>
          <w:sz w:val="32"/>
          <w:szCs w:val="32"/>
          <w:highlight w:val="none"/>
        </w:rPr>
        <w:t>等。</w:t>
      </w:r>
      <w:r>
        <w:rPr>
          <w:rFonts w:ascii="仿宋_GB2312" w:eastAsia="仿宋_GB2312"/>
          <w:color w:val="auto"/>
          <w:sz w:val="32"/>
          <w:szCs w:val="32"/>
          <w:highlight w:val="none"/>
        </w:rPr>
        <w:t xml:space="preserve"> </w:t>
      </w:r>
    </w:p>
    <w:p>
      <w:pPr>
        <w:pStyle w:val="24"/>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3</w:t>
      </w:r>
      <w:r>
        <w:rPr>
          <w:rFonts w:ascii="仿宋_GB2312" w:eastAsia="仿宋_GB2312"/>
          <w:color w:val="auto"/>
          <w:sz w:val="32"/>
          <w:szCs w:val="32"/>
          <w:highlight w:val="none"/>
        </w:rPr>
        <w:t>.</w:t>
      </w:r>
      <w:r>
        <w:rPr>
          <w:rFonts w:hint="eastAsia" w:ascii="仿宋_GB2312" w:eastAsia="仿宋_GB2312"/>
          <w:color w:val="auto"/>
          <w:sz w:val="32"/>
          <w:szCs w:val="32"/>
          <w:highlight w:val="none"/>
        </w:rPr>
        <w:t>年初结转和结余：指以前年度尚未完成、结转到本年按有关规定继续使用的资金。</w:t>
      </w:r>
      <w:r>
        <w:rPr>
          <w:rFonts w:ascii="仿宋_GB2312" w:eastAsia="仿宋_GB2312"/>
          <w:color w:val="auto"/>
          <w:sz w:val="32"/>
          <w:szCs w:val="32"/>
          <w:highlight w:val="none"/>
        </w:rPr>
        <w:t xml:space="preserve"> </w:t>
      </w:r>
    </w:p>
    <w:p>
      <w:pPr>
        <w:pStyle w:val="24"/>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rPr>
        <w:t>年末结转和结余：指单位按有关规定结转到下年或以后年度继续使用的资金。</w:t>
      </w:r>
    </w:p>
    <w:p>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5</w:t>
      </w:r>
      <w:r>
        <w:rPr>
          <w:rFonts w:hint="eastAsia" w:ascii="仿宋_GB2312" w:eastAsia="仿宋_GB2312"/>
          <w:color w:val="auto"/>
          <w:sz w:val="32"/>
          <w:szCs w:val="32"/>
          <w:highlight w:val="none"/>
        </w:rPr>
        <w:t>.社会保障和就业（类）行政事业单位养老支出（款）  机关事业单位基本养老保险缴费支出（项）:</w:t>
      </w:r>
      <w:r>
        <w:rPr>
          <w:rFonts w:hint="eastAsia" w:ascii="仿宋_GB2312" w:eastAsia="仿宋_GB2312"/>
          <w:color w:val="auto"/>
          <w:sz w:val="32"/>
          <w:szCs w:val="32"/>
          <w:highlight w:val="none"/>
          <w:lang w:eastAsia="zh-CN"/>
        </w:rPr>
        <w:t>反映机关事业单位实施养老保险制度由单位缴纳的基本养老保险支出</w:t>
      </w:r>
      <w:r>
        <w:rPr>
          <w:rFonts w:hint="eastAsia" w:ascii="仿宋_GB2312" w:eastAsia="仿宋_GB2312"/>
          <w:color w:val="auto"/>
          <w:sz w:val="32"/>
          <w:szCs w:val="32"/>
          <w:highlight w:val="none"/>
        </w:rPr>
        <w:t>。</w:t>
      </w:r>
    </w:p>
    <w:p>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6</w:t>
      </w:r>
      <w:r>
        <w:rPr>
          <w:rFonts w:hint="eastAsia" w:ascii="仿宋_GB2312" w:eastAsia="仿宋_GB2312"/>
          <w:color w:val="auto"/>
          <w:sz w:val="32"/>
          <w:szCs w:val="32"/>
          <w:highlight w:val="none"/>
        </w:rPr>
        <w:t>.社会保障和就业（类）行政事业单位养老支出（款）  机关事业单位职业年金缴费支出（项）:</w:t>
      </w:r>
      <w:r>
        <w:rPr>
          <w:rFonts w:hint="eastAsia" w:ascii="仿宋_GB2312" w:eastAsia="仿宋_GB2312"/>
          <w:color w:val="auto"/>
          <w:sz w:val="32"/>
          <w:szCs w:val="32"/>
          <w:highlight w:val="none"/>
          <w:lang w:eastAsia="zh-CN"/>
        </w:rPr>
        <w:t>反映机关事业单位养老保险制度由单位实际缴纳的职业年金支出</w:t>
      </w:r>
      <w:r>
        <w:rPr>
          <w:rFonts w:hint="eastAsia" w:ascii="仿宋_GB2312" w:eastAsia="仿宋_GB2312"/>
          <w:color w:val="auto"/>
          <w:sz w:val="32"/>
          <w:szCs w:val="32"/>
          <w:highlight w:val="none"/>
        </w:rPr>
        <w:t>。</w:t>
      </w:r>
    </w:p>
    <w:p>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7</w:t>
      </w:r>
      <w:r>
        <w:rPr>
          <w:rFonts w:hint="eastAsia" w:ascii="仿宋_GB2312" w:eastAsia="仿宋_GB2312"/>
          <w:color w:val="auto"/>
          <w:sz w:val="32"/>
          <w:szCs w:val="32"/>
          <w:highlight w:val="none"/>
        </w:rPr>
        <w:t xml:space="preserve">.社会保障和就业（类）社会福利（款）儿童福利（项）: </w:t>
      </w:r>
      <w:r>
        <w:rPr>
          <w:rFonts w:hint="eastAsia" w:ascii="仿宋_GB2312" w:eastAsia="仿宋_GB2312"/>
          <w:color w:val="auto"/>
          <w:sz w:val="32"/>
          <w:szCs w:val="32"/>
          <w:highlight w:val="none"/>
          <w:lang w:eastAsia="zh-CN"/>
        </w:rPr>
        <w:t>反映对儿童提供福利服务方面的支出</w:t>
      </w:r>
      <w:r>
        <w:rPr>
          <w:rFonts w:hint="eastAsia" w:ascii="仿宋_GB2312" w:eastAsia="仿宋_GB2312"/>
          <w:color w:val="auto"/>
          <w:sz w:val="32"/>
          <w:szCs w:val="32"/>
          <w:highlight w:val="none"/>
        </w:rPr>
        <w:t>。</w:t>
      </w:r>
    </w:p>
    <w:p>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8</w:t>
      </w:r>
      <w:r>
        <w:rPr>
          <w:rFonts w:hint="eastAsia" w:ascii="仿宋_GB2312" w:eastAsia="仿宋_GB2312"/>
          <w:color w:val="auto"/>
          <w:sz w:val="32"/>
          <w:szCs w:val="32"/>
          <w:highlight w:val="none"/>
        </w:rPr>
        <w:t>.卫生健康（类）行政事业单位医疗（款）事业单位医疗（项）:</w:t>
      </w:r>
      <w:r>
        <w:rPr>
          <w:rFonts w:hint="eastAsia" w:ascii="仿宋_GB2312" w:eastAsia="仿宋_GB2312"/>
          <w:color w:val="auto"/>
          <w:sz w:val="32"/>
          <w:szCs w:val="32"/>
          <w:highlight w:val="none"/>
          <w:lang w:eastAsia="zh-CN"/>
        </w:rPr>
        <w:t>反映财政部门安排的事业单位基本医疗保险缴费经费</w:t>
      </w:r>
      <w:r>
        <w:rPr>
          <w:rFonts w:hint="eastAsia" w:ascii="仿宋_GB2312" w:eastAsia="仿宋_GB2312"/>
          <w:color w:val="auto"/>
          <w:sz w:val="32"/>
          <w:szCs w:val="32"/>
          <w:highlight w:val="none"/>
        </w:rPr>
        <w:t>。</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9</w:t>
      </w:r>
      <w:r>
        <w:rPr>
          <w:rFonts w:hint="eastAsia" w:ascii="仿宋_GB2312" w:eastAsia="仿宋_GB2312"/>
          <w:color w:val="auto"/>
          <w:sz w:val="32"/>
          <w:szCs w:val="32"/>
          <w:highlight w:val="none"/>
        </w:rPr>
        <w:t>.住房保障支出（类）住房改革支出（款）住房公积金（项）:</w:t>
      </w:r>
      <w:r>
        <w:rPr>
          <w:rFonts w:hint="eastAsia" w:ascii="仿宋_GB2312" w:eastAsia="仿宋_GB2312"/>
          <w:color w:val="auto"/>
          <w:sz w:val="32"/>
          <w:szCs w:val="32"/>
          <w:highlight w:val="none"/>
          <w:lang w:eastAsia="zh-CN"/>
        </w:rPr>
        <w:t>反映行政事业单位按人力资源和社会保障部、财政部规定的基本工资和津贴补贴以及规定比例为职工缴纳的住房公积金</w:t>
      </w:r>
      <w:r>
        <w:rPr>
          <w:rFonts w:hint="eastAsia" w:ascii="仿宋_GB2312" w:eastAsia="仿宋_GB2312"/>
          <w:color w:val="auto"/>
          <w:sz w:val="32"/>
          <w:szCs w:val="32"/>
          <w:highlight w:val="none"/>
        </w:rPr>
        <w:t>。</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10</w:t>
      </w:r>
      <w:r>
        <w:rPr>
          <w:rFonts w:ascii="仿宋_GB2312" w:eastAsia="仿宋_GB2312"/>
          <w:color w:val="auto"/>
          <w:sz w:val="32"/>
          <w:szCs w:val="32"/>
          <w:highlight w:val="none"/>
        </w:rPr>
        <w:t>.</w:t>
      </w:r>
      <w:r>
        <w:rPr>
          <w:rFonts w:hint="eastAsia" w:ascii="仿宋_GB2312" w:eastAsia="仿宋_GB2312"/>
          <w:color w:val="auto"/>
          <w:sz w:val="32"/>
          <w:szCs w:val="32"/>
          <w:highlight w:val="none"/>
        </w:rPr>
        <w:t>基本支出：指为保障机构正常运转、完成日常工作任务而发生的人员支出和公用支出。</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11</w:t>
      </w:r>
      <w:r>
        <w:rPr>
          <w:rFonts w:ascii="仿宋_GB2312" w:eastAsia="仿宋_GB2312"/>
          <w:color w:val="auto"/>
          <w:sz w:val="32"/>
          <w:szCs w:val="32"/>
          <w:highlight w:val="none"/>
        </w:rPr>
        <w:t>.</w:t>
      </w:r>
      <w:r>
        <w:rPr>
          <w:rFonts w:hint="eastAsia" w:ascii="仿宋_GB2312" w:eastAsia="仿宋_GB2312"/>
          <w:color w:val="auto"/>
          <w:sz w:val="32"/>
          <w:szCs w:val="32"/>
          <w:highlight w:val="none"/>
        </w:rPr>
        <w:t>项目支出：指在基本支出之外为完成特定行政任务和事业发展目标所发生的支出。</w:t>
      </w:r>
      <w:r>
        <w:rPr>
          <w:rFonts w:ascii="仿宋_GB2312" w:eastAsia="仿宋_GB2312"/>
          <w:color w:val="auto"/>
          <w:sz w:val="32"/>
          <w:szCs w:val="32"/>
          <w:highlight w:val="none"/>
        </w:rPr>
        <w:t xml:space="preserve"> </w:t>
      </w:r>
    </w:p>
    <w:p>
      <w:pPr>
        <w:pStyle w:val="24"/>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12</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“三公”经费：指</w:t>
      </w:r>
      <w:r>
        <w:rPr>
          <w:rFonts w:hint="eastAsia" w:ascii="仿宋_GB2312" w:eastAsia="仿宋_GB2312"/>
          <w:color w:val="auto"/>
          <w:sz w:val="32"/>
          <w:szCs w:val="32"/>
          <w:highlight w:val="none"/>
          <w:lang w:eastAsia="zh-CN"/>
        </w:rPr>
        <w:t>单位</w:t>
      </w:r>
      <w:r>
        <w:rPr>
          <w:rFonts w:hint="eastAsia" w:ascii="仿宋_GB2312" w:eastAsia="仿宋_GB2312"/>
          <w:color w:val="auto"/>
          <w:sz w:val="32"/>
          <w:szCs w:val="32"/>
          <w:highlight w:val="none"/>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4"/>
        <w:spacing w:line="560" w:lineRule="exact"/>
        <w:ind w:firstLine="640" w:firstLineChars="200"/>
        <w:rPr>
          <w:rFonts w:ascii="仿宋_GB2312" w:eastAsia="仿宋_GB2312"/>
          <w:color w:val="FF0000"/>
          <w:sz w:val="32"/>
          <w:szCs w:val="32"/>
          <w:highlight w:val="none"/>
        </w:rPr>
      </w:pPr>
    </w:p>
    <w:p>
      <w:pPr>
        <w:pStyle w:val="24"/>
        <w:spacing w:line="560" w:lineRule="exact"/>
        <w:ind w:firstLine="640" w:firstLineChars="200"/>
        <w:rPr>
          <w:rFonts w:ascii="仿宋_GB2312" w:eastAsia="仿宋_GB2312" w:cs="黑体"/>
          <w:color w:val="auto"/>
          <w:sz w:val="32"/>
          <w:szCs w:val="32"/>
          <w:highlight w:val="none"/>
        </w:rPr>
      </w:pPr>
    </w:p>
    <w:p>
      <w:pPr>
        <w:spacing w:line="600" w:lineRule="exact"/>
        <w:jc w:val="center"/>
        <w:outlineLvl w:val="0"/>
        <w:rPr>
          <w:rStyle w:val="26"/>
          <w:rFonts w:ascii="黑体" w:hAnsi="黑体" w:eastAsia="黑体"/>
          <w:b w:val="0"/>
          <w:color w:val="auto"/>
          <w:highlight w:val="none"/>
        </w:rPr>
      </w:pPr>
      <w:bookmarkStart w:id="51" w:name="_Toc15377226"/>
      <w:r>
        <w:rPr>
          <w:rFonts w:ascii="宋体"/>
          <w:b/>
          <w:color w:val="auto"/>
          <w:sz w:val="44"/>
          <w:szCs w:val="44"/>
          <w:highlight w:val="none"/>
        </w:rPr>
        <w:br w:type="page"/>
      </w:r>
      <w:bookmarkStart w:id="52" w:name="_Toc15396614"/>
      <w:r>
        <w:rPr>
          <w:rFonts w:hint="eastAsia" w:ascii="黑体" w:hAnsi="黑体" w:eastAsia="黑体"/>
          <w:color w:val="auto"/>
          <w:sz w:val="44"/>
          <w:szCs w:val="44"/>
          <w:highlight w:val="none"/>
        </w:rPr>
        <w:t>第</w:t>
      </w:r>
      <w:r>
        <w:rPr>
          <w:rStyle w:val="26"/>
          <w:rFonts w:hint="eastAsia" w:ascii="黑体" w:hAnsi="黑体" w:eastAsia="黑体"/>
          <w:b w:val="0"/>
          <w:color w:val="auto"/>
          <w:highlight w:val="none"/>
        </w:rPr>
        <w:t>四部分 附件</w:t>
      </w:r>
      <w:bookmarkEnd w:id="52"/>
    </w:p>
    <w:p>
      <w:pPr>
        <w:pStyle w:val="6"/>
        <w:rPr>
          <w:rFonts w:hint="eastAsia"/>
          <w:color w:val="auto"/>
          <w:highlight w:val="none"/>
          <w:lang w:val="zh-CN"/>
        </w:rPr>
      </w:pPr>
      <w:r>
        <w:rPr>
          <w:rFonts w:hint="eastAsia" w:hAnsi="宋体" w:cs="宋体"/>
          <w:color w:val="auto"/>
          <w:kern w:val="0"/>
          <w:sz w:val="32"/>
          <w:szCs w:val="32"/>
          <w:highlight w:val="none"/>
          <w:shd w:val="clear" w:color="auto" w:fill="FFFFFF"/>
          <w:lang w:val="zh-CN"/>
        </w:rPr>
        <w:t>附件</w:t>
      </w:r>
    </w:p>
    <w:p>
      <w:pPr>
        <w:keepNext w:val="0"/>
        <w:keepLines w:val="0"/>
        <w:pageBreakBefore w:val="0"/>
        <w:widowControl w:val="0"/>
        <w:kinsoku/>
        <w:wordWrap/>
        <w:overflowPunct/>
        <w:topLinePunct w:val="0"/>
        <w:autoSpaceDE/>
        <w:autoSpaceDN/>
        <w:bidi w:val="0"/>
        <w:spacing w:line="576" w:lineRule="exact"/>
        <w:jc w:val="center"/>
        <w:textAlignment w:val="auto"/>
        <w:rPr>
          <w:rFonts w:hint="eastAsia" w:ascii="方正小标宋简体" w:hAnsi="宋体" w:eastAsia="方正小标宋简体"/>
          <w:color w:val="auto"/>
          <w:sz w:val="36"/>
          <w:szCs w:val="36"/>
          <w:shd w:val="clear" w:color="auto" w:fill="FFFFFF"/>
          <w:lang w:val="en-US" w:eastAsia="zh-CN"/>
        </w:rPr>
      </w:pPr>
      <w:r>
        <w:rPr>
          <w:rFonts w:hint="eastAsia" w:ascii="方正小标宋简体" w:hAnsi="方正小标宋简体" w:eastAsia="方正小标宋简体" w:cs="方正小标宋简体"/>
          <w:color w:val="auto"/>
          <w:kern w:val="2"/>
          <w:sz w:val="40"/>
          <w:szCs w:val="40"/>
          <w:highlight w:val="none"/>
          <w:lang w:val="en-US" w:eastAsia="zh-CN" w:bidi="ar-SA"/>
        </w:rPr>
        <w:t>2021年特困人员、孤儿弃婴养育及医疗经费</w:t>
      </w:r>
    </w:p>
    <w:p>
      <w:pPr>
        <w:keepNext w:val="0"/>
        <w:keepLines w:val="0"/>
        <w:pageBreakBefore w:val="0"/>
        <w:widowControl w:val="0"/>
        <w:kinsoku/>
        <w:wordWrap/>
        <w:overflowPunct/>
        <w:topLinePunct w:val="0"/>
        <w:autoSpaceDE/>
        <w:autoSpaceDN/>
        <w:bidi w:val="0"/>
        <w:spacing w:line="576" w:lineRule="exact"/>
        <w:jc w:val="center"/>
        <w:textAlignment w:val="auto"/>
        <w:rPr>
          <w:rFonts w:hint="eastAsia" w:ascii="方正小标宋简体" w:hAnsi="方正小标宋简体" w:eastAsia="方正小标宋简体" w:cs="方正小标宋简体"/>
          <w:color w:val="auto"/>
          <w:kern w:val="2"/>
          <w:sz w:val="40"/>
          <w:szCs w:val="40"/>
          <w:highlight w:val="none"/>
          <w:lang w:val="zh-CN" w:eastAsia="zh-CN" w:bidi="ar-SA"/>
        </w:rPr>
      </w:pPr>
      <w:r>
        <w:rPr>
          <w:rFonts w:hint="eastAsia" w:ascii="方正小标宋简体" w:hAnsi="方正小标宋简体" w:eastAsia="方正小标宋简体" w:cs="方正小标宋简体"/>
          <w:color w:val="auto"/>
          <w:kern w:val="2"/>
          <w:sz w:val="40"/>
          <w:szCs w:val="40"/>
          <w:highlight w:val="none"/>
          <w:lang w:val="zh-CN" w:eastAsia="zh-CN" w:bidi="ar-SA"/>
        </w:rPr>
        <w:t>项目支出绩效自评报告</w:t>
      </w:r>
    </w:p>
    <w:p>
      <w:pPr>
        <w:keepNext w:val="0"/>
        <w:keepLines w:val="0"/>
        <w:pageBreakBefore w:val="0"/>
        <w:widowControl w:val="0"/>
        <w:kinsoku/>
        <w:wordWrap/>
        <w:overflowPunct/>
        <w:topLinePunct w:val="0"/>
        <w:autoSpaceDE/>
        <w:autoSpaceDN/>
        <w:bidi w:val="0"/>
        <w:spacing w:line="576" w:lineRule="exact"/>
        <w:ind w:firstLine="640"/>
        <w:jc w:val="center"/>
        <w:textAlignment w:val="auto"/>
        <w:rPr>
          <w:rFonts w:ascii="宋体" w:hAnsi="宋体" w:eastAsia="宋体" w:cs="Times New Roman"/>
          <w:color w:val="auto"/>
          <w:kern w:val="2"/>
          <w:sz w:val="32"/>
          <w:szCs w:val="32"/>
          <w:highlight w:val="none"/>
          <w:lang w:val="zh-CN" w:eastAsia="zh-CN" w:bidi="ar-SA"/>
        </w:rPr>
      </w:pP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ascii="黑体" w:hAnsi="宋体" w:eastAsia="黑体" w:cs="Times New Roman"/>
          <w:color w:val="auto"/>
          <w:sz w:val="32"/>
          <w:szCs w:val="32"/>
          <w:highlight w:val="none"/>
          <w:lang w:val="zh-CN"/>
        </w:rPr>
      </w:pPr>
      <w:r>
        <w:rPr>
          <w:rFonts w:hint="eastAsia" w:ascii="黑体" w:hAnsi="宋体" w:eastAsia="黑体" w:cs="Times New Roman"/>
          <w:color w:val="auto"/>
          <w:sz w:val="32"/>
          <w:szCs w:val="32"/>
          <w:highlight w:val="none"/>
        </w:rPr>
        <w:t>一、</w:t>
      </w:r>
      <w:r>
        <w:rPr>
          <w:rFonts w:hint="eastAsia" w:ascii="黑体" w:hAnsi="宋体" w:eastAsia="黑体" w:cs="Times New Roman"/>
          <w:color w:val="auto"/>
          <w:sz w:val="32"/>
          <w:szCs w:val="32"/>
          <w:highlight w:val="none"/>
          <w:lang w:val="zh-CN"/>
        </w:rPr>
        <w:t>项目概况</w:t>
      </w:r>
    </w:p>
    <w:p>
      <w:pPr>
        <w:keepNext w:val="0"/>
        <w:keepLines w:val="0"/>
        <w:pageBreakBefore w:val="0"/>
        <w:kinsoku/>
        <w:wordWrap/>
        <w:overflowPunct/>
        <w:topLinePunct w:val="0"/>
        <w:autoSpaceDE/>
        <w:autoSpaceDN/>
        <w:bidi w:val="0"/>
        <w:adjustRightInd w:val="0"/>
        <w:snapToGrid w:val="0"/>
        <w:spacing w:line="576" w:lineRule="exact"/>
        <w:ind w:firstLine="642" w:firstLineChars="20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（一）项目基本情况。</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zh-CN"/>
        </w:rPr>
        <w:t>1.说明项目主管部门（单位）在该项目管理中的职能。</w:t>
      </w:r>
    </w:p>
    <w:p>
      <w:pPr>
        <w:keepNext w:val="0"/>
        <w:keepLines w:val="0"/>
        <w:pageBreakBefore w:val="0"/>
        <w:kinsoku/>
        <w:wordWrap/>
        <w:overflowPunct/>
        <w:topLinePunct w:val="0"/>
        <w:autoSpaceDE/>
        <w:autoSpaceDN/>
        <w:bidi w:val="0"/>
        <w:adjustRightInd w:val="0"/>
        <w:snapToGrid w:val="0"/>
        <w:spacing w:line="576" w:lineRule="exact"/>
        <w:ind w:firstLine="640" w:firstLineChars="200"/>
        <w:rPr>
          <w:rFonts w:hint="eastAsia"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zh-CN"/>
        </w:rPr>
        <w:t>根据《广元市民政局广元市财政局关于提高特困人员救助供养标准的通知》(广市民(2020)58号)精神，为进一步保障困难群众基本生活，经七届市人民政府第100次常务会议同意，将2020年城乡居民最低生活保障标准和城乡特困人员基本生活标准调整至767元。以及根据《广元市民政局广元市财政局关于提高全市孤儿艺木生活最低养育标准的通知》广市民(2019)00号文件精神，机构养育孤儿最低养育标准提高到每人每月1400元。保障院内所有特困人员和孤儿的基本生活包括衣、食、住、行、上学、就医等需求。</w:t>
      </w:r>
    </w:p>
    <w:p>
      <w:pPr>
        <w:keepNext w:val="0"/>
        <w:keepLines w:val="0"/>
        <w:pageBreakBefore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en-US" w:eastAsia="zh-CN"/>
        </w:rPr>
        <w:t>2.</w:t>
      </w:r>
      <w:r>
        <w:rPr>
          <w:rFonts w:hint="eastAsia" w:ascii="仿宋_GB2312" w:hAnsi="宋体" w:eastAsia="仿宋_GB2312" w:cs="Times New Roman"/>
          <w:color w:val="auto"/>
          <w:sz w:val="32"/>
          <w:szCs w:val="32"/>
          <w:highlight w:val="none"/>
          <w:lang w:val="zh-CN"/>
        </w:rPr>
        <w:t>项目立项、资金申报的依据。</w:t>
      </w:r>
    </w:p>
    <w:p>
      <w:pPr>
        <w:keepNext w:val="0"/>
        <w:keepLines w:val="0"/>
        <w:pageBreakBefore w:val="0"/>
        <w:kinsoku/>
        <w:wordWrap/>
        <w:overflowPunct/>
        <w:topLinePunct w:val="0"/>
        <w:autoSpaceDE/>
        <w:autoSpaceDN/>
        <w:bidi w:val="0"/>
        <w:adjustRightInd w:val="0"/>
        <w:snapToGrid w:val="0"/>
        <w:spacing w:line="576" w:lineRule="exact"/>
        <w:ind w:firstLine="640" w:firstLineChars="200"/>
        <w:rPr>
          <w:rFonts w:hint="eastAsia"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zh-CN"/>
        </w:rPr>
        <w:t>项目立项、资金申报的依据主要是本单位职能职责及年度工作计划。</w:t>
      </w:r>
    </w:p>
    <w:p>
      <w:pPr>
        <w:keepNext w:val="0"/>
        <w:keepLines w:val="0"/>
        <w:pageBreakBefore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en-US" w:eastAsia="zh-CN"/>
        </w:rPr>
        <w:t>3.</w:t>
      </w:r>
      <w:r>
        <w:rPr>
          <w:rFonts w:hint="eastAsia" w:ascii="仿宋_GB2312" w:hAnsi="宋体" w:eastAsia="仿宋_GB2312" w:cs="Times New Roman"/>
          <w:color w:val="auto"/>
          <w:sz w:val="32"/>
          <w:szCs w:val="32"/>
          <w:highlight w:val="none"/>
          <w:lang w:val="zh-CN"/>
        </w:rPr>
        <w:t>资金管理办法制定情况，资金支持具体项目的条件、范围与支持方式概况。</w:t>
      </w:r>
    </w:p>
    <w:p>
      <w:pPr>
        <w:keepNext w:val="0"/>
        <w:keepLines w:val="0"/>
        <w:pageBreakBefore w:val="0"/>
        <w:kinsoku/>
        <w:wordWrap/>
        <w:overflowPunct/>
        <w:topLinePunct w:val="0"/>
        <w:autoSpaceDE/>
        <w:autoSpaceDN/>
        <w:bidi w:val="0"/>
        <w:adjustRightInd w:val="0"/>
        <w:snapToGrid w:val="0"/>
        <w:spacing w:line="576" w:lineRule="exact"/>
        <w:ind w:firstLine="640" w:firstLineChars="200"/>
        <w:rPr>
          <w:rFonts w:hint="eastAsia"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zh-CN"/>
        </w:rPr>
        <w:t>本项目主要是工作经费，按照财政资金相关管理办法和要求执行。资金支持具体项目的条件是根据部门工作计划要求安排。财政全额支持。</w:t>
      </w:r>
    </w:p>
    <w:p>
      <w:pPr>
        <w:keepNext w:val="0"/>
        <w:keepLines w:val="0"/>
        <w:pageBreakBefore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en-US" w:eastAsia="zh-CN"/>
        </w:rPr>
        <w:t>4.</w:t>
      </w:r>
      <w:r>
        <w:rPr>
          <w:rFonts w:hint="eastAsia" w:ascii="仿宋_GB2312" w:hAnsi="宋体" w:eastAsia="仿宋_GB2312" w:cs="Times New Roman"/>
          <w:color w:val="auto"/>
          <w:sz w:val="32"/>
          <w:szCs w:val="32"/>
          <w:highlight w:val="none"/>
          <w:lang w:val="zh-CN"/>
        </w:rPr>
        <w:t>资金分配的原则及考虑因素。</w:t>
      </w:r>
    </w:p>
    <w:p>
      <w:pPr>
        <w:keepNext w:val="0"/>
        <w:keepLines w:val="0"/>
        <w:pageBreakBefore w:val="0"/>
        <w:kinsoku/>
        <w:wordWrap/>
        <w:overflowPunct/>
        <w:topLinePunct w:val="0"/>
        <w:autoSpaceDE/>
        <w:autoSpaceDN/>
        <w:bidi w:val="0"/>
        <w:adjustRightInd w:val="0"/>
        <w:snapToGrid w:val="0"/>
        <w:spacing w:line="576" w:lineRule="exact"/>
        <w:ind w:firstLine="640" w:firstLineChars="200"/>
        <w:rPr>
          <w:rFonts w:hint="eastAsia"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zh-CN"/>
        </w:rPr>
        <w:t>项目资金全部由本单位使用，根据项目具体实施内容匹配资金。</w:t>
      </w:r>
    </w:p>
    <w:p>
      <w:pPr>
        <w:keepNext w:val="0"/>
        <w:keepLines w:val="0"/>
        <w:pageBreakBefore w:val="0"/>
        <w:kinsoku/>
        <w:wordWrap/>
        <w:overflowPunct/>
        <w:topLinePunct w:val="0"/>
        <w:autoSpaceDE/>
        <w:autoSpaceDN/>
        <w:bidi w:val="0"/>
        <w:adjustRightInd w:val="0"/>
        <w:snapToGrid w:val="0"/>
        <w:spacing w:line="576" w:lineRule="exact"/>
        <w:ind w:firstLine="642" w:firstLineChars="20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（二）项目绩效目标。</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zh-CN"/>
        </w:rPr>
        <w:t>1.项目主要内容。</w:t>
      </w:r>
    </w:p>
    <w:p>
      <w:pPr>
        <w:keepNext w:val="0"/>
        <w:keepLines w:val="0"/>
        <w:pageBreakBefore w:val="0"/>
        <w:kinsoku/>
        <w:wordWrap/>
        <w:overflowPunct/>
        <w:topLinePunct w:val="0"/>
        <w:autoSpaceDE/>
        <w:autoSpaceDN/>
        <w:bidi w:val="0"/>
        <w:adjustRightInd w:val="0"/>
        <w:snapToGrid w:val="0"/>
        <w:spacing w:line="576" w:lineRule="exact"/>
        <w:ind w:firstLine="640" w:firstLineChars="200"/>
        <w:rPr>
          <w:rFonts w:hint="eastAsia"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zh-CN"/>
        </w:rPr>
        <w:t>保障院内所有特困人员和孤儿的基本生活包括衣、食、住、行、上学、就医等需求。</w:t>
      </w:r>
    </w:p>
    <w:p>
      <w:pPr>
        <w:keepNext w:val="0"/>
        <w:keepLines w:val="0"/>
        <w:pageBreakBefore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en-US" w:eastAsia="zh-CN"/>
        </w:rPr>
        <w:t>2.</w:t>
      </w:r>
      <w:r>
        <w:rPr>
          <w:rFonts w:hint="eastAsia" w:ascii="仿宋_GB2312" w:hAnsi="宋体" w:eastAsia="仿宋_GB2312" w:cs="Times New Roman"/>
          <w:color w:val="auto"/>
          <w:sz w:val="32"/>
          <w:szCs w:val="32"/>
          <w:highlight w:val="none"/>
          <w:lang w:val="zh-CN"/>
        </w:rPr>
        <w:t>项目应实现的具体绩效目标，包括目标的量化、细化情况以及项目实施进度计划等。</w:t>
      </w:r>
    </w:p>
    <w:p>
      <w:pPr>
        <w:keepNext w:val="0"/>
        <w:keepLines w:val="0"/>
        <w:pageBreakBefore w:val="0"/>
        <w:kinsoku/>
        <w:wordWrap/>
        <w:overflowPunct/>
        <w:topLinePunct w:val="0"/>
        <w:autoSpaceDE/>
        <w:autoSpaceDN/>
        <w:bidi w:val="0"/>
        <w:adjustRightInd w:val="0"/>
        <w:snapToGrid w:val="0"/>
        <w:spacing w:line="576" w:lineRule="exact"/>
        <w:ind w:firstLine="640" w:firstLineChars="200"/>
        <w:rPr>
          <w:color w:val="auto"/>
          <w:lang w:val="zh-CN"/>
        </w:rPr>
      </w:pPr>
      <w:r>
        <w:rPr>
          <w:rFonts w:hint="eastAsia" w:ascii="仿宋_GB2312" w:hAnsi="宋体" w:eastAsia="仿宋_GB2312" w:cs="Times New Roman"/>
          <w:color w:val="auto"/>
          <w:sz w:val="32"/>
          <w:szCs w:val="32"/>
          <w:highlight w:val="none"/>
          <w:lang w:val="zh-CN"/>
        </w:rPr>
        <w:t>项目申请时依据项目实际情况明确了具体的绩效目标，包括数量指标（</w:t>
      </w:r>
      <w:r>
        <w:rPr>
          <w:rFonts w:hint="eastAsia" w:ascii="仿宋_GB2312" w:hAnsi="宋体" w:eastAsia="仿宋_GB2312" w:cs="Times New Roman"/>
          <w:color w:val="auto"/>
          <w:sz w:val="32"/>
          <w:szCs w:val="32"/>
          <w:highlight w:val="none"/>
          <w:lang w:val="en-US" w:eastAsia="zh-CN"/>
        </w:rPr>
        <w:t>保障特困人员孤儿弃婴人数</w:t>
      </w:r>
      <w:r>
        <w:rPr>
          <w:rFonts w:hint="eastAsia" w:ascii="仿宋_GB2312" w:hAnsi="宋体" w:eastAsia="仿宋_GB2312" w:cs="Times New Roman"/>
          <w:color w:val="auto"/>
          <w:sz w:val="32"/>
          <w:szCs w:val="32"/>
          <w:highlight w:val="none"/>
          <w:lang w:val="zh-CN"/>
        </w:rPr>
        <w:t>）；质量指标（</w:t>
      </w:r>
      <w:r>
        <w:rPr>
          <w:rFonts w:hint="eastAsia" w:ascii="仿宋_GB2312" w:hAnsi="宋体" w:eastAsia="仿宋_GB2312" w:cs="Times New Roman"/>
          <w:color w:val="auto"/>
          <w:sz w:val="32"/>
          <w:szCs w:val="32"/>
          <w:highlight w:val="none"/>
          <w:lang w:val="en-US" w:eastAsia="zh-CN"/>
        </w:rPr>
        <w:t>提升服务对象生活质量</w:t>
      </w:r>
      <w:r>
        <w:rPr>
          <w:rFonts w:hint="eastAsia" w:ascii="仿宋_GB2312" w:hAnsi="宋体" w:eastAsia="仿宋_GB2312" w:cs="Times New Roman"/>
          <w:color w:val="auto"/>
          <w:sz w:val="32"/>
          <w:szCs w:val="32"/>
          <w:highlight w:val="none"/>
          <w:lang w:val="zh-CN"/>
        </w:rPr>
        <w:t>），时效指标（</w:t>
      </w:r>
      <w:r>
        <w:rPr>
          <w:rFonts w:hint="eastAsia" w:ascii="仿宋_GB2312" w:hAnsi="宋体" w:eastAsia="仿宋_GB2312" w:cs="Times New Roman"/>
          <w:color w:val="auto"/>
          <w:sz w:val="32"/>
          <w:szCs w:val="32"/>
          <w:highlight w:val="none"/>
          <w:lang w:val="en-US" w:eastAsia="zh-CN"/>
        </w:rPr>
        <w:t>2021年12月31日之前完成</w:t>
      </w:r>
      <w:r>
        <w:rPr>
          <w:rFonts w:hint="eastAsia" w:ascii="仿宋_GB2312" w:hAnsi="宋体" w:eastAsia="仿宋_GB2312" w:cs="Times New Roman"/>
          <w:color w:val="auto"/>
          <w:sz w:val="32"/>
          <w:szCs w:val="32"/>
          <w:highlight w:val="none"/>
          <w:lang w:val="zh-CN"/>
        </w:rPr>
        <w:t>），社会效益指标（改善孤儿生活质量，促进文明和谐社会发展，保障特困人员和孤儿弃婴的疾病救治、健康保健），</w:t>
      </w:r>
      <w:r>
        <w:rPr>
          <w:rFonts w:hint="eastAsia" w:ascii="仿宋_GB2312" w:hAnsi="宋体" w:eastAsia="仿宋_GB2312" w:cs="Times New Roman"/>
          <w:color w:val="auto"/>
          <w:sz w:val="32"/>
          <w:szCs w:val="32"/>
          <w:highlight w:val="none"/>
          <w:lang w:val="en-US" w:eastAsia="zh-CN"/>
        </w:rPr>
        <w:t>成本指标（特困人员每人每月767元、孤儿弃婴每人每月基本生活支出1400元），满意度指标（服务满意度）</w:t>
      </w:r>
      <w:r>
        <w:rPr>
          <w:rFonts w:hint="eastAsia" w:ascii="仿宋_GB2312" w:hAnsi="宋体" w:eastAsia="仿宋_GB2312" w:cs="Times New Roman"/>
          <w:color w:val="auto"/>
          <w:sz w:val="32"/>
          <w:szCs w:val="32"/>
          <w:highlight w:val="none"/>
          <w:lang w:val="zh-CN"/>
        </w:rPr>
        <w:t>等</w:t>
      </w:r>
      <w:r>
        <w:rPr>
          <w:rFonts w:hint="eastAsia" w:ascii="仿宋_GB2312" w:hAnsi="宋体" w:eastAsia="仿宋_GB2312" w:cs="Times New Roman"/>
          <w:color w:val="auto"/>
          <w:sz w:val="32"/>
          <w:szCs w:val="32"/>
          <w:highlight w:val="none"/>
          <w:lang w:val="en-US" w:eastAsia="zh-CN"/>
        </w:rPr>
        <w:t>6个指标</w:t>
      </w:r>
      <w:r>
        <w:rPr>
          <w:rFonts w:hint="eastAsia" w:ascii="仿宋_GB2312" w:hAnsi="宋体" w:eastAsia="仿宋_GB2312" w:cs="Times New Roman"/>
          <w:color w:val="auto"/>
          <w:sz w:val="32"/>
          <w:szCs w:val="32"/>
          <w:highlight w:val="none"/>
          <w:lang w:val="zh-CN"/>
        </w:rPr>
        <w:t>。并对指标值进行了量化、细化</w:t>
      </w:r>
      <w:r>
        <w:rPr>
          <w:rFonts w:hint="eastAsia" w:ascii="仿宋_GB2312" w:hAnsi="宋体" w:eastAsia="仿宋_GB2312" w:cs="Times New Roman"/>
          <w:color w:val="auto"/>
          <w:sz w:val="32"/>
          <w:szCs w:val="32"/>
          <w:highlight w:val="none"/>
          <w:lang w:val="en-US" w:eastAsia="zh-CN"/>
        </w:rPr>
        <w:t>。项目制定了详细可行的进度计划，确保了项目顺利实施。</w:t>
      </w:r>
    </w:p>
    <w:p>
      <w:pPr>
        <w:keepNext w:val="0"/>
        <w:keepLines w:val="0"/>
        <w:pageBreakBefore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en-US" w:eastAsia="zh-CN"/>
        </w:rPr>
        <w:t>3.</w:t>
      </w:r>
      <w:r>
        <w:rPr>
          <w:rFonts w:hint="eastAsia" w:ascii="仿宋_GB2312" w:hAnsi="宋体" w:eastAsia="仿宋_GB2312" w:cs="Times New Roman"/>
          <w:color w:val="auto"/>
          <w:sz w:val="32"/>
          <w:szCs w:val="32"/>
          <w:highlight w:val="none"/>
          <w:lang w:val="zh-CN"/>
        </w:rPr>
        <w:t>分析评价申报内容是否与实际相符，申报目标是否合理可行。</w:t>
      </w:r>
    </w:p>
    <w:p>
      <w:pPr>
        <w:pStyle w:val="2"/>
        <w:keepNext w:val="0"/>
        <w:keepLines w:val="0"/>
        <w:pageBreakBefore w:val="0"/>
        <w:numPr>
          <w:ilvl w:val="0"/>
          <w:numId w:val="0"/>
        </w:numPr>
        <w:kinsoku/>
        <w:wordWrap/>
        <w:overflowPunct/>
        <w:topLinePunct w:val="0"/>
        <w:autoSpaceDE/>
        <w:autoSpaceDN/>
        <w:bidi w:val="0"/>
        <w:spacing w:line="576" w:lineRule="exact"/>
        <w:ind w:firstLine="640" w:firstLineChars="200"/>
        <w:rPr>
          <w:rFonts w:hint="eastAsia" w:ascii="仿宋_GB2312" w:hAnsi="宋体" w:eastAsia="仿宋_GB2312" w:cs="Times New Roman"/>
          <w:color w:val="auto"/>
          <w:kern w:val="2"/>
          <w:sz w:val="32"/>
          <w:szCs w:val="32"/>
          <w:highlight w:val="none"/>
          <w:lang w:val="zh-CN" w:eastAsia="zh-CN" w:bidi="ar-SA"/>
        </w:rPr>
      </w:pPr>
      <w:r>
        <w:rPr>
          <w:rFonts w:hint="eastAsia" w:ascii="仿宋_GB2312" w:hAnsi="宋体" w:eastAsia="仿宋_GB2312" w:cs="Times New Roman"/>
          <w:color w:val="auto"/>
          <w:kern w:val="2"/>
          <w:sz w:val="32"/>
          <w:szCs w:val="32"/>
          <w:highlight w:val="none"/>
          <w:lang w:val="en-US" w:eastAsia="zh-CN" w:bidi="ar-SA"/>
        </w:rPr>
        <w:t>绩效自评结果表明，项目</w:t>
      </w:r>
      <w:r>
        <w:rPr>
          <w:rFonts w:hint="eastAsia" w:ascii="仿宋_GB2312" w:hAnsi="宋体" w:eastAsia="仿宋_GB2312" w:cs="Times New Roman"/>
          <w:color w:val="auto"/>
          <w:kern w:val="2"/>
          <w:sz w:val="32"/>
          <w:szCs w:val="32"/>
          <w:highlight w:val="none"/>
          <w:lang w:val="zh-CN" w:eastAsia="zh-CN" w:bidi="ar-SA"/>
        </w:rPr>
        <w:t>申报内容与实际相符，申报目标合理可行。</w:t>
      </w:r>
    </w:p>
    <w:p>
      <w:pPr>
        <w:keepNext w:val="0"/>
        <w:keepLines w:val="0"/>
        <w:pageBreakBefore w:val="0"/>
        <w:kinsoku/>
        <w:wordWrap/>
        <w:overflowPunct/>
        <w:topLinePunct w:val="0"/>
        <w:autoSpaceDE/>
        <w:autoSpaceDN/>
        <w:bidi w:val="0"/>
        <w:adjustRightInd w:val="0"/>
        <w:snapToGrid w:val="0"/>
        <w:spacing w:line="576" w:lineRule="exact"/>
        <w:ind w:firstLine="642" w:firstLineChars="20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（三）项目自评步骤及方法。</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zh-CN"/>
        </w:rPr>
        <w:t>说明项目绩效自评采用的组织实施步骤及方法。</w:t>
      </w:r>
    </w:p>
    <w:p>
      <w:pPr>
        <w:pStyle w:val="2"/>
        <w:keepNext w:val="0"/>
        <w:keepLines w:val="0"/>
        <w:pageBreakBefore w:val="0"/>
        <w:numPr>
          <w:ilvl w:val="0"/>
          <w:numId w:val="0"/>
        </w:numPr>
        <w:kinsoku/>
        <w:wordWrap/>
        <w:overflowPunct/>
        <w:topLinePunct w:val="0"/>
        <w:autoSpaceDE/>
        <w:autoSpaceDN/>
        <w:bidi w:val="0"/>
        <w:spacing w:line="576" w:lineRule="exact"/>
        <w:ind w:firstLine="640" w:firstLineChars="200"/>
        <w:rPr>
          <w:rFonts w:hint="eastAsia" w:ascii="仿宋_GB2312" w:hAnsi="宋体" w:eastAsia="仿宋_GB2312" w:cs="Times New Roman"/>
          <w:color w:val="auto"/>
          <w:kern w:val="2"/>
          <w:sz w:val="32"/>
          <w:szCs w:val="32"/>
          <w:highlight w:val="none"/>
          <w:lang w:val="en-US" w:eastAsia="zh-CN" w:bidi="ar-SA"/>
        </w:rPr>
      </w:pPr>
      <w:r>
        <w:rPr>
          <w:rFonts w:hint="eastAsia" w:ascii="仿宋_GB2312" w:hAnsi="宋体" w:eastAsia="仿宋_GB2312" w:cs="Times New Roman"/>
          <w:color w:val="auto"/>
          <w:kern w:val="2"/>
          <w:sz w:val="32"/>
          <w:szCs w:val="32"/>
          <w:highlight w:val="none"/>
          <w:lang w:val="en-US" w:eastAsia="zh-CN" w:bidi="ar-SA"/>
        </w:rPr>
        <w:t>我单位对此次自评工作高度重视，成立了绩效评价工作小组，按照下列程序实施：</w:t>
      </w:r>
    </w:p>
    <w:p>
      <w:pPr>
        <w:pStyle w:val="2"/>
        <w:keepNext w:val="0"/>
        <w:keepLines w:val="0"/>
        <w:pageBreakBefore w:val="0"/>
        <w:numPr>
          <w:ilvl w:val="0"/>
          <w:numId w:val="0"/>
        </w:numPr>
        <w:kinsoku/>
        <w:wordWrap/>
        <w:overflowPunct/>
        <w:topLinePunct w:val="0"/>
        <w:autoSpaceDE/>
        <w:autoSpaceDN/>
        <w:bidi w:val="0"/>
        <w:spacing w:line="576" w:lineRule="exact"/>
        <w:ind w:firstLine="640" w:firstLineChars="200"/>
        <w:rPr>
          <w:rFonts w:hint="eastAsia" w:ascii="仿宋_GB2312" w:hAnsi="宋体" w:eastAsia="仿宋_GB2312" w:cs="Times New Roman"/>
          <w:color w:val="auto"/>
          <w:kern w:val="2"/>
          <w:sz w:val="32"/>
          <w:szCs w:val="32"/>
          <w:highlight w:val="none"/>
          <w:lang w:val="en-US" w:eastAsia="zh-CN" w:bidi="ar-SA"/>
        </w:rPr>
      </w:pPr>
      <w:r>
        <w:rPr>
          <w:rFonts w:hint="eastAsia" w:ascii="仿宋_GB2312" w:hAnsi="宋体" w:eastAsia="仿宋_GB2312" w:cs="Times New Roman"/>
          <w:color w:val="auto"/>
          <w:kern w:val="2"/>
          <w:sz w:val="32"/>
          <w:szCs w:val="32"/>
          <w:highlight w:val="none"/>
          <w:lang w:val="en-US" w:eastAsia="zh-CN" w:bidi="ar-SA"/>
        </w:rPr>
        <w:t>1.分解任务：根据部门支出绩效评价涉及的工作内容，分解到各股室；</w:t>
      </w:r>
    </w:p>
    <w:p>
      <w:pPr>
        <w:pStyle w:val="2"/>
        <w:keepNext w:val="0"/>
        <w:keepLines w:val="0"/>
        <w:pageBreakBefore w:val="0"/>
        <w:numPr>
          <w:ilvl w:val="0"/>
          <w:numId w:val="0"/>
        </w:numPr>
        <w:kinsoku/>
        <w:wordWrap/>
        <w:overflowPunct/>
        <w:topLinePunct w:val="0"/>
        <w:autoSpaceDE/>
        <w:autoSpaceDN/>
        <w:bidi w:val="0"/>
        <w:spacing w:line="576" w:lineRule="exact"/>
        <w:ind w:firstLine="640" w:firstLineChars="200"/>
        <w:rPr>
          <w:rFonts w:hint="eastAsia" w:ascii="仿宋_GB2312" w:hAnsi="宋体" w:eastAsia="仿宋_GB2312" w:cs="Times New Roman"/>
          <w:color w:val="auto"/>
          <w:kern w:val="2"/>
          <w:sz w:val="32"/>
          <w:szCs w:val="32"/>
          <w:highlight w:val="none"/>
          <w:lang w:val="en-US" w:eastAsia="zh-CN" w:bidi="ar-SA"/>
        </w:rPr>
      </w:pPr>
      <w:r>
        <w:rPr>
          <w:rFonts w:hint="eastAsia" w:ascii="仿宋_GB2312" w:hAnsi="宋体" w:eastAsia="仿宋_GB2312" w:cs="Times New Roman"/>
          <w:color w:val="auto"/>
          <w:kern w:val="2"/>
          <w:sz w:val="32"/>
          <w:szCs w:val="32"/>
          <w:highlight w:val="none"/>
          <w:lang w:val="en-US" w:eastAsia="zh-CN" w:bidi="ar-SA"/>
        </w:rPr>
        <w:t>2.股室初评：业务股室根据计分标准对各自负责的工作逐一检查，翻阅资料，对标自评；</w:t>
      </w:r>
    </w:p>
    <w:p>
      <w:pPr>
        <w:pStyle w:val="2"/>
        <w:keepNext w:val="0"/>
        <w:keepLines w:val="0"/>
        <w:pageBreakBefore w:val="0"/>
        <w:numPr>
          <w:ilvl w:val="0"/>
          <w:numId w:val="0"/>
        </w:numPr>
        <w:kinsoku/>
        <w:wordWrap/>
        <w:overflowPunct/>
        <w:topLinePunct w:val="0"/>
        <w:autoSpaceDE/>
        <w:autoSpaceDN/>
        <w:bidi w:val="0"/>
        <w:spacing w:line="576" w:lineRule="exact"/>
        <w:ind w:firstLine="640" w:firstLineChars="200"/>
        <w:rPr>
          <w:rFonts w:hint="eastAsia" w:ascii="仿宋_GB2312" w:hAnsi="宋体" w:eastAsia="仿宋_GB2312" w:cs="Times New Roman"/>
          <w:color w:val="auto"/>
          <w:kern w:val="2"/>
          <w:sz w:val="32"/>
          <w:szCs w:val="32"/>
          <w:highlight w:val="none"/>
          <w:lang w:val="en-US" w:eastAsia="zh-CN" w:bidi="ar-SA"/>
        </w:rPr>
      </w:pPr>
      <w:r>
        <w:rPr>
          <w:rFonts w:hint="eastAsia" w:ascii="仿宋_GB2312" w:hAnsi="宋体" w:eastAsia="仿宋_GB2312" w:cs="Times New Roman"/>
          <w:color w:val="auto"/>
          <w:kern w:val="2"/>
          <w:sz w:val="32"/>
          <w:szCs w:val="32"/>
          <w:highlight w:val="none"/>
          <w:lang w:val="en-US" w:eastAsia="zh-CN" w:bidi="ar-SA"/>
        </w:rPr>
        <w:t>3.小组复评：绩效评价工作小组对初评情况进行检查，并再次评价；</w:t>
      </w:r>
    </w:p>
    <w:p>
      <w:pPr>
        <w:pStyle w:val="2"/>
        <w:keepNext w:val="0"/>
        <w:keepLines w:val="0"/>
        <w:pageBreakBefore w:val="0"/>
        <w:numPr>
          <w:ilvl w:val="0"/>
          <w:numId w:val="0"/>
        </w:numPr>
        <w:kinsoku/>
        <w:wordWrap/>
        <w:overflowPunct/>
        <w:topLinePunct w:val="0"/>
        <w:autoSpaceDE/>
        <w:autoSpaceDN/>
        <w:bidi w:val="0"/>
        <w:spacing w:line="576" w:lineRule="exact"/>
        <w:ind w:firstLine="640" w:firstLineChars="200"/>
        <w:rPr>
          <w:rFonts w:hint="eastAsia" w:ascii="仿宋_GB2312" w:hAnsi="宋体" w:eastAsia="仿宋_GB2312" w:cs="Times New Roman"/>
          <w:color w:val="auto"/>
          <w:kern w:val="2"/>
          <w:sz w:val="32"/>
          <w:szCs w:val="32"/>
          <w:highlight w:val="none"/>
          <w:lang w:val="zh-CN" w:eastAsia="zh-CN" w:bidi="ar-SA"/>
        </w:rPr>
      </w:pPr>
      <w:r>
        <w:rPr>
          <w:rFonts w:hint="eastAsia" w:ascii="仿宋_GB2312" w:hAnsi="宋体" w:eastAsia="仿宋_GB2312" w:cs="Times New Roman"/>
          <w:color w:val="auto"/>
          <w:kern w:val="2"/>
          <w:sz w:val="32"/>
          <w:szCs w:val="32"/>
          <w:highlight w:val="none"/>
          <w:lang w:val="en-US" w:eastAsia="zh-CN" w:bidi="ar-SA"/>
        </w:rPr>
        <w:t>4.整理上报：对自评情况进行梳理，及时上报财政部门，并对存在的问题落实整改。</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ascii="黑体" w:hAnsi="宋体" w:eastAsia="黑体" w:cs="Times New Roman"/>
          <w:color w:val="auto"/>
          <w:sz w:val="32"/>
          <w:szCs w:val="32"/>
          <w:highlight w:val="none"/>
        </w:rPr>
      </w:pPr>
      <w:r>
        <w:rPr>
          <w:rFonts w:hint="eastAsia" w:ascii="黑体" w:hAnsi="宋体" w:eastAsia="黑体" w:cs="Times New Roman"/>
          <w:color w:val="auto"/>
          <w:sz w:val="32"/>
          <w:szCs w:val="32"/>
          <w:highlight w:val="none"/>
        </w:rPr>
        <w:t>二、项目资金申报及使用情况</w:t>
      </w:r>
    </w:p>
    <w:p>
      <w:pPr>
        <w:keepNext w:val="0"/>
        <w:keepLines w:val="0"/>
        <w:pageBreakBefore w:val="0"/>
        <w:kinsoku/>
        <w:wordWrap/>
        <w:overflowPunct/>
        <w:topLinePunct w:val="0"/>
        <w:autoSpaceDE/>
        <w:autoSpaceDN/>
        <w:bidi w:val="0"/>
        <w:adjustRightInd w:val="0"/>
        <w:snapToGrid w:val="0"/>
        <w:spacing w:line="576" w:lineRule="exact"/>
        <w:ind w:firstLine="642" w:firstLineChars="20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（一）项目资金申报及批复情况。</w:t>
      </w:r>
    </w:p>
    <w:p>
      <w:pPr>
        <w:pStyle w:val="2"/>
        <w:keepNext w:val="0"/>
        <w:keepLines w:val="0"/>
        <w:pageBreakBefore w:val="0"/>
        <w:numPr>
          <w:ilvl w:val="0"/>
          <w:numId w:val="0"/>
        </w:numPr>
        <w:kinsoku/>
        <w:wordWrap/>
        <w:overflowPunct/>
        <w:topLinePunct w:val="0"/>
        <w:autoSpaceDE/>
        <w:autoSpaceDN/>
        <w:bidi w:val="0"/>
        <w:spacing w:line="576" w:lineRule="exact"/>
        <w:ind w:firstLine="640" w:firstLineChars="200"/>
        <w:rPr>
          <w:rFonts w:hint="eastAsia" w:ascii="仿宋_GB2312" w:hAnsi="宋体" w:eastAsia="仿宋_GB2312" w:cs="Times New Roman"/>
          <w:color w:val="auto"/>
          <w:kern w:val="2"/>
          <w:sz w:val="32"/>
          <w:szCs w:val="32"/>
          <w:highlight w:val="none"/>
          <w:lang w:val="zh-CN" w:eastAsia="zh-CN" w:bidi="ar-SA"/>
        </w:rPr>
      </w:pPr>
      <w:r>
        <w:rPr>
          <w:rFonts w:hint="eastAsia" w:ascii="仿宋_GB2312" w:hAnsi="宋体" w:eastAsia="仿宋_GB2312" w:cs="Times New Roman"/>
          <w:color w:val="auto"/>
          <w:kern w:val="2"/>
          <w:sz w:val="32"/>
          <w:szCs w:val="32"/>
          <w:highlight w:val="none"/>
          <w:lang w:val="zh-CN" w:eastAsia="zh-CN" w:bidi="ar-SA"/>
        </w:rPr>
        <w:t>本项目资金是年初纳入部门预算申报并获得批复，无预算调整。</w:t>
      </w:r>
    </w:p>
    <w:p>
      <w:pPr>
        <w:keepNext w:val="0"/>
        <w:keepLines w:val="0"/>
        <w:pageBreakBefore w:val="0"/>
        <w:numPr>
          <w:ilvl w:val="0"/>
          <w:numId w:val="0"/>
        </w:numPr>
        <w:kinsoku/>
        <w:wordWrap/>
        <w:overflowPunct/>
        <w:topLinePunct w:val="0"/>
        <w:autoSpaceDE/>
        <w:autoSpaceDN/>
        <w:bidi w:val="0"/>
        <w:adjustRightInd w:val="0"/>
        <w:snapToGrid w:val="0"/>
        <w:spacing w:line="576" w:lineRule="exact"/>
        <w:ind w:firstLine="642" w:firstLineChars="200"/>
        <w:textAlignment w:val="auto"/>
        <w:rPr>
          <w:rFonts w:hint="eastAsia"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（二）资金计划、到位及使用情况。</w:t>
      </w:r>
    </w:p>
    <w:p>
      <w:pPr>
        <w:pStyle w:val="2"/>
        <w:keepNext w:val="0"/>
        <w:keepLines w:val="0"/>
        <w:pageBreakBefore w:val="0"/>
        <w:kinsoku/>
        <w:wordWrap/>
        <w:overflowPunct/>
        <w:topLinePunct w:val="0"/>
        <w:autoSpaceDE/>
        <w:autoSpaceDN/>
        <w:bidi w:val="0"/>
        <w:spacing w:line="576" w:lineRule="exact"/>
        <w:ind w:firstLine="420" w:firstLineChars="200"/>
        <w:rPr>
          <w:rFonts w:hint="eastAsia"/>
          <w:color w:val="auto"/>
          <w:lang w:val="zh-CN"/>
        </w:rPr>
      </w:pPr>
    </w:p>
    <w:tbl>
      <w:tblPr>
        <w:tblStyle w:val="13"/>
        <w:tblW w:w="8293" w:type="dxa"/>
        <w:tblInd w:w="0" w:type="dxa"/>
        <w:tblLayout w:type="fixed"/>
        <w:tblCellMar>
          <w:top w:w="0" w:type="dxa"/>
          <w:left w:w="0" w:type="dxa"/>
          <w:bottom w:w="0" w:type="dxa"/>
          <w:right w:w="0" w:type="dxa"/>
        </w:tblCellMar>
      </w:tblPr>
      <w:tblGrid>
        <w:gridCol w:w="2203"/>
        <w:gridCol w:w="2250"/>
        <w:gridCol w:w="2115"/>
        <w:gridCol w:w="1725"/>
      </w:tblGrid>
      <w:tr>
        <w:tblPrEx>
          <w:tblCellMar>
            <w:top w:w="0" w:type="dxa"/>
            <w:left w:w="0" w:type="dxa"/>
            <w:bottom w:w="0" w:type="dxa"/>
            <w:right w:w="0" w:type="dxa"/>
          </w:tblCellMar>
        </w:tblPrEx>
        <w:trPr>
          <w:trHeight w:val="420" w:hRule="atLeast"/>
        </w:trPr>
        <w:tc>
          <w:tcPr>
            <w:tcW w:w="220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ind w:firstLine="0" w:firstLineChars="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项目名称</w:t>
            </w:r>
          </w:p>
        </w:tc>
        <w:tc>
          <w:tcPr>
            <w:tcW w:w="22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ind w:firstLine="0" w:firstLineChars="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资金预算（万元）</w:t>
            </w:r>
          </w:p>
        </w:tc>
        <w:tc>
          <w:tcPr>
            <w:tcW w:w="21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ind w:firstLine="0" w:firstLineChars="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资金到位（万元）</w:t>
            </w:r>
          </w:p>
        </w:tc>
        <w:tc>
          <w:tcPr>
            <w:tcW w:w="17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ind w:firstLine="0" w:firstLineChars="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资金使用（万元）</w:t>
            </w:r>
          </w:p>
        </w:tc>
      </w:tr>
      <w:tr>
        <w:tblPrEx>
          <w:tblCellMar>
            <w:top w:w="0" w:type="dxa"/>
            <w:left w:w="0" w:type="dxa"/>
            <w:bottom w:w="0" w:type="dxa"/>
            <w:right w:w="0" w:type="dxa"/>
          </w:tblCellMar>
        </w:tblPrEx>
        <w:trPr>
          <w:trHeight w:val="420" w:hRule="atLeast"/>
        </w:trPr>
        <w:tc>
          <w:tcPr>
            <w:tcW w:w="220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76" w:lineRule="exact"/>
              <w:ind w:firstLine="0" w:firstLineChars="0"/>
              <w:jc w:val="center"/>
              <w:rPr>
                <w:rFonts w:hint="eastAsia" w:ascii="宋体" w:hAnsi="宋体" w:eastAsia="宋体" w:cs="宋体"/>
                <w:i w:val="0"/>
                <w:color w:val="auto"/>
                <w:sz w:val="24"/>
                <w:szCs w:val="24"/>
                <w:u w:val="none"/>
              </w:rPr>
            </w:pPr>
          </w:p>
        </w:tc>
        <w:tc>
          <w:tcPr>
            <w:tcW w:w="22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ind w:firstLine="0" w:firstLineChars="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财政资金</w:t>
            </w:r>
          </w:p>
        </w:tc>
        <w:tc>
          <w:tcPr>
            <w:tcW w:w="21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ind w:firstLine="0" w:firstLineChars="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财政资金</w:t>
            </w:r>
          </w:p>
        </w:tc>
        <w:tc>
          <w:tcPr>
            <w:tcW w:w="17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ind w:firstLine="0" w:firstLineChars="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财政资金</w:t>
            </w:r>
          </w:p>
        </w:tc>
      </w:tr>
      <w:tr>
        <w:tblPrEx>
          <w:tblCellMar>
            <w:top w:w="0" w:type="dxa"/>
            <w:left w:w="0" w:type="dxa"/>
            <w:bottom w:w="0" w:type="dxa"/>
            <w:right w:w="0" w:type="dxa"/>
          </w:tblCellMar>
        </w:tblPrEx>
        <w:trPr>
          <w:trHeight w:val="460" w:hRule="atLeast"/>
        </w:trPr>
        <w:tc>
          <w:tcPr>
            <w:tcW w:w="22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ind w:firstLine="0" w:firstLineChars="0"/>
              <w:jc w:val="left"/>
              <w:textAlignment w:val="center"/>
              <w:rPr>
                <w:rFonts w:hint="default" w:ascii="宋体" w:hAnsi="宋体" w:eastAsia="宋体" w:cs="宋体"/>
                <w:i w:val="0"/>
                <w:color w:val="auto"/>
                <w:sz w:val="24"/>
                <w:szCs w:val="24"/>
                <w:u w:val="none"/>
                <w:lang w:val="en-US"/>
              </w:rPr>
            </w:pPr>
            <w:r>
              <w:rPr>
                <w:rFonts w:hint="eastAsia" w:ascii="宋体" w:hAnsi="宋体" w:cs="宋体"/>
                <w:i w:val="0"/>
                <w:color w:val="auto"/>
                <w:kern w:val="0"/>
                <w:sz w:val="24"/>
                <w:szCs w:val="24"/>
                <w:u w:val="none"/>
                <w:lang w:val="en-US" w:eastAsia="zh-CN" w:bidi="ar"/>
              </w:rPr>
              <w:t>特困人员、孤儿弃婴养育及医疗经费</w:t>
            </w:r>
          </w:p>
        </w:tc>
        <w:tc>
          <w:tcPr>
            <w:tcW w:w="22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ind w:firstLine="0" w:firstLineChars="0"/>
              <w:jc w:val="center"/>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53.2</w:t>
            </w:r>
          </w:p>
        </w:tc>
        <w:tc>
          <w:tcPr>
            <w:tcW w:w="21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ind w:firstLine="0" w:firstLineChars="0"/>
              <w:jc w:val="center"/>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53.2</w:t>
            </w:r>
          </w:p>
        </w:tc>
        <w:tc>
          <w:tcPr>
            <w:tcW w:w="17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ind w:firstLine="0" w:firstLineChars="0"/>
              <w:jc w:val="center"/>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53.2</w:t>
            </w:r>
          </w:p>
        </w:tc>
      </w:tr>
    </w:tbl>
    <w:p>
      <w:pPr>
        <w:pStyle w:val="2"/>
        <w:keepNext w:val="0"/>
        <w:keepLines w:val="0"/>
        <w:pageBreakBefore w:val="0"/>
        <w:numPr>
          <w:ilvl w:val="0"/>
          <w:numId w:val="0"/>
        </w:numPr>
        <w:kinsoku/>
        <w:wordWrap/>
        <w:overflowPunct/>
        <w:topLinePunct w:val="0"/>
        <w:autoSpaceDE/>
        <w:autoSpaceDN/>
        <w:bidi w:val="0"/>
        <w:spacing w:line="576" w:lineRule="exact"/>
        <w:rPr>
          <w:color w:val="auto"/>
          <w:lang w:val="zh-CN"/>
        </w:rPr>
      </w:pP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方正仿宋_GB2312" w:hAnsi="方正仿宋_GB2312" w:eastAsia="方正仿宋_GB2312" w:cs="方正仿宋_GB2312"/>
          <w:color w:val="auto"/>
          <w:kern w:val="2"/>
          <w:sz w:val="32"/>
          <w:szCs w:val="32"/>
          <w:highlight w:val="none"/>
          <w:lang w:val="zh-CN" w:eastAsia="zh-CN" w:bidi="ar-SA"/>
        </w:rPr>
      </w:pPr>
      <w:r>
        <w:rPr>
          <w:rFonts w:hint="eastAsia" w:ascii="方正仿宋_GB2312" w:hAnsi="方正仿宋_GB2312" w:eastAsia="方正仿宋_GB2312" w:cs="方正仿宋_GB2312"/>
          <w:color w:val="auto"/>
          <w:sz w:val="32"/>
          <w:szCs w:val="32"/>
          <w:highlight w:val="none"/>
          <w:lang w:val="zh-CN"/>
        </w:rPr>
        <w:t>1.资金计划。</w:t>
      </w:r>
      <w:r>
        <w:rPr>
          <w:rFonts w:hint="eastAsia" w:ascii="方正仿宋_GB2312" w:hAnsi="方正仿宋_GB2312" w:eastAsia="方正仿宋_GB2312" w:cs="方正仿宋_GB2312"/>
          <w:color w:val="auto"/>
          <w:kern w:val="2"/>
          <w:sz w:val="32"/>
          <w:szCs w:val="32"/>
          <w:highlight w:val="none"/>
          <w:lang w:val="en-US" w:eastAsia="zh-CN" w:bidi="ar-SA"/>
        </w:rPr>
        <w:t>项目资金计划53.2万元，均为财政资金。</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方正仿宋_GB2312" w:hAnsi="方正仿宋_GB2312" w:eastAsia="方正仿宋_GB2312" w:cs="方正仿宋_GB2312"/>
          <w:color w:val="auto"/>
          <w:sz w:val="32"/>
          <w:szCs w:val="32"/>
          <w:highlight w:val="none"/>
          <w:lang w:val="zh-CN"/>
        </w:rPr>
      </w:pPr>
      <w:r>
        <w:rPr>
          <w:rFonts w:hint="eastAsia" w:ascii="方正仿宋_GB2312" w:hAnsi="方正仿宋_GB2312" w:eastAsia="方正仿宋_GB2312" w:cs="方正仿宋_GB2312"/>
          <w:color w:val="auto"/>
          <w:sz w:val="32"/>
          <w:szCs w:val="32"/>
          <w:highlight w:val="none"/>
          <w:lang w:val="zh-CN"/>
        </w:rPr>
        <w:t>2.资金到位。</w:t>
      </w:r>
      <w:r>
        <w:rPr>
          <w:rFonts w:hint="eastAsia" w:ascii="方正仿宋_GB2312" w:hAnsi="方正仿宋_GB2312" w:eastAsia="方正仿宋_GB2312" w:cs="方正仿宋_GB2312"/>
          <w:color w:val="auto"/>
          <w:kern w:val="2"/>
          <w:sz w:val="32"/>
          <w:szCs w:val="32"/>
          <w:highlight w:val="none"/>
          <w:lang w:val="zh-CN" w:eastAsia="zh-CN" w:bidi="ar-SA"/>
        </w:rPr>
        <w:t>资金到位率</w:t>
      </w:r>
      <w:r>
        <w:rPr>
          <w:rFonts w:hint="eastAsia" w:ascii="方正仿宋_GB2312" w:hAnsi="方正仿宋_GB2312" w:eastAsia="方正仿宋_GB2312" w:cs="方正仿宋_GB2312"/>
          <w:color w:val="auto"/>
          <w:kern w:val="2"/>
          <w:sz w:val="32"/>
          <w:szCs w:val="32"/>
          <w:highlight w:val="none"/>
          <w:lang w:val="en-US" w:eastAsia="zh-CN" w:bidi="ar-SA"/>
        </w:rPr>
        <w:t>100%，</w:t>
      </w:r>
      <w:r>
        <w:rPr>
          <w:rFonts w:hint="eastAsia" w:ascii="方正仿宋_GB2312" w:hAnsi="方正仿宋_GB2312" w:eastAsia="方正仿宋_GB2312" w:cs="方正仿宋_GB2312"/>
          <w:color w:val="auto"/>
          <w:kern w:val="2"/>
          <w:sz w:val="32"/>
          <w:szCs w:val="32"/>
          <w:highlight w:val="none"/>
          <w:lang w:val="zh-CN" w:eastAsia="zh-CN" w:bidi="ar-SA"/>
        </w:rPr>
        <w:t>到位及时率</w:t>
      </w:r>
      <w:r>
        <w:rPr>
          <w:rFonts w:hint="eastAsia" w:ascii="方正仿宋_GB2312" w:hAnsi="方正仿宋_GB2312" w:eastAsia="方正仿宋_GB2312" w:cs="方正仿宋_GB2312"/>
          <w:color w:val="auto"/>
          <w:kern w:val="2"/>
          <w:sz w:val="32"/>
          <w:szCs w:val="32"/>
          <w:highlight w:val="none"/>
          <w:lang w:val="en-US" w:eastAsia="zh-CN" w:bidi="ar-SA"/>
        </w:rPr>
        <w:t>100%</w:t>
      </w:r>
      <w:r>
        <w:rPr>
          <w:rFonts w:hint="eastAsia" w:ascii="方正仿宋_GB2312" w:hAnsi="方正仿宋_GB2312" w:eastAsia="方正仿宋_GB2312" w:cs="方正仿宋_GB2312"/>
          <w:color w:val="auto"/>
          <w:kern w:val="2"/>
          <w:sz w:val="32"/>
          <w:szCs w:val="32"/>
          <w:highlight w:val="none"/>
          <w:lang w:val="zh-CN" w:eastAsia="zh-CN" w:bidi="ar-SA"/>
        </w:rPr>
        <w:t>。</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方正仿宋简体" w:hAnsi="宋体" w:eastAsia="方正仿宋简体"/>
          <w:color w:val="auto"/>
          <w:sz w:val="32"/>
          <w:szCs w:val="32"/>
          <w:lang w:val="zh-CN"/>
        </w:rPr>
      </w:pPr>
      <w:r>
        <w:rPr>
          <w:rFonts w:hint="eastAsia" w:ascii="方正仿宋_GB2312" w:hAnsi="方正仿宋_GB2312" w:eastAsia="方正仿宋_GB2312" w:cs="方正仿宋_GB2312"/>
          <w:color w:val="auto"/>
          <w:sz w:val="32"/>
          <w:szCs w:val="32"/>
          <w:highlight w:val="none"/>
          <w:lang w:val="zh-CN"/>
        </w:rPr>
        <w:t>3.资金使用。</w:t>
      </w:r>
      <w:r>
        <w:rPr>
          <w:rFonts w:hint="eastAsia" w:ascii="仿宋_GB2312" w:hAnsi="宋体" w:eastAsia="仿宋_GB2312" w:cs="Times New Roman"/>
          <w:color w:val="auto"/>
          <w:kern w:val="2"/>
          <w:sz w:val="32"/>
          <w:szCs w:val="32"/>
          <w:highlight w:val="none"/>
          <w:lang w:val="zh-CN" w:eastAsia="zh-CN" w:bidi="ar-SA"/>
        </w:rPr>
        <w:t>资金支出</w:t>
      </w:r>
      <w:r>
        <w:rPr>
          <w:rFonts w:hint="eastAsia" w:ascii="方正仿宋_GB2312" w:hAnsi="方正仿宋_GB2312" w:eastAsia="方正仿宋_GB2312" w:cs="方正仿宋_GB2312"/>
          <w:color w:val="auto"/>
          <w:kern w:val="2"/>
          <w:sz w:val="32"/>
          <w:szCs w:val="32"/>
          <w:highlight w:val="none"/>
          <w:lang w:val="en-US" w:eastAsia="zh-CN" w:bidi="ar-SA"/>
        </w:rPr>
        <w:t>53.2万元</w:t>
      </w:r>
      <w:r>
        <w:rPr>
          <w:rFonts w:hint="eastAsia" w:ascii="仿宋_GB2312" w:hAnsi="宋体" w:eastAsia="仿宋_GB2312" w:cs="Times New Roman"/>
          <w:color w:val="auto"/>
          <w:kern w:val="2"/>
          <w:sz w:val="32"/>
          <w:szCs w:val="32"/>
          <w:highlight w:val="none"/>
          <w:lang w:val="en-US" w:eastAsia="zh-CN" w:bidi="ar-SA"/>
        </w:rPr>
        <w:t>，</w:t>
      </w:r>
      <w:r>
        <w:rPr>
          <w:rFonts w:hint="eastAsia" w:ascii="仿宋_GB2312" w:hAnsi="宋体" w:eastAsia="仿宋_GB2312" w:cs="Times New Roman"/>
          <w:color w:val="auto"/>
          <w:kern w:val="2"/>
          <w:sz w:val="32"/>
          <w:szCs w:val="32"/>
          <w:highlight w:val="none"/>
          <w:lang w:val="zh-CN" w:eastAsia="zh-CN" w:bidi="ar-SA"/>
        </w:rPr>
        <w:t>资金使用安全、规范、效果显著。资金支付范围</w:t>
      </w:r>
      <w:r>
        <w:rPr>
          <w:rFonts w:hint="eastAsia" w:ascii="仿宋_GB2312" w:hAnsi="宋体" w:eastAsia="仿宋_GB2312" w:cs="Times New Roman"/>
          <w:color w:val="auto"/>
          <w:kern w:val="2"/>
          <w:sz w:val="32"/>
          <w:szCs w:val="32"/>
          <w:highlight w:val="none"/>
          <w:lang w:val="en-US" w:eastAsia="zh-CN" w:bidi="ar-SA"/>
        </w:rPr>
        <w:t>全用于特困人员生活基本支出每人每月767元；孤儿弃婴每人每月基本生活支出1400元。以及就医、就学等费用</w:t>
      </w:r>
      <w:r>
        <w:rPr>
          <w:rFonts w:hint="eastAsia" w:ascii="仿宋_GB2312" w:hAnsi="宋体" w:eastAsia="仿宋_GB2312" w:cs="Times New Roman"/>
          <w:color w:val="auto"/>
          <w:kern w:val="2"/>
          <w:sz w:val="32"/>
          <w:szCs w:val="32"/>
          <w:highlight w:val="none"/>
          <w:lang w:val="zh-CN" w:eastAsia="zh-CN" w:bidi="ar-SA"/>
        </w:rPr>
        <w:t>。支付标准均按照财政资金管理限额（标准）执行。根据项目实施进度支付款项，支付依据合规合法，支出金额与预算相符。</w:t>
      </w:r>
    </w:p>
    <w:p>
      <w:pPr>
        <w:keepNext w:val="0"/>
        <w:keepLines w:val="0"/>
        <w:pageBreakBefore w:val="0"/>
        <w:kinsoku/>
        <w:wordWrap/>
        <w:overflowPunct/>
        <w:topLinePunct w:val="0"/>
        <w:autoSpaceDE/>
        <w:autoSpaceDN/>
        <w:bidi w:val="0"/>
        <w:adjustRightInd w:val="0"/>
        <w:snapToGrid w:val="0"/>
        <w:spacing w:line="576" w:lineRule="exact"/>
        <w:ind w:firstLine="642" w:firstLineChars="20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（三）项目财务管理情况。</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cs="Times New Roman"/>
          <w:color w:val="auto"/>
          <w:kern w:val="2"/>
          <w:sz w:val="32"/>
          <w:szCs w:val="32"/>
          <w:highlight w:val="none"/>
          <w:lang w:val="zh-CN" w:eastAsia="zh-CN" w:bidi="ar-SA"/>
        </w:rPr>
      </w:pPr>
      <w:r>
        <w:rPr>
          <w:rFonts w:hint="eastAsia" w:ascii="仿宋_GB2312" w:hAnsi="宋体" w:eastAsia="仿宋_GB2312" w:cs="Times New Roman"/>
          <w:color w:val="auto"/>
          <w:kern w:val="2"/>
          <w:sz w:val="32"/>
          <w:szCs w:val="32"/>
          <w:highlight w:val="none"/>
          <w:lang w:val="zh-CN" w:eastAsia="zh-CN" w:bidi="ar-SA"/>
        </w:rPr>
        <w:t>本单位财务管理制度健全，严格执行财务管理制度，账务处理及时，会计核算规范。</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ascii="黑体" w:hAnsi="宋体" w:eastAsia="黑体" w:cs="Times New Roman"/>
          <w:color w:val="auto"/>
          <w:sz w:val="32"/>
          <w:szCs w:val="32"/>
          <w:highlight w:val="none"/>
        </w:rPr>
      </w:pPr>
      <w:r>
        <w:rPr>
          <w:rFonts w:hint="eastAsia" w:ascii="黑体" w:hAnsi="宋体" w:eastAsia="黑体" w:cs="Times New Roman"/>
          <w:color w:val="auto"/>
          <w:sz w:val="32"/>
          <w:szCs w:val="32"/>
          <w:highlight w:val="none"/>
        </w:rPr>
        <w:t>三、项目实施及管理情况</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kern w:val="2"/>
          <w:sz w:val="32"/>
          <w:szCs w:val="32"/>
          <w:highlight w:val="none"/>
          <w:lang w:val="zh-CN" w:eastAsia="zh-CN" w:bidi="ar-SA"/>
        </w:rPr>
        <w:t>结合项目组织实施管理办法，重点围绕以下内容进行分析评价，并对自评中发现的问题分析说明。</w:t>
      </w:r>
    </w:p>
    <w:p>
      <w:pPr>
        <w:keepNext w:val="0"/>
        <w:keepLines w:val="0"/>
        <w:pageBreakBefore w:val="0"/>
        <w:kinsoku/>
        <w:wordWrap/>
        <w:overflowPunct/>
        <w:topLinePunct w:val="0"/>
        <w:autoSpaceDE/>
        <w:autoSpaceDN/>
        <w:bidi w:val="0"/>
        <w:adjustRightInd w:val="0"/>
        <w:snapToGrid w:val="0"/>
        <w:spacing w:line="576" w:lineRule="exact"/>
        <w:ind w:firstLine="642" w:firstLineChars="20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（一）项目组织架构及实施流程。</w:t>
      </w:r>
      <w:r>
        <w:rPr>
          <w:rFonts w:hint="eastAsia" w:ascii="仿宋_GB2312" w:hAnsi="宋体" w:eastAsia="仿宋_GB2312" w:cs="Times New Roman"/>
          <w:color w:val="auto"/>
          <w:kern w:val="2"/>
          <w:sz w:val="32"/>
          <w:szCs w:val="32"/>
          <w:highlight w:val="none"/>
          <w:lang w:val="en-US" w:eastAsia="zh-CN" w:bidi="ar-SA"/>
        </w:rPr>
        <w:t>本</w:t>
      </w:r>
      <w:r>
        <w:rPr>
          <w:rFonts w:hint="eastAsia" w:ascii="仿宋_GB2312" w:hAnsi="宋体" w:eastAsia="仿宋_GB2312" w:cs="Times New Roman"/>
          <w:color w:val="auto"/>
          <w:kern w:val="2"/>
          <w:sz w:val="32"/>
          <w:szCs w:val="32"/>
          <w:highlight w:val="none"/>
          <w:lang w:val="zh-CN" w:eastAsia="zh-CN" w:bidi="ar-SA"/>
        </w:rPr>
        <w:t>单位成立了项目领导小组负责项目统筹安排及管理，安排专人具体负责实施。</w:t>
      </w:r>
    </w:p>
    <w:p>
      <w:pPr>
        <w:keepNext w:val="0"/>
        <w:keepLines w:val="0"/>
        <w:pageBreakBefore w:val="0"/>
        <w:kinsoku/>
        <w:wordWrap/>
        <w:overflowPunct/>
        <w:topLinePunct w:val="0"/>
        <w:autoSpaceDE/>
        <w:autoSpaceDN/>
        <w:bidi w:val="0"/>
        <w:adjustRightInd w:val="0"/>
        <w:snapToGrid w:val="0"/>
        <w:spacing w:line="576" w:lineRule="exact"/>
        <w:ind w:firstLine="642" w:firstLineChars="200"/>
        <w:textAlignment w:val="auto"/>
        <w:rPr>
          <w:rFonts w:ascii="仿宋_GB2312" w:hAnsi="宋体" w:eastAsia="仿宋_GB2312" w:cs="Times New Roman"/>
          <w:color w:val="auto"/>
          <w:sz w:val="32"/>
          <w:szCs w:val="32"/>
          <w:highlight w:val="none"/>
          <w:lang w:val="zh-CN"/>
        </w:rPr>
      </w:pPr>
      <w:r>
        <w:rPr>
          <w:rFonts w:hint="eastAsia" w:ascii="楷体_GB2312" w:hAnsi="宋体" w:eastAsia="楷体_GB2312" w:cs="Times New Roman"/>
          <w:b/>
          <w:color w:val="auto"/>
          <w:sz w:val="32"/>
          <w:szCs w:val="32"/>
          <w:highlight w:val="none"/>
          <w:lang w:val="zh-CN"/>
        </w:rPr>
        <w:t>（二）项目管理情况。</w:t>
      </w:r>
      <w:r>
        <w:rPr>
          <w:rFonts w:hint="eastAsia" w:ascii="仿宋_GB2312" w:hAnsi="宋体" w:eastAsia="仿宋_GB2312" w:cs="Times New Roman"/>
          <w:color w:val="auto"/>
          <w:kern w:val="2"/>
          <w:sz w:val="32"/>
          <w:szCs w:val="32"/>
          <w:highlight w:val="none"/>
          <w:lang w:val="zh-CN" w:eastAsia="zh-CN" w:bidi="ar-SA"/>
        </w:rPr>
        <w:t>我单位严格执行相关法律法规及项目管理制度，管理有序，质量较高，取得了良好的效果。</w:t>
      </w:r>
    </w:p>
    <w:p>
      <w:pPr>
        <w:keepNext w:val="0"/>
        <w:keepLines w:val="0"/>
        <w:pageBreakBefore w:val="0"/>
        <w:kinsoku/>
        <w:wordWrap/>
        <w:overflowPunct/>
        <w:topLinePunct w:val="0"/>
        <w:autoSpaceDE/>
        <w:autoSpaceDN/>
        <w:bidi w:val="0"/>
        <w:adjustRightInd w:val="0"/>
        <w:snapToGrid w:val="0"/>
        <w:spacing w:line="576" w:lineRule="exact"/>
        <w:ind w:firstLine="642" w:firstLineChars="200"/>
        <w:textAlignment w:val="auto"/>
        <w:rPr>
          <w:rFonts w:ascii="仿宋_GB2312" w:hAnsi="宋体" w:eastAsia="仿宋_GB2312" w:cs="Times New Roman"/>
          <w:color w:val="auto"/>
          <w:sz w:val="32"/>
          <w:szCs w:val="32"/>
          <w:highlight w:val="none"/>
          <w:lang w:val="zh-CN"/>
        </w:rPr>
      </w:pPr>
      <w:r>
        <w:rPr>
          <w:rFonts w:hint="eastAsia" w:ascii="楷体_GB2312" w:hAnsi="宋体" w:eastAsia="楷体_GB2312" w:cs="Times New Roman"/>
          <w:b/>
          <w:color w:val="auto"/>
          <w:sz w:val="32"/>
          <w:szCs w:val="32"/>
          <w:highlight w:val="none"/>
          <w:lang w:val="zh-CN"/>
        </w:rPr>
        <w:t>（三）项目监管情况。</w:t>
      </w:r>
      <w:r>
        <w:rPr>
          <w:rFonts w:hint="eastAsia" w:ascii="仿宋_GB2312" w:hAnsi="宋体" w:eastAsia="仿宋_GB2312" w:cs="Times New Roman"/>
          <w:color w:val="auto"/>
          <w:kern w:val="2"/>
          <w:sz w:val="32"/>
          <w:szCs w:val="32"/>
          <w:highlight w:val="none"/>
          <w:lang w:val="zh-CN" w:eastAsia="zh-CN" w:bidi="ar-SA"/>
        </w:rPr>
        <w:t>该项目主要为特困人员、孤儿弃婴生活支出费用，费用支出经过逐级审核，项目实施中纪检部门进行监管，按照单位内控控制制度实施监管，有力的促进了项目顺利实施，圆满完成，监管效果良好。</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ascii="仿宋_GB2312" w:hAnsi="宋体" w:eastAsia="仿宋_GB2312" w:cs="Times New Roman"/>
          <w:color w:val="auto"/>
          <w:sz w:val="32"/>
          <w:szCs w:val="32"/>
          <w:highlight w:val="none"/>
          <w:lang w:val="zh-CN"/>
        </w:rPr>
      </w:pPr>
      <w:r>
        <w:rPr>
          <w:rFonts w:hint="eastAsia" w:ascii="黑体" w:hAnsi="宋体" w:eastAsia="黑体" w:cs="Times New Roman"/>
          <w:color w:val="auto"/>
          <w:sz w:val="32"/>
          <w:szCs w:val="32"/>
          <w:highlight w:val="none"/>
        </w:rPr>
        <w:t>四、项目绩效情况</w:t>
      </w:r>
      <w:r>
        <w:rPr>
          <w:rFonts w:hint="eastAsia" w:ascii="仿宋_GB2312" w:hAnsi="宋体" w:eastAsia="仿宋_GB2312" w:cs="Times New Roman"/>
          <w:color w:val="auto"/>
          <w:sz w:val="32"/>
          <w:szCs w:val="32"/>
          <w:highlight w:val="none"/>
          <w:lang w:val="zh-CN"/>
        </w:rPr>
        <w:tab/>
      </w:r>
    </w:p>
    <w:p>
      <w:pPr>
        <w:keepNext w:val="0"/>
        <w:keepLines w:val="0"/>
        <w:pageBreakBefore w:val="0"/>
        <w:kinsoku/>
        <w:wordWrap/>
        <w:overflowPunct/>
        <w:topLinePunct w:val="0"/>
        <w:autoSpaceDE/>
        <w:autoSpaceDN/>
        <w:bidi w:val="0"/>
        <w:adjustRightInd w:val="0"/>
        <w:snapToGrid w:val="0"/>
        <w:spacing w:line="576" w:lineRule="exact"/>
        <w:ind w:firstLine="642" w:firstLineChars="20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（一）项目完成情况。</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方正仿宋简体" w:hAnsi="宋体" w:eastAsia="方正仿宋简体"/>
          <w:color w:val="auto"/>
          <w:sz w:val="32"/>
          <w:szCs w:val="32"/>
          <w:lang w:val="en-US" w:eastAsia="zh-CN"/>
        </w:rPr>
      </w:pPr>
      <w:r>
        <w:rPr>
          <w:rFonts w:hint="eastAsia" w:ascii="仿宋_GB2312" w:hAnsi="宋体" w:eastAsia="仿宋_GB2312" w:cs="Times New Roman"/>
          <w:color w:val="auto"/>
          <w:kern w:val="2"/>
          <w:sz w:val="32"/>
          <w:szCs w:val="32"/>
          <w:highlight w:val="none"/>
          <w:lang w:val="zh-CN" w:eastAsia="zh-CN" w:bidi="ar-SA"/>
        </w:rPr>
        <w:t>项目全部完成预期目标，均达到数量计划值，质量良好、按时完成、未超预算，无资金结余，无违规违纪情况。</w:t>
      </w:r>
      <w:r>
        <w:rPr>
          <w:rFonts w:hint="eastAsia" w:ascii="方正仿宋简体" w:hAnsi="宋体" w:eastAsia="方正仿宋简体"/>
          <w:color w:val="auto"/>
          <w:sz w:val="32"/>
          <w:szCs w:val="32"/>
          <w:lang w:val="en-US" w:eastAsia="zh-CN"/>
        </w:rPr>
        <w:t xml:space="preserve">  </w:t>
      </w:r>
    </w:p>
    <w:p>
      <w:pPr>
        <w:keepNext w:val="0"/>
        <w:keepLines w:val="0"/>
        <w:pageBreakBefore w:val="0"/>
        <w:kinsoku/>
        <w:wordWrap/>
        <w:overflowPunct/>
        <w:topLinePunct w:val="0"/>
        <w:autoSpaceDE/>
        <w:autoSpaceDN/>
        <w:bidi w:val="0"/>
        <w:adjustRightInd w:val="0"/>
        <w:snapToGrid w:val="0"/>
        <w:spacing w:line="576" w:lineRule="exact"/>
        <w:ind w:firstLine="642" w:firstLineChars="20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（二）项目效益情况。</w:t>
      </w:r>
    </w:p>
    <w:p>
      <w:pPr>
        <w:keepNext w:val="0"/>
        <w:keepLines w:val="0"/>
        <w:pageBreakBefore w:val="0"/>
        <w:kinsoku/>
        <w:wordWrap/>
        <w:overflowPunct/>
        <w:topLinePunct w:val="0"/>
        <w:autoSpaceDE/>
        <w:autoSpaceDN/>
        <w:bidi w:val="0"/>
        <w:adjustRightInd w:val="0"/>
        <w:snapToGrid w:val="0"/>
        <w:spacing w:line="576" w:lineRule="exact"/>
        <w:ind w:firstLine="640" w:firstLineChars="200"/>
        <w:rPr>
          <w:rFonts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kern w:val="2"/>
          <w:sz w:val="32"/>
          <w:szCs w:val="32"/>
          <w:highlight w:val="none"/>
          <w:lang w:val="zh-CN" w:eastAsia="zh-CN" w:bidi="ar-SA"/>
        </w:rPr>
        <w:t>一是保障全院特困人员、孤儿弃婴基本生活水平；二是改善孤儿生活质量，促进文明和谐社会发展；三是保障特困人员、孤儿弃婴的疾病救治、健康保健；四是</w:t>
      </w:r>
      <w:r>
        <w:rPr>
          <w:rFonts w:hint="eastAsia" w:ascii="仿宋_GB2312" w:hAnsi="宋体" w:eastAsia="仿宋_GB2312" w:cs="Times New Roman"/>
          <w:color w:val="auto"/>
          <w:kern w:val="2"/>
          <w:sz w:val="32"/>
          <w:szCs w:val="32"/>
          <w:highlight w:val="none"/>
          <w:lang w:val="en-US" w:eastAsia="zh-CN" w:bidi="ar-SA"/>
        </w:rPr>
        <w:t>特困人员和孤儿弃婴的满意度均达到了95%。</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ascii="黑体" w:hAnsi="宋体" w:eastAsia="黑体" w:cs="Times New Roman"/>
          <w:color w:val="auto"/>
          <w:sz w:val="32"/>
          <w:szCs w:val="32"/>
          <w:highlight w:val="none"/>
        </w:rPr>
      </w:pPr>
      <w:r>
        <w:rPr>
          <w:rFonts w:hint="eastAsia" w:ascii="黑体" w:hAnsi="宋体" w:eastAsia="黑体" w:cs="Times New Roman"/>
          <w:color w:val="auto"/>
          <w:sz w:val="32"/>
          <w:szCs w:val="32"/>
          <w:highlight w:val="none"/>
        </w:rPr>
        <w:t>五、评价结论及建议</w:t>
      </w:r>
    </w:p>
    <w:p>
      <w:pPr>
        <w:keepNext w:val="0"/>
        <w:keepLines w:val="0"/>
        <w:pageBreakBefore w:val="0"/>
        <w:kinsoku/>
        <w:wordWrap/>
        <w:overflowPunct/>
        <w:topLinePunct w:val="0"/>
        <w:autoSpaceDE/>
        <w:autoSpaceDN/>
        <w:bidi w:val="0"/>
        <w:adjustRightInd w:val="0"/>
        <w:snapToGrid w:val="0"/>
        <w:spacing w:line="576" w:lineRule="exact"/>
        <w:ind w:firstLine="642" w:firstLineChars="20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（一）评价结论。</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default" w:ascii="仿宋_GB2312" w:hAnsi="宋体" w:eastAsia="仿宋_GB2312" w:cs="Times New Roman"/>
          <w:color w:val="auto"/>
          <w:kern w:val="2"/>
          <w:sz w:val="32"/>
          <w:szCs w:val="32"/>
          <w:highlight w:val="none"/>
          <w:lang w:val="en-US" w:eastAsia="zh-CN" w:bidi="ar-SA"/>
        </w:rPr>
      </w:pPr>
      <w:r>
        <w:rPr>
          <w:rFonts w:hint="eastAsia" w:ascii="仿宋_GB2312" w:hAnsi="宋体" w:eastAsia="仿宋_GB2312" w:cs="Times New Roman"/>
          <w:color w:val="auto"/>
          <w:kern w:val="2"/>
          <w:sz w:val="32"/>
          <w:szCs w:val="32"/>
          <w:highlight w:val="none"/>
          <w:lang w:val="en-US" w:eastAsia="zh-CN" w:bidi="ar-SA"/>
        </w:rPr>
        <w:t>项目管理良好，实施有序，绩效显著。均达到了预期目标</w:t>
      </w:r>
      <w:r>
        <w:rPr>
          <w:rFonts w:hint="eastAsia" w:ascii="仿宋_GB2312" w:hAnsi="宋体" w:eastAsia="仿宋_GB2312" w:cs="Times New Roman"/>
          <w:color w:val="auto"/>
          <w:kern w:val="2"/>
          <w:sz w:val="32"/>
          <w:szCs w:val="32"/>
          <w:highlight w:val="none"/>
          <w:lang w:val="zh-CN" w:eastAsia="zh-CN" w:bidi="ar-SA"/>
        </w:rPr>
        <w:t>。</w:t>
      </w:r>
    </w:p>
    <w:p>
      <w:pPr>
        <w:keepNext w:val="0"/>
        <w:keepLines w:val="0"/>
        <w:pageBreakBefore w:val="0"/>
        <w:kinsoku/>
        <w:wordWrap/>
        <w:overflowPunct/>
        <w:topLinePunct w:val="0"/>
        <w:autoSpaceDE/>
        <w:autoSpaceDN/>
        <w:bidi w:val="0"/>
        <w:adjustRightInd w:val="0"/>
        <w:snapToGrid w:val="0"/>
        <w:spacing w:line="576" w:lineRule="exact"/>
        <w:ind w:firstLine="642" w:firstLineChars="20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（二）存在的问题。</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kern w:val="2"/>
          <w:sz w:val="32"/>
          <w:szCs w:val="32"/>
          <w:highlight w:val="none"/>
          <w:lang w:val="zh-CN" w:eastAsia="zh-CN" w:bidi="ar-SA"/>
        </w:rPr>
        <w:t>无。</w:t>
      </w:r>
      <w:r>
        <w:rPr>
          <w:rFonts w:hint="eastAsia" w:ascii="仿宋_GB2312" w:hAnsi="宋体" w:eastAsia="仿宋_GB2312" w:cs="Times New Roman"/>
          <w:color w:val="auto"/>
          <w:sz w:val="32"/>
          <w:szCs w:val="32"/>
          <w:highlight w:val="none"/>
          <w:lang w:val="zh-CN"/>
        </w:rPr>
        <w:tab/>
      </w:r>
    </w:p>
    <w:p>
      <w:pPr>
        <w:keepNext w:val="0"/>
        <w:keepLines w:val="0"/>
        <w:pageBreakBefore w:val="0"/>
        <w:kinsoku/>
        <w:wordWrap/>
        <w:overflowPunct/>
        <w:topLinePunct w:val="0"/>
        <w:autoSpaceDE/>
        <w:autoSpaceDN/>
        <w:bidi w:val="0"/>
        <w:adjustRightInd w:val="0"/>
        <w:snapToGrid w:val="0"/>
        <w:spacing w:line="576" w:lineRule="exact"/>
        <w:ind w:firstLine="642" w:firstLineChars="20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（三）相关建议。</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color w:val="auto"/>
          <w:highlight w:val="none"/>
          <w:lang w:val="zh-CN"/>
        </w:rPr>
      </w:pPr>
      <w:r>
        <w:rPr>
          <w:rFonts w:hint="eastAsia" w:ascii="仿宋_GB2312" w:hAnsi="宋体" w:eastAsia="仿宋_GB2312" w:cs="Times New Roman"/>
          <w:color w:val="auto"/>
          <w:kern w:val="2"/>
          <w:sz w:val="32"/>
          <w:szCs w:val="32"/>
          <w:highlight w:val="none"/>
          <w:lang w:val="zh-CN" w:eastAsia="zh-CN" w:bidi="ar-SA"/>
        </w:rPr>
        <w:t>一是加强业务培训，进一步提高工作人员财政资金绩效意识；二是进一步细化项目预算，严格控制各项费用，过紧日子；三是今后对于财政资金项目，加大评价结果应用，真正做到“用钱必问效，无效必问责”。</w:t>
      </w:r>
    </w:p>
    <w:p>
      <w:pPr>
        <w:keepNext w:val="0"/>
        <w:keepLines w:val="0"/>
        <w:pageBreakBefore w:val="0"/>
        <w:widowControl w:val="0"/>
        <w:kinsoku/>
        <w:wordWrap/>
        <w:overflowPunct/>
        <w:topLinePunct w:val="0"/>
        <w:autoSpaceDE/>
        <w:autoSpaceDN/>
        <w:bidi w:val="0"/>
        <w:spacing w:line="576" w:lineRule="exact"/>
        <w:jc w:val="center"/>
        <w:textAlignment w:val="auto"/>
        <w:rPr>
          <w:rFonts w:hint="eastAsia" w:ascii="方正小标宋简体" w:hAnsi="方正小标宋简体" w:eastAsia="方正小标宋简体" w:cs="方正小标宋简体"/>
          <w:color w:val="auto"/>
          <w:kern w:val="2"/>
          <w:sz w:val="40"/>
          <w:szCs w:val="40"/>
          <w:highlight w:val="none"/>
          <w:lang w:val="en-US" w:eastAsia="zh-CN" w:bidi="ar-SA"/>
        </w:rPr>
      </w:pPr>
    </w:p>
    <w:p>
      <w:pPr>
        <w:pStyle w:val="2"/>
        <w:rPr>
          <w:rFonts w:hint="eastAsia" w:ascii="方正小标宋简体" w:hAnsi="方正小标宋简体" w:eastAsia="方正小标宋简体" w:cs="方正小标宋简体"/>
          <w:color w:val="auto"/>
          <w:kern w:val="2"/>
          <w:sz w:val="40"/>
          <w:szCs w:val="40"/>
          <w:highlight w:val="none"/>
          <w:lang w:val="en-US" w:eastAsia="zh-CN" w:bidi="ar-SA"/>
        </w:rPr>
      </w:pPr>
    </w:p>
    <w:p>
      <w:pPr>
        <w:rPr>
          <w:rFonts w:hint="eastAsia"/>
          <w:lang w:val="en-US" w:eastAsia="zh-CN"/>
        </w:rPr>
      </w:pPr>
    </w:p>
    <w:p>
      <w:pPr>
        <w:keepNext w:val="0"/>
        <w:keepLines w:val="0"/>
        <w:pageBreakBefore w:val="0"/>
        <w:widowControl w:val="0"/>
        <w:kinsoku/>
        <w:wordWrap/>
        <w:overflowPunct/>
        <w:topLinePunct w:val="0"/>
        <w:autoSpaceDE/>
        <w:autoSpaceDN/>
        <w:bidi w:val="0"/>
        <w:spacing w:line="576" w:lineRule="exact"/>
        <w:jc w:val="center"/>
        <w:textAlignment w:val="auto"/>
        <w:rPr>
          <w:rFonts w:hint="eastAsia" w:ascii="方正小标宋简体" w:hAnsi="方正小标宋简体" w:eastAsia="方正小标宋简体" w:cs="方正小标宋简体"/>
          <w:color w:val="auto"/>
          <w:kern w:val="2"/>
          <w:sz w:val="40"/>
          <w:szCs w:val="40"/>
          <w:highlight w:val="none"/>
          <w:lang w:val="zh-CN" w:eastAsia="zh-CN" w:bidi="ar-SA"/>
        </w:rPr>
      </w:pPr>
      <w:r>
        <w:rPr>
          <w:rFonts w:hint="eastAsia" w:ascii="方正小标宋简体" w:hAnsi="方正小标宋简体" w:eastAsia="方正小标宋简体" w:cs="方正小标宋简体"/>
          <w:color w:val="auto"/>
          <w:kern w:val="2"/>
          <w:sz w:val="40"/>
          <w:szCs w:val="40"/>
          <w:highlight w:val="none"/>
          <w:lang w:val="en-US" w:eastAsia="zh-CN" w:bidi="ar-SA"/>
        </w:rPr>
        <w:t>2021年物业管理及绿化清洁费</w:t>
      </w:r>
      <w:r>
        <w:rPr>
          <w:rFonts w:hint="eastAsia" w:ascii="方正小标宋简体" w:hAnsi="方正小标宋简体" w:eastAsia="方正小标宋简体" w:cs="方正小标宋简体"/>
          <w:color w:val="auto"/>
          <w:kern w:val="2"/>
          <w:sz w:val="40"/>
          <w:szCs w:val="40"/>
          <w:highlight w:val="none"/>
          <w:lang w:val="zh-CN" w:eastAsia="zh-CN" w:bidi="ar-SA"/>
        </w:rPr>
        <w:t>项目支出绩效</w:t>
      </w:r>
    </w:p>
    <w:p>
      <w:pPr>
        <w:keepNext w:val="0"/>
        <w:keepLines w:val="0"/>
        <w:pageBreakBefore w:val="0"/>
        <w:widowControl w:val="0"/>
        <w:kinsoku/>
        <w:wordWrap/>
        <w:overflowPunct/>
        <w:topLinePunct w:val="0"/>
        <w:autoSpaceDE/>
        <w:autoSpaceDN/>
        <w:bidi w:val="0"/>
        <w:spacing w:line="576" w:lineRule="exact"/>
        <w:jc w:val="center"/>
        <w:textAlignment w:val="auto"/>
        <w:rPr>
          <w:rFonts w:hint="eastAsia" w:ascii="方正小标宋简体" w:hAnsi="方正小标宋简体" w:eastAsia="方正小标宋简体" w:cs="方正小标宋简体"/>
          <w:color w:val="auto"/>
          <w:kern w:val="2"/>
          <w:sz w:val="40"/>
          <w:szCs w:val="40"/>
          <w:highlight w:val="none"/>
          <w:lang w:val="zh-CN" w:eastAsia="zh-CN" w:bidi="ar-SA"/>
        </w:rPr>
      </w:pPr>
      <w:r>
        <w:rPr>
          <w:rFonts w:hint="eastAsia" w:ascii="方正小标宋简体" w:hAnsi="方正小标宋简体" w:eastAsia="方正小标宋简体" w:cs="方正小标宋简体"/>
          <w:color w:val="auto"/>
          <w:kern w:val="2"/>
          <w:sz w:val="40"/>
          <w:szCs w:val="40"/>
          <w:highlight w:val="none"/>
          <w:lang w:val="zh-CN" w:eastAsia="zh-CN" w:bidi="ar-SA"/>
        </w:rPr>
        <w:t>自评报告</w:t>
      </w:r>
    </w:p>
    <w:p>
      <w:pPr>
        <w:keepNext w:val="0"/>
        <w:keepLines w:val="0"/>
        <w:pageBreakBefore w:val="0"/>
        <w:widowControl w:val="0"/>
        <w:kinsoku/>
        <w:wordWrap/>
        <w:overflowPunct/>
        <w:topLinePunct w:val="0"/>
        <w:autoSpaceDE/>
        <w:autoSpaceDN/>
        <w:bidi w:val="0"/>
        <w:spacing w:line="576" w:lineRule="exact"/>
        <w:ind w:firstLine="640"/>
        <w:jc w:val="center"/>
        <w:textAlignment w:val="auto"/>
        <w:rPr>
          <w:rFonts w:ascii="宋体" w:hAnsi="宋体" w:eastAsia="宋体" w:cs="Times New Roman"/>
          <w:color w:val="auto"/>
          <w:kern w:val="2"/>
          <w:sz w:val="32"/>
          <w:szCs w:val="32"/>
          <w:highlight w:val="none"/>
          <w:lang w:val="zh-CN" w:eastAsia="zh-CN" w:bidi="ar-SA"/>
        </w:rPr>
      </w:pP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ascii="黑体" w:hAnsi="宋体" w:eastAsia="黑体" w:cs="Times New Roman"/>
          <w:color w:val="auto"/>
          <w:sz w:val="32"/>
          <w:szCs w:val="32"/>
          <w:highlight w:val="none"/>
          <w:lang w:val="zh-CN"/>
        </w:rPr>
      </w:pPr>
      <w:r>
        <w:rPr>
          <w:rFonts w:hint="eastAsia" w:ascii="黑体" w:hAnsi="宋体" w:eastAsia="黑体" w:cs="Times New Roman"/>
          <w:color w:val="auto"/>
          <w:sz w:val="32"/>
          <w:szCs w:val="32"/>
          <w:highlight w:val="none"/>
        </w:rPr>
        <w:t>一、</w:t>
      </w:r>
      <w:r>
        <w:rPr>
          <w:rFonts w:hint="eastAsia" w:ascii="黑体" w:hAnsi="宋体" w:eastAsia="黑体" w:cs="Times New Roman"/>
          <w:color w:val="auto"/>
          <w:sz w:val="32"/>
          <w:szCs w:val="32"/>
          <w:highlight w:val="none"/>
          <w:lang w:val="zh-CN"/>
        </w:rPr>
        <w:t>项目概况</w:t>
      </w:r>
    </w:p>
    <w:p>
      <w:pPr>
        <w:keepNext w:val="0"/>
        <w:keepLines w:val="0"/>
        <w:pageBreakBefore w:val="0"/>
        <w:kinsoku/>
        <w:wordWrap/>
        <w:overflowPunct/>
        <w:topLinePunct w:val="0"/>
        <w:autoSpaceDE/>
        <w:autoSpaceDN/>
        <w:bidi w:val="0"/>
        <w:adjustRightInd w:val="0"/>
        <w:snapToGrid w:val="0"/>
        <w:spacing w:line="576" w:lineRule="exact"/>
        <w:ind w:firstLine="642" w:firstLineChars="20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（一）项目基本情况。</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zh-CN"/>
        </w:rPr>
        <w:t>1.说明项目主管部门（单位）在该项目管理中的职能。</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en-US" w:eastAsia="zh-CN"/>
        </w:rPr>
        <w:t>一是为落实《广元市人民政府办公室关于切实做好城镇“三无”人员供养工作的通知》(广府办函(2010)143号)文件精神,实现市政府提出的确保城镇“三无”人员自愿集中供养的全部纳入集中供养的目标。二是根据《广元市人民政府办公室关于开展政府向社会力量购买社会服务的实施意见》(广府办函(2015]62号)文件精神，三是明确了政府向社会力量购买服务范围包含劳务服务(园林绿化养护、环卫保洁、市政维护、公厕管理、路灯管理、停车管理等事宜)。全院有床位350张，人员编制29人，编外聘用职工31人，目前入住服务对象140人，其中盲、聋、哑、残、弱智等占80%，生活基本无法自理，为更好的服务三无人员，我院将物业管理及净化清洁向社会购买服务。</w:t>
      </w:r>
    </w:p>
    <w:p>
      <w:pPr>
        <w:keepNext w:val="0"/>
        <w:keepLines w:val="0"/>
        <w:pageBreakBefore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en-US" w:eastAsia="zh-CN"/>
        </w:rPr>
        <w:t>2.</w:t>
      </w:r>
      <w:r>
        <w:rPr>
          <w:rFonts w:hint="eastAsia" w:ascii="仿宋_GB2312" w:hAnsi="宋体" w:eastAsia="仿宋_GB2312" w:cs="Times New Roman"/>
          <w:color w:val="auto"/>
          <w:sz w:val="32"/>
          <w:szCs w:val="32"/>
          <w:highlight w:val="none"/>
          <w:lang w:val="zh-CN"/>
        </w:rPr>
        <w:t>项目立项、资金申报的依据。</w:t>
      </w:r>
    </w:p>
    <w:p>
      <w:pPr>
        <w:keepNext w:val="0"/>
        <w:keepLines w:val="0"/>
        <w:pageBreakBefore w:val="0"/>
        <w:kinsoku/>
        <w:wordWrap/>
        <w:overflowPunct/>
        <w:topLinePunct w:val="0"/>
        <w:autoSpaceDE/>
        <w:autoSpaceDN/>
        <w:bidi w:val="0"/>
        <w:adjustRightInd w:val="0"/>
        <w:snapToGrid w:val="0"/>
        <w:spacing w:line="576" w:lineRule="exact"/>
        <w:ind w:firstLine="640" w:firstLineChars="200"/>
        <w:rPr>
          <w:rFonts w:hint="eastAsia"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zh-CN"/>
        </w:rPr>
        <w:t>项目立项、资金申报的依据主要是本单位职能职责及年度工作计划。</w:t>
      </w:r>
    </w:p>
    <w:p>
      <w:pPr>
        <w:keepNext w:val="0"/>
        <w:keepLines w:val="0"/>
        <w:pageBreakBefore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en-US" w:eastAsia="zh-CN"/>
        </w:rPr>
        <w:t>3.</w:t>
      </w:r>
      <w:r>
        <w:rPr>
          <w:rFonts w:hint="eastAsia" w:ascii="仿宋_GB2312" w:hAnsi="宋体" w:eastAsia="仿宋_GB2312" w:cs="Times New Roman"/>
          <w:color w:val="auto"/>
          <w:sz w:val="32"/>
          <w:szCs w:val="32"/>
          <w:highlight w:val="none"/>
          <w:lang w:val="zh-CN"/>
        </w:rPr>
        <w:t>资金管理办法制定情况，资金支持具体项目的条件、范围与支持方式概况。</w:t>
      </w:r>
    </w:p>
    <w:p>
      <w:pPr>
        <w:keepNext w:val="0"/>
        <w:keepLines w:val="0"/>
        <w:pageBreakBefore w:val="0"/>
        <w:kinsoku/>
        <w:wordWrap/>
        <w:overflowPunct/>
        <w:topLinePunct w:val="0"/>
        <w:autoSpaceDE/>
        <w:autoSpaceDN/>
        <w:bidi w:val="0"/>
        <w:adjustRightInd w:val="0"/>
        <w:snapToGrid w:val="0"/>
        <w:spacing w:line="576" w:lineRule="exact"/>
        <w:ind w:firstLine="640" w:firstLineChars="200"/>
        <w:rPr>
          <w:rFonts w:hint="eastAsia"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zh-CN"/>
        </w:rPr>
        <w:t>本项目主要是工作经费，按照财政资金相关管理办法和要求执行。资金支持具体项目的条件是根据部门工作计划要求安排。财政全额支持。</w:t>
      </w:r>
    </w:p>
    <w:p>
      <w:pPr>
        <w:keepNext w:val="0"/>
        <w:keepLines w:val="0"/>
        <w:pageBreakBefore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en-US" w:eastAsia="zh-CN"/>
        </w:rPr>
        <w:t>4.</w:t>
      </w:r>
      <w:r>
        <w:rPr>
          <w:rFonts w:hint="eastAsia" w:ascii="仿宋_GB2312" w:hAnsi="宋体" w:eastAsia="仿宋_GB2312" w:cs="Times New Roman"/>
          <w:color w:val="auto"/>
          <w:sz w:val="32"/>
          <w:szCs w:val="32"/>
          <w:highlight w:val="none"/>
          <w:lang w:val="zh-CN"/>
        </w:rPr>
        <w:t>资金分配的原则及考虑因素。</w:t>
      </w:r>
    </w:p>
    <w:p>
      <w:pPr>
        <w:keepNext w:val="0"/>
        <w:keepLines w:val="0"/>
        <w:pageBreakBefore w:val="0"/>
        <w:kinsoku/>
        <w:wordWrap/>
        <w:overflowPunct/>
        <w:topLinePunct w:val="0"/>
        <w:autoSpaceDE/>
        <w:autoSpaceDN/>
        <w:bidi w:val="0"/>
        <w:adjustRightInd w:val="0"/>
        <w:snapToGrid w:val="0"/>
        <w:spacing w:line="576" w:lineRule="exact"/>
        <w:ind w:firstLine="640" w:firstLineChars="200"/>
        <w:rPr>
          <w:rFonts w:hint="eastAsia"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zh-CN"/>
        </w:rPr>
        <w:t>项目资金全部由本单位使用，根据项目具体实施内容匹配资金。</w:t>
      </w:r>
    </w:p>
    <w:p>
      <w:pPr>
        <w:keepNext w:val="0"/>
        <w:keepLines w:val="0"/>
        <w:pageBreakBefore w:val="0"/>
        <w:kinsoku/>
        <w:wordWrap/>
        <w:overflowPunct/>
        <w:topLinePunct w:val="0"/>
        <w:autoSpaceDE/>
        <w:autoSpaceDN/>
        <w:bidi w:val="0"/>
        <w:adjustRightInd w:val="0"/>
        <w:snapToGrid w:val="0"/>
        <w:spacing w:line="576" w:lineRule="exact"/>
        <w:ind w:firstLine="642" w:firstLineChars="20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（二）项目绩效目标。</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zh-CN"/>
        </w:rPr>
        <w:t>1.项目主要内容。</w:t>
      </w:r>
    </w:p>
    <w:p>
      <w:pPr>
        <w:keepNext w:val="0"/>
        <w:keepLines w:val="0"/>
        <w:pageBreakBefore w:val="0"/>
        <w:kinsoku/>
        <w:wordWrap/>
        <w:overflowPunct/>
        <w:topLinePunct w:val="0"/>
        <w:autoSpaceDE/>
        <w:autoSpaceDN/>
        <w:bidi w:val="0"/>
        <w:adjustRightInd w:val="0"/>
        <w:snapToGrid w:val="0"/>
        <w:spacing w:line="576" w:lineRule="exact"/>
        <w:ind w:firstLine="640" w:firstLineChars="200"/>
        <w:rPr>
          <w:rFonts w:hint="eastAsia"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zh-CN"/>
        </w:rPr>
        <w:t>向社会力量购买服务范围包含劳务服务（提供园内园林绿化养护、环卫保洁、路灯管理、停车管理等服务等事宜）。</w:t>
      </w:r>
    </w:p>
    <w:p>
      <w:pPr>
        <w:keepNext w:val="0"/>
        <w:keepLines w:val="0"/>
        <w:pageBreakBefore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en-US" w:eastAsia="zh-CN"/>
        </w:rPr>
        <w:t>2.</w:t>
      </w:r>
      <w:r>
        <w:rPr>
          <w:rFonts w:hint="eastAsia" w:ascii="仿宋_GB2312" w:hAnsi="宋体" w:eastAsia="仿宋_GB2312" w:cs="Times New Roman"/>
          <w:color w:val="auto"/>
          <w:sz w:val="32"/>
          <w:szCs w:val="32"/>
          <w:highlight w:val="none"/>
          <w:lang w:val="zh-CN"/>
        </w:rPr>
        <w:t>项目应实现的具体绩效目标，包括目标的量化、细化情况以及项目实施进度计划等。</w:t>
      </w:r>
    </w:p>
    <w:p>
      <w:pPr>
        <w:keepNext w:val="0"/>
        <w:keepLines w:val="0"/>
        <w:pageBreakBefore w:val="0"/>
        <w:kinsoku/>
        <w:wordWrap/>
        <w:overflowPunct/>
        <w:topLinePunct w:val="0"/>
        <w:autoSpaceDE/>
        <w:autoSpaceDN/>
        <w:bidi w:val="0"/>
        <w:adjustRightInd w:val="0"/>
        <w:snapToGrid w:val="0"/>
        <w:spacing w:line="576" w:lineRule="exact"/>
        <w:ind w:firstLine="640" w:firstLineChars="200"/>
        <w:rPr>
          <w:color w:val="auto"/>
          <w:lang w:val="zh-CN"/>
        </w:rPr>
      </w:pPr>
      <w:r>
        <w:rPr>
          <w:rFonts w:hint="eastAsia" w:ascii="仿宋_GB2312" w:hAnsi="宋体" w:eastAsia="仿宋_GB2312" w:cs="Times New Roman"/>
          <w:color w:val="auto"/>
          <w:sz w:val="32"/>
          <w:szCs w:val="32"/>
          <w:highlight w:val="none"/>
          <w:lang w:val="zh-CN"/>
        </w:rPr>
        <w:t>项目申请时依据项目实际情况明确了具体的绩效目标，包括数量指标（服务人员人数）、质量指标（提供园内园林绿化养护、环卫保洁、路灯管理、停车管理等服务达到标准化）、时效指标（完成时间）、社会效益指标（为更好的服务三无人员，保障入住人员生活幸福、环境优美）、满意度指标（入住人员、在职员工满意度）等5个指标。并对指标值进行了量化、细化。项目制定了详细可行的进度计划，确保了项目顺利实施。</w:t>
      </w:r>
    </w:p>
    <w:p>
      <w:pPr>
        <w:keepNext w:val="0"/>
        <w:keepLines w:val="0"/>
        <w:pageBreakBefore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en-US" w:eastAsia="zh-CN"/>
        </w:rPr>
        <w:t>3.</w:t>
      </w:r>
      <w:r>
        <w:rPr>
          <w:rFonts w:hint="eastAsia" w:ascii="仿宋_GB2312" w:hAnsi="宋体" w:eastAsia="仿宋_GB2312" w:cs="Times New Roman"/>
          <w:color w:val="auto"/>
          <w:sz w:val="32"/>
          <w:szCs w:val="32"/>
          <w:highlight w:val="none"/>
          <w:lang w:val="zh-CN"/>
        </w:rPr>
        <w:t>分析评价申报内容是否与实际相符，申报目标是否合理可行。</w:t>
      </w:r>
    </w:p>
    <w:p>
      <w:pPr>
        <w:keepNext w:val="0"/>
        <w:keepLines w:val="0"/>
        <w:pageBreakBefore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cs="Times New Roman"/>
          <w:color w:val="auto"/>
          <w:kern w:val="2"/>
          <w:sz w:val="32"/>
          <w:szCs w:val="32"/>
          <w:highlight w:val="none"/>
          <w:lang w:val="zh-CN" w:eastAsia="zh-CN" w:bidi="ar-SA"/>
        </w:rPr>
      </w:pPr>
      <w:r>
        <w:rPr>
          <w:rFonts w:hint="eastAsia" w:ascii="仿宋_GB2312" w:hAnsi="宋体" w:eastAsia="仿宋_GB2312" w:cs="Times New Roman"/>
          <w:color w:val="auto"/>
          <w:kern w:val="2"/>
          <w:sz w:val="32"/>
          <w:szCs w:val="32"/>
          <w:highlight w:val="none"/>
          <w:lang w:val="en-US" w:eastAsia="zh-CN" w:bidi="ar-SA"/>
        </w:rPr>
        <w:t>绩效自评结果表明，项目</w:t>
      </w:r>
      <w:r>
        <w:rPr>
          <w:rFonts w:hint="eastAsia" w:ascii="仿宋_GB2312" w:hAnsi="宋体" w:eastAsia="仿宋_GB2312" w:cs="Times New Roman"/>
          <w:color w:val="auto"/>
          <w:kern w:val="2"/>
          <w:sz w:val="32"/>
          <w:szCs w:val="32"/>
          <w:highlight w:val="none"/>
          <w:lang w:val="zh-CN" w:eastAsia="zh-CN" w:bidi="ar-SA"/>
        </w:rPr>
        <w:t>申报内容与实际相符，申报目标合理可行。</w:t>
      </w:r>
    </w:p>
    <w:p>
      <w:pPr>
        <w:keepNext w:val="0"/>
        <w:keepLines w:val="0"/>
        <w:pageBreakBefore w:val="0"/>
        <w:kinsoku/>
        <w:wordWrap/>
        <w:overflowPunct/>
        <w:topLinePunct w:val="0"/>
        <w:autoSpaceDE/>
        <w:autoSpaceDN/>
        <w:bidi w:val="0"/>
        <w:adjustRightInd w:val="0"/>
        <w:snapToGrid w:val="0"/>
        <w:spacing w:line="576" w:lineRule="exact"/>
        <w:ind w:firstLine="642" w:firstLineChars="20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（三）项目自评步骤及方法。</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zh-CN"/>
        </w:rPr>
        <w:t>说明项目绩效自评采用的组织实施步骤及方法。</w:t>
      </w:r>
    </w:p>
    <w:p>
      <w:pPr>
        <w:pStyle w:val="2"/>
        <w:keepNext w:val="0"/>
        <w:keepLines w:val="0"/>
        <w:pageBreakBefore w:val="0"/>
        <w:numPr>
          <w:ilvl w:val="0"/>
          <w:numId w:val="0"/>
        </w:numPr>
        <w:kinsoku/>
        <w:wordWrap/>
        <w:overflowPunct/>
        <w:topLinePunct w:val="0"/>
        <w:autoSpaceDE/>
        <w:autoSpaceDN/>
        <w:bidi w:val="0"/>
        <w:spacing w:line="576" w:lineRule="exact"/>
        <w:ind w:firstLine="640" w:firstLineChars="200"/>
        <w:rPr>
          <w:rFonts w:hint="eastAsia" w:ascii="仿宋_GB2312" w:hAnsi="宋体" w:eastAsia="仿宋_GB2312" w:cs="Times New Roman"/>
          <w:color w:val="auto"/>
          <w:kern w:val="2"/>
          <w:sz w:val="32"/>
          <w:szCs w:val="32"/>
          <w:highlight w:val="none"/>
          <w:lang w:val="en-US" w:eastAsia="zh-CN" w:bidi="ar-SA"/>
        </w:rPr>
      </w:pPr>
      <w:r>
        <w:rPr>
          <w:rFonts w:hint="eastAsia" w:ascii="仿宋_GB2312" w:hAnsi="宋体" w:eastAsia="仿宋_GB2312" w:cs="Times New Roman"/>
          <w:color w:val="auto"/>
          <w:kern w:val="2"/>
          <w:sz w:val="32"/>
          <w:szCs w:val="32"/>
          <w:highlight w:val="none"/>
          <w:lang w:val="en-US" w:eastAsia="zh-CN" w:bidi="ar-SA"/>
        </w:rPr>
        <w:t>我单位对此次自评工作高度重视，成立了绩效评价工作小组，按照下列程序实施：</w:t>
      </w:r>
    </w:p>
    <w:p>
      <w:pPr>
        <w:pStyle w:val="2"/>
        <w:keepNext w:val="0"/>
        <w:keepLines w:val="0"/>
        <w:pageBreakBefore w:val="0"/>
        <w:numPr>
          <w:ilvl w:val="0"/>
          <w:numId w:val="0"/>
        </w:numPr>
        <w:kinsoku/>
        <w:wordWrap/>
        <w:overflowPunct/>
        <w:topLinePunct w:val="0"/>
        <w:autoSpaceDE/>
        <w:autoSpaceDN/>
        <w:bidi w:val="0"/>
        <w:spacing w:line="576" w:lineRule="exact"/>
        <w:ind w:firstLine="640" w:firstLineChars="200"/>
        <w:rPr>
          <w:rFonts w:hint="eastAsia" w:ascii="仿宋_GB2312" w:hAnsi="宋体" w:eastAsia="仿宋_GB2312" w:cs="Times New Roman"/>
          <w:color w:val="auto"/>
          <w:kern w:val="2"/>
          <w:sz w:val="32"/>
          <w:szCs w:val="32"/>
          <w:highlight w:val="none"/>
          <w:lang w:val="en-US" w:eastAsia="zh-CN" w:bidi="ar-SA"/>
        </w:rPr>
      </w:pPr>
      <w:r>
        <w:rPr>
          <w:rFonts w:hint="eastAsia" w:ascii="仿宋_GB2312" w:hAnsi="宋体" w:eastAsia="仿宋_GB2312" w:cs="Times New Roman"/>
          <w:color w:val="auto"/>
          <w:kern w:val="2"/>
          <w:sz w:val="32"/>
          <w:szCs w:val="32"/>
          <w:highlight w:val="none"/>
          <w:lang w:val="en-US" w:eastAsia="zh-CN" w:bidi="ar-SA"/>
        </w:rPr>
        <w:t>1.分解任务：根据部门支出绩效评价涉及的工作内容，分解到各股室；</w:t>
      </w:r>
    </w:p>
    <w:p>
      <w:pPr>
        <w:pStyle w:val="2"/>
        <w:keepNext w:val="0"/>
        <w:keepLines w:val="0"/>
        <w:pageBreakBefore w:val="0"/>
        <w:numPr>
          <w:ilvl w:val="0"/>
          <w:numId w:val="0"/>
        </w:numPr>
        <w:kinsoku/>
        <w:wordWrap/>
        <w:overflowPunct/>
        <w:topLinePunct w:val="0"/>
        <w:autoSpaceDE/>
        <w:autoSpaceDN/>
        <w:bidi w:val="0"/>
        <w:spacing w:line="576" w:lineRule="exact"/>
        <w:ind w:firstLine="640" w:firstLineChars="200"/>
        <w:rPr>
          <w:rFonts w:hint="eastAsia" w:ascii="仿宋_GB2312" w:hAnsi="宋体" w:eastAsia="仿宋_GB2312" w:cs="Times New Roman"/>
          <w:color w:val="auto"/>
          <w:kern w:val="2"/>
          <w:sz w:val="32"/>
          <w:szCs w:val="32"/>
          <w:highlight w:val="none"/>
          <w:lang w:val="en-US" w:eastAsia="zh-CN" w:bidi="ar-SA"/>
        </w:rPr>
      </w:pPr>
      <w:r>
        <w:rPr>
          <w:rFonts w:hint="eastAsia" w:ascii="仿宋_GB2312" w:hAnsi="宋体" w:eastAsia="仿宋_GB2312" w:cs="Times New Roman"/>
          <w:color w:val="auto"/>
          <w:kern w:val="2"/>
          <w:sz w:val="32"/>
          <w:szCs w:val="32"/>
          <w:highlight w:val="none"/>
          <w:lang w:val="en-US" w:eastAsia="zh-CN" w:bidi="ar-SA"/>
        </w:rPr>
        <w:t>2.股室初评：业务股室根据计分标准对各自负责的工作逐一检查，翻阅资料，对标自评；</w:t>
      </w:r>
    </w:p>
    <w:p>
      <w:pPr>
        <w:pStyle w:val="2"/>
        <w:keepNext w:val="0"/>
        <w:keepLines w:val="0"/>
        <w:pageBreakBefore w:val="0"/>
        <w:numPr>
          <w:ilvl w:val="0"/>
          <w:numId w:val="0"/>
        </w:numPr>
        <w:kinsoku/>
        <w:wordWrap/>
        <w:overflowPunct/>
        <w:topLinePunct w:val="0"/>
        <w:autoSpaceDE/>
        <w:autoSpaceDN/>
        <w:bidi w:val="0"/>
        <w:spacing w:line="576" w:lineRule="exact"/>
        <w:ind w:firstLine="640" w:firstLineChars="200"/>
        <w:rPr>
          <w:rFonts w:hint="eastAsia" w:ascii="仿宋_GB2312" w:hAnsi="宋体" w:eastAsia="仿宋_GB2312" w:cs="Times New Roman"/>
          <w:color w:val="auto"/>
          <w:kern w:val="2"/>
          <w:sz w:val="32"/>
          <w:szCs w:val="32"/>
          <w:highlight w:val="none"/>
          <w:lang w:val="en-US" w:eastAsia="zh-CN" w:bidi="ar-SA"/>
        </w:rPr>
      </w:pPr>
      <w:r>
        <w:rPr>
          <w:rFonts w:hint="eastAsia" w:ascii="仿宋_GB2312" w:hAnsi="宋体" w:eastAsia="仿宋_GB2312" w:cs="Times New Roman"/>
          <w:color w:val="auto"/>
          <w:kern w:val="2"/>
          <w:sz w:val="32"/>
          <w:szCs w:val="32"/>
          <w:highlight w:val="none"/>
          <w:lang w:val="en-US" w:eastAsia="zh-CN" w:bidi="ar-SA"/>
        </w:rPr>
        <w:t>3.小组复评：绩效评价工作小组对初评情况进行检查，并再次评价；</w:t>
      </w:r>
    </w:p>
    <w:p>
      <w:pPr>
        <w:pStyle w:val="2"/>
        <w:keepNext w:val="0"/>
        <w:keepLines w:val="0"/>
        <w:pageBreakBefore w:val="0"/>
        <w:numPr>
          <w:ilvl w:val="0"/>
          <w:numId w:val="0"/>
        </w:numPr>
        <w:kinsoku/>
        <w:wordWrap/>
        <w:overflowPunct/>
        <w:topLinePunct w:val="0"/>
        <w:autoSpaceDE/>
        <w:autoSpaceDN/>
        <w:bidi w:val="0"/>
        <w:spacing w:line="576" w:lineRule="exact"/>
        <w:ind w:firstLine="640" w:firstLineChars="200"/>
        <w:rPr>
          <w:rFonts w:hint="eastAsia" w:ascii="仿宋_GB2312" w:hAnsi="宋体" w:eastAsia="仿宋_GB2312" w:cs="Times New Roman"/>
          <w:color w:val="auto"/>
          <w:kern w:val="2"/>
          <w:sz w:val="32"/>
          <w:szCs w:val="32"/>
          <w:highlight w:val="none"/>
          <w:lang w:val="zh-CN" w:eastAsia="zh-CN" w:bidi="ar-SA"/>
        </w:rPr>
      </w:pPr>
      <w:r>
        <w:rPr>
          <w:rFonts w:hint="eastAsia" w:ascii="仿宋_GB2312" w:hAnsi="宋体" w:eastAsia="仿宋_GB2312" w:cs="Times New Roman"/>
          <w:color w:val="auto"/>
          <w:kern w:val="2"/>
          <w:sz w:val="32"/>
          <w:szCs w:val="32"/>
          <w:highlight w:val="none"/>
          <w:lang w:val="en-US" w:eastAsia="zh-CN" w:bidi="ar-SA"/>
        </w:rPr>
        <w:t>4.整理上报：对自评情况进行梳理，及时上报财政部门，并对存在的问题落实整改。</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ascii="黑体" w:hAnsi="宋体" w:eastAsia="黑体" w:cs="Times New Roman"/>
          <w:color w:val="auto"/>
          <w:sz w:val="32"/>
          <w:szCs w:val="32"/>
          <w:highlight w:val="none"/>
        </w:rPr>
      </w:pPr>
      <w:r>
        <w:rPr>
          <w:rFonts w:hint="eastAsia" w:ascii="黑体" w:hAnsi="宋体" w:eastAsia="黑体" w:cs="Times New Roman"/>
          <w:color w:val="auto"/>
          <w:sz w:val="32"/>
          <w:szCs w:val="32"/>
          <w:highlight w:val="none"/>
        </w:rPr>
        <w:t>二、项目资金申报及使用情况</w:t>
      </w:r>
    </w:p>
    <w:p>
      <w:pPr>
        <w:keepNext w:val="0"/>
        <w:keepLines w:val="0"/>
        <w:pageBreakBefore w:val="0"/>
        <w:kinsoku/>
        <w:wordWrap/>
        <w:overflowPunct/>
        <w:topLinePunct w:val="0"/>
        <w:autoSpaceDE/>
        <w:autoSpaceDN/>
        <w:bidi w:val="0"/>
        <w:adjustRightInd w:val="0"/>
        <w:snapToGrid w:val="0"/>
        <w:spacing w:line="576" w:lineRule="exact"/>
        <w:ind w:firstLine="642" w:firstLineChars="20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（一）项目资金申报及批复情况。</w:t>
      </w:r>
    </w:p>
    <w:p>
      <w:pPr>
        <w:pStyle w:val="2"/>
        <w:keepNext w:val="0"/>
        <w:keepLines w:val="0"/>
        <w:pageBreakBefore w:val="0"/>
        <w:numPr>
          <w:ilvl w:val="0"/>
          <w:numId w:val="0"/>
        </w:numPr>
        <w:kinsoku/>
        <w:wordWrap/>
        <w:overflowPunct/>
        <w:topLinePunct w:val="0"/>
        <w:autoSpaceDE/>
        <w:autoSpaceDN/>
        <w:bidi w:val="0"/>
        <w:spacing w:line="576" w:lineRule="exact"/>
        <w:ind w:firstLine="640" w:firstLineChars="200"/>
        <w:rPr>
          <w:rFonts w:hint="eastAsia" w:ascii="仿宋_GB2312" w:hAnsi="宋体" w:eastAsia="仿宋_GB2312" w:cs="Times New Roman"/>
          <w:color w:val="auto"/>
          <w:kern w:val="2"/>
          <w:sz w:val="32"/>
          <w:szCs w:val="32"/>
          <w:highlight w:val="none"/>
          <w:lang w:val="zh-CN" w:eastAsia="zh-CN" w:bidi="ar-SA"/>
        </w:rPr>
      </w:pPr>
      <w:r>
        <w:rPr>
          <w:rFonts w:hint="eastAsia" w:ascii="仿宋_GB2312" w:hAnsi="宋体" w:eastAsia="仿宋_GB2312" w:cs="Times New Roman"/>
          <w:color w:val="auto"/>
          <w:kern w:val="2"/>
          <w:sz w:val="32"/>
          <w:szCs w:val="32"/>
          <w:highlight w:val="none"/>
          <w:lang w:val="zh-CN" w:eastAsia="zh-CN" w:bidi="ar-SA"/>
        </w:rPr>
        <w:t>本项目资金是年初纳入部门预算申报并获得批复，无预算调整。</w:t>
      </w:r>
    </w:p>
    <w:p>
      <w:pPr>
        <w:keepNext w:val="0"/>
        <w:keepLines w:val="0"/>
        <w:pageBreakBefore w:val="0"/>
        <w:numPr>
          <w:ilvl w:val="0"/>
          <w:numId w:val="0"/>
        </w:numPr>
        <w:kinsoku/>
        <w:wordWrap/>
        <w:overflowPunct/>
        <w:topLinePunct w:val="0"/>
        <w:autoSpaceDE/>
        <w:autoSpaceDN/>
        <w:bidi w:val="0"/>
        <w:adjustRightInd w:val="0"/>
        <w:snapToGrid w:val="0"/>
        <w:spacing w:line="576" w:lineRule="exact"/>
        <w:ind w:firstLine="642" w:firstLineChars="200"/>
        <w:textAlignment w:val="auto"/>
        <w:rPr>
          <w:rFonts w:hint="eastAsia"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（二）资金计划、到位及使用情况。</w:t>
      </w:r>
    </w:p>
    <w:p>
      <w:pPr>
        <w:pStyle w:val="2"/>
        <w:keepNext w:val="0"/>
        <w:keepLines w:val="0"/>
        <w:pageBreakBefore w:val="0"/>
        <w:kinsoku/>
        <w:wordWrap/>
        <w:overflowPunct/>
        <w:topLinePunct w:val="0"/>
        <w:autoSpaceDE/>
        <w:autoSpaceDN/>
        <w:bidi w:val="0"/>
        <w:spacing w:line="576" w:lineRule="exact"/>
        <w:ind w:firstLine="420" w:firstLineChars="200"/>
        <w:rPr>
          <w:rFonts w:hint="eastAsia"/>
          <w:color w:val="auto"/>
          <w:lang w:val="zh-CN"/>
        </w:rPr>
      </w:pPr>
    </w:p>
    <w:tbl>
      <w:tblPr>
        <w:tblStyle w:val="13"/>
        <w:tblW w:w="8293" w:type="dxa"/>
        <w:tblInd w:w="0" w:type="dxa"/>
        <w:tblLayout w:type="fixed"/>
        <w:tblCellMar>
          <w:top w:w="0" w:type="dxa"/>
          <w:left w:w="0" w:type="dxa"/>
          <w:bottom w:w="0" w:type="dxa"/>
          <w:right w:w="0" w:type="dxa"/>
        </w:tblCellMar>
      </w:tblPr>
      <w:tblGrid>
        <w:gridCol w:w="2203"/>
        <w:gridCol w:w="2250"/>
        <w:gridCol w:w="2115"/>
        <w:gridCol w:w="1725"/>
      </w:tblGrid>
      <w:tr>
        <w:tblPrEx>
          <w:tblCellMar>
            <w:top w:w="0" w:type="dxa"/>
            <w:left w:w="0" w:type="dxa"/>
            <w:bottom w:w="0" w:type="dxa"/>
            <w:right w:w="0" w:type="dxa"/>
          </w:tblCellMar>
        </w:tblPrEx>
        <w:trPr>
          <w:trHeight w:val="420" w:hRule="atLeast"/>
        </w:trPr>
        <w:tc>
          <w:tcPr>
            <w:tcW w:w="220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576" w:lineRule="exact"/>
              <w:ind w:firstLine="480" w:firstLineChars="20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项目名称</w:t>
            </w:r>
          </w:p>
        </w:tc>
        <w:tc>
          <w:tcPr>
            <w:tcW w:w="22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576" w:lineRule="exact"/>
              <w:ind w:firstLine="480" w:firstLineChars="20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资金预算（万元）</w:t>
            </w:r>
          </w:p>
        </w:tc>
        <w:tc>
          <w:tcPr>
            <w:tcW w:w="21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576" w:lineRule="exact"/>
              <w:ind w:firstLine="480" w:firstLineChars="20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资金到位（万元）</w:t>
            </w:r>
          </w:p>
        </w:tc>
        <w:tc>
          <w:tcPr>
            <w:tcW w:w="17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576" w:lineRule="exact"/>
              <w:ind w:firstLine="480" w:firstLineChars="20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资金使用（万元）</w:t>
            </w:r>
          </w:p>
        </w:tc>
      </w:tr>
      <w:tr>
        <w:tblPrEx>
          <w:tblCellMar>
            <w:top w:w="0" w:type="dxa"/>
            <w:left w:w="0" w:type="dxa"/>
            <w:bottom w:w="0" w:type="dxa"/>
            <w:right w:w="0" w:type="dxa"/>
          </w:tblCellMar>
        </w:tblPrEx>
        <w:trPr>
          <w:trHeight w:val="420" w:hRule="atLeast"/>
        </w:trPr>
        <w:tc>
          <w:tcPr>
            <w:tcW w:w="220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spacing w:line="576" w:lineRule="exact"/>
              <w:ind w:firstLine="480" w:firstLineChars="200"/>
              <w:jc w:val="center"/>
              <w:rPr>
                <w:rFonts w:hint="eastAsia" w:ascii="宋体" w:hAnsi="宋体" w:eastAsia="宋体" w:cs="宋体"/>
                <w:i w:val="0"/>
                <w:color w:val="auto"/>
                <w:sz w:val="24"/>
                <w:szCs w:val="24"/>
                <w:u w:val="none"/>
              </w:rPr>
            </w:pPr>
          </w:p>
        </w:tc>
        <w:tc>
          <w:tcPr>
            <w:tcW w:w="22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576" w:lineRule="exact"/>
              <w:ind w:firstLine="480" w:firstLineChars="20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财政资金</w:t>
            </w:r>
          </w:p>
        </w:tc>
        <w:tc>
          <w:tcPr>
            <w:tcW w:w="21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576" w:lineRule="exact"/>
              <w:ind w:firstLine="480" w:firstLineChars="20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财政资金</w:t>
            </w:r>
          </w:p>
        </w:tc>
        <w:tc>
          <w:tcPr>
            <w:tcW w:w="17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576" w:lineRule="exact"/>
              <w:ind w:firstLine="480" w:firstLineChars="20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财政资金</w:t>
            </w:r>
          </w:p>
        </w:tc>
      </w:tr>
      <w:tr>
        <w:tblPrEx>
          <w:tblCellMar>
            <w:top w:w="0" w:type="dxa"/>
            <w:left w:w="0" w:type="dxa"/>
            <w:bottom w:w="0" w:type="dxa"/>
            <w:right w:w="0" w:type="dxa"/>
          </w:tblCellMar>
        </w:tblPrEx>
        <w:trPr>
          <w:trHeight w:val="460" w:hRule="atLeast"/>
        </w:trPr>
        <w:tc>
          <w:tcPr>
            <w:tcW w:w="22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576" w:lineRule="exact"/>
              <w:ind w:firstLine="480" w:firstLineChars="200"/>
              <w:jc w:val="center"/>
              <w:textAlignment w:val="center"/>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物业管理及</w:t>
            </w:r>
          </w:p>
          <w:p>
            <w:pPr>
              <w:keepNext w:val="0"/>
              <w:keepLines w:val="0"/>
              <w:pageBreakBefore w:val="0"/>
              <w:widowControl/>
              <w:suppressLineNumbers w:val="0"/>
              <w:kinsoku/>
              <w:wordWrap/>
              <w:overflowPunct/>
              <w:topLinePunct w:val="0"/>
              <w:autoSpaceDE/>
              <w:autoSpaceDN/>
              <w:bidi w:val="0"/>
              <w:spacing w:line="576" w:lineRule="exact"/>
              <w:ind w:firstLine="480" w:firstLineChars="200"/>
              <w:jc w:val="center"/>
              <w:textAlignment w:val="center"/>
              <w:rPr>
                <w:rFonts w:hint="default" w:ascii="宋体" w:hAnsi="宋体" w:eastAsia="宋体" w:cs="宋体"/>
                <w:i w:val="0"/>
                <w:color w:val="auto"/>
                <w:sz w:val="24"/>
                <w:szCs w:val="24"/>
                <w:u w:val="none"/>
                <w:lang w:val="en-US"/>
              </w:rPr>
            </w:pPr>
            <w:r>
              <w:rPr>
                <w:rFonts w:hint="eastAsia" w:ascii="宋体" w:hAnsi="宋体" w:cs="宋体"/>
                <w:i w:val="0"/>
                <w:color w:val="auto"/>
                <w:kern w:val="0"/>
                <w:sz w:val="24"/>
                <w:szCs w:val="24"/>
                <w:u w:val="none"/>
                <w:lang w:val="en-US" w:eastAsia="zh-CN" w:bidi="ar"/>
              </w:rPr>
              <w:t>绿化清洁费</w:t>
            </w:r>
          </w:p>
        </w:tc>
        <w:tc>
          <w:tcPr>
            <w:tcW w:w="22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576" w:lineRule="exact"/>
              <w:ind w:firstLine="480" w:firstLineChars="200"/>
              <w:jc w:val="center"/>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8</w:t>
            </w:r>
          </w:p>
        </w:tc>
        <w:tc>
          <w:tcPr>
            <w:tcW w:w="21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576" w:lineRule="exact"/>
              <w:ind w:firstLine="480" w:firstLineChars="200"/>
              <w:jc w:val="center"/>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8</w:t>
            </w:r>
          </w:p>
        </w:tc>
        <w:tc>
          <w:tcPr>
            <w:tcW w:w="17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576" w:lineRule="exact"/>
              <w:ind w:firstLine="480" w:firstLineChars="200"/>
              <w:jc w:val="center"/>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8</w:t>
            </w:r>
          </w:p>
        </w:tc>
      </w:tr>
    </w:tbl>
    <w:p>
      <w:pPr>
        <w:pStyle w:val="2"/>
        <w:keepNext w:val="0"/>
        <w:keepLines w:val="0"/>
        <w:pageBreakBefore w:val="0"/>
        <w:numPr>
          <w:ilvl w:val="0"/>
          <w:numId w:val="0"/>
        </w:numPr>
        <w:kinsoku/>
        <w:wordWrap/>
        <w:overflowPunct/>
        <w:topLinePunct w:val="0"/>
        <w:autoSpaceDE/>
        <w:autoSpaceDN/>
        <w:bidi w:val="0"/>
        <w:spacing w:line="576" w:lineRule="exact"/>
        <w:ind w:firstLine="420" w:firstLineChars="200"/>
        <w:rPr>
          <w:color w:val="auto"/>
          <w:lang w:val="zh-CN"/>
        </w:rPr>
      </w:pP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方正仿宋_GB2312" w:hAnsi="方正仿宋_GB2312" w:eastAsia="方正仿宋_GB2312" w:cs="方正仿宋_GB2312"/>
          <w:color w:val="auto"/>
          <w:kern w:val="2"/>
          <w:sz w:val="32"/>
          <w:szCs w:val="32"/>
          <w:highlight w:val="none"/>
          <w:lang w:val="zh-CN" w:eastAsia="zh-CN" w:bidi="ar-SA"/>
        </w:rPr>
      </w:pPr>
      <w:r>
        <w:rPr>
          <w:rFonts w:hint="eastAsia" w:ascii="方正仿宋_GB2312" w:hAnsi="方正仿宋_GB2312" w:eastAsia="方正仿宋_GB2312" w:cs="方正仿宋_GB2312"/>
          <w:color w:val="auto"/>
          <w:sz w:val="32"/>
          <w:szCs w:val="32"/>
          <w:highlight w:val="none"/>
          <w:lang w:val="zh-CN"/>
        </w:rPr>
        <w:t>1.资金计划。</w:t>
      </w:r>
      <w:r>
        <w:rPr>
          <w:rFonts w:hint="eastAsia" w:ascii="方正仿宋_GB2312" w:hAnsi="方正仿宋_GB2312" w:eastAsia="方正仿宋_GB2312" w:cs="方正仿宋_GB2312"/>
          <w:color w:val="auto"/>
          <w:kern w:val="2"/>
          <w:sz w:val="32"/>
          <w:szCs w:val="32"/>
          <w:highlight w:val="none"/>
          <w:lang w:val="en-US" w:eastAsia="zh-CN" w:bidi="ar-SA"/>
        </w:rPr>
        <w:t>项目资金计划8万元，均为财政资金。</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方正仿宋_GB2312" w:hAnsi="方正仿宋_GB2312" w:eastAsia="方正仿宋_GB2312" w:cs="方正仿宋_GB2312"/>
          <w:color w:val="auto"/>
          <w:sz w:val="32"/>
          <w:szCs w:val="32"/>
          <w:highlight w:val="none"/>
          <w:lang w:val="zh-CN"/>
        </w:rPr>
      </w:pPr>
      <w:r>
        <w:rPr>
          <w:rFonts w:hint="eastAsia" w:ascii="方正仿宋_GB2312" w:hAnsi="方正仿宋_GB2312" w:eastAsia="方正仿宋_GB2312" w:cs="方正仿宋_GB2312"/>
          <w:color w:val="auto"/>
          <w:sz w:val="32"/>
          <w:szCs w:val="32"/>
          <w:highlight w:val="none"/>
          <w:lang w:val="zh-CN"/>
        </w:rPr>
        <w:t>2.资金到位。</w:t>
      </w:r>
      <w:r>
        <w:rPr>
          <w:rFonts w:hint="eastAsia" w:ascii="方正仿宋_GB2312" w:hAnsi="方正仿宋_GB2312" w:eastAsia="方正仿宋_GB2312" w:cs="方正仿宋_GB2312"/>
          <w:color w:val="auto"/>
          <w:kern w:val="2"/>
          <w:sz w:val="32"/>
          <w:szCs w:val="32"/>
          <w:highlight w:val="none"/>
          <w:lang w:val="zh-CN" w:eastAsia="zh-CN" w:bidi="ar-SA"/>
        </w:rPr>
        <w:t>资金到位率</w:t>
      </w:r>
      <w:r>
        <w:rPr>
          <w:rFonts w:hint="eastAsia" w:ascii="方正仿宋_GB2312" w:hAnsi="方正仿宋_GB2312" w:eastAsia="方正仿宋_GB2312" w:cs="方正仿宋_GB2312"/>
          <w:color w:val="auto"/>
          <w:kern w:val="2"/>
          <w:sz w:val="32"/>
          <w:szCs w:val="32"/>
          <w:highlight w:val="none"/>
          <w:lang w:val="en-US" w:eastAsia="zh-CN" w:bidi="ar-SA"/>
        </w:rPr>
        <w:t>100%，</w:t>
      </w:r>
      <w:r>
        <w:rPr>
          <w:rFonts w:hint="eastAsia" w:ascii="方正仿宋_GB2312" w:hAnsi="方正仿宋_GB2312" w:eastAsia="方正仿宋_GB2312" w:cs="方正仿宋_GB2312"/>
          <w:color w:val="auto"/>
          <w:kern w:val="2"/>
          <w:sz w:val="32"/>
          <w:szCs w:val="32"/>
          <w:highlight w:val="none"/>
          <w:lang w:val="zh-CN" w:eastAsia="zh-CN" w:bidi="ar-SA"/>
        </w:rPr>
        <w:t>到位及时率</w:t>
      </w:r>
      <w:r>
        <w:rPr>
          <w:rFonts w:hint="eastAsia" w:ascii="方正仿宋_GB2312" w:hAnsi="方正仿宋_GB2312" w:eastAsia="方正仿宋_GB2312" w:cs="方正仿宋_GB2312"/>
          <w:color w:val="auto"/>
          <w:kern w:val="2"/>
          <w:sz w:val="32"/>
          <w:szCs w:val="32"/>
          <w:highlight w:val="none"/>
          <w:lang w:val="en-US" w:eastAsia="zh-CN" w:bidi="ar-SA"/>
        </w:rPr>
        <w:t>100%</w:t>
      </w:r>
      <w:r>
        <w:rPr>
          <w:rFonts w:hint="eastAsia" w:ascii="方正仿宋_GB2312" w:hAnsi="方正仿宋_GB2312" w:eastAsia="方正仿宋_GB2312" w:cs="方正仿宋_GB2312"/>
          <w:color w:val="auto"/>
          <w:kern w:val="2"/>
          <w:sz w:val="32"/>
          <w:szCs w:val="32"/>
          <w:highlight w:val="none"/>
          <w:lang w:val="zh-CN" w:eastAsia="zh-CN" w:bidi="ar-SA"/>
        </w:rPr>
        <w:t>。</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方正仿宋简体" w:hAnsi="宋体" w:eastAsia="方正仿宋简体"/>
          <w:color w:val="auto"/>
          <w:sz w:val="32"/>
          <w:szCs w:val="32"/>
          <w:lang w:val="zh-CN"/>
        </w:rPr>
      </w:pPr>
      <w:r>
        <w:rPr>
          <w:rFonts w:hint="eastAsia" w:ascii="方正仿宋_GB2312" w:hAnsi="方正仿宋_GB2312" w:eastAsia="方正仿宋_GB2312" w:cs="方正仿宋_GB2312"/>
          <w:color w:val="auto"/>
          <w:sz w:val="32"/>
          <w:szCs w:val="32"/>
          <w:highlight w:val="none"/>
          <w:lang w:val="zh-CN"/>
        </w:rPr>
        <w:t>3.资金使用。</w:t>
      </w:r>
      <w:r>
        <w:rPr>
          <w:rFonts w:hint="eastAsia" w:ascii="仿宋_GB2312" w:hAnsi="宋体" w:eastAsia="仿宋_GB2312" w:cs="Times New Roman"/>
          <w:color w:val="auto"/>
          <w:kern w:val="2"/>
          <w:sz w:val="32"/>
          <w:szCs w:val="32"/>
          <w:highlight w:val="none"/>
          <w:lang w:val="zh-CN" w:eastAsia="zh-CN" w:bidi="ar-SA"/>
        </w:rPr>
        <w:t>资金支</w:t>
      </w:r>
      <w:r>
        <w:rPr>
          <w:rFonts w:hint="eastAsia" w:ascii="方正仿宋_GB2312" w:hAnsi="方正仿宋_GB2312" w:eastAsia="方正仿宋_GB2312" w:cs="方正仿宋_GB2312"/>
          <w:color w:val="auto"/>
          <w:kern w:val="2"/>
          <w:sz w:val="32"/>
          <w:szCs w:val="32"/>
          <w:highlight w:val="none"/>
          <w:lang w:val="zh-CN" w:eastAsia="zh-CN" w:bidi="ar-SA"/>
        </w:rPr>
        <w:t>出</w:t>
      </w:r>
      <w:r>
        <w:rPr>
          <w:rFonts w:hint="eastAsia" w:ascii="方正仿宋_GB2312" w:hAnsi="方正仿宋_GB2312" w:eastAsia="方正仿宋_GB2312" w:cs="方正仿宋_GB2312"/>
          <w:color w:val="auto"/>
          <w:kern w:val="2"/>
          <w:sz w:val="32"/>
          <w:szCs w:val="32"/>
          <w:highlight w:val="none"/>
          <w:lang w:val="en-US" w:eastAsia="zh-CN" w:bidi="ar-SA"/>
        </w:rPr>
        <w:t>8万</w:t>
      </w:r>
      <w:r>
        <w:rPr>
          <w:rFonts w:hint="eastAsia" w:ascii="仿宋_GB2312" w:hAnsi="宋体" w:eastAsia="仿宋_GB2312" w:cs="Times New Roman"/>
          <w:color w:val="auto"/>
          <w:kern w:val="2"/>
          <w:sz w:val="32"/>
          <w:szCs w:val="32"/>
          <w:highlight w:val="none"/>
          <w:lang w:val="en-US" w:eastAsia="zh-CN" w:bidi="ar-SA"/>
        </w:rPr>
        <w:t>元，</w:t>
      </w:r>
      <w:r>
        <w:rPr>
          <w:rFonts w:hint="eastAsia" w:ascii="仿宋_GB2312" w:hAnsi="宋体" w:eastAsia="仿宋_GB2312" w:cs="Times New Roman"/>
          <w:color w:val="auto"/>
          <w:kern w:val="2"/>
          <w:sz w:val="32"/>
          <w:szCs w:val="32"/>
          <w:highlight w:val="none"/>
          <w:lang w:val="zh-CN" w:eastAsia="zh-CN" w:bidi="ar-SA"/>
        </w:rPr>
        <w:t>资金使用安全、规范、效果显著。资金支付范围</w:t>
      </w:r>
      <w:r>
        <w:rPr>
          <w:rFonts w:hint="eastAsia" w:ascii="仿宋_GB2312" w:hAnsi="宋体" w:eastAsia="仿宋_GB2312" w:cs="Times New Roman"/>
          <w:color w:val="auto"/>
          <w:kern w:val="2"/>
          <w:sz w:val="32"/>
          <w:szCs w:val="32"/>
          <w:highlight w:val="none"/>
          <w:lang w:val="en-US" w:eastAsia="zh-CN" w:bidi="ar-SA"/>
        </w:rPr>
        <w:t>全用于项目园林绿化养护、环卫保洁、市政维护、公厕管理、路灯管理、停车管理等事宜</w:t>
      </w:r>
      <w:r>
        <w:rPr>
          <w:rFonts w:hint="eastAsia" w:ascii="仿宋_GB2312" w:hAnsi="宋体" w:eastAsia="仿宋_GB2312" w:cs="Times New Roman"/>
          <w:color w:val="auto"/>
          <w:kern w:val="2"/>
          <w:sz w:val="32"/>
          <w:szCs w:val="32"/>
          <w:highlight w:val="none"/>
          <w:lang w:val="zh-CN" w:eastAsia="zh-CN" w:bidi="ar-SA"/>
        </w:rPr>
        <w:t>。支付标准均按照财政资金管理限额（标准）执行。根据项目实施进度支付款项，支付依据合规合法，支出金额与预算相符。</w:t>
      </w:r>
    </w:p>
    <w:p>
      <w:pPr>
        <w:keepNext w:val="0"/>
        <w:keepLines w:val="0"/>
        <w:pageBreakBefore w:val="0"/>
        <w:kinsoku/>
        <w:wordWrap/>
        <w:overflowPunct/>
        <w:topLinePunct w:val="0"/>
        <w:autoSpaceDE/>
        <w:autoSpaceDN/>
        <w:bidi w:val="0"/>
        <w:adjustRightInd w:val="0"/>
        <w:snapToGrid w:val="0"/>
        <w:spacing w:line="576" w:lineRule="exact"/>
        <w:ind w:firstLine="642" w:firstLineChars="20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（三）项目财务管理情况。</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cs="Times New Roman"/>
          <w:color w:val="auto"/>
          <w:kern w:val="2"/>
          <w:sz w:val="32"/>
          <w:szCs w:val="32"/>
          <w:highlight w:val="none"/>
          <w:lang w:val="zh-CN" w:eastAsia="zh-CN" w:bidi="ar-SA"/>
        </w:rPr>
      </w:pPr>
      <w:r>
        <w:rPr>
          <w:rFonts w:hint="eastAsia" w:ascii="仿宋_GB2312" w:hAnsi="宋体" w:eastAsia="仿宋_GB2312" w:cs="Times New Roman"/>
          <w:color w:val="auto"/>
          <w:kern w:val="2"/>
          <w:sz w:val="32"/>
          <w:szCs w:val="32"/>
          <w:highlight w:val="none"/>
          <w:lang w:val="zh-CN" w:eastAsia="zh-CN" w:bidi="ar-SA"/>
        </w:rPr>
        <w:t>本单位财务管理制度健全，严格执行财务管理制度，账务处理及时，会计核算规范。</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ascii="黑体" w:hAnsi="宋体" w:eastAsia="黑体" w:cs="Times New Roman"/>
          <w:color w:val="auto"/>
          <w:sz w:val="32"/>
          <w:szCs w:val="32"/>
          <w:highlight w:val="none"/>
        </w:rPr>
      </w:pPr>
      <w:r>
        <w:rPr>
          <w:rFonts w:hint="eastAsia" w:ascii="黑体" w:hAnsi="宋体" w:eastAsia="黑体" w:cs="Times New Roman"/>
          <w:color w:val="auto"/>
          <w:sz w:val="32"/>
          <w:szCs w:val="32"/>
          <w:highlight w:val="none"/>
        </w:rPr>
        <w:t>三、项目实施及管理情况</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kern w:val="2"/>
          <w:sz w:val="32"/>
          <w:szCs w:val="32"/>
          <w:highlight w:val="none"/>
          <w:lang w:val="zh-CN" w:eastAsia="zh-CN" w:bidi="ar-SA"/>
        </w:rPr>
        <w:t>结合项目组织实施管理办法，重点围绕以下内容进行分析评价，并对自评中发现的问题分析说明。</w:t>
      </w:r>
    </w:p>
    <w:p>
      <w:pPr>
        <w:keepNext w:val="0"/>
        <w:keepLines w:val="0"/>
        <w:pageBreakBefore w:val="0"/>
        <w:kinsoku/>
        <w:wordWrap/>
        <w:overflowPunct/>
        <w:topLinePunct w:val="0"/>
        <w:autoSpaceDE/>
        <w:autoSpaceDN/>
        <w:bidi w:val="0"/>
        <w:adjustRightInd w:val="0"/>
        <w:snapToGrid w:val="0"/>
        <w:spacing w:line="576" w:lineRule="exact"/>
        <w:ind w:firstLine="642" w:firstLineChars="20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（一）项目组织架构及实施流程。</w:t>
      </w:r>
      <w:r>
        <w:rPr>
          <w:rFonts w:hint="eastAsia" w:ascii="仿宋_GB2312" w:hAnsi="宋体" w:eastAsia="仿宋_GB2312" w:cs="Times New Roman"/>
          <w:color w:val="auto"/>
          <w:kern w:val="2"/>
          <w:sz w:val="32"/>
          <w:szCs w:val="32"/>
          <w:highlight w:val="none"/>
          <w:lang w:val="en-US" w:eastAsia="zh-CN" w:bidi="ar-SA"/>
        </w:rPr>
        <w:t>我单位成立了项目领导小组负责项目统筹安排及管理，安排专人具体负责实施。</w:t>
      </w:r>
    </w:p>
    <w:p>
      <w:pPr>
        <w:keepNext w:val="0"/>
        <w:keepLines w:val="0"/>
        <w:pageBreakBefore w:val="0"/>
        <w:kinsoku/>
        <w:wordWrap/>
        <w:overflowPunct/>
        <w:topLinePunct w:val="0"/>
        <w:autoSpaceDE/>
        <w:autoSpaceDN/>
        <w:bidi w:val="0"/>
        <w:adjustRightInd w:val="0"/>
        <w:snapToGrid w:val="0"/>
        <w:spacing w:line="576" w:lineRule="exact"/>
        <w:ind w:firstLine="642" w:firstLineChars="200"/>
        <w:textAlignment w:val="auto"/>
        <w:rPr>
          <w:rFonts w:ascii="仿宋_GB2312" w:hAnsi="宋体" w:eastAsia="仿宋_GB2312" w:cs="Times New Roman"/>
          <w:color w:val="auto"/>
          <w:sz w:val="32"/>
          <w:szCs w:val="32"/>
          <w:highlight w:val="none"/>
          <w:lang w:val="zh-CN"/>
        </w:rPr>
      </w:pPr>
      <w:r>
        <w:rPr>
          <w:rFonts w:hint="eastAsia" w:ascii="楷体_GB2312" w:hAnsi="宋体" w:eastAsia="楷体_GB2312" w:cs="Times New Roman"/>
          <w:b/>
          <w:color w:val="auto"/>
          <w:sz w:val="32"/>
          <w:szCs w:val="32"/>
          <w:highlight w:val="none"/>
          <w:lang w:val="zh-CN"/>
        </w:rPr>
        <w:t>（二）项目管理情况。</w:t>
      </w:r>
      <w:r>
        <w:rPr>
          <w:rFonts w:hint="eastAsia" w:ascii="仿宋_GB2312" w:hAnsi="宋体" w:eastAsia="仿宋_GB2312" w:cs="Times New Roman"/>
          <w:color w:val="auto"/>
          <w:kern w:val="2"/>
          <w:sz w:val="32"/>
          <w:szCs w:val="32"/>
          <w:highlight w:val="none"/>
          <w:lang w:val="zh-CN" w:eastAsia="zh-CN" w:bidi="ar-SA"/>
        </w:rPr>
        <w:t>我单位严格执行相关法律法规及项目管理制度，管理有序，质量较高，取得了良好的效果。</w:t>
      </w:r>
    </w:p>
    <w:p>
      <w:pPr>
        <w:keepNext w:val="0"/>
        <w:keepLines w:val="0"/>
        <w:pageBreakBefore w:val="0"/>
        <w:kinsoku/>
        <w:wordWrap/>
        <w:overflowPunct/>
        <w:topLinePunct w:val="0"/>
        <w:autoSpaceDE/>
        <w:autoSpaceDN/>
        <w:bidi w:val="0"/>
        <w:adjustRightInd w:val="0"/>
        <w:snapToGrid w:val="0"/>
        <w:spacing w:line="576" w:lineRule="exact"/>
        <w:ind w:firstLine="642" w:firstLineChars="200"/>
        <w:textAlignment w:val="auto"/>
        <w:rPr>
          <w:rFonts w:ascii="仿宋_GB2312" w:hAnsi="宋体" w:eastAsia="仿宋_GB2312" w:cs="Times New Roman"/>
          <w:color w:val="auto"/>
          <w:sz w:val="32"/>
          <w:szCs w:val="32"/>
          <w:highlight w:val="none"/>
          <w:lang w:val="zh-CN"/>
        </w:rPr>
      </w:pPr>
      <w:r>
        <w:rPr>
          <w:rFonts w:hint="eastAsia" w:ascii="楷体_GB2312" w:hAnsi="宋体" w:eastAsia="楷体_GB2312" w:cs="Times New Roman"/>
          <w:b/>
          <w:color w:val="auto"/>
          <w:sz w:val="32"/>
          <w:szCs w:val="32"/>
          <w:highlight w:val="none"/>
          <w:lang w:val="zh-CN"/>
        </w:rPr>
        <w:t>（三）项目监管情况。</w:t>
      </w:r>
      <w:r>
        <w:rPr>
          <w:rFonts w:hint="eastAsia" w:ascii="仿宋_GB2312" w:hAnsi="宋体" w:eastAsia="仿宋_GB2312" w:cs="Times New Roman"/>
          <w:color w:val="auto"/>
          <w:kern w:val="2"/>
          <w:sz w:val="32"/>
          <w:szCs w:val="32"/>
          <w:highlight w:val="none"/>
          <w:lang w:val="zh-CN" w:eastAsia="zh-CN" w:bidi="ar-SA"/>
        </w:rPr>
        <w:t>该项目主要为工作经费，费用支出逐级审核，项目实施中</w:t>
      </w:r>
      <w:r>
        <w:rPr>
          <w:rFonts w:hint="eastAsia" w:ascii="方正仿宋_GB2312" w:hAnsi="方正仿宋_GB2312" w:eastAsia="方正仿宋_GB2312" w:cs="方正仿宋_GB2312"/>
          <w:color w:val="auto"/>
          <w:sz w:val="32"/>
          <w:szCs w:val="32"/>
          <w:highlight w:val="none"/>
          <w:lang w:val="zh-CN" w:eastAsia="zh-CN"/>
        </w:rPr>
        <w:t>纪检</w:t>
      </w:r>
      <w:r>
        <w:rPr>
          <w:rFonts w:hint="eastAsia" w:ascii="仿宋_GB2312" w:hAnsi="宋体" w:eastAsia="仿宋_GB2312" w:cs="Times New Roman"/>
          <w:color w:val="auto"/>
          <w:kern w:val="2"/>
          <w:sz w:val="32"/>
          <w:szCs w:val="32"/>
          <w:highlight w:val="none"/>
          <w:lang w:val="zh-CN" w:eastAsia="zh-CN" w:bidi="ar-SA"/>
        </w:rPr>
        <w:t>部门进行监管，按照单位内控控制制度实施监管，有力的促进了项目顺利实施，圆满完成，监管效果良好。</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ascii="仿宋_GB2312" w:hAnsi="宋体" w:eastAsia="仿宋_GB2312" w:cs="Times New Roman"/>
          <w:color w:val="auto"/>
          <w:sz w:val="32"/>
          <w:szCs w:val="32"/>
          <w:highlight w:val="none"/>
          <w:lang w:val="zh-CN"/>
        </w:rPr>
      </w:pPr>
      <w:r>
        <w:rPr>
          <w:rFonts w:hint="eastAsia" w:ascii="黑体" w:hAnsi="宋体" w:eastAsia="黑体" w:cs="Times New Roman"/>
          <w:color w:val="auto"/>
          <w:sz w:val="32"/>
          <w:szCs w:val="32"/>
          <w:highlight w:val="none"/>
        </w:rPr>
        <w:t>四、项目绩效情况</w:t>
      </w:r>
      <w:r>
        <w:rPr>
          <w:rFonts w:hint="eastAsia" w:ascii="仿宋_GB2312" w:hAnsi="宋体" w:eastAsia="仿宋_GB2312" w:cs="Times New Roman"/>
          <w:color w:val="auto"/>
          <w:sz w:val="32"/>
          <w:szCs w:val="32"/>
          <w:highlight w:val="none"/>
          <w:lang w:val="zh-CN"/>
        </w:rPr>
        <w:tab/>
      </w:r>
    </w:p>
    <w:p>
      <w:pPr>
        <w:keepNext w:val="0"/>
        <w:keepLines w:val="0"/>
        <w:pageBreakBefore w:val="0"/>
        <w:kinsoku/>
        <w:wordWrap/>
        <w:overflowPunct/>
        <w:topLinePunct w:val="0"/>
        <w:autoSpaceDE/>
        <w:autoSpaceDN/>
        <w:bidi w:val="0"/>
        <w:adjustRightInd w:val="0"/>
        <w:snapToGrid w:val="0"/>
        <w:spacing w:line="576" w:lineRule="exact"/>
        <w:ind w:firstLine="642" w:firstLineChars="20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（一）项目完成情况。</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方正仿宋简体" w:hAnsi="宋体" w:eastAsia="方正仿宋简体"/>
          <w:color w:val="auto"/>
          <w:sz w:val="32"/>
          <w:szCs w:val="32"/>
          <w:lang w:val="en-US" w:eastAsia="zh-CN"/>
        </w:rPr>
      </w:pPr>
      <w:r>
        <w:rPr>
          <w:rFonts w:hint="eastAsia" w:ascii="仿宋_GB2312" w:hAnsi="宋体" w:eastAsia="仿宋_GB2312" w:cs="Times New Roman"/>
          <w:color w:val="auto"/>
          <w:kern w:val="2"/>
          <w:sz w:val="32"/>
          <w:szCs w:val="32"/>
          <w:highlight w:val="none"/>
          <w:lang w:val="zh-CN" w:eastAsia="zh-CN" w:bidi="ar-SA"/>
        </w:rPr>
        <w:t>项目全部完成预期目标，均达到数量计划值，质量良好、按时完成、未超预算，无资金结余，无违规违纪情况。</w:t>
      </w:r>
      <w:r>
        <w:rPr>
          <w:rFonts w:hint="eastAsia" w:ascii="方正仿宋简体" w:hAnsi="宋体" w:eastAsia="方正仿宋简体"/>
          <w:color w:val="auto"/>
          <w:sz w:val="32"/>
          <w:szCs w:val="32"/>
          <w:lang w:val="en-US" w:eastAsia="zh-CN"/>
        </w:rPr>
        <w:t xml:space="preserve">  </w:t>
      </w:r>
    </w:p>
    <w:p>
      <w:pPr>
        <w:keepNext w:val="0"/>
        <w:keepLines w:val="0"/>
        <w:pageBreakBefore w:val="0"/>
        <w:kinsoku/>
        <w:wordWrap/>
        <w:overflowPunct/>
        <w:topLinePunct w:val="0"/>
        <w:autoSpaceDE/>
        <w:autoSpaceDN/>
        <w:bidi w:val="0"/>
        <w:adjustRightInd w:val="0"/>
        <w:snapToGrid w:val="0"/>
        <w:spacing w:line="576" w:lineRule="exact"/>
        <w:ind w:firstLine="642" w:firstLineChars="20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（二）项目效益情况。</w:t>
      </w:r>
    </w:p>
    <w:p>
      <w:pPr>
        <w:keepNext w:val="0"/>
        <w:keepLines w:val="0"/>
        <w:pageBreakBefore w:val="0"/>
        <w:kinsoku/>
        <w:wordWrap/>
        <w:overflowPunct/>
        <w:topLinePunct w:val="0"/>
        <w:autoSpaceDE/>
        <w:autoSpaceDN/>
        <w:bidi w:val="0"/>
        <w:adjustRightInd w:val="0"/>
        <w:snapToGrid w:val="0"/>
        <w:spacing w:line="576" w:lineRule="exact"/>
        <w:ind w:firstLine="640" w:firstLineChars="200"/>
        <w:rPr>
          <w:rFonts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kern w:val="2"/>
          <w:sz w:val="32"/>
          <w:szCs w:val="32"/>
          <w:highlight w:val="none"/>
          <w:lang w:val="zh-CN" w:eastAsia="zh-CN" w:bidi="ar-SA"/>
        </w:rPr>
        <w:t>项目取得了良好的社会效益、可持续效益。为更好的服务特困人员、代养老人和孤儿弃婴，物业管理为提供院内园林绿化养护、环下保洁、路灯管理、停车管理等服务。保障入住人员生活舒适、居住环境的优美以及日常的安全维护工作。</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ascii="黑体" w:hAnsi="宋体" w:eastAsia="黑体" w:cs="Times New Roman"/>
          <w:color w:val="auto"/>
          <w:sz w:val="32"/>
          <w:szCs w:val="32"/>
          <w:highlight w:val="none"/>
        </w:rPr>
      </w:pPr>
      <w:r>
        <w:rPr>
          <w:rFonts w:hint="eastAsia" w:ascii="黑体" w:hAnsi="宋体" w:eastAsia="黑体" w:cs="Times New Roman"/>
          <w:color w:val="auto"/>
          <w:sz w:val="32"/>
          <w:szCs w:val="32"/>
          <w:highlight w:val="none"/>
        </w:rPr>
        <w:t>五、评价结论及建议</w:t>
      </w:r>
    </w:p>
    <w:p>
      <w:pPr>
        <w:keepNext w:val="0"/>
        <w:keepLines w:val="0"/>
        <w:pageBreakBefore w:val="0"/>
        <w:kinsoku/>
        <w:wordWrap/>
        <w:overflowPunct/>
        <w:topLinePunct w:val="0"/>
        <w:autoSpaceDE/>
        <w:autoSpaceDN/>
        <w:bidi w:val="0"/>
        <w:adjustRightInd w:val="0"/>
        <w:snapToGrid w:val="0"/>
        <w:spacing w:line="576" w:lineRule="exact"/>
        <w:ind w:firstLine="642" w:firstLineChars="20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（一）评价结论。</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default" w:ascii="仿宋_GB2312" w:hAnsi="宋体" w:eastAsia="仿宋_GB2312" w:cs="Times New Roman"/>
          <w:color w:val="auto"/>
          <w:kern w:val="2"/>
          <w:sz w:val="32"/>
          <w:szCs w:val="32"/>
          <w:highlight w:val="none"/>
          <w:lang w:val="en-US" w:eastAsia="zh-CN" w:bidi="ar-SA"/>
        </w:rPr>
      </w:pPr>
      <w:r>
        <w:rPr>
          <w:rFonts w:hint="eastAsia" w:ascii="仿宋_GB2312" w:hAnsi="宋体" w:eastAsia="仿宋_GB2312" w:cs="Times New Roman"/>
          <w:color w:val="auto"/>
          <w:kern w:val="2"/>
          <w:sz w:val="32"/>
          <w:szCs w:val="32"/>
          <w:highlight w:val="none"/>
          <w:lang w:val="en-US" w:eastAsia="zh-CN" w:bidi="ar-SA"/>
        </w:rPr>
        <w:t>项目管理良好，实施有序，绩效显著。均达到了预期目标</w:t>
      </w:r>
      <w:r>
        <w:rPr>
          <w:rFonts w:hint="eastAsia" w:ascii="仿宋_GB2312" w:hAnsi="宋体" w:eastAsia="仿宋_GB2312" w:cs="Times New Roman"/>
          <w:color w:val="auto"/>
          <w:kern w:val="2"/>
          <w:sz w:val="32"/>
          <w:szCs w:val="32"/>
          <w:highlight w:val="none"/>
          <w:lang w:val="zh-CN" w:eastAsia="zh-CN" w:bidi="ar-SA"/>
        </w:rPr>
        <w:t>。</w:t>
      </w:r>
    </w:p>
    <w:p>
      <w:pPr>
        <w:keepNext w:val="0"/>
        <w:keepLines w:val="0"/>
        <w:pageBreakBefore w:val="0"/>
        <w:kinsoku/>
        <w:wordWrap/>
        <w:overflowPunct/>
        <w:topLinePunct w:val="0"/>
        <w:autoSpaceDE/>
        <w:autoSpaceDN/>
        <w:bidi w:val="0"/>
        <w:adjustRightInd w:val="0"/>
        <w:snapToGrid w:val="0"/>
        <w:spacing w:line="576" w:lineRule="exact"/>
        <w:ind w:firstLine="642" w:firstLineChars="20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（二）存在的问题。</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kern w:val="2"/>
          <w:sz w:val="32"/>
          <w:szCs w:val="32"/>
          <w:highlight w:val="none"/>
          <w:lang w:val="zh-CN" w:eastAsia="zh-CN" w:bidi="ar-SA"/>
        </w:rPr>
        <w:t>无。</w:t>
      </w:r>
      <w:r>
        <w:rPr>
          <w:rFonts w:hint="eastAsia" w:ascii="仿宋_GB2312" w:hAnsi="宋体" w:eastAsia="仿宋_GB2312" w:cs="Times New Roman"/>
          <w:color w:val="auto"/>
          <w:sz w:val="32"/>
          <w:szCs w:val="32"/>
          <w:highlight w:val="none"/>
          <w:lang w:val="zh-CN"/>
        </w:rPr>
        <w:tab/>
      </w:r>
    </w:p>
    <w:p>
      <w:pPr>
        <w:keepNext w:val="0"/>
        <w:keepLines w:val="0"/>
        <w:pageBreakBefore w:val="0"/>
        <w:kinsoku/>
        <w:wordWrap/>
        <w:overflowPunct/>
        <w:topLinePunct w:val="0"/>
        <w:autoSpaceDE/>
        <w:autoSpaceDN/>
        <w:bidi w:val="0"/>
        <w:adjustRightInd w:val="0"/>
        <w:snapToGrid w:val="0"/>
        <w:spacing w:line="576" w:lineRule="exact"/>
        <w:ind w:firstLine="642" w:firstLineChars="20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（三）相关建议。</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方正小标宋简体" w:hAnsi="方正小标宋简体" w:eastAsia="方正小标宋简体" w:cs="方正小标宋简体"/>
          <w:color w:val="auto"/>
          <w:kern w:val="2"/>
          <w:sz w:val="40"/>
          <w:szCs w:val="40"/>
          <w:highlight w:val="none"/>
          <w:lang w:val="en-US" w:eastAsia="zh-CN" w:bidi="ar-SA"/>
        </w:rPr>
      </w:pPr>
      <w:r>
        <w:rPr>
          <w:rFonts w:hint="eastAsia" w:ascii="仿宋_GB2312" w:hAnsi="宋体" w:eastAsia="仿宋_GB2312" w:cs="Times New Roman"/>
          <w:color w:val="auto"/>
          <w:kern w:val="2"/>
          <w:sz w:val="32"/>
          <w:szCs w:val="32"/>
          <w:highlight w:val="none"/>
          <w:lang w:val="zh-CN" w:eastAsia="zh-CN" w:bidi="ar-SA"/>
        </w:rPr>
        <w:t>一是加强业务培训，进一步提高工作人员财政资金绩效意识；二是进一步细化项目预算，严格控制各项费用，过紧日子；三是今后对于财政资金项目，加大评价结果应用，真正做到“用钱必问效，无效必问责”。</w:t>
      </w:r>
    </w:p>
    <w:p>
      <w:pPr>
        <w:keepNext w:val="0"/>
        <w:keepLines w:val="0"/>
        <w:pageBreakBefore w:val="0"/>
        <w:kinsoku/>
        <w:wordWrap/>
        <w:overflowPunct/>
        <w:topLinePunct w:val="0"/>
        <w:autoSpaceDE/>
        <w:autoSpaceDN/>
        <w:bidi w:val="0"/>
        <w:spacing w:line="576" w:lineRule="exact"/>
        <w:rPr>
          <w:rFonts w:hint="eastAsia"/>
          <w:color w:val="auto"/>
          <w:lang w:val="en-US" w:eastAsia="zh-CN"/>
        </w:rPr>
      </w:pPr>
    </w:p>
    <w:p>
      <w:pPr>
        <w:pStyle w:val="2"/>
        <w:rPr>
          <w:rFonts w:hint="eastAsia"/>
          <w:color w:val="auto"/>
          <w:lang w:val="en-US" w:eastAsia="zh-CN"/>
        </w:rPr>
      </w:pPr>
    </w:p>
    <w:p>
      <w:pPr>
        <w:rPr>
          <w:rFonts w:hint="eastAsia"/>
          <w:color w:val="auto"/>
          <w:lang w:val="en-US" w:eastAsia="zh-CN"/>
        </w:rPr>
      </w:pPr>
    </w:p>
    <w:p>
      <w:pPr>
        <w:pStyle w:val="2"/>
        <w:rPr>
          <w:rFonts w:hint="eastAsia"/>
          <w:color w:val="auto"/>
          <w:lang w:val="en-US" w:eastAsia="zh-CN"/>
        </w:rPr>
      </w:pPr>
    </w:p>
    <w:p>
      <w:pPr>
        <w:rPr>
          <w:rFonts w:hint="eastAsia"/>
          <w:lang w:val="en-US" w:eastAsia="zh-CN"/>
        </w:rPr>
      </w:pPr>
    </w:p>
    <w:p>
      <w:pPr>
        <w:keepNext w:val="0"/>
        <w:keepLines w:val="0"/>
        <w:pageBreakBefore w:val="0"/>
        <w:widowControl w:val="0"/>
        <w:kinsoku/>
        <w:wordWrap/>
        <w:overflowPunct/>
        <w:topLinePunct w:val="0"/>
        <w:autoSpaceDE/>
        <w:autoSpaceDN/>
        <w:bidi w:val="0"/>
        <w:spacing w:line="576" w:lineRule="exact"/>
        <w:jc w:val="center"/>
        <w:textAlignment w:val="auto"/>
        <w:rPr>
          <w:rFonts w:hint="eastAsia" w:ascii="方正小标宋简体" w:hAnsi="方正小标宋简体" w:eastAsia="方正小标宋简体" w:cs="方正小标宋简体"/>
          <w:color w:val="auto"/>
          <w:kern w:val="2"/>
          <w:sz w:val="40"/>
          <w:szCs w:val="40"/>
          <w:highlight w:val="none"/>
          <w:lang w:val="zh-CN" w:eastAsia="zh-CN" w:bidi="ar-SA"/>
        </w:rPr>
      </w:pPr>
      <w:r>
        <w:rPr>
          <w:rFonts w:hint="eastAsia" w:ascii="方正小标宋简体" w:hAnsi="方正小标宋简体" w:eastAsia="方正小标宋简体" w:cs="方正小标宋简体"/>
          <w:color w:val="auto"/>
          <w:kern w:val="2"/>
          <w:sz w:val="40"/>
          <w:szCs w:val="40"/>
          <w:highlight w:val="none"/>
          <w:lang w:val="en-US" w:eastAsia="zh-CN" w:bidi="ar-SA"/>
        </w:rPr>
        <w:t>2021年聘用人员工资</w:t>
      </w:r>
      <w:r>
        <w:rPr>
          <w:rFonts w:hint="eastAsia" w:ascii="方正小标宋简体" w:hAnsi="方正小标宋简体" w:eastAsia="方正小标宋简体" w:cs="方正小标宋简体"/>
          <w:color w:val="auto"/>
          <w:kern w:val="2"/>
          <w:sz w:val="40"/>
          <w:szCs w:val="40"/>
          <w:highlight w:val="none"/>
          <w:lang w:val="zh-CN" w:eastAsia="zh-CN" w:bidi="ar-SA"/>
        </w:rPr>
        <w:t>项目支出绩效自评报告</w:t>
      </w:r>
    </w:p>
    <w:p>
      <w:pPr>
        <w:keepNext w:val="0"/>
        <w:keepLines w:val="0"/>
        <w:pageBreakBefore w:val="0"/>
        <w:widowControl w:val="0"/>
        <w:kinsoku/>
        <w:wordWrap/>
        <w:overflowPunct/>
        <w:topLinePunct w:val="0"/>
        <w:autoSpaceDE/>
        <w:autoSpaceDN/>
        <w:bidi w:val="0"/>
        <w:spacing w:line="576" w:lineRule="exact"/>
        <w:ind w:firstLine="640"/>
        <w:jc w:val="center"/>
        <w:textAlignment w:val="auto"/>
        <w:rPr>
          <w:rFonts w:ascii="宋体" w:hAnsi="宋体" w:eastAsia="宋体" w:cs="Times New Roman"/>
          <w:color w:val="auto"/>
          <w:kern w:val="2"/>
          <w:sz w:val="32"/>
          <w:szCs w:val="32"/>
          <w:highlight w:val="none"/>
          <w:lang w:val="zh-CN" w:eastAsia="zh-CN" w:bidi="ar-SA"/>
        </w:rPr>
      </w:pP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ascii="黑体" w:hAnsi="宋体" w:eastAsia="黑体" w:cs="Times New Roman"/>
          <w:color w:val="auto"/>
          <w:sz w:val="32"/>
          <w:szCs w:val="32"/>
          <w:highlight w:val="none"/>
          <w:lang w:val="zh-CN"/>
        </w:rPr>
      </w:pPr>
      <w:r>
        <w:rPr>
          <w:rFonts w:hint="eastAsia" w:ascii="黑体" w:hAnsi="宋体" w:eastAsia="黑体" w:cs="Times New Roman"/>
          <w:color w:val="auto"/>
          <w:sz w:val="32"/>
          <w:szCs w:val="32"/>
          <w:highlight w:val="none"/>
        </w:rPr>
        <w:t>一、</w:t>
      </w:r>
      <w:r>
        <w:rPr>
          <w:rFonts w:hint="eastAsia" w:ascii="黑体" w:hAnsi="宋体" w:eastAsia="黑体" w:cs="Times New Roman"/>
          <w:color w:val="auto"/>
          <w:sz w:val="32"/>
          <w:szCs w:val="32"/>
          <w:highlight w:val="none"/>
          <w:lang w:val="zh-CN"/>
        </w:rPr>
        <w:t>项目概况</w:t>
      </w:r>
    </w:p>
    <w:p>
      <w:pPr>
        <w:keepNext w:val="0"/>
        <w:keepLines w:val="0"/>
        <w:pageBreakBefore w:val="0"/>
        <w:kinsoku/>
        <w:wordWrap/>
        <w:overflowPunct/>
        <w:topLinePunct w:val="0"/>
        <w:autoSpaceDE/>
        <w:autoSpaceDN/>
        <w:bidi w:val="0"/>
        <w:adjustRightInd w:val="0"/>
        <w:snapToGrid w:val="0"/>
        <w:spacing w:line="576" w:lineRule="exact"/>
        <w:ind w:firstLine="642" w:firstLineChars="20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（一）项目基本情况。</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zh-CN"/>
        </w:rPr>
        <w:t>1.说明项目主管部门（单位）在该项目管理中的职能。</w:t>
      </w:r>
    </w:p>
    <w:p>
      <w:pPr>
        <w:keepNext w:val="0"/>
        <w:keepLines w:val="0"/>
        <w:pageBreakBefore w:val="0"/>
        <w:kinsoku/>
        <w:wordWrap/>
        <w:overflowPunct/>
        <w:topLinePunct w:val="0"/>
        <w:autoSpaceDE/>
        <w:autoSpaceDN/>
        <w:bidi w:val="0"/>
        <w:adjustRightInd w:val="0"/>
        <w:snapToGrid w:val="0"/>
        <w:spacing w:line="576" w:lineRule="exact"/>
        <w:ind w:firstLine="640" w:firstLineChars="200"/>
        <w:rPr>
          <w:rFonts w:hint="eastAsia"/>
          <w:color w:val="auto"/>
          <w:lang w:val="zh-CN"/>
        </w:rPr>
      </w:pPr>
      <w:r>
        <w:rPr>
          <w:rFonts w:hint="eastAsia" w:ascii="方正仿宋_GB2312" w:hAnsi="方正仿宋_GB2312" w:eastAsia="方正仿宋_GB2312" w:cs="方正仿宋_GB2312"/>
          <w:color w:val="auto"/>
          <w:sz w:val="32"/>
          <w:szCs w:val="32"/>
          <w:lang w:val="zh-CN"/>
        </w:rPr>
        <w:t>根据《中共广元市委机构编制委员会关于调整市民政局所属事业单位机构编制事项的通知》(广编发(2019)111号)要求，市福利院核定购买服务岗位限额20名，财政核定3万元/年/人。保障20名购买服务人员全年工作经费及工资水平。聘用人员主要从事孤残儿童、特困人员、代养人员日常照料、康复等服务。</w:t>
      </w:r>
    </w:p>
    <w:p>
      <w:pPr>
        <w:keepNext w:val="0"/>
        <w:keepLines w:val="0"/>
        <w:pageBreakBefore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en-US" w:eastAsia="zh-CN"/>
        </w:rPr>
        <w:t>2.</w:t>
      </w:r>
      <w:r>
        <w:rPr>
          <w:rFonts w:hint="eastAsia" w:ascii="仿宋_GB2312" w:hAnsi="宋体" w:eastAsia="仿宋_GB2312" w:cs="Times New Roman"/>
          <w:color w:val="auto"/>
          <w:sz w:val="32"/>
          <w:szCs w:val="32"/>
          <w:highlight w:val="none"/>
          <w:lang w:val="zh-CN"/>
        </w:rPr>
        <w:t>项目立项、资金申报的依据。</w:t>
      </w:r>
    </w:p>
    <w:p>
      <w:pPr>
        <w:keepNext w:val="0"/>
        <w:keepLines w:val="0"/>
        <w:pageBreakBefore w:val="0"/>
        <w:kinsoku/>
        <w:wordWrap/>
        <w:overflowPunct/>
        <w:topLinePunct w:val="0"/>
        <w:autoSpaceDE/>
        <w:autoSpaceDN/>
        <w:bidi w:val="0"/>
        <w:adjustRightInd w:val="0"/>
        <w:snapToGrid w:val="0"/>
        <w:spacing w:line="576" w:lineRule="exact"/>
        <w:ind w:firstLine="640" w:firstLineChars="200"/>
        <w:rPr>
          <w:rFonts w:hint="eastAsia"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zh-CN"/>
        </w:rPr>
        <w:t>项目立项、资金申报的依据主要是本单位职能职责及年度工作计划。</w:t>
      </w:r>
    </w:p>
    <w:p>
      <w:pPr>
        <w:keepNext w:val="0"/>
        <w:keepLines w:val="0"/>
        <w:pageBreakBefore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en-US" w:eastAsia="zh-CN"/>
        </w:rPr>
        <w:t>3.</w:t>
      </w:r>
      <w:r>
        <w:rPr>
          <w:rFonts w:hint="eastAsia" w:ascii="仿宋_GB2312" w:hAnsi="宋体" w:eastAsia="仿宋_GB2312" w:cs="Times New Roman"/>
          <w:color w:val="auto"/>
          <w:sz w:val="32"/>
          <w:szCs w:val="32"/>
          <w:highlight w:val="none"/>
          <w:lang w:val="zh-CN"/>
        </w:rPr>
        <w:t>资金管理办法制定情况，资金支持具体项目的条件、范围与支持方式概况。</w:t>
      </w:r>
    </w:p>
    <w:p>
      <w:pPr>
        <w:keepNext w:val="0"/>
        <w:keepLines w:val="0"/>
        <w:pageBreakBefore w:val="0"/>
        <w:kinsoku/>
        <w:wordWrap/>
        <w:overflowPunct/>
        <w:topLinePunct w:val="0"/>
        <w:autoSpaceDE/>
        <w:autoSpaceDN/>
        <w:bidi w:val="0"/>
        <w:adjustRightInd w:val="0"/>
        <w:snapToGrid w:val="0"/>
        <w:spacing w:line="576" w:lineRule="exact"/>
        <w:ind w:firstLine="640" w:firstLineChars="200"/>
        <w:rPr>
          <w:rFonts w:hint="eastAsia"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zh-CN"/>
        </w:rPr>
        <w:t>本项目主要是工作经费，按照财政资金相关管理办法和要求执行。资金支持具体项目的条件是根据部门工作计划要求安排。财政全额支持。</w:t>
      </w:r>
    </w:p>
    <w:p>
      <w:pPr>
        <w:keepNext w:val="0"/>
        <w:keepLines w:val="0"/>
        <w:pageBreakBefore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en-US" w:eastAsia="zh-CN"/>
        </w:rPr>
        <w:t>4.</w:t>
      </w:r>
      <w:r>
        <w:rPr>
          <w:rFonts w:hint="eastAsia" w:ascii="仿宋_GB2312" w:hAnsi="宋体" w:eastAsia="仿宋_GB2312" w:cs="Times New Roman"/>
          <w:color w:val="auto"/>
          <w:sz w:val="32"/>
          <w:szCs w:val="32"/>
          <w:highlight w:val="none"/>
          <w:lang w:val="zh-CN"/>
        </w:rPr>
        <w:t>资金分配的原则及考虑因素。</w:t>
      </w:r>
    </w:p>
    <w:p>
      <w:pPr>
        <w:keepNext w:val="0"/>
        <w:keepLines w:val="0"/>
        <w:pageBreakBefore w:val="0"/>
        <w:kinsoku/>
        <w:wordWrap/>
        <w:overflowPunct/>
        <w:topLinePunct w:val="0"/>
        <w:autoSpaceDE/>
        <w:autoSpaceDN/>
        <w:bidi w:val="0"/>
        <w:adjustRightInd w:val="0"/>
        <w:snapToGrid w:val="0"/>
        <w:spacing w:line="576" w:lineRule="exact"/>
        <w:ind w:firstLine="640" w:firstLineChars="200"/>
        <w:rPr>
          <w:rFonts w:hint="eastAsia"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zh-CN"/>
        </w:rPr>
        <w:t>项目资金全部由本单位使用，根据项目具体实施内容匹配资金。</w:t>
      </w:r>
    </w:p>
    <w:p>
      <w:pPr>
        <w:keepNext w:val="0"/>
        <w:keepLines w:val="0"/>
        <w:pageBreakBefore w:val="0"/>
        <w:kinsoku/>
        <w:wordWrap/>
        <w:overflowPunct/>
        <w:topLinePunct w:val="0"/>
        <w:autoSpaceDE/>
        <w:autoSpaceDN/>
        <w:bidi w:val="0"/>
        <w:adjustRightInd w:val="0"/>
        <w:snapToGrid w:val="0"/>
        <w:spacing w:line="576" w:lineRule="exact"/>
        <w:ind w:firstLine="642" w:firstLineChars="20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（二）项目绩效目标。</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zh-CN"/>
        </w:rPr>
        <w:t>1.项目主要内容。</w:t>
      </w:r>
    </w:p>
    <w:p>
      <w:pPr>
        <w:keepNext w:val="0"/>
        <w:keepLines w:val="0"/>
        <w:pageBreakBefore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zh-CN"/>
        </w:rPr>
        <w:t>保障20名购买服务人员全年工作经费及工资、保险、福利等。聘用人员主要从事孤残儿童、特困人员、代养人员日常照料、康复等服务。</w:t>
      </w:r>
    </w:p>
    <w:p>
      <w:pPr>
        <w:keepNext w:val="0"/>
        <w:keepLines w:val="0"/>
        <w:pageBreakBefore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en-US" w:eastAsia="zh-CN"/>
        </w:rPr>
        <w:t>2.</w:t>
      </w:r>
      <w:r>
        <w:rPr>
          <w:rFonts w:hint="eastAsia" w:ascii="仿宋_GB2312" w:hAnsi="宋体" w:eastAsia="仿宋_GB2312" w:cs="Times New Roman"/>
          <w:color w:val="auto"/>
          <w:sz w:val="32"/>
          <w:szCs w:val="32"/>
          <w:highlight w:val="none"/>
          <w:lang w:val="zh-CN"/>
        </w:rPr>
        <w:t>项目应实现的具体绩效目标，包括目标的量化、细化情况以及项目实施进度计划等。</w:t>
      </w:r>
    </w:p>
    <w:p>
      <w:pPr>
        <w:keepNext w:val="0"/>
        <w:keepLines w:val="0"/>
        <w:pageBreakBefore w:val="0"/>
        <w:kinsoku/>
        <w:wordWrap/>
        <w:overflowPunct/>
        <w:topLinePunct w:val="0"/>
        <w:autoSpaceDE/>
        <w:autoSpaceDN/>
        <w:bidi w:val="0"/>
        <w:adjustRightInd w:val="0"/>
        <w:snapToGrid w:val="0"/>
        <w:spacing w:line="576" w:lineRule="exact"/>
        <w:ind w:firstLine="640" w:firstLineChars="200"/>
        <w:rPr>
          <w:color w:val="auto"/>
          <w:lang w:val="zh-CN"/>
        </w:rPr>
      </w:pPr>
      <w:r>
        <w:rPr>
          <w:rFonts w:hint="eastAsia" w:ascii="仿宋_GB2312" w:hAnsi="宋体" w:eastAsia="仿宋_GB2312" w:cs="Times New Roman"/>
          <w:color w:val="auto"/>
          <w:sz w:val="32"/>
          <w:szCs w:val="32"/>
          <w:highlight w:val="none"/>
          <w:lang w:val="zh-CN"/>
        </w:rPr>
        <w:t>项目申请时依据项目实际情况明确了具体的绩效目标，包括数量指标（聘用人数20人），质量指标（），时效指标（2021年12月31日之前完成），成本指标（支付医保，社保，失业保险，工伤保险、工资），社会效益指标（一线工作人员为服务对象提供生活起居、文化娱乐、医疗保健等方面养护、康复、托管等综合性服务促进社会稳定发展），满意度指标（满意度达到90%）等</w:t>
      </w:r>
      <w:r>
        <w:rPr>
          <w:rFonts w:hint="eastAsia" w:ascii="仿宋_GB2312" w:hAnsi="宋体" w:eastAsia="仿宋_GB2312" w:cs="Times New Roman"/>
          <w:color w:val="auto"/>
          <w:sz w:val="32"/>
          <w:szCs w:val="32"/>
          <w:highlight w:val="none"/>
          <w:lang w:val="en-US" w:eastAsia="zh-CN"/>
        </w:rPr>
        <w:t>5</w:t>
      </w:r>
      <w:r>
        <w:rPr>
          <w:rFonts w:hint="eastAsia" w:ascii="仿宋_GB2312" w:hAnsi="宋体" w:eastAsia="仿宋_GB2312" w:cs="Times New Roman"/>
          <w:color w:val="auto"/>
          <w:sz w:val="32"/>
          <w:szCs w:val="32"/>
          <w:highlight w:val="none"/>
          <w:lang w:val="zh-CN"/>
        </w:rPr>
        <w:t>个指标。并对指标值进行了量化、细化。项目制定了详细可行的进度计划，确保了项目顺利实施。</w:t>
      </w:r>
    </w:p>
    <w:p>
      <w:pPr>
        <w:keepNext w:val="0"/>
        <w:keepLines w:val="0"/>
        <w:pageBreakBefore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en-US" w:eastAsia="zh-CN"/>
        </w:rPr>
        <w:t>3.</w:t>
      </w:r>
      <w:r>
        <w:rPr>
          <w:rFonts w:hint="eastAsia" w:ascii="仿宋_GB2312" w:hAnsi="宋体" w:eastAsia="仿宋_GB2312" w:cs="Times New Roman"/>
          <w:color w:val="auto"/>
          <w:sz w:val="32"/>
          <w:szCs w:val="32"/>
          <w:highlight w:val="none"/>
          <w:lang w:val="zh-CN"/>
        </w:rPr>
        <w:t>分析评价申报内容是否与实际相符，申报目标是否合理可行。</w:t>
      </w:r>
    </w:p>
    <w:p>
      <w:pPr>
        <w:pStyle w:val="2"/>
        <w:keepNext w:val="0"/>
        <w:keepLines w:val="0"/>
        <w:pageBreakBefore w:val="0"/>
        <w:numPr>
          <w:ilvl w:val="0"/>
          <w:numId w:val="0"/>
        </w:numPr>
        <w:kinsoku/>
        <w:wordWrap/>
        <w:overflowPunct/>
        <w:topLinePunct w:val="0"/>
        <w:autoSpaceDE/>
        <w:autoSpaceDN/>
        <w:bidi w:val="0"/>
        <w:spacing w:line="576" w:lineRule="exact"/>
        <w:ind w:firstLine="640" w:firstLineChars="200"/>
        <w:rPr>
          <w:rFonts w:hint="eastAsia" w:ascii="仿宋_GB2312" w:hAnsi="宋体" w:eastAsia="仿宋_GB2312" w:cs="Times New Roman"/>
          <w:color w:val="auto"/>
          <w:kern w:val="2"/>
          <w:sz w:val="32"/>
          <w:szCs w:val="32"/>
          <w:highlight w:val="none"/>
          <w:lang w:val="zh-CN" w:eastAsia="zh-CN" w:bidi="ar-SA"/>
        </w:rPr>
      </w:pPr>
      <w:r>
        <w:rPr>
          <w:rFonts w:hint="eastAsia" w:ascii="仿宋_GB2312" w:hAnsi="宋体" w:eastAsia="仿宋_GB2312" w:cs="Times New Roman"/>
          <w:color w:val="auto"/>
          <w:kern w:val="2"/>
          <w:sz w:val="32"/>
          <w:szCs w:val="32"/>
          <w:highlight w:val="none"/>
          <w:lang w:val="en-US" w:eastAsia="zh-CN" w:bidi="ar-SA"/>
        </w:rPr>
        <w:t>绩效自评结果表明，项目</w:t>
      </w:r>
      <w:r>
        <w:rPr>
          <w:rFonts w:hint="eastAsia" w:ascii="仿宋_GB2312" w:hAnsi="宋体" w:eastAsia="仿宋_GB2312" w:cs="Times New Roman"/>
          <w:color w:val="auto"/>
          <w:kern w:val="2"/>
          <w:sz w:val="32"/>
          <w:szCs w:val="32"/>
          <w:highlight w:val="none"/>
          <w:lang w:val="zh-CN" w:eastAsia="zh-CN" w:bidi="ar-SA"/>
        </w:rPr>
        <w:t>申报内容与实际相符，申报目标合理可行。</w:t>
      </w:r>
    </w:p>
    <w:p>
      <w:pPr>
        <w:keepNext w:val="0"/>
        <w:keepLines w:val="0"/>
        <w:pageBreakBefore w:val="0"/>
        <w:kinsoku/>
        <w:wordWrap/>
        <w:overflowPunct/>
        <w:topLinePunct w:val="0"/>
        <w:autoSpaceDE/>
        <w:autoSpaceDN/>
        <w:bidi w:val="0"/>
        <w:adjustRightInd w:val="0"/>
        <w:snapToGrid w:val="0"/>
        <w:spacing w:line="576" w:lineRule="exact"/>
        <w:ind w:firstLine="642" w:firstLineChars="20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（三）项目自评步骤及方法。</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zh-CN"/>
        </w:rPr>
        <w:t>说明项目绩效自评采用的组织实施步骤及方法。</w:t>
      </w:r>
    </w:p>
    <w:p>
      <w:pPr>
        <w:pStyle w:val="2"/>
        <w:keepNext w:val="0"/>
        <w:keepLines w:val="0"/>
        <w:pageBreakBefore w:val="0"/>
        <w:numPr>
          <w:ilvl w:val="0"/>
          <w:numId w:val="0"/>
        </w:numPr>
        <w:kinsoku/>
        <w:wordWrap/>
        <w:overflowPunct/>
        <w:topLinePunct w:val="0"/>
        <w:autoSpaceDE/>
        <w:autoSpaceDN/>
        <w:bidi w:val="0"/>
        <w:spacing w:line="576" w:lineRule="exact"/>
        <w:ind w:firstLine="640" w:firstLineChars="200"/>
        <w:rPr>
          <w:rFonts w:hint="eastAsia" w:ascii="仿宋_GB2312" w:hAnsi="宋体" w:eastAsia="仿宋_GB2312" w:cs="Times New Roman"/>
          <w:color w:val="auto"/>
          <w:kern w:val="2"/>
          <w:sz w:val="32"/>
          <w:szCs w:val="32"/>
          <w:highlight w:val="none"/>
          <w:lang w:val="en-US" w:eastAsia="zh-CN" w:bidi="ar-SA"/>
        </w:rPr>
      </w:pPr>
      <w:r>
        <w:rPr>
          <w:rFonts w:hint="eastAsia" w:ascii="仿宋_GB2312" w:hAnsi="宋体" w:eastAsia="仿宋_GB2312" w:cs="Times New Roman"/>
          <w:color w:val="auto"/>
          <w:kern w:val="2"/>
          <w:sz w:val="32"/>
          <w:szCs w:val="32"/>
          <w:highlight w:val="none"/>
          <w:lang w:val="en-US" w:eastAsia="zh-CN" w:bidi="ar-SA"/>
        </w:rPr>
        <w:t>我单位对此次自评工作高度重视，成立了绩效评价工作小组，按照下列程序实施：</w:t>
      </w:r>
    </w:p>
    <w:p>
      <w:pPr>
        <w:pStyle w:val="2"/>
        <w:keepNext w:val="0"/>
        <w:keepLines w:val="0"/>
        <w:pageBreakBefore w:val="0"/>
        <w:numPr>
          <w:ilvl w:val="0"/>
          <w:numId w:val="0"/>
        </w:numPr>
        <w:kinsoku/>
        <w:wordWrap/>
        <w:overflowPunct/>
        <w:topLinePunct w:val="0"/>
        <w:autoSpaceDE/>
        <w:autoSpaceDN/>
        <w:bidi w:val="0"/>
        <w:spacing w:line="576" w:lineRule="exact"/>
        <w:ind w:firstLine="640" w:firstLineChars="200"/>
        <w:rPr>
          <w:rFonts w:hint="eastAsia" w:ascii="仿宋_GB2312" w:hAnsi="宋体" w:eastAsia="仿宋_GB2312" w:cs="Times New Roman"/>
          <w:color w:val="auto"/>
          <w:kern w:val="2"/>
          <w:sz w:val="32"/>
          <w:szCs w:val="32"/>
          <w:highlight w:val="none"/>
          <w:lang w:val="en-US" w:eastAsia="zh-CN" w:bidi="ar-SA"/>
        </w:rPr>
      </w:pPr>
      <w:r>
        <w:rPr>
          <w:rFonts w:hint="eastAsia" w:ascii="仿宋_GB2312" w:hAnsi="宋体" w:eastAsia="仿宋_GB2312" w:cs="Times New Roman"/>
          <w:color w:val="auto"/>
          <w:kern w:val="2"/>
          <w:sz w:val="32"/>
          <w:szCs w:val="32"/>
          <w:highlight w:val="none"/>
          <w:lang w:val="en-US" w:eastAsia="zh-CN" w:bidi="ar-SA"/>
        </w:rPr>
        <w:t>1.分解任务：根据部门支出绩效评价涉及的工作内容，分解到各股室；</w:t>
      </w:r>
    </w:p>
    <w:p>
      <w:pPr>
        <w:pStyle w:val="2"/>
        <w:keepNext w:val="0"/>
        <w:keepLines w:val="0"/>
        <w:pageBreakBefore w:val="0"/>
        <w:numPr>
          <w:ilvl w:val="0"/>
          <w:numId w:val="0"/>
        </w:numPr>
        <w:kinsoku/>
        <w:wordWrap/>
        <w:overflowPunct/>
        <w:topLinePunct w:val="0"/>
        <w:autoSpaceDE/>
        <w:autoSpaceDN/>
        <w:bidi w:val="0"/>
        <w:spacing w:line="576" w:lineRule="exact"/>
        <w:ind w:firstLine="640" w:firstLineChars="200"/>
        <w:rPr>
          <w:rFonts w:hint="eastAsia" w:ascii="仿宋_GB2312" w:hAnsi="宋体" w:eastAsia="仿宋_GB2312" w:cs="Times New Roman"/>
          <w:color w:val="auto"/>
          <w:kern w:val="2"/>
          <w:sz w:val="32"/>
          <w:szCs w:val="32"/>
          <w:highlight w:val="none"/>
          <w:lang w:val="en-US" w:eastAsia="zh-CN" w:bidi="ar-SA"/>
        </w:rPr>
      </w:pPr>
      <w:r>
        <w:rPr>
          <w:rFonts w:hint="eastAsia" w:ascii="仿宋_GB2312" w:hAnsi="宋体" w:eastAsia="仿宋_GB2312" w:cs="Times New Roman"/>
          <w:color w:val="auto"/>
          <w:kern w:val="2"/>
          <w:sz w:val="32"/>
          <w:szCs w:val="32"/>
          <w:highlight w:val="none"/>
          <w:lang w:val="en-US" w:eastAsia="zh-CN" w:bidi="ar-SA"/>
        </w:rPr>
        <w:t>2.股室初评：业务股室根据计分标准对各自负责的工作逐一检查，翻阅资料，对标自评；</w:t>
      </w:r>
    </w:p>
    <w:p>
      <w:pPr>
        <w:pStyle w:val="2"/>
        <w:keepNext w:val="0"/>
        <w:keepLines w:val="0"/>
        <w:pageBreakBefore w:val="0"/>
        <w:numPr>
          <w:ilvl w:val="0"/>
          <w:numId w:val="0"/>
        </w:numPr>
        <w:kinsoku/>
        <w:wordWrap/>
        <w:overflowPunct/>
        <w:topLinePunct w:val="0"/>
        <w:autoSpaceDE/>
        <w:autoSpaceDN/>
        <w:bidi w:val="0"/>
        <w:spacing w:line="576" w:lineRule="exact"/>
        <w:ind w:firstLine="640" w:firstLineChars="200"/>
        <w:rPr>
          <w:rFonts w:hint="eastAsia" w:ascii="仿宋_GB2312" w:hAnsi="宋体" w:eastAsia="仿宋_GB2312" w:cs="Times New Roman"/>
          <w:color w:val="auto"/>
          <w:kern w:val="2"/>
          <w:sz w:val="32"/>
          <w:szCs w:val="32"/>
          <w:highlight w:val="none"/>
          <w:lang w:val="en-US" w:eastAsia="zh-CN" w:bidi="ar-SA"/>
        </w:rPr>
      </w:pPr>
      <w:r>
        <w:rPr>
          <w:rFonts w:hint="eastAsia" w:ascii="仿宋_GB2312" w:hAnsi="宋体" w:eastAsia="仿宋_GB2312" w:cs="Times New Roman"/>
          <w:color w:val="auto"/>
          <w:kern w:val="2"/>
          <w:sz w:val="32"/>
          <w:szCs w:val="32"/>
          <w:highlight w:val="none"/>
          <w:lang w:val="en-US" w:eastAsia="zh-CN" w:bidi="ar-SA"/>
        </w:rPr>
        <w:t>3.小组复评：绩效评价工作小组对初评情况进行检查，并再次评价；</w:t>
      </w:r>
    </w:p>
    <w:p>
      <w:pPr>
        <w:pStyle w:val="2"/>
        <w:keepNext w:val="0"/>
        <w:keepLines w:val="0"/>
        <w:pageBreakBefore w:val="0"/>
        <w:numPr>
          <w:ilvl w:val="0"/>
          <w:numId w:val="0"/>
        </w:numPr>
        <w:kinsoku/>
        <w:wordWrap/>
        <w:overflowPunct/>
        <w:topLinePunct w:val="0"/>
        <w:autoSpaceDE/>
        <w:autoSpaceDN/>
        <w:bidi w:val="0"/>
        <w:spacing w:line="576" w:lineRule="exact"/>
        <w:ind w:firstLine="640" w:firstLineChars="200"/>
        <w:rPr>
          <w:rFonts w:hint="eastAsia" w:ascii="仿宋_GB2312" w:hAnsi="宋体" w:eastAsia="仿宋_GB2312" w:cs="Times New Roman"/>
          <w:color w:val="auto"/>
          <w:kern w:val="2"/>
          <w:sz w:val="32"/>
          <w:szCs w:val="32"/>
          <w:highlight w:val="none"/>
          <w:lang w:val="zh-CN" w:eastAsia="zh-CN" w:bidi="ar-SA"/>
        </w:rPr>
      </w:pPr>
      <w:r>
        <w:rPr>
          <w:rFonts w:hint="eastAsia" w:ascii="仿宋_GB2312" w:hAnsi="宋体" w:eastAsia="仿宋_GB2312" w:cs="Times New Roman"/>
          <w:color w:val="auto"/>
          <w:kern w:val="2"/>
          <w:sz w:val="32"/>
          <w:szCs w:val="32"/>
          <w:highlight w:val="none"/>
          <w:lang w:val="en-US" w:eastAsia="zh-CN" w:bidi="ar-SA"/>
        </w:rPr>
        <w:t>4.整理上报：对自评情况进行梳理，及时上报财政部门，并对存在的问题落实整改。</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ascii="黑体" w:hAnsi="宋体" w:eastAsia="黑体" w:cs="Times New Roman"/>
          <w:color w:val="auto"/>
          <w:sz w:val="32"/>
          <w:szCs w:val="32"/>
          <w:highlight w:val="none"/>
        </w:rPr>
      </w:pPr>
      <w:r>
        <w:rPr>
          <w:rFonts w:hint="eastAsia" w:ascii="黑体" w:hAnsi="宋体" w:eastAsia="黑体" w:cs="Times New Roman"/>
          <w:color w:val="auto"/>
          <w:sz w:val="32"/>
          <w:szCs w:val="32"/>
          <w:highlight w:val="none"/>
        </w:rPr>
        <w:t>二、项目资金申报及使用情况</w:t>
      </w:r>
    </w:p>
    <w:p>
      <w:pPr>
        <w:keepNext w:val="0"/>
        <w:keepLines w:val="0"/>
        <w:pageBreakBefore w:val="0"/>
        <w:kinsoku/>
        <w:wordWrap/>
        <w:overflowPunct/>
        <w:topLinePunct w:val="0"/>
        <w:autoSpaceDE/>
        <w:autoSpaceDN/>
        <w:bidi w:val="0"/>
        <w:adjustRightInd w:val="0"/>
        <w:snapToGrid w:val="0"/>
        <w:spacing w:line="576" w:lineRule="exact"/>
        <w:ind w:firstLine="642" w:firstLineChars="20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（一）项目资金申报及批复情况。</w:t>
      </w:r>
    </w:p>
    <w:p>
      <w:pPr>
        <w:pStyle w:val="2"/>
        <w:keepNext w:val="0"/>
        <w:keepLines w:val="0"/>
        <w:pageBreakBefore w:val="0"/>
        <w:numPr>
          <w:ilvl w:val="0"/>
          <w:numId w:val="0"/>
        </w:numPr>
        <w:kinsoku/>
        <w:wordWrap/>
        <w:overflowPunct/>
        <w:topLinePunct w:val="0"/>
        <w:autoSpaceDE/>
        <w:autoSpaceDN/>
        <w:bidi w:val="0"/>
        <w:spacing w:line="576" w:lineRule="exact"/>
        <w:ind w:firstLine="640" w:firstLineChars="200"/>
        <w:rPr>
          <w:rFonts w:hint="eastAsia" w:ascii="仿宋_GB2312" w:hAnsi="宋体" w:eastAsia="仿宋_GB2312" w:cs="Times New Roman"/>
          <w:color w:val="auto"/>
          <w:kern w:val="2"/>
          <w:sz w:val="32"/>
          <w:szCs w:val="32"/>
          <w:highlight w:val="none"/>
          <w:lang w:val="zh-CN" w:eastAsia="zh-CN" w:bidi="ar-SA"/>
        </w:rPr>
      </w:pPr>
      <w:r>
        <w:rPr>
          <w:rFonts w:hint="eastAsia" w:ascii="仿宋_GB2312" w:hAnsi="宋体" w:eastAsia="仿宋_GB2312" w:cs="Times New Roman"/>
          <w:color w:val="auto"/>
          <w:kern w:val="2"/>
          <w:sz w:val="32"/>
          <w:szCs w:val="32"/>
          <w:highlight w:val="none"/>
          <w:lang w:val="zh-CN" w:eastAsia="zh-CN" w:bidi="ar-SA"/>
        </w:rPr>
        <w:t>本项目资金是年初纳入部门预算申报并获得批复，无预算调整。</w:t>
      </w:r>
    </w:p>
    <w:p>
      <w:pPr>
        <w:keepNext w:val="0"/>
        <w:keepLines w:val="0"/>
        <w:pageBreakBefore w:val="0"/>
        <w:numPr>
          <w:ilvl w:val="0"/>
          <w:numId w:val="0"/>
        </w:numPr>
        <w:kinsoku/>
        <w:wordWrap/>
        <w:overflowPunct/>
        <w:topLinePunct w:val="0"/>
        <w:autoSpaceDE/>
        <w:autoSpaceDN/>
        <w:bidi w:val="0"/>
        <w:adjustRightInd w:val="0"/>
        <w:snapToGrid w:val="0"/>
        <w:spacing w:line="576" w:lineRule="exact"/>
        <w:ind w:firstLine="642" w:firstLineChars="200"/>
        <w:textAlignment w:val="auto"/>
        <w:rPr>
          <w:rFonts w:hint="eastAsia"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（二）资金计划、到位及使用情况。</w:t>
      </w:r>
    </w:p>
    <w:p>
      <w:pPr>
        <w:pStyle w:val="2"/>
        <w:keepNext w:val="0"/>
        <w:keepLines w:val="0"/>
        <w:pageBreakBefore w:val="0"/>
        <w:kinsoku/>
        <w:wordWrap/>
        <w:overflowPunct/>
        <w:topLinePunct w:val="0"/>
        <w:autoSpaceDE/>
        <w:autoSpaceDN/>
        <w:bidi w:val="0"/>
        <w:spacing w:line="576" w:lineRule="exact"/>
        <w:ind w:firstLine="420" w:firstLineChars="200"/>
        <w:rPr>
          <w:rFonts w:hint="eastAsia"/>
          <w:color w:val="auto"/>
          <w:lang w:val="zh-CN"/>
        </w:rPr>
      </w:pPr>
    </w:p>
    <w:tbl>
      <w:tblPr>
        <w:tblStyle w:val="13"/>
        <w:tblW w:w="8293" w:type="dxa"/>
        <w:tblInd w:w="0" w:type="dxa"/>
        <w:tblLayout w:type="fixed"/>
        <w:tblCellMar>
          <w:top w:w="0" w:type="dxa"/>
          <w:left w:w="0" w:type="dxa"/>
          <w:bottom w:w="0" w:type="dxa"/>
          <w:right w:w="0" w:type="dxa"/>
        </w:tblCellMar>
      </w:tblPr>
      <w:tblGrid>
        <w:gridCol w:w="2203"/>
        <w:gridCol w:w="2250"/>
        <w:gridCol w:w="2115"/>
        <w:gridCol w:w="1725"/>
      </w:tblGrid>
      <w:tr>
        <w:tblPrEx>
          <w:tblCellMar>
            <w:top w:w="0" w:type="dxa"/>
            <w:left w:w="0" w:type="dxa"/>
            <w:bottom w:w="0" w:type="dxa"/>
            <w:right w:w="0" w:type="dxa"/>
          </w:tblCellMar>
        </w:tblPrEx>
        <w:trPr>
          <w:trHeight w:val="420" w:hRule="atLeast"/>
        </w:trPr>
        <w:tc>
          <w:tcPr>
            <w:tcW w:w="220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ind w:firstLine="0" w:firstLineChars="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项目名称</w:t>
            </w:r>
          </w:p>
        </w:tc>
        <w:tc>
          <w:tcPr>
            <w:tcW w:w="22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ind w:firstLine="0" w:firstLineChars="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资金预算（万元）</w:t>
            </w:r>
          </w:p>
        </w:tc>
        <w:tc>
          <w:tcPr>
            <w:tcW w:w="21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ind w:firstLine="0" w:firstLineChars="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资金到位（万元）</w:t>
            </w:r>
          </w:p>
        </w:tc>
        <w:tc>
          <w:tcPr>
            <w:tcW w:w="17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ind w:firstLine="0" w:firstLineChars="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资金使用（万元）</w:t>
            </w:r>
          </w:p>
        </w:tc>
      </w:tr>
      <w:tr>
        <w:tblPrEx>
          <w:tblCellMar>
            <w:top w:w="0" w:type="dxa"/>
            <w:left w:w="0" w:type="dxa"/>
            <w:bottom w:w="0" w:type="dxa"/>
            <w:right w:w="0" w:type="dxa"/>
          </w:tblCellMar>
        </w:tblPrEx>
        <w:trPr>
          <w:trHeight w:val="420" w:hRule="atLeast"/>
        </w:trPr>
        <w:tc>
          <w:tcPr>
            <w:tcW w:w="220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76" w:lineRule="exact"/>
              <w:ind w:firstLine="0" w:firstLineChars="0"/>
              <w:jc w:val="center"/>
              <w:rPr>
                <w:rFonts w:hint="eastAsia" w:ascii="宋体" w:hAnsi="宋体" w:eastAsia="宋体" w:cs="宋体"/>
                <w:i w:val="0"/>
                <w:color w:val="auto"/>
                <w:sz w:val="24"/>
                <w:szCs w:val="24"/>
                <w:u w:val="none"/>
              </w:rPr>
            </w:pPr>
          </w:p>
        </w:tc>
        <w:tc>
          <w:tcPr>
            <w:tcW w:w="22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ind w:firstLine="0" w:firstLineChars="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财政资金</w:t>
            </w:r>
          </w:p>
        </w:tc>
        <w:tc>
          <w:tcPr>
            <w:tcW w:w="21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ind w:firstLine="0" w:firstLineChars="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财政资金</w:t>
            </w:r>
          </w:p>
        </w:tc>
        <w:tc>
          <w:tcPr>
            <w:tcW w:w="17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ind w:firstLine="0" w:firstLineChars="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财政资金</w:t>
            </w:r>
          </w:p>
        </w:tc>
      </w:tr>
      <w:tr>
        <w:tblPrEx>
          <w:tblCellMar>
            <w:top w:w="0" w:type="dxa"/>
            <w:left w:w="0" w:type="dxa"/>
            <w:bottom w:w="0" w:type="dxa"/>
            <w:right w:w="0" w:type="dxa"/>
          </w:tblCellMar>
        </w:tblPrEx>
        <w:trPr>
          <w:trHeight w:val="460" w:hRule="atLeast"/>
        </w:trPr>
        <w:tc>
          <w:tcPr>
            <w:tcW w:w="22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ind w:firstLine="0" w:firstLineChars="0"/>
              <w:jc w:val="center"/>
              <w:textAlignment w:val="center"/>
              <w:rPr>
                <w:rFonts w:hint="default" w:ascii="宋体" w:hAnsi="宋体" w:eastAsia="宋体" w:cs="宋体"/>
                <w:i w:val="0"/>
                <w:color w:val="auto"/>
                <w:sz w:val="24"/>
                <w:szCs w:val="24"/>
                <w:u w:val="none"/>
                <w:lang w:val="en-US"/>
              </w:rPr>
            </w:pPr>
            <w:r>
              <w:rPr>
                <w:rFonts w:hint="eastAsia" w:ascii="宋体" w:hAnsi="宋体" w:cs="宋体"/>
                <w:i w:val="0"/>
                <w:color w:val="auto"/>
                <w:kern w:val="0"/>
                <w:sz w:val="24"/>
                <w:szCs w:val="24"/>
                <w:u w:val="none"/>
                <w:lang w:val="en-US" w:eastAsia="zh-CN" w:bidi="ar"/>
              </w:rPr>
              <w:t>聘用人员工资</w:t>
            </w:r>
          </w:p>
        </w:tc>
        <w:tc>
          <w:tcPr>
            <w:tcW w:w="22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ind w:firstLine="0" w:firstLineChars="0"/>
              <w:jc w:val="center"/>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60</w:t>
            </w:r>
          </w:p>
        </w:tc>
        <w:tc>
          <w:tcPr>
            <w:tcW w:w="21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ind w:firstLine="0" w:firstLineChars="0"/>
              <w:jc w:val="center"/>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60</w:t>
            </w:r>
          </w:p>
        </w:tc>
        <w:tc>
          <w:tcPr>
            <w:tcW w:w="17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ind w:firstLine="0" w:firstLineChars="0"/>
              <w:jc w:val="center"/>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60</w:t>
            </w:r>
          </w:p>
        </w:tc>
      </w:tr>
    </w:tbl>
    <w:p>
      <w:pPr>
        <w:pStyle w:val="2"/>
        <w:keepNext w:val="0"/>
        <w:keepLines w:val="0"/>
        <w:pageBreakBefore w:val="0"/>
        <w:numPr>
          <w:ilvl w:val="0"/>
          <w:numId w:val="0"/>
        </w:numPr>
        <w:kinsoku/>
        <w:wordWrap/>
        <w:overflowPunct/>
        <w:topLinePunct w:val="0"/>
        <w:autoSpaceDE/>
        <w:autoSpaceDN/>
        <w:bidi w:val="0"/>
        <w:spacing w:line="576" w:lineRule="exact"/>
        <w:ind w:firstLine="420" w:firstLineChars="200"/>
        <w:rPr>
          <w:color w:val="auto"/>
          <w:lang w:val="zh-CN"/>
        </w:rPr>
      </w:pP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方正仿宋_GB2312" w:hAnsi="方正仿宋_GB2312" w:eastAsia="方正仿宋_GB2312" w:cs="方正仿宋_GB2312"/>
          <w:color w:val="auto"/>
          <w:kern w:val="2"/>
          <w:sz w:val="32"/>
          <w:szCs w:val="32"/>
          <w:highlight w:val="none"/>
          <w:lang w:val="zh-CN" w:eastAsia="zh-CN" w:bidi="ar-SA"/>
        </w:rPr>
      </w:pPr>
      <w:r>
        <w:rPr>
          <w:rFonts w:hint="eastAsia" w:ascii="方正仿宋_GB2312" w:hAnsi="方正仿宋_GB2312" w:eastAsia="方正仿宋_GB2312" w:cs="方正仿宋_GB2312"/>
          <w:color w:val="auto"/>
          <w:sz w:val="32"/>
          <w:szCs w:val="32"/>
          <w:highlight w:val="none"/>
          <w:lang w:val="zh-CN"/>
        </w:rPr>
        <w:t>1.资金计划。</w:t>
      </w:r>
      <w:r>
        <w:rPr>
          <w:rFonts w:hint="eastAsia" w:ascii="方正仿宋_GB2312" w:hAnsi="方正仿宋_GB2312" w:eastAsia="方正仿宋_GB2312" w:cs="方正仿宋_GB2312"/>
          <w:color w:val="auto"/>
          <w:kern w:val="2"/>
          <w:sz w:val="32"/>
          <w:szCs w:val="32"/>
          <w:highlight w:val="none"/>
          <w:lang w:val="en-US" w:eastAsia="zh-CN" w:bidi="ar-SA"/>
        </w:rPr>
        <w:t>项目资金计划60万元，均为财政资金。</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方正仿宋_GB2312" w:hAnsi="方正仿宋_GB2312" w:eastAsia="方正仿宋_GB2312" w:cs="方正仿宋_GB2312"/>
          <w:color w:val="auto"/>
          <w:sz w:val="32"/>
          <w:szCs w:val="32"/>
          <w:highlight w:val="none"/>
          <w:lang w:val="zh-CN"/>
        </w:rPr>
      </w:pPr>
      <w:r>
        <w:rPr>
          <w:rFonts w:hint="eastAsia" w:ascii="方正仿宋_GB2312" w:hAnsi="方正仿宋_GB2312" w:eastAsia="方正仿宋_GB2312" w:cs="方正仿宋_GB2312"/>
          <w:color w:val="auto"/>
          <w:sz w:val="32"/>
          <w:szCs w:val="32"/>
          <w:highlight w:val="none"/>
          <w:lang w:val="zh-CN"/>
        </w:rPr>
        <w:t>2.资金到位。</w:t>
      </w:r>
      <w:r>
        <w:rPr>
          <w:rFonts w:hint="eastAsia" w:ascii="方正仿宋_GB2312" w:hAnsi="方正仿宋_GB2312" w:eastAsia="方正仿宋_GB2312" w:cs="方正仿宋_GB2312"/>
          <w:color w:val="auto"/>
          <w:kern w:val="2"/>
          <w:sz w:val="32"/>
          <w:szCs w:val="32"/>
          <w:highlight w:val="none"/>
          <w:lang w:val="zh-CN" w:eastAsia="zh-CN" w:bidi="ar-SA"/>
        </w:rPr>
        <w:t>资金到位率</w:t>
      </w:r>
      <w:r>
        <w:rPr>
          <w:rFonts w:hint="eastAsia" w:ascii="方正仿宋_GB2312" w:hAnsi="方正仿宋_GB2312" w:eastAsia="方正仿宋_GB2312" w:cs="方正仿宋_GB2312"/>
          <w:color w:val="auto"/>
          <w:kern w:val="2"/>
          <w:sz w:val="32"/>
          <w:szCs w:val="32"/>
          <w:highlight w:val="none"/>
          <w:lang w:val="en-US" w:eastAsia="zh-CN" w:bidi="ar-SA"/>
        </w:rPr>
        <w:t>100%，</w:t>
      </w:r>
      <w:r>
        <w:rPr>
          <w:rFonts w:hint="eastAsia" w:ascii="方正仿宋_GB2312" w:hAnsi="方正仿宋_GB2312" w:eastAsia="方正仿宋_GB2312" w:cs="方正仿宋_GB2312"/>
          <w:color w:val="auto"/>
          <w:kern w:val="2"/>
          <w:sz w:val="32"/>
          <w:szCs w:val="32"/>
          <w:highlight w:val="none"/>
          <w:lang w:val="zh-CN" w:eastAsia="zh-CN" w:bidi="ar-SA"/>
        </w:rPr>
        <w:t>到位及时率</w:t>
      </w:r>
      <w:r>
        <w:rPr>
          <w:rFonts w:hint="eastAsia" w:ascii="方正仿宋_GB2312" w:hAnsi="方正仿宋_GB2312" w:eastAsia="方正仿宋_GB2312" w:cs="方正仿宋_GB2312"/>
          <w:color w:val="auto"/>
          <w:kern w:val="2"/>
          <w:sz w:val="32"/>
          <w:szCs w:val="32"/>
          <w:highlight w:val="none"/>
          <w:lang w:val="en-US" w:eastAsia="zh-CN" w:bidi="ar-SA"/>
        </w:rPr>
        <w:t>100%</w:t>
      </w:r>
      <w:r>
        <w:rPr>
          <w:rFonts w:hint="eastAsia" w:ascii="方正仿宋_GB2312" w:hAnsi="方正仿宋_GB2312" w:eastAsia="方正仿宋_GB2312" w:cs="方正仿宋_GB2312"/>
          <w:color w:val="auto"/>
          <w:kern w:val="2"/>
          <w:sz w:val="32"/>
          <w:szCs w:val="32"/>
          <w:highlight w:val="none"/>
          <w:lang w:val="zh-CN" w:eastAsia="zh-CN" w:bidi="ar-SA"/>
        </w:rPr>
        <w:t>。</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cs="Times New Roman"/>
          <w:color w:val="auto"/>
          <w:kern w:val="2"/>
          <w:sz w:val="32"/>
          <w:szCs w:val="32"/>
          <w:highlight w:val="none"/>
          <w:lang w:val="zh-CN" w:eastAsia="zh-CN" w:bidi="ar-SA"/>
        </w:rPr>
      </w:pPr>
      <w:r>
        <w:rPr>
          <w:rFonts w:hint="eastAsia" w:ascii="方正仿宋_GB2312" w:hAnsi="方正仿宋_GB2312" w:eastAsia="方正仿宋_GB2312" w:cs="方正仿宋_GB2312"/>
          <w:color w:val="auto"/>
          <w:sz w:val="32"/>
          <w:szCs w:val="32"/>
          <w:highlight w:val="none"/>
          <w:lang w:val="zh-CN"/>
        </w:rPr>
        <w:t>3.资金使用。</w:t>
      </w:r>
      <w:r>
        <w:rPr>
          <w:rFonts w:hint="eastAsia" w:ascii="仿宋_GB2312" w:hAnsi="宋体" w:eastAsia="仿宋_GB2312" w:cs="Times New Roman"/>
          <w:color w:val="auto"/>
          <w:kern w:val="2"/>
          <w:sz w:val="32"/>
          <w:szCs w:val="32"/>
          <w:highlight w:val="none"/>
          <w:lang w:val="zh-CN" w:eastAsia="zh-CN" w:bidi="ar-SA"/>
        </w:rPr>
        <w:t>资金支出</w:t>
      </w:r>
      <w:r>
        <w:rPr>
          <w:rFonts w:hint="eastAsia" w:ascii="方正仿宋_GB2312" w:hAnsi="方正仿宋_GB2312" w:eastAsia="方正仿宋_GB2312" w:cs="方正仿宋_GB2312"/>
          <w:color w:val="auto"/>
          <w:kern w:val="2"/>
          <w:sz w:val="32"/>
          <w:szCs w:val="32"/>
          <w:highlight w:val="none"/>
          <w:lang w:val="en-US" w:eastAsia="zh-CN" w:bidi="ar-SA"/>
        </w:rPr>
        <w:t>60万元</w:t>
      </w:r>
      <w:r>
        <w:rPr>
          <w:rFonts w:hint="eastAsia" w:ascii="仿宋_GB2312" w:hAnsi="宋体" w:eastAsia="仿宋_GB2312" w:cs="Times New Roman"/>
          <w:color w:val="auto"/>
          <w:kern w:val="2"/>
          <w:sz w:val="32"/>
          <w:szCs w:val="32"/>
          <w:highlight w:val="none"/>
          <w:lang w:val="en-US" w:eastAsia="zh-CN" w:bidi="ar-SA"/>
        </w:rPr>
        <w:t>，</w:t>
      </w:r>
      <w:r>
        <w:rPr>
          <w:rFonts w:hint="eastAsia" w:ascii="仿宋_GB2312" w:hAnsi="宋体" w:eastAsia="仿宋_GB2312" w:cs="Times New Roman"/>
          <w:color w:val="auto"/>
          <w:kern w:val="2"/>
          <w:sz w:val="32"/>
          <w:szCs w:val="32"/>
          <w:highlight w:val="none"/>
          <w:lang w:val="zh-CN" w:eastAsia="zh-CN" w:bidi="ar-SA"/>
        </w:rPr>
        <w:t>资金使用安全、规范、效果显著。资金用于支付聘用人员工资、保险、福利等。支付标准均按照财政资金管理限额（标准）执行。根据项目实施进度支付款项，支付依据合规合法，支出金额与预算相符。</w:t>
      </w:r>
    </w:p>
    <w:p>
      <w:pPr>
        <w:keepNext w:val="0"/>
        <w:keepLines w:val="0"/>
        <w:pageBreakBefore w:val="0"/>
        <w:kinsoku/>
        <w:wordWrap/>
        <w:overflowPunct/>
        <w:topLinePunct w:val="0"/>
        <w:autoSpaceDE/>
        <w:autoSpaceDN/>
        <w:bidi w:val="0"/>
        <w:adjustRightInd w:val="0"/>
        <w:snapToGrid w:val="0"/>
        <w:spacing w:line="576" w:lineRule="exact"/>
        <w:ind w:firstLine="642" w:firstLineChars="20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（三）项目财务管理情况。</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cs="Times New Roman"/>
          <w:color w:val="auto"/>
          <w:kern w:val="2"/>
          <w:sz w:val="32"/>
          <w:szCs w:val="32"/>
          <w:highlight w:val="none"/>
          <w:lang w:val="zh-CN" w:eastAsia="zh-CN" w:bidi="ar-SA"/>
        </w:rPr>
      </w:pPr>
      <w:r>
        <w:rPr>
          <w:rFonts w:hint="eastAsia" w:ascii="仿宋_GB2312" w:hAnsi="宋体" w:eastAsia="仿宋_GB2312" w:cs="Times New Roman"/>
          <w:color w:val="auto"/>
          <w:kern w:val="2"/>
          <w:sz w:val="32"/>
          <w:szCs w:val="32"/>
          <w:highlight w:val="none"/>
          <w:lang w:val="zh-CN" w:eastAsia="zh-CN" w:bidi="ar-SA"/>
        </w:rPr>
        <w:t>本单位财务管理制度健全，严格执行财务管理制度，账务处理及时，会计核算规范。</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ascii="黑体" w:hAnsi="宋体" w:eastAsia="黑体" w:cs="Times New Roman"/>
          <w:color w:val="auto"/>
          <w:sz w:val="32"/>
          <w:szCs w:val="32"/>
          <w:highlight w:val="none"/>
        </w:rPr>
      </w:pPr>
      <w:r>
        <w:rPr>
          <w:rFonts w:hint="eastAsia" w:ascii="黑体" w:hAnsi="宋体" w:eastAsia="黑体" w:cs="Times New Roman"/>
          <w:color w:val="auto"/>
          <w:sz w:val="32"/>
          <w:szCs w:val="32"/>
          <w:highlight w:val="none"/>
        </w:rPr>
        <w:t>三、项目实施及管理情况</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kern w:val="2"/>
          <w:sz w:val="32"/>
          <w:szCs w:val="32"/>
          <w:highlight w:val="none"/>
          <w:lang w:val="zh-CN" w:eastAsia="zh-CN" w:bidi="ar-SA"/>
        </w:rPr>
        <w:t>结合项目组织实施管理办法，重点围绕以下内容进行分析评价，并对自评中发现的问题分析说明。</w:t>
      </w:r>
    </w:p>
    <w:p>
      <w:pPr>
        <w:keepNext w:val="0"/>
        <w:keepLines w:val="0"/>
        <w:pageBreakBefore w:val="0"/>
        <w:kinsoku/>
        <w:wordWrap/>
        <w:overflowPunct/>
        <w:topLinePunct w:val="0"/>
        <w:autoSpaceDE/>
        <w:autoSpaceDN/>
        <w:bidi w:val="0"/>
        <w:adjustRightInd w:val="0"/>
        <w:snapToGrid w:val="0"/>
        <w:spacing w:line="576" w:lineRule="exact"/>
        <w:ind w:firstLine="642" w:firstLineChars="20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（一）项目组织架构及实施流程。</w:t>
      </w:r>
      <w:r>
        <w:rPr>
          <w:rFonts w:hint="eastAsia" w:ascii="仿宋_GB2312" w:hAnsi="宋体" w:eastAsia="仿宋_GB2312" w:cs="Times New Roman"/>
          <w:color w:val="auto"/>
          <w:kern w:val="2"/>
          <w:sz w:val="32"/>
          <w:szCs w:val="32"/>
          <w:highlight w:val="none"/>
          <w:lang w:val="en-US" w:eastAsia="zh-CN" w:bidi="ar-SA"/>
        </w:rPr>
        <w:t>本</w:t>
      </w:r>
      <w:r>
        <w:rPr>
          <w:rFonts w:hint="eastAsia" w:ascii="仿宋_GB2312" w:hAnsi="宋体" w:eastAsia="仿宋_GB2312" w:cs="Times New Roman"/>
          <w:color w:val="auto"/>
          <w:kern w:val="2"/>
          <w:sz w:val="32"/>
          <w:szCs w:val="32"/>
          <w:highlight w:val="none"/>
          <w:lang w:val="zh-CN" w:eastAsia="zh-CN" w:bidi="ar-SA"/>
        </w:rPr>
        <w:t>单位成立了项目领导小组负责项目统筹安排及管理，安排专人具体负责实施。</w:t>
      </w:r>
    </w:p>
    <w:p>
      <w:pPr>
        <w:keepNext w:val="0"/>
        <w:keepLines w:val="0"/>
        <w:pageBreakBefore w:val="0"/>
        <w:kinsoku/>
        <w:wordWrap/>
        <w:overflowPunct/>
        <w:topLinePunct w:val="0"/>
        <w:autoSpaceDE/>
        <w:autoSpaceDN/>
        <w:bidi w:val="0"/>
        <w:adjustRightInd w:val="0"/>
        <w:snapToGrid w:val="0"/>
        <w:spacing w:line="576" w:lineRule="exact"/>
        <w:ind w:firstLine="642" w:firstLineChars="200"/>
        <w:textAlignment w:val="auto"/>
        <w:rPr>
          <w:rFonts w:ascii="仿宋_GB2312" w:hAnsi="宋体" w:eastAsia="仿宋_GB2312" w:cs="Times New Roman"/>
          <w:color w:val="auto"/>
          <w:sz w:val="32"/>
          <w:szCs w:val="32"/>
          <w:highlight w:val="none"/>
          <w:lang w:val="zh-CN"/>
        </w:rPr>
      </w:pPr>
      <w:r>
        <w:rPr>
          <w:rFonts w:hint="eastAsia" w:ascii="楷体_GB2312" w:hAnsi="宋体" w:eastAsia="楷体_GB2312" w:cs="Times New Roman"/>
          <w:b/>
          <w:color w:val="auto"/>
          <w:sz w:val="32"/>
          <w:szCs w:val="32"/>
          <w:highlight w:val="none"/>
          <w:lang w:val="zh-CN"/>
        </w:rPr>
        <w:t>（二）项目管理情况。</w:t>
      </w:r>
      <w:r>
        <w:rPr>
          <w:rFonts w:hint="eastAsia" w:ascii="仿宋_GB2312" w:hAnsi="宋体" w:eastAsia="仿宋_GB2312" w:cs="Times New Roman"/>
          <w:color w:val="auto"/>
          <w:kern w:val="2"/>
          <w:sz w:val="32"/>
          <w:szCs w:val="32"/>
          <w:highlight w:val="none"/>
          <w:lang w:val="zh-CN" w:eastAsia="zh-CN" w:bidi="ar-SA"/>
        </w:rPr>
        <w:t>我单位严格执行相关法律法规及项目管理制度，管理有序，质量较高，取得了良好的效果。</w:t>
      </w:r>
    </w:p>
    <w:p>
      <w:pPr>
        <w:keepNext w:val="0"/>
        <w:keepLines w:val="0"/>
        <w:pageBreakBefore w:val="0"/>
        <w:kinsoku/>
        <w:wordWrap/>
        <w:overflowPunct/>
        <w:topLinePunct w:val="0"/>
        <w:autoSpaceDE/>
        <w:autoSpaceDN/>
        <w:bidi w:val="0"/>
        <w:adjustRightInd w:val="0"/>
        <w:snapToGrid w:val="0"/>
        <w:spacing w:line="576" w:lineRule="exact"/>
        <w:ind w:firstLine="642" w:firstLineChars="200"/>
        <w:textAlignment w:val="auto"/>
        <w:rPr>
          <w:rFonts w:hint="eastAsia" w:ascii="仿宋_GB2312" w:hAnsi="宋体" w:eastAsia="仿宋_GB2312" w:cs="Times New Roman"/>
          <w:color w:val="auto"/>
          <w:kern w:val="2"/>
          <w:sz w:val="32"/>
          <w:szCs w:val="32"/>
          <w:highlight w:val="none"/>
          <w:lang w:val="zh-CN" w:eastAsia="zh-CN" w:bidi="ar-SA"/>
        </w:rPr>
      </w:pPr>
      <w:r>
        <w:rPr>
          <w:rFonts w:hint="eastAsia" w:ascii="楷体_GB2312" w:hAnsi="宋体" w:eastAsia="楷体_GB2312" w:cs="Times New Roman"/>
          <w:b/>
          <w:color w:val="auto"/>
          <w:sz w:val="32"/>
          <w:szCs w:val="32"/>
          <w:highlight w:val="none"/>
          <w:lang w:val="zh-CN"/>
        </w:rPr>
        <w:t>（三）项目监管情况。</w:t>
      </w:r>
      <w:r>
        <w:rPr>
          <w:rFonts w:hint="eastAsia" w:ascii="仿宋_GB2312" w:hAnsi="宋体" w:eastAsia="仿宋_GB2312" w:cs="Times New Roman"/>
          <w:color w:val="auto"/>
          <w:kern w:val="2"/>
          <w:sz w:val="32"/>
          <w:szCs w:val="32"/>
          <w:highlight w:val="none"/>
          <w:lang w:val="zh-CN" w:eastAsia="zh-CN" w:bidi="ar-SA"/>
        </w:rPr>
        <w:t>我单位项目主要是工作经费，费用支出经过逐级审核，项目实施中纪检部门进行监管，按照单位内控控制制度实施监管，有力的促进了项目顺利实施，圆满完成，监管效果良好。</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ascii="仿宋_GB2312" w:hAnsi="宋体" w:eastAsia="仿宋_GB2312" w:cs="Times New Roman"/>
          <w:color w:val="auto"/>
          <w:sz w:val="32"/>
          <w:szCs w:val="32"/>
          <w:highlight w:val="none"/>
          <w:lang w:val="zh-CN"/>
        </w:rPr>
      </w:pPr>
      <w:r>
        <w:rPr>
          <w:rFonts w:hint="eastAsia" w:ascii="黑体" w:hAnsi="宋体" w:eastAsia="黑体" w:cs="Times New Roman"/>
          <w:color w:val="auto"/>
          <w:sz w:val="32"/>
          <w:szCs w:val="32"/>
          <w:highlight w:val="none"/>
        </w:rPr>
        <w:t>四、项目绩效情况</w:t>
      </w:r>
      <w:r>
        <w:rPr>
          <w:rFonts w:hint="eastAsia" w:ascii="仿宋_GB2312" w:hAnsi="宋体" w:eastAsia="仿宋_GB2312" w:cs="Times New Roman"/>
          <w:color w:val="auto"/>
          <w:sz w:val="32"/>
          <w:szCs w:val="32"/>
          <w:highlight w:val="none"/>
          <w:lang w:val="zh-CN"/>
        </w:rPr>
        <w:tab/>
      </w:r>
    </w:p>
    <w:p>
      <w:pPr>
        <w:keepNext w:val="0"/>
        <w:keepLines w:val="0"/>
        <w:pageBreakBefore w:val="0"/>
        <w:kinsoku/>
        <w:wordWrap/>
        <w:overflowPunct/>
        <w:topLinePunct w:val="0"/>
        <w:autoSpaceDE/>
        <w:autoSpaceDN/>
        <w:bidi w:val="0"/>
        <w:adjustRightInd w:val="0"/>
        <w:snapToGrid w:val="0"/>
        <w:spacing w:line="576" w:lineRule="exact"/>
        <w:ind w:firstLine="642" w:firstLineChars="20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（一）项目完成情况。</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方正仿宋简体" w:hAnsi="宋体" w:eastAsia="方正仿宋简体"/>
          <w:color w:val="auto"/>
          <w:sz w:val="32"/>
          <w:szCs w:val="32"/>
          <w:lang w:val="en-US" w:eastAsia="zh-CN"/>
        </w:rPr>
      </w:pPr>
      <w:r>
        <w:rPr>
          <w:rFonts w:hint="eastAsia" w:ascii="仿宋_GB2312" w:hAnsi="宋体" w:eastAsia="仿宋_GB2312" w:cs="Times New Roman"/>
          <w:color w:val="auto"/>
          <w:kern w:val="2"/>
          <w:sz w:val="32"/>
          <w:szCs w:val="32"/>
          <w:highlight w:val="none"/>
          <w:lang w:val="zh-CN" w:eastAsia="zh-CN" w:bidi="ar-SA"/>
        </w:rPr>
        <w:t>项目全部完成预期目标，均达到数量计划值，质量良好、按时完成、未超预算，无资金结余，无违规违纪情况。</w:t>
      </w:r>
      <w:r>
        <w:rPr>
          <w:rFonts w:hint="eastAsia" w:ascii="方正仿宋简体" w:hAnsi="宋体" w:eastAsia="方正仿宋简体"/>
          <w:color w:val="auto"/>
          <w:sz w:val="32"/>
          <w:szCs w:val="32"/>
          <w:lang w:val="en-US" w:eastAsia="zh-CN"/>
        </w:rPr>
        <w:t xml:space="preserve">  </w:t>
      </w:r>
    </w:p>
    <w:p>
      <w:pPr>
        <w:keepNext w:val="0"/>
        <w:keepLines w:val="0"/>
        <w:pageBreakBefore w:val="0"/>
        <w:kinsoku/>
        <w:wordWrap/>
        <w:overflowPunct/>
        <w:topLinePunct w:val="0"/>
        <w:autoSpaceDE/>
        <w:autoSpaceDN/>
        <w:bidi w:val="0"/>
        <w:adjustRightInd w:val="0"/>
        <w:snapToGrid w:val="0"/>
        <w:spacing w:line="576" w:lineRule="exact"/>
        <w:ind w:firstLine="642" w:firstLineChars="20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（二）项目效益情况。</w:t>
      </w:r>
    </w:p>
    <w:p>
      <w:pPr>
        <w:keepNext w:val="0"/>
        <w:keepLines w:val="0"/>
        <w:pageBreakBefore w:val="0"/>
        <w:kinsoku/>
        <w:wordWrap/>
        <w:overflowPunct/>
        <w:topLinePunct w:val="0"/>
        <w:autoSpaceDE/>
        <w:autoSpaceDN/>
        <w:bidi w:val="0"/>
        <w:adjustRightInd w:val="0"/>
        <w:snapToGrid w:val="0"/>
        <w:spacing w:line="576" w:lineRule="exact"/>
        <w:ind w:firstLine="640" w:firstLineChars="200"/>
        <w:rPr>
          <w:rFonts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zh-CN"/>
        </w:rPr>
        <w:t>一线工作人员为服务对象提供生活起居、文化娱乐、医疗保健等方面养护、康复、托管等综合性服务，促进社会稳定发展，聘用人员和特困人员、代养老人、孤儿弃婴的满意度均达到90%。</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ascii="黑体" w:hAnsi="宋体" w:eastAsia="黑体" w:cs="Times New Roman"/>
          <w:color w:val="auto"/>
          <w:sz w:val="32"/>
          <w:szCs w:val="32"/>
          <w:highlight w:val="none"/>
        </w:rPr>
      </w:pPr>
      <w:r>
        <w:rPr>
          <w:rFonts w:hint="eastAsia" w:ascii="黑体" w:hAnsi="宋体" w:eastAsia="黑体" w:cs="Times New Roman"/>
          <w:color w:val="auto"/>
          <w:sz w:val="32"/>
          <w:szCs w:val="32"/>
          <w:highlight w:val="none"/>
        </w:rPr>
        <w:t>五、评价结论及建议</w:t>
      </w:r>
    </w:p>
    <w:p>
      <w:pPr>
        <w:keepNext w:val="0"/>
        <w:keepLines w:val="0"/>
        <w:pageBreakBefore w:val="0"/>
        <w:kinsoku/>
        <w:wordWrap/>
        <w:overflowPunct/>
        <w:topLinePunct w:val="0"/>
        <w:autoSpaceDE/>
        <w:autoSpaceDN/>
        <w:bidi w:val="0"/>
        <w:adjustRightInd w:val="0"/>
        <w:snapToGrid w:val="0"/>
        <w:spacing w:line="576" w:lineRule="exact"/>
        <w:ind w:firstLine="642" w:firstLineChars="20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（一）评价结论。</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default" w:ascii="仿宋_GB2312" w:hAnsi="宋体" w:eastAsia="仿宋_GB2312" w:cs="Times New Roman"/>
          <w:color w:val="auto"/>
          <w:kern w:val="2"/>
          <w:sz w:val="32"/>
          <w:szCs w:val="32"/>
          <w:highlight w:val="none"/>
          <w:lang w:val="en-US" w:eastAsia="zh-CN" w:bidi="ar-SA"/>
        </w:rPr>
      </w:pPr>
      <w:r>
        <w:rPr>
          <w:rFonts w:hint="eastAsia" w:ascii="仿宋_GB2312" w:hAnsi="宋体" w:eastAsia="仿宋_GB2312" w:cs="Times New Roman"/>
          <w:color w:val="auto"/>
          <w:kern w:val="2"/>
          <w:sz w:val="32"/>
          <w:szCs w:val="32"/>
          <w:highlight w:val="none"/>
          <w:lang w:val="en-US" w:eastAsia="zh-CN" w:bidi="ar-SA"/>
        </w:rPr>
        <w:t>项目管理良好，实施有序，绩效显著。均达到了预期目标</w:t>
      </w:r>
      <w:r>
        <w:rPr>
          <w:rFonts w:hint="eastAsia" w:ascii="仿宋_GB2312" w:hAnsi="宋体" w:eastAsia="仿宋_GB2312" w:cs="Times New Roman"/>
          <w:color w:val="auto"/>
          <w:kern w:val="2"/>
          <w:sz w:val="32"/>
          <w:szCs w:val="32"/>
          <w:highlight w:val="none"/>
          <w:lang w:val="zh-CN" w:eastAsia="zh-CN" w:bidi="ar-SA"/>
        </w:rPr>
        <w:t>。</w:t>
      </w:r>
    </w:p>
    <w:p>
      <w:pPr>
        <w:keepNext w:val="0"/>
        <w:keepLines w:val="0"/>
        <w:pageBreakBefore w:val="0"/>
        <w:kinsoku/>
        <w:wordWrap/>
        <w:overflowPunct/>
        <w:topLinePunct w:val="0"/>
        <w:autoSpaceDE/>
        <w:autoSpaceDN/>
        <w:bidi w:val="0"/>
        <w:adjustRightInd w:val="0"/>
        <w:snapToGrid w:val="0"/>
        <w:spacing w:line="576" w:lineRule="exact"/>
        <w:ind w:firstLine="642" w:firstLineChars="20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（二）存在的问题。</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kern w:val="2"/>
          <w:sz w:val="32"/>
          <w:szCs w:val="32"/>
          <w:highlight w:val="none"/>
          <w:lang w:val="zh-CN" w:eastAsia="zh-CN" w:bidi="ar-SA"/>
        </w:rPr>
        <w:t>无。</w:t>
      </w:r>
      <w:r>
        <w:rPr>
          <w:rFonts w:hint="eastAsia" w:ascii="仿宋_GB2312" w:hAnsi="宋体" w:eastAsia="仿宋_GB2312" w:cs="Times New Roman"/>
          <w:color w:val="auto"/>
          <w:sz w:val="32"/>
          <w:szCs w:val="32"/>
          <w:highlight w:val="none"/>
          <w:lang w:val="zh-CN"/>
        </w:rPr>
        <w:tab/>
      </w:r>
    </w:p>
    <w:p>
      <w:pPr>
        <w:keepNext w:val="0"/>
        <w:keepLines w:val="0"/>
        <w:pageBreakBefore w:val="0"/>
        <w:kinsoku/>
        <w:wordWrap/>
        <w:overflowPunct/>
        <w:topLinePunct w:val="0"/>
        <w:autoSpaceDE/>
        <w:autoSpaceDN/>
        <w:bidi w:val="0"/>
        <w:adjustRightInd w:val="0"/>
        <w:snapToGrid w:val="0"/>
        <w:spacing w:line="576" w:lineRule="exact"/>
        <w:ind w:firstLine="642" w:firstLineChars="20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（三）相关建议。</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color w:val="auto"/>
          <w:lang w:val="en-US" w:eastAsia="zh-CN"/>
        </w:rPr>
      </w:pPr>
      <w:r>
        <w:rPr>
          <w:rFonts w:hint="eastAsia" w:ascii="仿宋_GB2312" w:hAnsi="宋体" w:eastAsia="仿宋_GB2312" w:cs="Times New Roman"/>
          <w:color w:val="auto"/>
          <w:kern w:val="2"/>
          <w:sz w:val="32"/>
          <w:szCs w:val="32"/>
          <w:highlight w:val="none"/>
          <w:lang w:val="zh-CN" w:eastAsia="zh-CN" w:bidi="ar-SA"/>
        </w:rPr>
        <w:t>一是加强业务培训，进一步提高工作人员财政资金绩效意识；二是进一步细化项目预算，严格控制各项费用，过紧日子；三是今后对于财政资金项目，加大评价结果应用，真正做到“用钱必问效，无效必问责”。</w:t>
      </w:r>
    </w:p>
    <w:p>
      <w:pPr>
        <w:keepNext w:val="0"/>
        <w:keepLines w:val="0"/>
        <w:pageBreakBefore w:val="0"/>
        <w:widowControl w:val="0"/>
        <w:kinsoku/>
        <w:wordWrap/>
        <w:overflowPunct/>
        <w:topLinePunct w:val="0"/>
        <w:autoSpaceDE/>
        <w:autoSpaceDN/>
        <w:bidi w:val="0"/>
        <w:spacing w:line="576" w:lineRule="exact"/>
        <w:jc w:val="center"/>
        <w:textAlignment w:val="auto"/>
        <w:rPr>
          <w:rFonts w:hint="eastAsia" w:ascii="方正小标宋简体" w:hAnsi="方正小标宋简体" w:eastAsia="方正小标宋简体" w:cs="方正小标宋简体"/>
          <w:color w:val="auto"/>
          <w:kern w:val="2"/>
          <w:sz w:val="40"/>
          <w:szCs w:val="40"/>
          <w:highlight w:val="none"/>
          <w:lang w:val="zh-CN" w:eastAsia="zh-CN" w:bidi="ar-SA"/>
        </w:rPr>
      </w:pPr>
      <w:r>
        <w:rPr>
          <w:rFonts w:hint="eastAsia" w:ascii="方正小标宋简体" w:hAnsi="方正小标宋简体" w:eastAsia="方正小标宋简体" w:cs="方正小标宋简体"/>
          <w:color w:val="auto"/>
          <w:kern w:val="2"/>
          <w:sz w:val="40"/>
          <w:szCs w:val="40"/>
          <w:highlight w:val="none"/>
          <w:lang w:val="en-US" w:eastAsia="zh-CN" w:bidi="ar-SA"/>
        </w:rPr>
        <w:t>2021年家庭寄养经费</w:t>
      </w:r>
      <w:r>
        <w:rPr>
          <w:rFonts w:hint="eastAsia" w:ascii="方正小标宋简体" w:hAnsi="方正小标宋简体" w:eastAsia="方正小标宋简体" w:cs="方正小标宋简体"/>
          <w:color w:val="auto"/>
          <w:kern w:val="2"/>
          <w:sz w:val="40"/>
          <w:szCs w:val="40"/>
          <w:highlight w:val="none"/>
          <w:lang w:val="zh-CN" w:eastAsia="zh-CN" w:bidi="ar-SA"/>
        </w:rPr>
        <w:t>项目支出绩效自评报告</w:t>
      </w:r>
    </w:p>
    <w:p>
      <w:pPr>
        <w:keepNext w:val="0"/>
        <w:keepLines w:val="0"/>
        <w:pageBreakBefore w:val="0"/>
        <w:widowControl w:val="0"/>
        <w:kinsoku/>
        <w:wordWrap/>
        <w:overflowPunct/>
        <w:topLinePunct w:val="0"/>
        <w:autoSpaceDE/>
        <w:autoSpaceDN/>
        <w:bidi w:val="0"/>
        <w:spacing w:line="576" w:lineRule="exact"/>
        <w:ind w:firstLine="640"/>
        <w:jc w:val="center"/>
        <w:textAlignment w:val="auto"/>
        <w:rPr>
          <w:rFonts w:ascii="宋体" w:hAnsi="宋体" w:eastAsia="宋体" w:cs="Times New Roman"/>
          <w:color w:val="auto"/>
          <w:kern w:val="2"/>
          <w:sz w:val="32"/>
          <w:szCs w:val="32"/>
          <w:highlight w:val="none"/>
          <w:lang w:val="zh-CN" w:eastAsia="zh-CN" w:bidi="ar-SA"/>
        </w:rPr>
      </w:pP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ascii="黑体" w:hAnsi="宋体" w:eastAsia="黑体" w:cs="Times New Roman"/>
          <w:color w:val="auto"/>
          <w:sz w:val="32"/>
          <w:szCs w:val="32"/>
          <w:highlight w:val="none"/>
          <w:lang w:val="zh-CN"/>
        </w:rPr>
      </w:pPr>
      <w:r>
        <w:rPr>
          <w:rFonts w:hint="eastAsia" w:ascii="黑体" w:hAnsi="宋体" w:eastAsia="黑体" w:cs="Times New Roman"/>
          <w:color w:val="auto"/>
          <w:sz w:val="32"/>
          <w:szCs w:val="32"/>
          <w:highlight w:val="none"/>
        </w:rPr>
        <w:t>一、</w:t>
      </w:r>
      <w:r>
        <w:rPr>
          <w:rFonts w:hint="eastAsia" w:ascii="黑体" w:hAnsi="宋体" w:eastAsia="黑体" w:cs="Times New Roman"/>
          <w:color w:val="auto"/>
          <w:sz w:val="32"/>
          <w:szCs w:val="32"/>
          <w:highlight w:val="none"/>
          <w:lang w:val="zh-CN"/>
        </w:rPr>
        <w:t>项目概况</w:t>
      </w:r>
    </w:p>
    <w:p>
      <w:pPr>
        <w:keepNext w:val="0"/>
        <w:keepLines w:val="0"/>
        <w:pageBreakBefore w:val="0"/>
        <w:kinsoku/>
        <w:wordWrap/>
        <w:overflowPunct/>
        <w:topLinePunct w:val="0"/>
        <w:autoSpaceDE/>
        <w:autoSpaceDN/>
        <w:bidi w:val="0"/>
        <w:adjustRightInd w:val="0"/>
        <w:snapToGrid w:val="0"/>
        <w:spacing w:line="576" w:lineRule="exact"/>
        <w:ind w:firstLine="642" w:firstLineChars="20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（一）项目基本情况。</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zh-CN"/>
        </w:rPr>
        <w:t>1.说明项目主管部门（单位）在该项目管理中的职能。</w:t>
      </w:r>
    </w:p>
    <w:p>
      <w:pPr>
        <w:keepNext w:val="0"/>
        <w:keepLines w:val="0"/>
        <w:pageBreakBefore w:val="0"/>
        <w:kinsoku/>
        <w:wordWrap/>
        <w:overflowPunct/>
        <w:topLinePunct w:val="0"/>
        <w:autoSpaceDE/>
        <w:autoSpaceDN/>
        <w:bidi w:val="0"/>
        <w:adjustRightInd w:val="0"/>
        <w:snapToGrid w:val="0"/>
        <w:spacing w:line="576" w:lineRule="exact"/>
        <w:ind w:firstLine="640" w:firstLineChars="200"/>
        <w:rPr>
          <w:rFonts w:hint="eastAsia"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zh-CN"/>
        </w:rPr>
        <w:t>民政部颁发《家庭寄养管理办法》(中华人民共和国民政部第54号令)第五章第二十九条规定:家庭寄养经费，包括寄养儿童的养育费用补贴，寄养家庭劳务补贴，寄养工作经费等。寄养儿童养育费用补贴按照国家规定列支。寄养家庭补贴、寄养工作经费等由当地人民政府予以保障。</w:t>
      </w:r>
    </w:p>
    <w:p>
      <w:pPr>
        <w:keepNext w:val="0"/>
        <w:keepLines w:val="0"/>
        <w:pageBreakBefore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en-US" w:eastAsia="zh-CN"/>
        </w:rPr>
        <w:t>2.</w:t>
      </w:r>
      <w:r>
        <w:rPr>
          <w:rFonts w:hint="eastAsia" w:ascii="仿宋_GB2312" w:hAnsi="宋体" w:eastAsia="仿宋_GB2312" w:cs="Times New Roman"/>
          <w:color w:val="auto"/>
          <w:sz w:val="32"/>
          <w:szCs w:val="32"/>
          <w:highlight w:val="none"/>
          <w:lang w:val="zh-CN"/>
        </w:rPr>
        <w:t>项目立项、资金申报的依据。</w:t>
      </w:r>
    </w:p>
    <w:p>
      <w:pPr>
        <w:keepNext w:val="0"/>
        <w:keepLines w:val="0"/>
        <w:pageBreakBefore w:val="0"/>
        <w:kinsoku/>
        <w:wordWrap/>
        <w:overflowPunct/>
        <w:topLinePunct w:val="0"/>
        <w:autoSpaceDE/>
        <w:autoSpaceDN/>
        <w:bidi w:val="0"/>
        <w:adjustRightInd w:val="0"/>
        <w:snapToGrid w:val="0"/>
        <w:spacing w:line="576" w:lineRule="exact"/>
        <w:ind w:firstLine="640" w:firstLineChars="200"/>
        <w:rPr>
          <w:rFonts w:hint="eastAsia"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zh-CN"/>
        </w:rPr>
        <w:t>项目立项、资金申报的依据主要是本单位职能职责及年度工作计划。</w:t>
      </w:r>
    </w:p>
    <w:p>
      <w:pPr>
        <w:keepNext w:val="0"/>
        <w:keepLines w:val="0"/>
        <w:pageBreakBefore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en-US" w:eastAsia="zh-CN"/>
        </w:rPr>
        <w:t>3.</w:t>
      </w:r>
      <w:r>
        <w:rPr>
          <w:rFonts w:hint="eastAsia" w:ascii="仿宋_GB2312" w:hAnsi="宋体" w:eastAsia="仿宋_GB2312" w:cs="Times New Roman"/>
          <w:color w:val="auto"/>
          <w:sz w:val="32"/>
          <w:szCs w:val="32"/>
          <w:highlight w:val="none"/>
          <w:lang w:val="zh-CN"/>
        </w:rPr>
        <w:t>资金管理办法制定情况，资金支持具体项目的条件、范围与支持方式概况。</w:t>
      </w:r>
    </w:p>
    <w:p>
      <w:pPr>
        <w:keepNext w:val="0"/>
        <w:keepLines w:val="0"/>
        <w:pageBreakBefore w:val="0"/>
        <w:kinsoku/>
        <w:wordWrap/>
        <w:overflowPunct/>
        <w:topLinePunct w:val="0"/>
        <w:autoSpaceDE/>
        <w:autoSpaceDN/>
        <w:bidi w:val="0"/>
        <w:adjustRightInd w:val="0"/>
        <w:snapToGrid w:val="0"/>
        <w:spacing w:line="576" w:lineRule="exact"/>
        <w:ind w:firstLine="640" w:firstLineChars="200"/>
        <w:rPr>
          <w:rFonts w:hint="eastAsia"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zh-CN"/>
        </w:rPr>
        <w:t>本项目主要是工作经费，按照财政资金相关管理办法和要求执行。资金支持具体项目的条件是根据部门工作计划要求安排。财政全额支持。</w:t>
      </w:r>
    </w:p>
    <w:p>
      <w:pPr>
        <w:keepNext w:val="0"/>
        <w:keepLines w:val="0"/>
        <w:pageBreakBefore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en-US" w:eastAsia="zh-CN"/>
        </w:rPr>
        <w:t>4.</w:t>
      </w:r>
      <w:r>
        <w:rPr>
          <w:rFonts w:hint="eastAsia" w:ascii="仿宋_GB2312" w:hAnsi="宋体" w:eastAsia="仿宋_GB2312" w:cs="Times New Roman"/>
          <w:color w:val="auto"/>
          <w:sz w:val="32"/>
          <w:szCs w:val="32"/>
          <w:highlight w:val="none"/>
          <w:lang w:val="zh-CN"/>
        </w:rPr>
        <w:t>资金分配的原则及考虑因素。</w:t>
      </w:r>
    </w:p>
    <w:p>
      <w:pPr>
        <w:keepNext w:val="0"/>
        <w:keepLines w:val="0"/>
        <w:pageBreakBefore w:val="0"/>
        <w:kinsoku/>
        <w:wordWrap/>
        <w:overflowPunct/>
        <w:topLinePunct w:val="0"/>
        <w:autoSpaceDE/>
        <w:autoSpaceDN/>
        <w:bidi w:val="0"/>
        <w:adjustRightInd w:val="0"/>
        <w:snapToGrid w:val="0"/>
        <w:spacing w:line="576" w:lineRule="exact"/>
        <w:ind w:firstLine="640" w:firstLineChars="200"/>
        <w:rPr>
          <w:rFonts w:hint="eastAsia"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zh-CN"/>
        </w:rPr>
        <w:t>项目资金全部由本单位使用，根据项目具体实施内容匹配资金。</w:t>
      </w:r>
    </w:p>
    <w:p>
      <w:pPr>
        <w:keepNext w:val="0"/>
        <w:keepLines w:val="0"/>
        <w:pageBreakBefore w:val="0"/>
        <w:kinsoku/>
        <w:wordWrap/>
        <w:overflowPunct/>
        <w:topLinePunct w:val="0"/>
        <w:autoSpaceDE/>
        <w:autoSpaceDN/>
        <w:bidi w:val="0"/>
        <w:adjustRightInd w:val="0"/>
        <w:snapToGrid w:val="0"/>
        <w:spacing w:line="576" w:lineRule="exact"/>
        <w:ind w:firstLine="642" w:firstLineChars="20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（二）项目绩效目标。</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zh-CN"/>
        </w:rPr>
        <w:t>1.项目主要内容。</w:t>
      </w:r>
    </w:p>
    <w:p>
      <w:pPr>
        <w:keepNext w:val="0"/>
        <w:keepLines w:val="0"/>
        <w:pageBreakBefore w:val="0"/>
        <w:kinsoku/>
        <w:wordWrap/>
        <w:overflowPunct/>
        <w:topLinePunct w:val="0"/>
        <w:autoSpaceDE/>
        <w:autoSpaceDN/>
        <w:bidi w:val="0"/>
        <w:adjustRightInd w:val="0"/>
        <w:snapToGrid w:val="0"/>
        <w:spacing w:line="576" w:lineRule="exact"/>
        <w:ind w:firstLine="640" w:firstLineChars="200"/>
        <w:rPr>
          <w:rFonts w:hint="eastAsia"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zh-CN"/>
        </w:rPr>
        <w:t>保障寄养儿童相关养育经费以及所在的寄养家庭相关补贴、寄养工作经费等。</w:t>
      </w:r>
    </w:p>
    <w:p>
      <w:pPr>
        <w:keepNext w:val="0"/>
        <w:keepLines w:val="0"/>
        <w:pageBreakBefore w:val="0"/>
        <w:numPr>
          <w:ilvl w:val="0"/>
          <w:numId w:val="0"/>
        </w:numPr>
        <w:kinsoku/>
        <w:wordWrap/>
        <w:overflowPunct/>
        <w:topLinePunct w:val="0"/>
        <w:autoSpaceDE/>
        <w:autoSpaceDN/>
        <w:bidi w:val="0"/>
        <w:adjustRightInd w:val="0"/>
        <w:snapToGrid w:val="0"/>
        <w:spacing w:line="576" w:lineRule="exact"/>
        <w:ind w:firstLine="640" w:firstLineChars="200"/>
        <w:textAlignment w:val="auto"/>
        <w:rPr>
          <w:color w:val="auto"/>
          <w:lang w:val="zh-CN"/>
        </w:rPr>
      </w:pPr>
      <w:r>
        <w:rPr>
          <w:rFonts w:hint="eastAsia" w:ascii="仿宋_GB2312" w:hAnsi="宋体" w:eastAsia="仿宋_GB2312" w:cs="Times New Roman"/>
          <w:color w:val="auto"/>
          <w:sz w:val="32"/>
          <w:szCs w:val="32"/>
          <w:highlight w:val="none"/>
          <w:lang w:val="en-US" w:eastAsia="zh-CN"/>
        </w:rPr>
        <w:t>2.</w:t>
      </w:r>
      <w:r>
        <w:rPr>
          <w:rFonts w:hint="eastAsia" w:ascii="仿宋_GB2312" w:hAnsi="宋体" w:eastAsia="仿宋_GB2312" w:cs="Times New Roman"/>
          <w:color w:val="auto"/>
          <w:sz w:val="32"/>
          <w:szCs w:val="32"/>
          <w:highlight w:val="none"/>
          <w:lang w:val="zh-CN"/>
        </w:rPr>
        <w:t>项目应实现的具体绩效目标，包括目标的量化、细化情况以及项目实施进度计划等。</w:t>
      </w:r>
    </w:p>
    <w:p>
      <w:pPr>
        <w:keepNext w:val="0"/>
        <w:keepLines w:val="0"/>
        <w:pageBreakBefore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cs="Times New Roman"/>
          <w:color w:val="auto"/>
          <w:sz w:val="32"/>
          <w:szCs w:val="32"/>
          <w:highlight w:val="none"/>
          <w:lang w:val="en-US" w:eastAsia="zh-CN"/>
        </w:rPr>
      </w:pPr>
      <w:r>
        <w:rPr>
          <w:rFonts w:hint="eastAsia" w:ascii="仿宋_GB2312" w:hAnsi="宋体" w:eastAsia="仿宋_GB2312" w:cs="Times New Roman"/>
          <w:color w:val="auto"/>
          <w:sz w:val="32"/>
          <w:szCs w:val="32"/>
          <w:highlight w:val="none"/>
          <w:lang w:val="en-US" w:eastAsia="zh-CN"/>
        </w:rPr>
        <w:t>项目申请时依据项目实际情况明确了具体的绩效目标，包括数量指标（家庭寄养人数），质量指标（保证寄养儿童的养育质量）；时效指标（2021年12月31日之前完成）、成本指标（寄养儿童养育经费以及寄养家庭劳务补贴等），社会效益指标（保障寄养儿童的养育，促进社会的稳定发展），满意度指标（满意度达到90%）等6个指标。并对指标值进行了量化、细化。项目制定了详细可行的进度计划，确保了项目顺利实施。</w:t>
      </w:r>
    </w:p>
    <w:p>
      <w:pPr>
        <w:keepNext w:val="0"/>
        <w:keepLines w:val="0"/>
        <w:pageBreakBefore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en-US" w:eastAsia="zh-CN"/>
        </w:rPr>
        <w:t>3.</w:t>
      </w:r>
      <w:r>
        <w:rPr>
          <w:rFonts w:hint="eastAsia" w:ascii="仿宋_GB2312" w:hAnsi="宋体" w:eastAsia="仿宋_GB2312" w:cs="Times New Roman"/>
          <w:color w:val="auto"/>
          <w:sz w:val="32"/>
          <w:szCs w:val="32"/>
          <w:highlight w:val="none"/>
          <w:lang w:val="zh-CN"/>
        </w:rPr>
        <w:t>分析评价申报内容是否与实际相符，申报目标是否合理可行。</w:t>
      </w:r>
    </w:p>
    <w:p>
      <w:pPr>
        <w:pStyle w:val="2"/>
        <w:keepNext w:val="0"/>
        <w:keepLines w:val="0"/>
        <w:pageBreakBefore w:val="0"/>
        <w:numPr>
          <w:ilvl w:val="0"/>
          <w:numId w:val="0"/>
        </w:numPr>
        <w:kinsoku/>
        <w:wordWrap/>
        <w:overflowPunct/>
        <w:topLinePunct w:val="0"/>
        <w:autoSpaceDE/>
        <w:autoSpaceDN/>
        <w:bidi w:val="0"/>
        <w:spacing w:line="576" w:lineRule="exact"/>
        <w:ind w:firstLine="640" w:firstLineChars="200"/>
        <w:rPr>
          <w:rFonts w:hint="eastAsia" w:ascii="仿宋_GB2312" w:hAnsi="宋体" w:eastAsia="仿宋_GB2312" w:cs="Times New Roman"/>
          <w:color w:val="auto"/>
          <w:kern w:val="2"/>
          <w:sz w:val="32"/>
          <w:szCs w:val="32"/>
          <w:highlight w:val="none"/>
          <w:lang w:val="zh-CN" w:eastAsia="zh-CN" w:bidi="ar-SA"/>
        </w:rPr>
      </w:pPr>
      <w:r>
        <w:rPr>
          <w:rFonts w:hint="eastAsia" w:ascii="仿宋_GB2312" w:hAnsi="宋体" w:eastAsia="仿宋_GB2312" w:cs="Times New Roman"/>
          <w:color w:val="auto"/>
          <w:kern w:val="2"/>
          <w:sz w:val="32"/>
          <w:szCs w:val="32"/>
          <w:highlight w:val="none"/>
          <w:lang w:val="en-US" w:eastAsia="zh-CN" w:bidi="ar-SA"/>
        </w:rPr>
        <w:t>绩效自评结果表明，项目</w:t>
      </w:r>
      <w:r>
        <w:rPr>
          <w:rFonts w:hint="eastAsia" w:ascii="仿宋_GB2312" w:hAnsi="宋体" w:eastAsia="仿宋_GB2312" w:cs="Times New Roman"/>
          <w:color w:val="auto"/>
          <w:kern w:val="2"/>
          <w:sz w:val="32"/>
          <w:szCs w:val="32"/>
          <w:highlight w:val="none"/>
          <w:lang w:val="zh-CN" w:eastAsia="zh-CN" w:bidi="ar-SA"/>
        </w:rPr>
        <w:t>申报内容与实际相符，申报目标合理可行。</w:t>
      </w:r>
    </w:p>
    <w:p>
      <w:pPr>
        <w:keepNext w:val="0"/>
        <w:keepLines w:val="0"/>
        <w:pageBreakBefore w:val="0"/>
        <w:kinsoku/>
        <w:wordWrap/>
        <w:overflowPunct/>
        <w:topLinePunct w:val="0"/>
        <w:autoSpaceDE/>
        <w:autoSpaceDN/>
        <w:bidi w:val="0"/>
        <w:adjustRightInd w:val="0"/>
        <w:snapToGrid w:val="0"/>
        <w:spacing w:line="576" w:lineRule="exact"/>
        <w:ind w:firstLine="642" w:firstLineChars="20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（三）项目自评步骤及方法。</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zh-CN"/>
        </w:rPr>
        <w:t>说明项目绩效自评采用的组织实施步骤及方法。</w:t>
      </w:r>
    </w:p>
    <w:p>
      <w:pPr>
        <w:pStyle w:val="2"/>
        <w:keepNext w:val="0"/>
        <w:keepLines w:val="0"/>
        <w:pageBreakBefore w:val="0"/>
        <w:numPr>
          <w:ilvl w:val="0"/>
          <w:numId w:val="0"/>
        </w:numPr>
        <w:kinsoku/>
        <w:wordWrap/>
        <w:overflowPunct/>
        <w:topLinePunct w:val="0"/>
        <w:autoSpaceDE/>
        <w:autoSpaceDN/>
        <w:bidi w:val="0"/>
        <w:spacing w:line="576" w:lineRule="exact"/>
        <w:ind w:firstLine="640" w:firstLineChars="200"/>
        <w:rPr>
          <w:rFonts w:hint="eastAsia" w:ascii="仿宋_GB2312" w:hAnsi="宋体" w:eastAsia="仿宋_GB2312" w:cs="Times New Roman"/>
          <w:color w:val="auto"/>
          <w:kern w:val="2"/>
          <w:sz w:val="32"/>
          <w:szCs w:val="32"/>
          <w:highlight w:val="none"/>
          <w:lang w:val="en-US" w:eastAsia="zh-CN" w:bidi="ar-SA"/>
        </w:rPr>
      </w:pPr>
      <w:r>
        <w:rPr>
          <w:rFonts w:hint="eastAsia" w:ascii="仿宋_GB2312" w:hAnsi="宋体" w:eastAsia="仿宋_GB2312" w:cs="Times New Roman"/>
          <w:color w:val="auto"/>
          <w:kern w:val="2"/>
          <w:sz w:val="32"/>
          <w:szCs w:val="32"/>
          <w:highlight w:val="none"/>
          <w:lang w:val="en-US" w:eastAsia="zh-CN" w:bidi="ar-SA"/>
        </w:rPr>
        <w:t>我单位对此次自评工作高度重视，成立了绩效评价工作小组，按照下列程序实施：</w:t>
      </w:r>
    </w:p>
    <w:p>
      <w:pPr>
        <w:pStyle w:val="2"/>
        <w:keepNext w:val="0"/>
        <w:keepLines w:val="0"/>
        <w:pageBreakBefore w:val="0"/>
        <w:numPr>
          <w:ilvl w:val="0"/>
          <w:numId w:val="0"/>
        </w:numPr>
        <w:kinsoku/>
        <w:wordWrap/>
        <w:overflowPunct/>
        <w:topLinePunct w:val="0"/>
        <w:autoSpaceDE/>
        <w:autoSpaceDN/>
        <w:bidi w:val="0"/>
        <w:spacing w:line="576" w:lineRule="exact"/>
        <w:ind w:firstLine="640" w:firstLineChars="200"/>
        <w:rPr>
          <w:rFonts w:hint="eastAsia" w:ascii="仿宋_GB2312" w:hAnsi="宋体" w:eastAsia="仿宋_GB2312" w:cs="Times New Roman"/>
          <w:color w:val="auto"/>
          <w:kern w:val="2"/>
          <w:sz w:val="32"/>
          <w:szCs w:val="32"/>
          <w:highlight w:val="none"/>
          <w:lang w:val="en-US" w:eastAsia="zh-CN" w:bidi="ar-SA"/>
        </w:rPr>
      </w:pPr>
      <w:r>
        <w:rPr>
          <w:rFonts w:hint="eastAsia" w:ascii="仿宋_GB2312" w:hAnsi="宋体" w:eastAsia="仿宋_GB2312" w:cs="Times New Roman"/>
          <w:color w:val="auto"/>
          <w:kern w:val="2"/>
          <w:sz w:val="32"/>
          <w:szCs w:val="32"/>
          <w:highlight w:val="none"/>
          <w:lang w:val="en-US" w:eastAsia="zh-CN" w:bidi="ar-SA"/>
        </w:rPr>
        <w:t>1.分解任务：根据部门支出绩效评价涉及的工作内容，分解到各股室；</w:t>
      </w:r>
    </w:p>
    <w:p>
      <w:pPr>
        <w:pStyle w:val="2"/>
        <w:keepNext w:val="0"/>
        <w:keepLines w:val="0"/>
        <w:pageBreakBefore w:val="0"/>
        <w:numPr>
          <w:ilvl w:val="0"/>
          <w:numId w:val="0"/>
        </w:numPr>
        <w:kinsoku/>
        <w:wordWrap/>
        <w:overflowPunct/>
        <w:topLinePunct w:val="0"/>
        <w:autoSpaceDE/>
        <w:autoSpaceDN/>
        <w:bidi w:val="0"/>
        <w:spacing w:line="576" w:lineRule="exact"/>
        <w:ind w:firstLine="640" w:firstLineChars="200"/>
        <w:rPr>
          <w:rFonts w:hint="eastAsia" w:ascii="仿宋_GB2312" w:hAnsi="宋体" w:eastAsia="仿宋_GB2312" w:cs="Times New Roman"/>
          <w:color w:val="auto"/>
          <w:kern w:val="2"/>
          <w:sz w:val="32"/>
          <w:szCs w:val="32"/>
          <w:highlight w:val="none"/>
          <w:lang w:val="en-US" w:eastAsia="zh-CN" w:bidi="ar-SA"/>
        </w:rPr>
      </w:pPr>
      <w:r>
        <w:rPr>
          <w:rFonts w:hint="eastAsia" w:ascii="仿宋_GB2312" w:hAnsi="宋体" w:eastAsia="仿宋_GB2312" w:cs="Times New Roman"/>
          <w:color w:val="auto"/>
          <w:kern w:val="2"/>
          <w:sz w:val="32"/>
          <w:szCs w:val="32"/>
          <w:highlight w:val="none"/>
          <w:lang w:val="en-US" w:eastAsia="zh-CN" w:bidi="ar-SA"/>
        </w:rPr>
        <w:t>2.股室初评：业务股室根据计分标准对各自负责的工作逐一检查，翻阅资料，对标自评；</w:t>
      </w:r>
    </w:p>
    <w:p>
      <w:pPr>
        <w:pStyle w:val="2"/>
        <w:keepNext w:val="0"/>
        <w:keepLines w:val="0"/>
        <w:pageBreakBefore w:val="0"/>
        <w:numPr>
          <w:ilvl w:val="0"/>
          <w:numId w:val="0"/>
        </w:numPr>
        <w:kinsoku/>
        <w:wordWrap/>
        <w:overflowPunct/>
        <w:topLinePunct w:val="0"/>
        <w:autoSpaceDE/>
        <w:autoSpaceDN/>
        <w:bidi w:val="0"/>
        <w:spacing w:line="576" w:lineRule="exact"/>
        <w:ind w:firstLine="640" w:firstLineChars="200"/>
        <w:rPr>
          <w:rFonts w:hint="eastAsia" w:ascii="仿宋_GB2312" w:hAnsi="宋体" w:eastAsia="仿宋_GB2312" w:cs="Times New Roman"/>
          <w:color w:val="auto"/>
          <w:kern w:val="2"/>
          <w:sz w:val="32"/>
          <w:szCs w:val="32"/>
          <w:highlight w:val="none"/>
          <w:lang w:val="en-US" w:eastAsia="zh-CN" w:bidi="ar-SA"/>
        </w:rPr>
      </w:pPr>
      <w:r>
        <w:rPr>
          <w:rFonts w:hint="eastAsia" w:ascii="仿宋_GB2312" w:hAnsi="宋体" w:eastAsia="仿宋_GB2312" w:cs="Times New Roman"/>
          <w:color w:val="auto"/>
          <w:kern w:val="2"/>
          <w:sz w:val="32"/>
          <w:szCs w:val="32"/>
          <w:highlight w:val="none"/>
          <w:lang w:val="en-US" w:eastAsia="zh-CN" w:bidi="ar-SA"/>
        </w:rPr>
        <w:t>3.小组复评：绩效评价工作小组对初评情况进行检查，并再次评价；</w:t>
      </w:r>
    </w:p>
    <w:p>
      <w:pPr>
        <w:pStyle w:val="2"/>
        <w:keepNext w:val="0"/>
        <w:keepLines w:val="0"/>
        <w:pageBreakBefore w:val="0"/>
        <w:numPr>
          <w:ilvl w:val="0"/>
          <w:numId w:val="0"/>
        </w:numPr>
        <w:kinsoku/>
        <w:wordWrap/>
        <w:overflowPunct/>
        <w:topLinePunct w:val="0"/>
        <w:autoSpaceDE/>
        <w:autoSpaceDN/>
        <w:bidi w:val="0"/>
        <w:spacing w:line="576" w:lineRule="exact"/>
        <w:ind w:firstLine="640" w:firstLineChars="200"/>
        <w:rPr>
          <w:rFonts w:hint="eastAsia" w:ascii="仿宋_GB2312" w:hAnsi="宋体" w:eastAsia="仿宋_GB2312" w:cs="Times New Roman"/>
          <w:color w:val="auto"/>
          <w:kern w:val="2"/>
          <w:sz w:val="32"/>
          <w:szCs w:val="32"/>
          <w:highlight w:val="none"/>
          <w:lang w:val="zh-CN" w:eastAsia="zh-CN" w:bidi="ar-SA"/>
        </w:rPr>
      </w:pPr>
      <w:r>
        <w:rPr>
          <w:rFonts w:hint="eastAsia" w:ascii="仿宋_GB2312" w:hAnsi="宋体" w:eastAsia="仿宋_GB2312" w:cs="Times New Roman"/>
          <w:color w:val="auto"/>
          <w:kern w:val="2"/>
          <w:sz w:val="32"/>
          <w:szCs w:val="32"/>
          <w:highlight w:val="none"/>
          <w:lang w:val="en-US" w:eastAsia="zh-CN" w:bidi="ar-SA"/>
        </w:rPr>
        <w:t>4.整理上报：对自评情况进行梳理，及时上报财政部门，并对存在的问题落实整改。</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ascii="黑体" w:hAnsi="宋体" w:eastAsia="黑体" w:cs="Times New Roman"/>
          <w:color w:val="auto"/>
          <w:sz w:val="32"/>
          <w:szCs w:val="32"/>
          <w:highlight w:val="none"/>
        </w:rPr>
      </w:pPr>
      <w:r>
        <w:rPr>
          <w:rFonts w:hint="eastAsia" w:ascii="黑体" w:hAnsi="宋体" w:eastAsia="黑体" w:cs="Times New Roman"/>
          <w:color w:val="auto"/>
          <w:sz w:val="32"/>
          <w:szCs w:val="32"/>
          <w:highlight w:val="none"/>
        </w:rPr>
        <w:t>二、项目资金申报及使用情况</w:t>
      </w:r>
    </w:p>
    <w:p>
      <w:pPr>
        <w:keepNext w:val="0"/>
        <w:keepLines w:val="0"/>
        <w:pageBreakBefore w:val="0"/>
        <w:kinsoku/>
        <w:wordWrap/>
        <w:overflowPunct/>
        <w:topLinePunct w:val="0"/>
        <w:autoSpaceDE/>
        <w:autoSpaceDN/>
        <w:bidi w:val="0"/>
        <w:adjustRightInd w:val="0"/>
        <w:snapToGrid w:val="0"/>
        <w:spacing w:line="576" w:lineRule="exact"/>
        <w:ind w:firstLine="642" w:firstLineChars="20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（一）项目资金申报及批复情况。</w:t>
      </w:r>
    </w:p>
    <w:p>
      <w:pPr>
        <w:pStyle w:val="2"/>
        <w:keepNext w:val="0"/>
        <w:keepLines w:val="0"/>
        <w:pageBreakBefore w:val="0"/>
        <w:numPr>
          <w:ilvl w:val="0"/>
          <w:numId w:val="0"/>
        </w:numPr>
        <w:kinsoku/>
        <w:wordWrap/>
        <w:overflowPunct/>
        <w:topLinePunct w:val="0"/>
        <w:autoSpaceDE/>
        <w:autoSpaceDN/>
        <w:bidi w:val="0"/>
        <w:spacing w:line="576" w:lineRule="exact"/>
        <w:ind w:firstLine="640" w:firstLineChars="200"/>
        <w:rPr>
          <w:rFonts w:hint="eastAsia" w:ascii="仿宋_GB2312" w:hAnsi="宋体" w:eastAsia="仿宋_GB2312" w:cs="Times New Roman"/>
          <w:color w:val="auto"/>
          <w:kern w:val="2"/>
          <w:sz w:val="32"/>
          <w:szCs w:val="32"/>
          <w:highlight w:val="none"/>
          <w:lang w:val="zh-CN" w:eastAsia="zh-CN" w:bidi="ar-SA"/>
        </w:rPr>
      </w:pPr>
      <w:r>
        <w:rPr>
          <w:rFonts w:hint="eastAsia" w:ascii="仿宋_GB2312" w:hAnsi="宋体" w:eastAsia="仿宋_GB2312" w:cs="Times New Roman"/>
          <w:color w:val="auto"/>
          <w:kern w:val="2"/>
          <w:sz w:val="32"/>
          <w:szCs w:val="32"/>
          <w:highlight w:val="none"/>
          <w:lang w:val="zh-CN" w:eastAsia="zh-CN" w:bidi="ar-SA"/>
        </w:rPr>
        <w:t>本项目资金是年初纳入部门预算申报并获得批复，无预算调整。</w:t>
      </w:r>
    </w:p>
    <w:p>
      <w:pPr>
        <w:keepNext w:val="0"/>
        <w:keepLines w:val="0"/>
        <w:pageBreakBefore w:val="0"/>
        <w:numPr>
          <w:ilvl w:val="0"/>
          <w:numId w:val="0"/>
        </w:numPr>
        <w:kinsoku/>
        <w:wordWrap/>
        <w:overflowPunct/>
        <w:topLinePunct w:val="0"/>
        <w:autoSpaceDE/>
        <w:autoSpaceDN/>
        <w:bidi w:val="0"/>
        <w:adjustRightInd w:val="0"/>
        <w:snapToGrid w:val="0"/>
        <w:spacing w:line="576" w:lineRule="exact"/>
        <w:ind w:firstLine="642" w:firstLineChars="200"/>
        <w:textAlignment w:val="auto"/>
        <w:rPr>
          <w:rFonts w:hint="eastAsia"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（二）资金计划、到位及使用情况。</w:t>
      </w:r>
    </w:p>
    <w:p>
      <w:pPr>
        <w:pStyle w:val="2"/>
        <w:keepNext w:val="0"/>
        <w:keepLines w:val="0"/>
        <w:pageBreakBefore w:val="0"/>
        <w:kinsoku/>
        <w:wordWrap/>
        <w:overflowPunct/>
        <w:topLinePunct w:val="0"/>
        <w:autoSpaceDE/>
        <w:autoSpaceDN/>
        <w:bidi w:val="0"/>
        <w:spacing w:line="576" w:lineRule="exact"/>
        <w:ind w:firstLine="420" w:firstLineChars="200"/>
        <w:rPr>
          <w:rFonts w:hint="eastAsia"/>
          <w:color w:val="auto"/>
          <w:lang w:val="zh-CN"/>
        </w:rPr>
      </w:pPr>
    </w:p>
    <w:tbl>
      <w:tblPr>
        <w:tblStyle w:val="13"/>
        <w:tblW w:w="8293" w:type="dxa"/>
        <w:tblInd w:w="0" w:type="dxa"/>
        <w:tblLayout w:type="fixed"/>
        <w:tblCellMar>
          <w:top w:w="0" w:type="dxa"/>
          <w:left w:w="0" w:type="dxa"/>
          <w:bottom w:w="0" w:type="dxa"/>
          <w:right w:w="0" w:type="dxa"/>
        </w:tblCellMar>
      </w:tblPr>
      <w:tblGrid>
        <w:gridCol w:w="2203"/>
        <w:gridCol w:w="2250"/>
        <w:gridCol w:w="2115"/>
        <w:gridCol w:w="1725"/>
      </w:tblGrid>
      <w:tr>
        <w:tblPrEx>
          <w:tblCellMar>
            <w:top w:w="0" w:type="dxa"/>
            <w:left w:w="0" w:type="dxa"/>
            <w:bottom w:w="0" w:type="dxa"/>
            <w:right w:w="0" w:type="dxa"/>
          </w:tblCellMar>
        </w:tblPrEx>
        <w:trPr>
          <w:trHeight w:val="420" w:hRule="atLeast"/>
        </w:trPr>
        <w:tc>
          <w:tcPr>
            <w:tcW w:w="220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ind w:firstLine="0" w:firstLineChars="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项目名称</w:t>
            </w:r>
          </w:p>
        </w:tc>
        <w:tc>
          <w:tcPr>
            <w:tcW w:w="22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ind w:firstLine="0" w:firstLineChars="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资金预算（万元）</w:t>
            </w:r>
          </w:p>
        </w:tc>
        <w:tc>
          <w:tcPr>
            <w:tcW w:w="21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ind w:firstLine="0" w:firstLineChars="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资金到位（万元）</w:t>
            </w:r>
          </w:p>
        </w:tc>
        <w:tc>
          <w:tcPr>
            <w:tcW w:w="17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ind w:firstLine="0" w:firstLineChars="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资金使用（万元）</w:t>
            </w:r>
          </w:p>
        </w:tc>
      </w:tr>
      <w:tr>
        <w:tblPrEx>
          <w:tblCellMar>
            <w:top w:w="0" w:type="dxa"/>
            <w:left w:w="0" w:type="dxa"/>
            <w:bottom w:w="0" w:type="dxa"/>
            <w:right w:w="0" w:type="dxa"/>
          </w:tblCellMar>
        </w:tblPrEx>
        <w:trPr>
          <w:trHeight w:val="420" w:hRule="atLeast"/>
        </w:trPr>
        <w:tc>
          <w:tcPr>
            <w:tcW w:w="220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76" w:lineRule="exact"/>
              <w:ind w:firstLine="0" w:firstLineChars="0"/>
              <w:jc w:val="center"/>
              <w:rPr>
                <w:rFonts w:hint="eastAsia" w:ascii="宋体" w:hAnsi="宋体" w:eastAsia="宋体" w:cs="宋体"/>
                <w:i w:val="0"/>
                <w:color w:val="auto"/>
                <w:sz w:val="24"/>
                <w:szCs w:val="24"/>
                <w:u w:val="none"/>
              </w:rPr>
            </w:pPr>
          </w:p>
        </w:tc>
        <w:tc>
          <w:tcPr>
            <w:tcW w:w="22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ind w:firstLine="0" w:firstLineChars="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财政资金</w:t>
            </w:r>
          </w:p>
        </w:tc>
        <w:tc>
          <w:tcPr>
            <w:tcW w:w="21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ind w:firstLine="0" w:firstLineChars="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财政资金</w:t>
            </w:r>
          </w:p>
        </w:tc>
        <w:tc>
          <w:tcPr>
            <w:tcW w:w="17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ind w:firstLine="0" w:firstLineChars="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财政资金</w:t>
            </w:r>
          </w:p>
        </w:tc>
      </w:tr>
      <w:tr>
        <w:tblPrEx>
          <w:tblCellMar>
            <w:top w:w="0" w:type="dxa"/>
            <w:left w:w="0" w:type="dxa"/>
            <w:bottom w:w="0" w:type="dxa"/>
            <w:right w:w="0" w:type="dxa"/>
          </w:tblCellMar>
        </w:tblPrEx>
        <w:trPr>
          <w:trHeight w:val="460" w:hRule="atLeast"/>
        </w:trPr>
        <w:tc>
          <w:tcPr>
            <w:tcW w:w="22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ind w:firstLine="0" w:firstLineChars="0"/>
              <w:jc w:val="center"/>
              <w:textAlignment w:val="center"/>
              <w:rPr>
                <w:rFonts w:hint="eastAsia"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家庭寄养经费</w:t>
            </w:r>
          </w:p>
        </w:tc>
        <w:tc>
          <w:tcPr>
            <w:tcW w:w="22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ind w:firstLine="0" w:firstLineChars="0"/>
              <w:jc w:val="center"/>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4</w:t>
            </w:r>
          </w:p>
        </w:tc>
        <w:tc>
          <w:tcPr>
            <w:tcW w:w="21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ind w:firstLine="0" w:firstLineChars="0"/>
              <w:jc w:val="center"/>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4</w:t>
            </w:r>
          </w:p>
        </w:tc>
        <w:tc>
          <w:tcPr>
            <w:tcW w:w="17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ind w:firstLine="0" w:firstLineChars="0"/>
              <w:jc w:val="center"/>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4</w:t>
            </w:r>
          </w:p>
        </w:tc>
      </w:tr>
    </w:tbl>
    <w:p>
      <w:pPr>
        <w:pStyle w:val="2"/>
        <w:keepNext w:val="0"/>
        <w:keepLines w:val="0"/>
        <w:pageBreakBefore w:val="0"/>
        <w:numPr>
          <w:ilvl w:val="0"/>
          <w:numId w:val="0"/>
        </w:numPr>
        <w:kinsoku/>
        <w:wordWrap/>
        <w:overflowPunct/>
        <w:topLinePunct w:val="0"/>
        <w:autoSpaceDE/>
        <w:autoSpaceDN/>
        <w:bidi w:val="0"/>
        <w:spacing w:line="576" w:lineRule="exact"/>
        <w:ind w:firstLine="420" w:firstLineChars="200"/>
        <w:rPr>
          <w:color w:val="auto"/>
          <w:lang w:val="zh-CN"/>
        </w:rPr>
      </w:pP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方正仿宋_GB2312" w:hAnsi="方正仿宋_GB2312" w:eastAsia="方正仿宋_GB2312" w:cs="方正仿宋_GB2312"/>
          <w:color w:val="auto"/>
          <w:kern w:val="2"/>
          <w:sz w:val="32"/>
          <w:szCs w:val="32"/>
          <w:highlight w:val="none"/>
          <w:lang w:val="zh-CN" w:eastAsia="zh-CN" w:bidi="ar-SA"/>
        </w:rPr>
      </w:pPr>
      <w:r>
        <w:rPr>
          <w:rFonts w:hint="eastAsia" w:ascii="方正仿宋_GB2312" w:hAnsi="方正仿宋_GB2312" w:eastAsia="方正仿宋_GB2312" w:cs="方正仿宋_GB2312"/>
          <w:color w:val="auto"/>
          <w:sz w:val="32"/>
          <w:szCs w:val="32"/>
          <w:highlight w:val="none"/>
          <w:lang w:val="zh-CN"/>
        </w:rPr>
        <w:t>1.资金计划。</w:t>
      </w:r>
      <w:r>
        <w:rPr>
          <w:rFonts w:hint="eastAsia" w:ascii="方正仿宋_GB2312" w:hAnsi="方正仿宋_GB2312" w:eastAsia="方正仿宋_GB2312" w:cs="方正仿宋_GB2312"/>
          <w:color w:val="auto"/>
          <w:kern w:val="2"/>
          <w:sz w:val="32"/>
          <w:szCs w:val="32"/>
          <w:highlight w:val="none"/>
          <w:lang w:val="en-US" w:eastAsia="zh-CN" w:bidi="ar-SA"/>
        </w:rPr>
        <w:t>项目资金计划4万元，均为财政资金。</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方正仿宋_GB2312" w:hAnsi="方正仿宋_GB2312" w:eastAsia="方正仿宋_GB2312" w:cs="方正仿宋_GB2312"/>
          <w:color w:val="auto"/>
          <w:sz w:val="32"/>
          <w:szCs w:val="32"/>
          <w:highlight w:val="none"/>
          <w:lang w:val="zh-CN"/>
        </w:rPr>
      </w:pPr>
      <w:r>
        <w:rPr>
          <w:rFonts w:hint="eastAsia" w:ascii="方正仿宋_GB2312" w:hAnsi="方正仿宋_GB2312" w:eastAsia="方正仿宋_GB2312" w:cs="方正仿宋_GB2312"/>
          <w:color w:val="auto"/>
          <w:sz w:val="32"/>
          <w:szCs w:val="32"/>
          <w:highlight w:val="none"/>
          <w:lang w:val="zh-CN"/>
        </w:rPr>
        <w:t>2.资金到位。</w:t>
      </w:r>
      <w:r>
        <w:rPr>
          <w:rFonts w:hint="eastAsia" w:ascii="方正仿宋_GB2312" w:hAnsi="方正仿宋_GB2312" w:eastAsia="方正仿宋_GB2312" w:cs="方正仿宋_GB2312"/>
          <w:color w:val="auto"/>
          <w:kern w:val="2"/>
          <w:sz w:val="32"/>
          <w:szCs w:val="32"/>
          <w:highlight w:val="none"/>
          <w:lang w:val="zh-CN" w:eastAsia="zh-CN" w:bidi="ar-SA"/>
        </w:rPr>
        <w:t>资金到位率</w:t>
      </w:r>
      <w:r>
        <w:rPr>
          <w:rFonts w:hint="eastAsia" w:ascii="方正仿宋_GB2312" w:hAnsi="方正仿宋_GB2312" w:eastAsia="方正仿宋_GB2312" w:cs="方正仿宋_GB2312"/>
          <w:color w:val="auto"/>
          <w:kern w:val="2"/>
          <w:sz w:val="32"/>
          <w:szCs w:val="32"/>
          <w:highlight w:val="none"/>
          <w:lang w:val="en-US" w:eastAsia="zh-CN" w:bidi="ar-SA"/>
        </w:rPr>
        <w:t>100%，</w:t>
      </w:r>
      <w:r>
        <w:rPr>
          <w:rFonts w:hint="eastAsia" w:ascii="方正仿宋_GB2312" w:hAnsi="方正仿宋_GB2312" w:eastAsia="方正仿宋_GB2312" w:cs="方正仿宋_GB2312"/>
          <w:color w:val="auto"/>
          <w:kern w:val="2"/>
          <w:sz w:val="32"/>
          <w:szCs w:val="32"/>
          <w:highlight w:val="none"/>
          <w:lang w:val="zh-CN" w:eastAsia="zh-CN" w:bidi="ar-SA"/>
        </w:rPr>
        <w:t>到位及时率</w:t>
      </w:r>
      <w:r>
        <w:rPr>
          <w:rFonts w:hint="eastAsia" w:ascii="方正仿宋_GB2312" w:hAnsi="方正仿宋_GB2312" w:eastAsia="方正仿宋_GB2312" w:cs="方正仿宋_GB2312"/>
          <w:color w:val="auto"/>
          <w:kern w:val="2"/>
          <w:sz w:val="32"/>
          <w:szCs w:val="32"/>
          <w:highlight w:val="none"/>
          <w:lang w:val="en-US" w:eastAsia="zh-CN" w:bidi="ar-SA"/>
        </w:rPr>
        <w:t>100%</w:t>
      </w:r>
      <w:r>
        <w:rPr>
          <w:rFonts w:hint="eastAsia" w:ascii="方正仿宋_GB2312" w:hAnsi="方正仿宋_GB2312" w:eastAsia="方正仿宋_GB2312" w:cs="方正仿宋_GB2312"/>
          <w:color w:val="auto"/>
          <w:kern w:val="2"/>
          <w:sz w:val="32"/>
          <w:szCs w:val="32"/>
          <w:highlight w:val="none"/>
          <w:lang w:val="zh-CN" w:eastAsia="zh-CN" w:bidi="ar-SA"/>
        </w:rPr>
        <w:t>。</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方正仿宋简体" w:hAnsi="宋体" w:eastAsia="方正仿宋简体"/>
          <w:color w:val="auto"/>
          <w:sz w:val="32"/>
          <w:szCs w:val="32"/>
          <w:lang w:val="zh-CN"/>
        </w:rPr>
      </w:pPr>
      <w:r>
        <w:rPr>
          <w:rFonts w:hint="eastAsia" w:ascii="方正仿宋_GB2312" w:hAnsi="方正仿宋_GB2312" w:eastAsia="方正仿宋_GB2312" w:cs="方正仿宋_GB2312"/>
          <w:color w:val="auto"/>
          <w:sz w:val="32"/>
          <w:szCs w:val="32"/>
          <w:highlight w:val="none"/>
          <w:lang w:val="zh-CN"/>
        </w:rPr>
        <w:t>3.资金使用。</w:t>
      </w:r>
      <w:r>
        <w:rPr>
          <w:rFonts w:hint="eastAsia" w:ascii="仿宋_GB2312" w:hAnsi="宋体" w:eastAsia="仿宋_GB2312" w:cs="Times New Roman"/>
          <w:color w:val="auto"/>
          <w:kern w:val="2"/>
          <w:sz w:val="32"/>
          <w:szCs w:val="32"/>
          <w:highlight w:val="none"/>
          <w:lang w:val="zh-CN" w:eastAsia="zh-CN" w:bidi="ar-SA"/>
        </w:rPr>
        <w:t>资金支出</w:t>
      </w:r>
      <w:r>
        <w:rPr>
          <w:rFonts w:hint="eastAsia" w:ascii="方正仿宋_GB2312" w:hAnsi="方正仿宋_GB2312" w:eastAsia="方正仿宋_GB2312" w:cs="方正仿宋_GB2312"/>
          <w:color w:val="auto"/>
          <w:kern w:val="2"/>
          <w:sz w:val="32"/>
          <w:szCs w:val="32"/>
          <w:highlight w:val="none"/>
          <w:lang w:val="en-US" w:eastAsia="zh-CN" w:bidi="ar-SA"/>
        </w:rPr>
        <w:t>4</w:t>
      </w:r>
      <w:r>
        <w:rPr>
          <w:rFonts w:hint="eastAsia" w:ascii="仿宋_GB2312" w:hAnsi="宋体" w:eastAsia="仿宋_GB2312" w:cs="Times New Roman"/>
          <w:color w:val="auto"/>
          <w:kern w:val="2"/>
          <w:sz w:val="32"/>
          <w:szCs w:val="32"/>
          <w:highlight w:val="none"/>
          <w:lang w:val="en-US" w:eastAsia="zh-CN" w:bidi="ar-SA"/>
        </w:rPr>
        <w:t>万元，</w:t>
      </w:r>
      <w:r>
        <w:rPr>
          <w:rFonts w:hint="eastAsia" w:ascii="仿宋_GB2312" w:hAnsi="宋体" w:eastAsia="仿宋_GB2312" w:cs="Times New Roman"/>
          <w:color w:val="auto"/>
          <w:kern w:val="2"/>
          <w:sz w:val="32"/>
          <w:szCs w:val="32"/>
          <w:highlight w:val="none"/>
          <w:lang w:val="zh-CN" w:eastAsia="zh-CN" w:bidi="ar-SA"/>
        </w:rPr>
        <w:t>资金使用安全、规范、效果显著。资金支付范围全用于寄养儿童养育经费以及寄养家庭劳务补贴等。支付标准均按照财政资金管理限额（标准）执行。根据项目实施进度支付款项，支付依据合规合法，支出金额与预算相符。</w:t>
      </w:r>
    </w:p>
    <w:p>
      <w:pPr>
        <w:keepNext w:val="0"/>
        <w:keepLines w:val="0"/>
        <w:pageBreakBefore w:val="0"/>
        <w:kinsoku/>
        <w:wordWrap/>
        <w:overflowPunct/>
        <w:topLinePunct w:val="0"/>
        <w:autoSpaceDE/>
        <w:autoSpaceDN/>
        <w:bidi w:val="0"/>
        <w:adjustRightInd w:val="0"/>
        <w:snapToGrid w:val="0"/>
        <w:spacing w:line="576" w:lineRule="exact"/>
        <w:ind w:firstLine="642" w:firstLineChars="20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（三）项目财务管理情况。</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cs="Times New Roman"/>
          <w:color w:val="auto"/>
          <w:kern w:val="2"/>
          <w:sz w:val="32"/>
          <w:szCs w:val="32"/>
          <w:highlight w:val="none"/>
          <w:lang w:val="zh-CN" w:eastAsia="zh-CN" w:bidi="ar-SA"/>
        </w:rPr>
      </w:pPr>
      <w:r>
        <w:rPr>
          <w:rFonts w:hint="eastAsia" w:ascii="仿宋_GB2312" w:hAnsi="宋体" w:eastAsia="仿宋_GB2312" w:cs="Times New Roman"/>
          <w:color w:val="auto"/>
          <w:kern w:val="2"/>
          <w:sz w:val="32"/>
          <w:szCs w:val="32"/>
          <w:highlight w:val="none"/>
          <w:lang w:val="zh-CN" w:eastAsia="zh-CN" w:bidi="ar-SA"/>
        </w:rPr>
        <w:t>本单位财务管理制度健全，严格执行财务管理制度，账务处理及时，会计核算规范。</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ascii="黑体" w:hAnsi="宋体" w:eastAsia="黑体" w:cs="Times New Roman"/>
          <w:color w:val="auto"/>
          <w:sz w:val="32"/>
          <w:szCs w:val="32"/>
          <w:highlight w:val="none"/>
        </w:rPr>
      </w:pPr>
      <w:r>
        <w:rPr>
          <w:rFonts w:hint="eastAsia" w:ascii="黑体" w:hAnsi="宋体" w:eastAsia="黑体" w:cs="Times New Roman"/>
          <w:color w:val="auto"/>
          <w:sz w:val="32"/>
          <w:szCs w:val="32"/>
          <w:highlight w:val="none"/>
        </w:rPr>
        <w:t>三、项目实施及管理情况</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kern w:val="2"/>
          <w:sz w:val="32"/>
          <w:szCs w:val="32"/>
          <w:highlight w:val="none"/>
          <w:lang w:val="zh-CN" w:eastAsia="zh-CN" w:bidi="ar-SA"/>
        </w:rPr>
        <w:t>结合项目组织实施管理办法，重点围绕以下内容进行分析评价，并对自评中发现的问题分析说明。</w:t>
      </w:r>
    </w:p>
    <w:p>
      <w:pPr>
        <w:keepNext w:val="0"/>
        <w:keepLines w:val="0"/>
        <w:pageBreakBefore w:val="0"/>
        <w:kinsoku/>
        <w:wordWrap/>
        <w:overflowPunct/>
        <w:topLinePunct w:val="0"/>
        <w:autoSpaceDE/>
        <w:autoSpaceDN/>
        <w:bidi w:val="0"/>
        <w:adjustRightInd w:val="0"/>
        <w:snapToGrid w:val="0"/>
        <w:spacing w:line="576" w:lineRule="exact"/>
        <w:ind w:firstLine="642" w:firstLineChars="20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（一）项目组织架构及实施流程。</w:t>
      </w:r>
      <w:r>
        <w:rPr>
          <w:rFonts w:hint="eastAsia" w:ascii="仿宋_GB2312" w:hAnsi="宋体" w:eastAsia="仿宋_GB2312" w:cs="Times New Roman"/>
          <w:color w:val="auto"/>
          <w:kern w:val="2"/>
          <w:sz w:val="32"/>
          <w:szCs w:val="32"/>
          <w:highlight w:val="none"/>
          <w:lang w:val="en-US" w:eastAsia="zh-CN" w:bidi="ar-SA"/>
        </w:rPr>
        <w:t>本</w:t>
      </w:r>
      <w:r>
        <w:rPr>
          <w:rFonts w:hint="eastAsia" w:ascii="仿宋_GB2312" w:hAnsi="宋体" w:eastAsia="仿宋_GB2312" w:cs="Times New Roman"/>
          <w:color w:val="auto"/>
          <w:kern w:val="2"/>
          <w:sz w:val="32"/>
          <w:szCs w:val="32"/>
          <w:highlight w:val="none"/>
          <w:lang w:val="zh-CN" w:eastAsia="zh-CN" w:bidi="ar-SA"/>
        </w:rPr>
        <w:t>单位成立了项目领导小组负责项目统筹安排及管理，安排专人具体负责实施。</w:t>
      </w:r>
    </w:p>
    <w:p>
      <w:pPr>
        <w:keepNext w:val="0"/>
        <w:keepLines w:val="0"/>
        <w:pageBreakBefore w:val="0"/>
        <w:kinsoku/>
        <w:wordWrap/>
        <w:overflowPunct/>
        <w:topLinePunct w:val="0"/>
        <w:autoSpaceDE/>
        <w:autoSpaceDN/>
        <w:bidi w:val="0"/>
        <w:adjustRightInd w:val="0"/>
        <w:snapToGrid w:val="0"/>
        <w:spacing w:line="576" w:lineRule="exact"/>
        <w:ind w:firstLine="642" w:firstLineChars="200"/>
        <w:textAlignment w:val="auto"/>
        <w:rPr>
          <w:rFonts w:ascii="仿宋_GB2312" w:hAnsi="宋体" w:eastAsia="仿宋_GB2312" w:cs="Times New Roman"/>
          <w:color w:val="auto"/>
          <w:sz w:val="32"/>
          <w:szCs w:val="32"/>
          <w:highlight w:val="none"/>
          <w:lang w:val="zh-CN"/>
        </w:rPr>
      </w:pPr>
      <w:r>
        <w:rPr>
          <w:rFonts w:hint="eastAsia" w:ascii="楷体_GB2312" w:hAnsi="宋体" w:eastAsia="楷体_GB2312" w:cs="Times New Roman"/>
          <w:b/>
          <w:color w:val="auto"/>
          <w:sz w:val="32"/>
          <w:szCs w:val="32"/>
          <w:highlight w:val="none"/>
          <w:lang w:val="zh-CN"/>
        </w:rPr>
        <w:t>（二）项目管理情况。</w:t>
      </w:r>
      <w:r>
        <w:rPr>
          <w:rFonts w:hint="eastAsia" w:ascii="仿宋_GB2312" w:hAnsi="宋体" w:eastAsia="仿宋_GB2312" w:cs="Times New Roman"/>
          <w:color w:val="auto"/>
          <w:kern w:val="2"/>
          <w:sz w:val="32"/>
          <w:szCs w:val="32"/>
          <w:highlight w:val="none"/>
          <w:lang w:val="zh-CN" w:eastAsia="zh-CN" w:bidi="ar-SA"/>
        </w:rPr>
        <w:t>我单位严格执行相关法律法规及项目管理制度，管理有序，质量较高，取得了良好的效果。</w:t>
      </w:r>
    </w:p>
    <w:p>
      <w:pPr>
        <w:keepNext w:val="0"/>
        <w:keepLines w:val="0"/>
        <w:pageBreakBefore w:val="0"/>
        <w:kinsoku/>
        <w:wordWrap/>
        <w:overflowPunct/>
        <w:topLinePunct w:val="0"/>
        <w:autoSpaceDE/>
        <w:autoSpaceDN/>
        <w:bidi w:val="0"/>
        <w:adjustRightInd w:val="0"/>
        <w:snapToGrid w:val="0"/>
        <w:spacing w:line="576" w:lineRule="exact"/>
        <w:ind w:firstLine="642" w:firstLineChars="200"/>
        <w:textAlignment w:val="auto"/>
        <w:rPr>
          <w:rFonts w:hint="eastAsia" w:ascii="仿宋_GB2312" w:hAnsi="宋体" w:eastAsia="仿宋_GB2312" w:cs="Times New Roman"/>
          <w:color w:val="auto"/>
          <w:kern w:val="2"/>
          <w:sz w:val="32"/>
          <w:szCs w:val="32"/>
          <w:highlight w:val="none"/>
          <w:lang w:val="zh-CN" w:eastAsia="zh-CN" w:bidi="ar-SA"/>
        </w:rPr>
      </w:pPr>
      <w:r>
        <w:rPr>
          <w:rFonts w:hint="eastAsia" w:ascii="楷体_GB2312" w:hAnsi="宋体" w:eastAsia="楷体_GB2312" w:cs="Times New Roman"/>
          <w:b/>
          <w:color w:val="auto"/>
          <w:sz w:val="32"/>
          <w:szCs w:val="32"/>
          <w:highlight w:val="none"/>
          <w:lang w:val="zh-CN"/>
        </w:rPr>
        <w:t>（三）项目监管情况。</w:t>
      </w:r>
      <w:r>
        <w:rPr>
          <w:rFonts w:hint="eastAsia" w:ascii="仿宋_GB2312" w:hAnsi="宋体" w:eastAsia="仿宋_GB2312" w:cs="Times New Roman"/>
          <w:color w:val="auto"/>
          <w:kern w:val="2"/>
          <w:sz w:val="32"/>
          <w:szCs w:val="32"/>
          <w:highlight w:val="none"/>
          <w:lang w:val="zh-CN" w:eastAsia="zh-CN" w:bidi="ar-SA"/>
        </w:rPr>
        <w:t>我单位项目主要是工作经费，费用支出经过逐级审核，项目实施中纪检部门进行监管，按照单位内控控制制度实施监管，有力的促进了项目顺利实施，圆满完成，监管效果良好。</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ascii="仿宋_GB2312" w:hAnsi="宋体" w:eastAsia="仿宋_GB2312" w:cs="Times New Roman"/>
          <w:color w:val="auto"/>
          <w:sz w:val="32"/>
          <w:szCs w:val="32"/>
          <w:highlight w:val="none"/>
          <w:lang w:val="zh-CN"/>
        </w:rPr>
      </w:pPr>
      <w:r>
        <w:rPr>
          <w:rFonts w:hint="eastAsia" w:ascii="黑体" w:hAnsi="宋体" w:eastAsia="黑体" w:cs="Times New Roman"/>
          <w:color w:val="auto"/>
          <w:sz w:val="32"/>
          <w:szCs w:val="32"/>
          <w:highlight w:val="none"/>
        </w:rPr>
        <w:t>四、项目绩效情况</w:t>
      </w:r>
      <w:r>
        <w:rPr>
          <w:rFonts w:hint="eastAsia" w:ascii="仿宋_GB2312" w:hAnsi="宋体" w:eastAsia="仿宋_GB2312" w:cs="Times New Roman"/>
          <w:color w:val="auto"/>
          <w:sz w:val="32"/>
          <w:szCs w:val="32"/>
          <w:highlight w:val="none"/>
          <w:lang w:val="zh-CN"/>
        </w:rPr>
        <w:tab/>
      </w:r>
    </w:p>
    <w:p>
      <w:pPr>
        <w:keepNext w:val="0"/>
        <w:keepLines w:val="0"/>
        <w:pageBreakBefore w:val="0"/>
        <w:kinsoku/>
        <w:wordWrap/>
        <w:overflowPunct/>
        <w:topLinePunct w:val="0"/>
        <w:autoSpaceDE/>
        <w:autoSpaceDN/>
        <w:bidi w:val="0"/>
        <w:adjustRightInd w:val="0"/>
        <w:snapToGrid w:val="0"/>
        <w:spacing w:line="576" w:lineRule="exact"/>
        <w:ind w:firstLine="642" w:firstLineChars="20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（一）项目完成情况。</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方正仿宋简体" w:hAnsi="宋体" w:eastAsia="方正仿宋简体"/>
          <w:color w:val="auto"/>
          <w:sz w:val="32"/>
          <w:szCs w:val="32"/>
          <w:lang w:val="en-US" w:eastAsia="zh-CN"/>
        </w:rPr>
      </w:pPr>
      <w:r>
        <w:rPr>
          <w:rFonts w:hint="eastAsia" w:ascii="仿宋_GB2312" w:hAnsi="宋体" w:eastAsia="仿宋_GB2312" w:cs="Times New Roman"/>
          <w:color w:val="auto"/>
          <w:kern w:val="2"/>
          <w:sz w:val="32"/>
          <w:szCs w:val="32"/>
          <w:highlight w:val="none"/>
          <w:lang w:val="zh-CN" w:eastAsia="zh-CN" w:bidi="ar-SA"/>
        </w:rPr>
        <w:t>项目全部完成预期目标，均达到数量计划值，质量良好、按时完成、未超预算，无资金结余，无违规违纪情况。</w:t>
      </w:r>
      <w:r>
        <w:rPr>
          <w:rFonts w:hint="eastAsia" w:ascii="方正仿宋简体" w:hAnsi="宋体" w:eastAsia="方正仿宋简体"/>
          <w:color w:val="auto"/>
          <w:sz w:val="32"/>
          <w:szCs w:val="32"/>
          <w:lang w:val="en-US" w:eastAsia="zh-CN"/>
        </w:rPr>
        <w:t xml:space="preserve">  </w:t>
      </w:r>
    </w:p>
    <w:p>
      <w:pPr>
        <w:keepNext w:val="0"/>
        <w:keepLines w:val="0"/>
        <w:pageBreakBefore w:val="0"/>
        <w:kinsoku/>
        <w:wordWrap/>
        <w:overflowPunct/>
        <w:topLinePunct w:val="0"/>
        <w:autoSpaceDE/>
        <w:autoSpaceDN/>
        <w:bidi w:val="0"/>
        <w:adjustRightInd w:val="0"/>
        <w:snapToGrid w:val="0"/>
        <w:spacing w:line="576" w:lineRule="exact"/>
        <w:ind w:firstLine="642" w:firstLineChars="20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（二）项目效益情况。</w:t>
      </w:r>
    </w:p>
    <w:p>
      <w:pPr>
        <w:keepNext w:val="0"/>
        <w:keepLines w:val="0"/>
        <w:pageBreakBefore w:val="0"/>
        <w:kinsoku/>
        <w:wordWrap/>
        <w:overflowPunct/>
        <w:topLinePunct w:val="0"/>
        <w:autoSpaceDE/>
        <w:autoSpaceDN/>
        <w:bidi w:val="0"/>
        <w:adjustRightInd w:val="0"/>
        <w:snapToGrid w:val="0"/>
        <w:spacing w:line="576" w:lineRule="exact"/>
        <w:ind w:firstLine="640" w:firstLineChars="200"/>
        <w:rPr>
          <w:rFonts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zh-CN"/>
        </w:rPr>
        <w:t>项目取得了良好的社会效益，保障寄养儿童的养育，促进社会稳定发展。寄养儿童满意度和寄养家庭满意度≥90%，寄养儿童的养育质量显著提高。</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ascii="黑体" w:hAnsi="宋体" w:eastAsia="黑体" w:cs="Times New Roman"/>
          <w:color w:val="auto"/>
          <w:sz w:val="32"/>
          <w:szCs w:val="32"/>
          <w:highlight w:val="none"/>
        </w:rPr>
      </w:pPr>
      <w:r>
        <w:rPr>
          <w:rFonts w:hint="eastAsia" w:ascii="黑体" w:hAnsi="宋体" w:eastAsia="黑体" w:cs="Times New Roman"/>
          <w:color w:val="auto"/>
          <w:sz w:val="32"/>
          <w:szCs w:val="32"/>
          <w:highlight w:val="none"/>
        </w:rPr>
        <w:t>五、评价结论及建议</w:t>
      </w:r>
    </w:p>
    <w:p>
      <w:pPr>
        <w:keepNext w:val="0"/>
        <w:keepLines w:val="0"/>
        <w:pageBreakBefore w:val="0"/>
        <w:kinsoku/>
        <w:wordWrap/>
        <w:overflowPunct/>
        <w:topLinePunct w:val="0"/>
        <w:autoSpaceDE/>
        <w:autoSpaceDN/>
        <w:bidi w:val="0"/>
        <w:adjustRightInd w:val="0"/>
        <w:snapToGrid w:val="0"/>
        <w:spacing w:line="576" w:lineRule="exact"/>
        <w:ind w:firstLine="642" w:firstLineChars="20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（一）评价结论。</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default" w:ascii="仿宋_GB2312" w:hAnsi="宋体" w:eastAsia="仿宋_GB2312" w:cs="Times New Roman"/>
          <w:color w:val="auto"/>
          <w:kern w:val="2"/>
          <w:sz w:val="32"/>
          <w:szCs w:val="32"/>
          <w:highlight w:val="none"/>
          <w:lang w:val="en-US" w:eastAsia="zh-CN" w:bidi="ar-SA"/>
        </w:rPr>
      </w:pPr>
      <w:r>
        <w:rPr>
          <w:rFonts w:hint="eastAsia" w:ascii="仿宋_GB2312" w:hAnsi="宋体" w:eastAsia="仿宋_GB2312" w:cs="Times New Roman"/>
          <w:color w:val="auto"/>
          <w:kern w:val="2"/>
          <w:sz w:val="32"/>
          <w:szCs w:val="32"/>
          <w:highlight w:val="none"/>
          <w:lang w:val="en-US" w:eastAsia="zh-CN" w:bidi="ar-SA"/>
        </w:rPr>
        <w:t>项目管理良好，实施有序，绩效显著。均达到了预期目标</w:t>
      </w:r>
      <w:r>
        <w:rPr>
          <w:rFonts w:hint="eastAsia" w:ascii="仿宋_GB2312" w:hAnsi="宋体" w:eastAsia="仿宋_GB2312" w:cs="Times New Roman"/>
          <w:color w:val="auto"/>
          <w:kern w:val="2"/>
          <w:sz w:val="32"/>
          <w:szCs w:val="32"/>
          <w:highlight w:val="none"/>
          <w:lang w:val="zh-CN" w:eastAsia="zh-CN" w:bidi="ar-SA"/>
        </w:rPr>
        <w:t>。</w:t>
      </w:r>
    </w:p>
    <w:p>
      <w:pPr>
        <w:keepNext w:val="0"/>
        <w:keepLines w:val="0"/>
        <w:pageBreakBefore w:val="0"/>
        <w:kinsoku/>
        <w:wordWrap/>
        <w:overflowPunct/>
        <w:topLinePunct w:val="0"/>
        <w:autoSpaceDE/>
        <w:autoSpaceDN/>
        <w:bidi w:val="0"/>
        <w:adjustRightInd w:val="0"/>
        <w:snapToGrid w:val="0"/>
        <w:spacing w:line="576" w:lineRule="exact"/>
        <w:ind w:firstLine="642" w:firstLineChars="20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（二）存在的问题。</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kern w:val="2"/>
          <w:sz w:val="32"/>
          <w:szCs w:val="32"/>
          <w:highlight w:val="none"/>
          <w:lang w:val="zh-CN" w:eastAsia="zh-CN" w:bidi="ar-SA"/>
        </w:rPr>
        <w:t>无。</w:t>
      </w:r>
      <w:r>
        <w:rPr>
          <w:rFonts w:hint="eastAsia" w:ascii="仿宋_GB2312" w:hAnsi="宋体" w:eastAsia="仿宋_GB2312" w:cs="Times New Roman"/>
          <w:color w:val="auto"/>
          <w:sz w:val="32"/>
          <w:szCs w:val="32"/>
          <w:highlight w:val="none"/>
          <w:lang w:val="zh-CN"/>
        </w:rPr>
        <w:tab/>
      </w:r>
    </w:p>
    <w:p>
      <w:pPr>
        <w:keepNext w:val="0"/>
        <w:keepLines w:val="0"/>
        <w:pageBreakBefore w:val="0"/>
        <w:kinsoku/>
        <w:wordWrap/>
        <w:overflowPunct/>
        <w:topLinePunct w:val="0"/>
        <w:autoSpaceDE/>
        <w:autoSpaceDN/>
        <w:bidi w:val="0"/>
        <w:adjustRightInd w:val="0"/>
        <w:snapToGrid w:val="0"/>
        <w:spacing w:line="576" w:lineRule="exact"/>
        <w:ind w:firstLine="642" w:firstLineChars="20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（三）相关建议。</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cs="Times New Roman"/>
          <w:color w:val="auto"/>
          <w:kern w:val="2"/>
          <w:sz w:val="32"/>
          <w:szCs w:val="32"/>
          <w:highlight w:val="none"/>
          <w:lang w:val="zh-CN" w:eastAsia="zh-CN" w:bidi="ar-SA"/>
        </w:rPr>
      </w:pPr>
      <w:r>
        <w:rPr>
          <w:rFonts w:hint="eastAsia" w:ascii="仿宋_GB2312" w:hAnsi="宋体" w:eastAsia="仿宋_GB2312" w:cs="Times New Roman"/>
          <w:color w:val="auto"/>
          <w:kern w:val="2"/>
          <w:sz w:val="32"/>
          <w:szCs w:val="32"/>
          <w:highlight w:val="none"/>
          <w:lang w:val="zh-CN" w:eastAsia="zh-CN" w:bidi="ar-SA"/>
        </w:rPr>
        <w:t>一是加强业务培训，进一步提高工作人员财政资金绩效意识；二是进一步细化项目预算，严格控制各项费用，过紧日子；三是今后对于财政资金项目，加大评价结果应用，真正做到“用钱必问效，无效必问责”。</w:t>
      </w:r>
    </w:p>
    <w:p>
      <w:pPr>
        <w:keepNext w:val="0"/>
        <w:keepLines w:val="0"/>
        <w:pageBreakBefore w:val="0"/>
        <w:kinsoku/>
        <w:wordWrap/>
        <w:overflowPunct/>
        <w:topLinePunct w:val="0"/>
        <w:autoSpaceDE/>
        <w:autoSpaceDN/>
        <w:bidi w:val="0"/>
        <w:spacing w:line="576" w:lineRule="exact"/>
        <w:rPr>
          <w:rFonts w:hint="eastAsia"/>
          <w:color w:val="auto"/>
          <w:lang w:val="en-US" w:eastAsia="zh-CN"/>
        </w:rPr>
      </w:pPr>
    </w:p>
    <w:p>
      <w:pPr>
        <w:pStyle w:val="2"/>
        <w:rPr>
          <w:rFonts w:hint="eastAsia"/>
          <w:color w:val="auto"/>
          <w:lang w:val="en-US" w:eastAsia="zh-CN"/>
        </w:rPr>
      </w:pPr>
    </w:p>
    <w:p>
      <w:pPr>
        <w:rPr>
          <w:rFonts w:hint="eastAsia"/>
          <w:lang w:val="en-US" w:eastAsia="zh-CN"/>
        </w:rPr>
      </w:pPr>
    </w:p>
    <w:p>
      <w:pPr>
        <w:pStyle w:val="2"/>
        <w:rPr>
          <w:rFonts w:hint="eastAsia"/>
          <w:lang w:val="en-US" w:eastAsia="zh-CN"/>
        </w:rPr>
      </w:pPr>
    </w:p>
    <w:p>
      <w:pPr>
        <w:keepNext w:val="0"/>
        <w:keepLines w:val="0"/>
        <w:pageBreakBefore w:val="0"/>
        <w:widowControl w:val="0"/>
        <w:kinsoku/>
        <w:wordWrap/>
        <w:overflowPunct/>
        <w:topLinePunct w:val="0"/>
        <w:autoSpaceDE/>
        <w:autoSpaceDN/>
        <w:bidi w:val="0"/>
        <w:spacing w:line="576" w:lineRule="exact"/>
        <w:jc w:val="center"/>
        <w:textAlignment w:val="auto"/>
        <w:rPr>
          <w:rFonts w:hint="eastAsia" w:ascii="方正小标宋简体" w:hAnsi="方正小标宋简体" w:eastAsia="方正小标宋简体" w:cs="方正小标宋简体"/>
          <w:color w:val="auto"/>
          <w:kern w:val="2"/>
          <w:sz w:val="40"/>
          <w:szCs w:val="40"/>
          <w:highlight w:val="none"/>
          <w:lang w:val="zh-CN" w:eastAsia="zh-CN" w:bidi="ar-SA"/>
        </w:rPr>
      </w:pPr>
      <w:r>
        <w:rPr>
          <w:rFonts w:hint="eastAsia" w:ascii="方正小标宋简体" w:hAnsi="方正小标宋简体" w:eastAsia="方正小标宋简体" w:cs="方正小标宋简体"/>
          <w:color w:val="auto"/>
          <w:kern w:val="2"/>
          <w:sz w:val="40"/>
          <w:szCs w:val="40"/>
          <w:highlight w:val="none"/>
          <w:lang w:val="en-US" w:eastAsia="zh-CN" w:bidi="ar-SA"/>
        </w:rPr>
        <w:t>2021年电梯运行维护费</w:t>
      </w:r>
      <w:r>
        <w:rPr>
          <w:rFonts w:hint="eastAsia" w:ascii="方正小标宋简体" w:hAnsi="方正小标宋简体" w:eastAsia="方正小标宋简体" w:cs="方正小标宋简体"/>
          <w:color w:val="auto"/>
          <w:kern w:val="2"/>
          <w:sz w:val="40"/>
          <w:szCs w:val="40"/>
          <w:highlight w:val="none"/>
          <w:lang w:val="zh-CN" w:eastAsia="zh-CN" w:bidi="ar-SA"/>
        </w:rPr>
        <w:t>项目支出绩效自评报告</w:t>
      </w:r>
    </w:p>
    <w:p>
      <w:pPr>
        <w:keepNext w:val="0"/>
        <w:keepLines w:val="0"/>
        <w:pageBreakBefore w:val="0"/>
        <w:widowControl w:val="0"/>
        <w:kinsoku/>
        <w:wordWrap/>
        <w:overflowPunct/>
        <w:topLinePunct w:val="0"/>
        <w:autoSpaceDE/>
        <w:autoSpaceDN/>
        <w:bidi w:val="0"/>
        <w:spacing w:line="576" w:lineRule="exact"/>
        <w:ind w:firstLine="640"/>
        <w:jc w:val="center"/>
        <w:textAlignment w:val="auto"/>
        <w:rPr>
          <w:rFonts w:ascii="宋体" w:hAnsi="宋体" w:eastAsia="宋体" w:cs="Times New Roman"/>
          <w:color w:val="auto"/>
          <w:kern w:val="2"/>
          <w:sz w:val="32"/>
          <w:szCs w:val="32"/>
          <w:highlight w:val="none"/>
          <w:lang w:val="zh-CN" w:eastAsia="zh-CN" w:bidi="ar-SA"/>
        </w:rPr>
      </w:pP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ascii="黑体" w:hAnsi="宋体" w:eastAsia="黑体" w:cs="Times New Roman"/>
          <w:color w:val="auto"/>
          <w:sz w:val="32"/>
          <w:szCs w:val="32"/>
          <w:highlight w:val="none"/>
          <w:lang w:val="zh-CN"/>
        </w:rPr>
      </w:pPr>
      <w:r>
        <w:rPr>
          <w:rFonts w:hint="eastAsia" w:ascii="黑体" w:hAnsi="宋体" w:eastAsia="黑体" w:cs="Times New Roman"/>
          <w:color w:val="auto"/>
          <w:sz w:val="32"/>
          <w:szCs w:val="32"/>
          <w:highlight w:val="none"/>
        </w:rPr>
        <w:t>一、</w:t>
      </w:r>
      <w:r>
        <w:rPr>
          <w:rFonts w:hint="eastAsia" w:ascii="黑体" w:hAnsi="宋体" w:eastAsia="黑体" w:cs="Times New Roman"/>
          <w:color w:val="auto"/>
          <w:sz w:val="32"/>
          <w:szCs w:val="32"/>
          <w:highlight w:val="none"/>
          <w:lang w:val="zh-CN"/>
        </w:rPr>
        <w:t>项目概况</w:t>
      </w:r>
    </w:p>
    <w:p>
      <w:pPr>
        <w:keepNext w:val="0"/>
        <w:keepLines w:val="0"/>
        <w:pageBreakBefore w:val="0"/>
        <w:kinsoku/>
        <w:wordWrap/>
        <w:overflowPunct/>
        <w:topLinePunct w:val="0"/>
        <w:autoSpaceDE/>
        <w:autoSpaceDN/>
        <w:bidi w:val="0"/>
        <w:adjustRightInd w:val="0"/>
        <w:snapToGrid w:val="0"/>
        <w:spacing w:line="576" w:lineRule="exact"/>
        <w:ind w:firstLine="642" w:firstLineChars="20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（一）项目基本情况。</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zh-CN"/>
        </w:rPr>
        <w:t>1.说明项目主管部门（单位）在该项目管理中的职能。</w:t>
      </w:r>
    </w:p>
    <w:p>
      <w:pPr>
        <w:keepNext w:val="0"/>
        <w:keepLines w:val="0"/>
        <w:pageBreakBefore w:val="0"/>
        <w:kinsoku/>
        <w:wordWrap/>
        <w:overflowPunct/>
        <w:topLinePunct w:val="0"/>
        <w:autoSpaceDE/>
        <w:autoSpaceDN/>
        <w:bidi w:val="0"/>
        <w:adjustRightInd w:val="0"/>
        <w:snapToGrid w:val="0"/>
        <w:spacing w:line="576" w:lineRule="exact"/>
        <w:ind w:firstLine="640" w:firstLineChars="200"/>
        <w:rPr>
          <w:rFonts w:hint="eastAsia"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zh-CN"/>
        </w:rPr>
        <w:t>为落实《广元市人民政府办公室关于切实做好城镇“三无”人员供养工作的通知》(广府办函(2010)143号精神，实现市政府  提出的确保城镇“三无”人员自愿集中供养的全部纳入集中供养  的目标。文件规定:各级政府要认真解决落实公办社会福利机构  建设、设施设备以及城镇三无人员供养经费和必要的工作经费。  我院配备电梯5部，切实保障电梯运行安全与运行期间所产生的  费用，包括电梯运行及维护费，日常运行电费，电梯年检、维修及保养费。本单位在项目管理的职责包括具体实施等。</w:t>
      </w:r>
    </w:p>
    <w:p>
      <w:pPr>
        <w:keepNext w:val="0"/>
        <w:keepLines w:val="0"/>
        <w:pageBreakBefore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en-US" w:eastAsia="zh-CN"/>
        </w:rPr>
        <w:t>2.</w:t>
      </w:r>
      <w:r>
        <w:rPr>
          <w:rFonts w:hint="eastAsia" w:ascii="仿宋_GB2312" w:hAnsi="宋体" w:eastAsia="仿宋_GB2312" w:cs="Times New Roman"/>
          <w:color w:val="auto"/>
          <w:sz w:val="32"/>
          <w:szCs w:val="32"/>
          <w:highlight w:val="none"/>
          <w:lang w:val="zh-CN"/>
        </w:rPr>
        <w:t>项目立项、资金申报的依据。</w:t>
      </w:r>
    </w:p>
    <w:p>
      <w:pPr>
        <w:keepNext w:val="0"/>
        <w:keepLines w:val="0"/>
        <w:pageBreakBefore w:val="0"/>
        <w:kinsoku/>
        <w:wordWrap/>
        <w:overflowPunct/>
        <w:topLinePunct w:val="0"/>
        <w:autoSpaceDE/>
        <w:autoSpaceDN/>
        <w:bidi w:val="0"/>
        <w:adjustRightInd w:val="0"/>
        <w:snapToGrid w:val="0"/>
        <w:spacing w:line="576" w:lineRule="exact"/>
        <w:ind w:firstLine="640" w:firstLineChars="200"/>
        <w:rPr>
          <w:rFonts w:hint="eastAsia"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zh-CN"/>
        </w:rPr>
        <w:t>项目立项、资金申报的依据主要是本单位职能职责及年度工作计划。</w:t>
      </w:r>
    </w:p>
    <w:p>
      <w:pPr>
        <w:keepNext w:val="0"/>
        <w:keepLines w:val="0"/>
        <w:pageBreakBefore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en-US" w:eastAsia="zh-CN"/>
        </w:rPr>
        <w:t>3.</w:t>
      </w:r>
      <w:r>
        <w:rPr>
          <w:rFonts w:hint="eastAsia" w:ascii="仿宋_GB2312" w:hAnsi="宋体" w:eastAsia="仿宋_GB2312" w:cs="Times New Roman"/>
          <w:color w:val="auto"/>
          <w:sz w:val="32"/>
          <w:szCs w:val="32"/>
          <w:highlight w:val="none"/>
          <w:lang w:val="zh-CN"/>
        </w:rPr>
        <w:t>资金管理办法制定情况，资金支持具体项目的条件、范围与支持方式概况。</w:t>
      </w:r>
    </w:p>
    <w:p>
      <w:pPr>
        <w:keepNext w:val="0"/>
        <w:keepLines w:val="0"/>
        <w:pageBreakBefore w:val="0"/>
        <w:kinsoku/>
        <w:wordWrap/>
        <w:overflowPunct/>
        <w:topLinePunct w:val="0"/>
        <w:autoSpaceDE/>
        <w:autoSpaceDN/>
        <w:bidi w:val="0"/>
        <w:adjustRightInd w:val="0"/>
        <w:snapToGrid w:val="0"/>
        <w:spacing w:line="576" w:lineRule="exact"/>
        <w:ind w:firstLine="640" w:firstLineChars="200"/>
        <w:rPr>
          <w:rFonts w:hint="eastAsia"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zh-CN"/>
        </w:rPr>
        <w:t>本项目主要是工作经费，按照财政资金相关管理办法和要求执行。资金支持具体项目的条件是根据部门工作计划要求安排。财政全额支持。</w:t>
      </w:r>
    </w:p>
    <w:p>
      <w:pPr>
        <w:keepNext w:val="0"/>
        <w:keepLines w:val="0"/>
        <w:pageBreakBefore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en-US" w:eastAsia="zh-CN"/>
        </w:rPr>
        <w:t>4.</w:t>
      </w:r>
      <w:r>
        <w:rPr>
          <w:rFonts w:hint="eastAsia" w:ascii="仿宋_GB2312" w:hAnsi="宋体" w:eastAsia="仿宋_GB2312" w:cs="Times New Roman"/>
          <w:color w:val="auto"/>
          <w:sz w:val="32"/>
          <w:szCs w:val="32"/>
          <w:highlight w:val="none"/>
          <w:lang w:val="zh-CN"/>
        </w:rPr>
        <w:t>资金分配的原则及考虑因素。</w:t>
      </w:r>
    </w:p>
    <w:p>
      <w:pPr>
        <w:keepNext w:val="0"/>
        <w:keepLines w:val="0"/>
        <w:pageBreakBefore w:val="0"/>
        <w:kinsoku/>
        <w:wordWrap/>
        <w:overflowPunct/>
        <w:topLinePunct w:val="0"/>
        <w:autoSpaceDE/>
        <w:autoSpaceDN/>
        <w:bidi w:val="0"/>
        <w:adjustRightInd w:val="0"/>
        <w:snapToGrid w:val="0"/>
        <w:spacing w:line="576" w:lineRule="exact"/>
        <w:ind w:firstLine="640" w:firstLineChars="200"/>
        <w:rPr>
          <w:rFonts w:hint="eastAsia"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zh-CN"/>
        </w:rPr>
        <w:t>项目资金全部由本单位使用，根据项目具体实施内容匹配资金。</w:t>
      </w:r>
    </w:p>
    <w:p>
      <w:pPr>
        <w:keepNext w:val="0"/>
        <w:keepLines w:val="0"/>
        <w:pageBreakBefore w:val="0"/>
        <w:kinsoku/>
        <w:wordWrap/>
        <w:overflowPunct/>
        <w:topLinePunct w:val="0"/>
        <w:autoSpaceDE/>
        <w:autoSpaceDN/>
        <w:bidi w:val="0"/>
        <w:adjustRightInd w:val="0"/>
        <w:snapToGrid w:val="0"/>
        <w:spacing w:line="576" w:lineRule="exact"/>
        <w:ind w:firstLine="642" w:firstLineChars="20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（二）项目绩效目标。</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zh-CN"/>
        </w:rPr>
        <w:t>1.项目主要内容。</w:t>
      </w:r>
    </w:p>
    <w:p>
      <w:pPr>
        <w:keepNext w:val="0"/>
        <w:keepLines w:val="0"/>
        <w:pageBreakBefore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cs="Times New Roman"/>
          <w:color w:val="auto"/>
          <w:sz w:val="32"/>
          <w:szCs w:val="32"/>
          <w:highlight w:val="none"/>
          <w:lang w:val="en-US" w:eastAsia="zh-CN"/>
        </w:rPr>
      </w:pPr>
      <w:r>
        <w:rPr>
          <w:rFonts w:hint="eastAsia" w:ascii="仿宋_GB2312" w:hAnsi="宋体" w:eastAsia="仿宋_GB2312" w:cs="Times New Roman"/>
          <w:color w:val="auto"/>
          <w:sz w:val="32"/>
          <w:szCs w:val="32"/>
          <w:highlight w:val="none"/>
          <w:lang w:val="en-US" w:eastAsia="zh-CN"/>
        </w:rPr>
        <w:t>我院配备电梯5部，切实保障电梯运行安全与运行期间所产生的费用，包括电梯运行及维护费，日常运行电费，电梯年检、维修及保养费。</w:t>
      </w:r>
    </w:p>
    <w:p>
      <w:pPr>
        <w:keepNext w:val="0"/>
        <w:keepLines w:val="0"/>
        <w:pageBreakBefore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en-US" w:eastAsia="zh-CN"/>
        </w:rPr>
        <w:t>2.</w:t>
      </w:r>
      <w:r>
        <w:rPr>
          <w:rFonts w:hint="eastAsia" w:ascii="仿宋_GB2312" w:hAnsi="宋体" w:eastAsia="仿宋_GB2312" w:cs="Times New Roman"/>
          <w:color w:val="auto"/>
          <w:sz w:val="32"/>
          <w:szCs w:val="32"/>
          <w:highlight w:val="none"/>
          <w:lang w:val="zh-CN"/>
        </w:rPr>
        <w:t>项目应实现的具体绩效目标，包括目标的量化、细化情况以及项目实施进度计划等。</w:t>
      </w:r>
    </w:p>
    <w:p>
      <w:pPr>
        <w:keepNext w:val="0"/>
        <w:keepLines w:val="0"/>
        <w:pageBreakBefore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zh-CN"/>
        </w:rPr>
        <w:t>项目申请时依据项目实际情况明确了具体的绩效目标：数量指标（电梯、消防安全设施设备数量），质量指标（保证电梯使用期间的运行质量），时效指标（完成时间），成本指标（电梯运行及维护费，电梯年检、维修及保养费），社会效益指标（保障特困人员、代养老人、孤儿弃婴的生活方便，促进社会稳定和谐发展），满意度指标（特困人员、代养老人、孤儿弃婴满意度）等</w:t>
      </w:r>
      <w:r>
        <w:rPr>
          <w:rFonts w:hint="eastAsia" w:ascii="仿宋_GB2312" w:hAnsi="宋体" w:eastAsia="仿宋_GB2312" w:cs="Times New Roman"/>
          <w:color w:val="auto"/>
          <w:sz w:val="32"/>
          <w:szCs w:val="32"/>
          <w:highlight w:val="none"/>
          <w:lang w:val="en-US" w:eastAsia="zh-CN"/>
        </w:rPr>
        <w:t>6</w:t>
      </w:r>
      <w:r>
        <w:rPr>
          <w:rFonts w:hint="eastAsia" w:ascii="仿宋_GB2312" w:hAnsi="宋体" w:eastAsia="仿宋_GB2312" w:cs="Times New Roman"/>
          <w:color w:val="auto"/>
          <w:sz w:val="32"/>
          <w:szCs w:val="32"/>
          <w:highlight w:val="none"/>
          <w:lang w:val="zh-CN"/>
        </w:rPr>
        <w:t>个指标。并对指标值进行了量化、细化。项目制定了详细可行的进度计划，确保了项目顺利实施。</w:t>
      </w:r>
    </w:p>
    <w:p>
      <w:pPr>
        <w:keepNext w:val="0"/>
        <w:keepLines w:val="0"/>
        <w:pageBreakBefore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en-US" w:eastAsia="zh-CN"/>
        </w:rPr>
        <w:t>3.</w:t>
      </w:r>
      <w:r>
        <w:rPr>
          <w:rFonts w:hint="eastAsia" w:ascii="仿宋_GB2312" w:hAnsi="宋体" w:eastAsia="仿宋_GB2312" w:cs="Times New Roman"/>
          <w:color w:val="auto"/>
          <w:sz w:val="32"/>
          <w:szCs w:val="32"/>
          <w:highlight w:val="none"/>
          <w:lang w:val="zh-CN"/>
        </w:rPr>
        <w:t>分析评价申报内容是否与实际相符，申报目标是否合理可行。</w:t>
      </w:r>
    </w:p>
    <w:p>
      <w:pPr>
        <w:pStyle w:val="2"/>
        <w:keepNext w:val="0"/>
        <w:keepLines w:val="0"/>
        <w:pageBreakBefore w:val="0"/>
        <w:numPr>
          <w:ilvl w:val="0"/>
          <w:numId w:val="0"/>
        </w:numPr>
        <w:kinsoku/>
        <w:wordWrap/>
        <w:overflowPunct/>
        <w:topLinePunct w:val="0"/>
        <w:autoSpaceDE/>
        <w:autoSpaceDN/>
        <w:bidi w:val="0"/>
        <w:spacing w:line="576" w:lineRule="exact"/>
        <w:ind w:firstLine="640" w:firstLineChars="200"/>
        <w:rPr>
          <w:rFonts w:hint="eastAsia" w:ascii="仿宋_GB2312" w:hAnsi="宋体" w:eastAsia="仿宋_GB2312" w:cs="Times New Roman"/>
          <w:color w:val="auto"/>
          <w:kern w:val="2"/>
          <w:sz w:val="32"/>
          <w:szCs w:val="32"/>
          <w:highlight w:val="none"/>
          <w:lang w:val="zh-CN" w:eastAsia="zh-CN" w:bidi="ar-SA"/>
        </w:rPr>
      </w:pPr>
      <w:r>
        <w:rPr>
          <w:rFonts w:hint="eastAsia" w:ascii="仿宋_GB2312" w:hAnsi="宋体" w:eastAsia="仿宋_GB2312" w:cs="Times New Roman"/>
          <w:color w:val="auto"/>
          <w:kern w:val="2"/>
          <w:sz w:val="32"/>
          <w:szCs w:val="32"/>
          <w:highlight w:val="none"/>
          <w:lang w:val="en-US" w:eastAsia="zh-CN" w:bidi="ar-SA"/>
        </w:rPr>
        <w:t>绩效自评结果表明，项目</w:t>
      </w:r>
      <w:r>
        <w:rPr>
          <w:rFonts w:hint="eastAsia" w:ascii="仿宋_GB2312" w:hAnsi="宋体" w:eastAsia="仿宋_GB2312" w:cs="Times New Roman"/>
          <w:color w:val="auto"/>
          <w:kern w:val="2"/>
          <w:sz w:val="32"/>
          <w:szCs w:val="32"/>
          <w:highlight w:val="none"/>
          <w:lang w:val="zh-CN" w:eastAsia="zh-CN" w:bidi="ar-SA"/>
        </w:rPr>
        <w:t>申报内容与实际相符，申报目标合理可行。</w:t>
      </w:r>
    </w:p>
    <w:p>
      <w:pPr>
        <w:keepNext w:val="0"/>
        <w:keepLines w:val="0"/>
        <w:pageBreakBefore w:val="0"/>
        <w:kinsoku/>
        <w:wordWrap/>
        <w:overflowPunct/>
        <w:topLinePunct w:val="0"/>
        <w:autoSpaceDE/>
        <w:autoSpaceDN/>
        <w:bidi w:val="0"/>
        <w:adjustRightInd w:val="0"/>
        <w:snapToGrid w:val="0"/>
        <w:spacing w:line="576" w:lineRule="exact"/>
        <w:ind w:firstLine="642" w:firstLineChars="20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（三）项目自评步骤及方法。</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zh-CN"/>
        </w:rPr>
        <w:t>说明项目绩效自评采用的组织实施步骤及方法。</w:t>
      </w:r>
    </w:p>
    <w:p>
      <w:pPr>
        <w:pStyle w:val="2"/>
        <w:keepNext w:val="0"/>
        <w:keepLines w:val="0"/>
        <w:pageBreakBefore w:val="0"/>
        <w:numPr>
          <w:ilvl w:val="0"/>
          <w:numId w:val="0"/>
        </w:numPr>
        <w:kinsoku/>
        <w:wordWrap/>
        <w:overflowPunct/>
        <w:topLinePunct w:val="0"/>
        <w:autoSpaceDE/>
        <w:autoSpaceDN/>
        <w:bidi w:val="0"/>
        <w:spacing w:line="576" w:lineRule="exact"/>
        <w:ind w:firstLine="640" w:firstLineChars="200"/>
        <w:rPr>
          <w:rFonts w:hint="eastAsia" w:ascii="仿宋_GB2312" w:hAnsi="宋体" w:eastAsia="仿宋_GB2312" w:cs="Times New Roman"/>
          <w:color w:val="auto"/>
          <w:kern w:val="2"/>
          <w:sz w:val="32"/>
          <w:szCs w:val="32"/>
          <w:highlight w:val="none"/>
          <w:lang w:val="en-US" w:eastAsia="zh-CN" w:bidi="ar-SA"/>
        </w:rPr>
      </w:pPr>
      <w:r>
        <w:rPr>
          <w:rFonts w:hint="eastAsia" w:ascii="仿宋_GB2312" w:hAnsi="宋体" w:eastAsia="仿宋_GB2312" w:cs="Times New Roman"/>
          <w:color w:val="auto"/>
          <w:kern w:val="2"/>
          <w:sz w:val="32"/>
          <w:szCs w:val="32"/>
          <w:highlight w:val="none"/>
          <w:lang w:val="en-US" w:eastAsia="zh-CN" w:bidi="ar-SA"/>
        </w:rPr>
        <w:t>我单位对此次自评工作高度重视，成立了绩效评价工作小组，按照下列程序实施：</w:t>
      </w:r>
    </w:p>
    <w:p>
      <w:pPr>
        <w:pStyle w:val="2"/>
        <w:keepNext w:val="0"/>
        <w:keepLines w:val="0"/>
        <w:pageBreakBefore w:val="0"/>
        <w:numPr>
          <w:ilvl w:val="0"/>
          <w:numId w:val="0"/>
        </w:numPr>
        <w:kinsoku/>
        <w:wordWrap/>
        <w:overflowPunct/>
        <w:topLinePunct w:val="0"/>
        <w:autoSpaceDE/>
        <w:autoSpaceDN/>
        <w:bidi w:val="0"/>
        <w:spacing w:line="576" w:lineRule="exact"/>
        <w:ind w:firstLine="640" w:firstLineChars="200"/>
        <w:rPr>
          <w:rFonts w:hint="eastAsia" w:ascii="仿宋_GB2312" w:hAnsi="宋体" w:eastAsia="仿宋_GB2312" w:cs="Times New Roman"/>
          <w:color w:val="auto"/>
          <w:kern w:val="2"/>
          <w:sz w:val="32"/>
          <w:szCs w:val="32"/>
          <w:highlight w:val="none"/>
          <w:lang w:val="en-US" w:eastAsia="zh-CN" w:bidi="ar-SA"/>
        </w:rPr>
      </w:pPr>
      <w:r>
        <w:rPr>
          <w:rFonts w:hint="eastAsia" w:ascii="仿宋_GB2312" w:hAnsi="宋体" w:eastAsia="仿宋_GB2312" w:cs="Times New Roman"/>
          <w:color w:val="auto"/>
          <w:kern w:val="2"/>
          <w:sz w:val="32"/>
          <w:szCs w:val="32"/>
          <w:highlight w:val="none"/>
          <w:lang w:val="en-US" w:eastAsia="zh-CN" w:bidi="ar-SA"/>
        </w:rPr>
        <w:t>1.分解任务：根据部门支出绩效评价涉及的工作内容，分解到各科股室；</w:t>
      </w:r>
    </w:p>
    <w:p>
      <w:pPr>
        <w:pStyle w:val="2"/>
        <w:keepNext w:val="0"/>
        <w:keepLines w:val="0"/>
        <w:pageBreakBefore w:val="0"/>
        <w:numPr>
          <w:ilvl w:val="0"/>
          <w:numId w:val="0"/>
        </w:numPr>
        <w:kinsoku/>
        <w:wordWrap/>
        <w:overflowPunct/>
        <w:topLinePunct w:val="0"/>
        <w:autoSpaceDE/>
        <w:autoSpaceDN/>
        <w:bidi w:val="0"/>
        <w:spacing w:line="576" w:lineRule="exact"/>
        <w:ind w:firstLine="640" w:firstLineChars="200"/>
        <w:rPr>
          <w:rFonts w:hint="eastAsia" w:ascii="仿宋_GB2312" w:hAnsi="宋体" w:eastAsia="仿宋_GB2312" w:cs="Times New Roman"/>
          <w:color w:val="auto"/>
          <w:kern w:val="2"/>
          <w:sz w:val="32"/>
          <w:szCs w:val="32"/>
          <w:highlight w:val="none"/>
          <w:lang w:val="en-US" w:eastAsia="zh-CN" w:bidi="ar-SA"/>
        </w:rPr>
      </w:pPr>
      <w:r>
        <w:rPr>
          <w:rFonts w:hint="eastAsia" w:ascii="仿宋_GB2312" w:hAnsi="宋体" w:eastAsia="仿宋_GB2312" w:cs="Times New Roman"/>
          <w:color w:val="auto"/>
          <w:kern w:val="2"/>
          <w:sz w:val="32"/>
          <w:szCs w:val="32"/>
          <w:highlight w:val="none"/>
          <w:lang w:val="en-US" w:eastAsia="zh-CN" w:bidi="ar-SA"/>
        </w:rPr>
        <w:t>2.股室初评：业务股室根据计分标准对各自负责的工作逐一检查，翻阅资料，对标自评；</w:t>
      </w:r>
    </w:p>
    <w:p>
      <w:pPr>
        <w:pStyle w:val="2"/>
        <w:keepNext w:val="0"/>
        <w:keepLines w:val="0"/>
        <w:pageBreakBefore w:val="0"/>
        <w:numPr>
          <w:ilvl w:val="0"/>
          <w:numId w:val="0"/>
        </w:numPr>
        <w:kinsoku/>
        <w:wordWrap/>
        <w:overflowPunct/>
        <w:topLinePunct w:val="0"/>
        <w:autoSpaceDE/>
        <w:autoSpaceDN/>
        <w:bidi w:val="0"/>
        <w:spacing w:line="576" w:lineRule="exact"/>
        <w:ind w:firstLine="640" w:firstLineChars="200"/>
        <w:rPr>
          <w:rFonts w:hint="eastAsia" w:ascii="仿宋_GB2312" w:hAnsi="宋体" w:eastAsia="仿宋_GB2312" w:cs="Times New Roman"/>
          <w:color w:val="auto"/>
          <w:kern w:val="2"/>
          <w:sz w:val="32"/>
          <w:szCs w:val="32"/>
          <w:highlight w:val="none"/>
          <w:lang w:val="en-US" w:eastAsia="zh-CN" w:bidi="ar-SA"/>
        </w:rPr>
      </w:pPr>
      <w:r>
        <w:rPr>
          <w:rFonts w:hint="eastAsia" w:ascii="仿宋_GB2312" w:hAnsi="宋体" w:eastAsia="仿宋_GB2312" w:cs="Times New Roman"/>
          <w:color w:val="auto"/>
          <w:kern w:val="2"/>
          <w:sz w:val="32"/>
          <w:szCs w:val="32"/>
          <w:highlight w:val="none"/>
          <w:lang w:val="en-US" w:eastAsia="zh-CN" w:bidi="ar-SA"/>
        </w:rPr>
        <w:t>3.小组复评：绩效评价工作小组对初评情况进行检查，并再次评价；</w:t>
      </w:r>
    </w:p>
    <w:p>
      <w:pPr>
        <w:pStyle w:val="2"/>
        <w:keepNext w:val="0"/>
        <w:keepLines w:val="0"/>
        <w:pageBreakBefore w:val="0"/>
        <w:numPr>
          <w:ilvl w:val="0"/>
          <w:numId w:val="0"/>
        </w:numPr>
        <w:kinsoku/>
        <w:wordWrap/>
        <w:overflowPunct/>
        <w:topLinePunct w:val="0"/>
        <w:autoSpaceDE/>
        <w:autoSpaceDN/>
        <w:bidi w:val="0"/>
        <w:spacing w:line="576" w:lineRule="exact"/>
        <w:ind w:firstLine="640" w:firstLineChars="200"/>
        <w:rPr>
          <w:rFonts w:hint="eastAsia" w:ascii="仿宋_GB2312" w:hAnsi="宋体" w:eastAsia="仿宋_GB2312" w:cs="Times New Roman"/>
          <w:color w:val="auto"/>
          <w:kern w:val="2"/>
          <w:sz w:val="32"/>
          <w:szCs w:val="32"/>
          <w:highlight w:val="none"/>
          <w:lang w:val="zh-CN" w:eastAsia="zh-CN" w:bidi="ar-SA"/>
        </w:rPr>
      </w:pPr>
      <w:r>
        <w:rPr>
          <w:rFonts w:hint="eastAsia" w:ascii="仿宋_GB2312" w:hAnsi="宋体" w:eastAsia="仿宋_GB2312" w:cs="Times New Roman"/>
          <w:color w:val="auto"/>
          <w:kern w:val="2"/>
          <w:sz w:val="32"/>
          <w:szCs w:val="32"/>
          <w:highlight w:val="none"/>
          <w:lang w:val="en-US" w:eastAsia="zh-CN" w:bidi="ar-SA"/>
        </w:rPr>
        <w:t>4.整理上报：对自评情况进行梳理，及时上报财政部门，并对存在的问题落实整改。</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ascii="黑体" w:hAnsi="宋体" w:eastAsia="黑体" w:cs="Times New Roman"/>
          <w:color w:val="auto"/>
          <w:sz w:val="32"/>
          <w:szCs w:val="32"/>
          <w:highlight w:val="none"/>
        </w:rPr>
      </w:pPr>
      <w:r>
        <w:rPr>
          <w:rFonts w:hint="eastAsia" w:ascii="黑体" w:hAnsi="宋体" w:eastAsia="黑体" w:cs="Times New Roman"/>
          <w:color w:val="auto"/>
          <w:sz w:val="32"/>
          <w:szCs w:val="32"/>
          <w:highlight w:val="none"/>
        </w:rPr>
        <w:t>二、项目资金申报及使用情况</w:t>
      </w:r>
    </w:p>
    <w:p>
      <w:pPr>
        <w:keepNext w:val="0"/>
        <w:keepLines w:val="0"/>
        <w:pageBreakBefore w:val="0"/>
        <w:kinsoku/>
        <w:wordWrap/>
        <w:overflowPunct/>
        <w:topLinePunct w:val="0"/>
        <w:autoSpaceDE/>
        <w:autoSpaceDN/>
        <w:bidi w:val="0"/>
        <w:adjustRightInd w:val="0"/>
        <w:snapToGrid w:val="0"/>
        <w:spacing w:line="576" w:lineRule="exact"/>
        <w:ind w:firstLine="642" w:firstLineChars="20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（一）项目资金申报及批复情况。</w:t>
      </w:r>
    </w:p>
    <w:p>
      <w:pPr>
        <w:pStyle w:val="2"/>
        <w:keepNext w:val="0"/>
        <w:keepLines w:val="0"/>
        <w:pageBreakBefore w:val="0"/>
        <w:numPr>
          <w:ilvl w:val="0"/>
          <w:numId w:val="0"/>
        </w:numPr>
        <w:kinsoku/>
        <w:wordWrap/>
        <w:overflowPunct/>
        <w:topLinePunct w:val="0"/>
        <w:autoSpaceDE/>
        <w:autoSpaceDN/>
        <w:bidi w:val="0"/>
        <w:spacing w:line="576" w:lineRule="exact"/>
        <w:ind w:firstLine="640" w:firstLineChars="200"/>
        <w:rPr>
          <w:rFonts w:hint="eastAsia" w:ascii="仿宋_GB2312" w:hAnsi="宋体" w:eastAsia="仿宋_GB2312" w:cs="Times New Roman"/>
          <w:color w:val="auto"/>
          <w:kern w:val="2"/>
          <w:sz w:val="32"/>
          <w:szCs w:val="32"/>
          <w:highlight w:val="none"/>
          <w:lang w:val="zh-CN" w:eastAsia="zh-CN" w:bidi="ar-SA"/>
        </w:rPr>
      </w:pPr>
      <w:r>
        <w:rPr>
          <w:rFonts w:hint="eastAsia" w:ascii="仿宋_GB2312" w:hAnsi="宋体" w:eastAsia="仿宋_GB2312" w:cs="Times New Roman"/>
          <w:color w:val="auto"/>
          <w:kern w:val="2"/>
          <w:sz w:val="32"/>
          <w:szCs w:val="32"/>
          <w:highlight w:val="none"/>
          <w:lang w:val="zh-CN" w:eastAsia="zh-CN" w:bidi="ar-SA"/>
        </w:rPr>
        <w:t>本项目资金是年初纳入部门预算申报并获得批复，无预算调整。</w:t>
      </w:r>
    </w:p>
    <w:p>
      <w:pPr>
        <w:keepNext w:val="0"/>
        <w:keepLines w:val="0"/>
        <w:pageBreakBefore w:val="0"/>
        <w:numPr>
          <w:ilvl w:val="0"/>
          <w:numId w:val="0"/>
        </w:numPr>
        <w:kinsoku/>
        <w:wordWrap/>
        <w:overflowPunct/>
        <w:topLinePunct w:val="0"/>
        <w:autoSpaceDE/>
        <w:autoSpaceDN/>
        <w:bidi w:val="0"/>
        <w:adjustRightInd w:val="0"/>
        <w:snapToGrid w:val="0"/>
        <w:spacing w:line="576" w:lineRule="exact"/>
        <w:ind w:firstLine="642" w:firstLineChars="200"/>
        <w:textAlignment w:val="auto"/>
        <w:rPr>
          <w:rFonts w:hint="eastAsia"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（二）资金计划、到位及使用情况。</w:t>
      </w:r>
    </w:p>
    <w:p>
      <w:pPr>
        <w:pStyle w:val="2"/>
        <w:keepNext w:val="0"/>
        <w:keepLines w:val="0"/>
        <w:pageBreakBefore w:val="0"/>
        <w:kinsoku/>
        <w:wordWrap/>
        <w:overflowPunct/>
        <w:topLinePunct w:val="0"/>
        <w:autoSpaceDE/>
        <w:autoSpaceDN/>
        <w:bidi w:val="0"/>
        <w:spacing w:line="576" w:lineRule="exact"/>
        <w:ind w:firstLine="420" w:firstLineChars="200"/>
        <w:rPr>
          <w:rFonts w:hint="eastAsia"/>
          <w:color w:val="auto"/>
          <w:lang w:val="zh-CN"/>
        </w:rPr>
      </w:pPr>
    </w:p>
    <w:tbl>
      <w:tblPr>
        <w:tblStyle w:val="13"/>
        <w:tblW w:w="8293" w:type="dxa"/>
        <w:tblInd w:w="0" w:type="dxa"/>
        <w:tblLayout w:type="fixed"/>
        <w:tblCellMar>
          <w:top w:w="0" w:type="dxa"/>
          <w:left w:w="0" w:type="dxa"/>
          <w:bottom w:w="0" w:type="dxa"/>
          <w:right w:w="0" w:type="dxa"/>
        </w:tblCellMar>
      </w:tblPr>
      <w:tblGrid>
        <w:gridCol w:w="2203"/>
        <w:gridCol w:w="2250"/>
        <w:gridCol w:w="2115"/>
        <w:gridCol w:w="1725"/>
      </w:tblGrid>
      <w:tr>
        <w:tblPrEx>
          <w:tblCellMar>
            <w:top w:w="0" w:type="dxa"/>
            <w:left w:w="0" w:type="dxa"/>
            <w:bottom w:w="0" w:type="dxa"/>
            <w:right w:w="0" w:type="dxa"/>
          </w:tblCellMar>
        </w:tblPrEx>
        <w:trPr>
          <w:trHeight w:val="420" w:hRule="atLeast"/>
        </w:trPr>
        <w:tc>
          <w:tcPr>
            <w:tcW w:w="220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ind w:firstLine="0" w:firstLineChars="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项目名称</w:t>
            </w:r>
          </w:p>
        </w:tc>
        <w:tc>
          <w:tcPr>
            <w:tcW w:w="22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ind w:firstLine="0" w:firstLineChars="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资金预算（万元）</w:t>
            </w:r>
          </w:p>
        </w:tc>
        <w:tc>
          <w:tcPr>
            <w:tcW w:w="21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ind w:firstLine="0" w:firstLineChars="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资金到位（万元）</w:t>
            </w:r>
          </w:p>
        </w:tc>
        <w:tc>
          <w:tcPr>
            <w:tcW w:w="17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ind w:firstLine="0" w:firstLineChars="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资金使用（万元）</w:t>
            </w:r>
          </w:p>
        </w:tc>
      </w:tr>
      <w:tr>
        <w:tblPrEx>
          <w:tblCellMar>
            <w:top w:w="0" w:type="dxa"/>
            <w:left w:w="0" w:type="dxa"/>
            <w:bottom w:w="0" w:type="dxa"/>
            <w:right w:w="0" w:type="dxa"/>
          </w:tblCellMar>
        </w:tblPrEx>
        <w:trPr>
          <w:trHeight w:val="420" w:hRule="atLeast"/>
        </w:trPr>
        <w:tc>
          <w:tcPr>
            <w:tcW w:w="220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76" w:lineRule="exact"/>
              <w:ind w:firstLine="0" w:firstLineChars="0"/>
              <w:jc w:val="center"/>
              <w:rPr>
                <w:rFonts w:hint="eastAsia" w:ascii="宋体" w:hAnsi="宋体" w:eastAsia="宋体" w:cs="宋体"/>
                <w:i w:val="0"/>
                <w:color w:val="auto"/>
                <w:sz w:val="24"/>
                <w:szCs w:val="24"/>
                <w:u w:val="none"/>
              </w:rPr>
            </w:pPr>
          </w:p>
        </w:tc>
        <w:tc>
          <w:tcPr>
            <w:tcW w:w="22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ind w:firstLine="0" w:firstLineChars="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财政资金</w:t>
            </w:r>
          </w:p>
        </w:tc>
        <w:tc>
          <w:tcPr>
            <w:tcW w:w="21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ind w:firstLine="0" w:firstLineChars="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财政资金</w:t>
            </w:r>
          </w:p>
        </w:tc>
        <w:tc>
          <w:tcPr>
            <w:tcW w:w="17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ind w:firstLine="0" w:firstLineChars="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财政资金</w:t>
            </w:r>
          </w:p>
        </w:tc>
      </w:tr>
      <w:tr>
        <w:tblPrEx>
          <w:tblCellMar>
            <w:top w:w="0" w:type="dxa"/>
            <w:left w:w="0" w:type="dxa"/>
            <w:bottom w:w="0" w:type="dxa"/>
            <w:right w:w="0" w:type="dxa"/>
          </w:tblCellMar>
        </w:tblPrEx>
        <w:trPr>
          <w:trHeight w:val="460" w:hRule="atLeast"/>
        </w:trPr>
        <w:tc>
          <w:tcPr>
            <w:tcW w:w="22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ind w:firstLine="0" w:firstLineChars="0"/>
              <w:jc w:val="center"/>
              <w:textAlignment w:val="center"/>
              <w:rPr>
                <w:rFonts w:hint="default" w:ascii="宋体" w:hAnsi="宋体" w:eastAsia="宋体" w:cs="宋体"/>
                <w:i w:val="0"/>
                <w:color w:val="auto"/>
                <w:sz w:val="24"/>
                <w:szCs w:val="24"/>
                <w:u w:val="none"/>
                <w:lang w:val="en-US"/>
              </w:rPr>
            </w:pPr>
            <w:r>
              <w:rPr>
                <w:rFonts w:hint="eastAsia" w:ascii="宋体" w:hAnsi="宋体" w:cs="宋体"/>
                <w:i w:val="0"/>
                <w:color w:val="auto"/>
                <w:kern w:val="0"/>
                <w:sz w:val="24"/>
                <w:szCs w:val="24"/>
                <w:u w:val="none"/>
                <w:lang w:val="en-US" w:eastAsia="zh-CN" w:bidi="ar"/>
              </w:rPr>
              <w:t>电梯运行及维护费</w:t>
            </w:r>
          </w:p>
        </w:tc>
        <w:tc>
          <w:tcPr>
            <w:tcW w:w="22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ind w:firstLine="0" w:firstLineChars="0"/>
              <w:jc w:val="center"/>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4</w:t>
            </w:r>
          </w:p>
        </w:tc>
        <w:tc>
          <w:tcPr>
            <w:tcW w:w="21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ind w:firstLine="0" w:firstLineChars="0"/>
              <w:jc w:val="center"/>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4</w:t>
            </w:r>
          </w:p>
        </w:tc>
        <w:tc>
          <w:tcPr>
            <w:tcW w:w="17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ind w:firstLine="0" w:firstLineChars="0"/>
              <w:jc w:val="center"/>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4</w:t>
            </w:r>
          </w:p>
        </w:tc>
      </w:tr>
    </w:tbl>
    <w:p>
      <w:pPr>
        <w:pStyle w:val="2"/>
        <w:keepNext w:val="0"/>
        <w:keepLines w:val="0"/>
        <w:pageBreakBefore w:val="0"/>
        <w:numPr>
          <w:ilvl w:val="0"/>
          <w:numId w:val="0"/>
        </w:numPr>
        <w:kinsoku/>
        <w:wordWrap/>
        <w:overflowPunct/>
        <w:topLinePunct w:val="0"/>
        <w:autoSpaceDE/>
        <w:autoSpaceDN/>
        <w:bidi w:val="0"/>
        <w:spacing w:line="576" w:lineRule="exact"/>
        <w:ind w:firstLine="420" w:firstLineChars="200"/>
        <w:rPr>
          <w:color w:val="auto"/>
          <w:lang w:val="zh-CN"/>
        </w:rPr>
      </w:pP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方正仿宋_GB2312" w:hAnsi="方正仿宋_GB2312" w:eastAsia="方正仿宋_GB2312" w:cs="方正仿宋_GB2312"/>
          <w:color w:val="auto"/>
          <w:kern w:val="2"/>
          <w:sz w:val="32"/>
          <w:szCs w:val="32"/>
          <w:highlight w:val="none"/>
          <w:lang w:val="zh-CN" w:eastAsia="zh-CN" w:bidi="ar-SA"/>
        </w:rPr>
      </w:pPr>
      <w:r>
        <w:rPr>
          <w:rFonts w:hint="eastAsia" w:ascii="方正仿宋_GB2312" w:hAnsi="方正仿宋_GB2312" w:eastAsia="方正仿宋_GB2312" w:cs="方正仿宋_GB2312"/>
          <w:color w:val="auto"/>
          <w:sz w:val="32"/>
          <w:szCs w:val="32"/>
          <w:highlight w:val="none"/>
          <w:lang w:val="zh-CN"/>
        </w:rPr>
        <w:t>1.资金计划。</w:t>
      </w:r>
      <w:r>
        <w:rPr>
          <w:rFonts w:hint="eastAsia" w:ascii="方正仿宋_GB2312" w:hAnsi="方正仿宋_GB2312" w:eastAsia="方正仿宋_GB2312" w:cs="方正仿宋_GB2312"/>
          <w:color w:val="auto"/>
          <w:kern w:val="2"/>
          <w:sz w:val="32"/>
          <w:szCs w:val="32"/>
          <w:highlight w:val="none"/>
          <w:lang w:val="en-US" w:eastAsia="zh-CN" w:bidi="ar-SA"/>
        </w:rPr>
        <w:t>项目资金计划4万元，均为财政资金。</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方正仿宋_GB2312" w:hAnsi="方正仿宋_GB2312" w:eastAsia="方正仿宋_GB2312" w:cs="方正仿宋_GB2312"/>
          <w:color w:val="auto"/>
          <w:sz w:val="32"/>
          <w:szCs w:val="32"/>
          <w:highlight w:val="none"/>
          <w:lang w:val="zh-CN"/>
        </w:rPr>
      </w:pPr>
      <w:r>
        <w:rPr>
          <w:rFonts w:hint="eastAsia" w:ascii="方正仿宋_GB2312" w:hAnsi="方正仿宋_GB2312" w:eastAsia="方正仿宋_GB2312" w:cs="方正仿宋_GB2312"/>
          <w:color w:val="auto"/>
          <w:sz w:val="32"/>
          <w:szCs w:val="32"/>
          <w:highlight w:val="none"/>
          <w:lang w:val="zh-CN"/>
        </w:rPr>
        <w:t>2.资金到位。</w:t>
      </w:r>
      <w:r>
        <w:rPr>
          <w:rFonts w:hint="eastAsia" w:ascii="方正仿宋_GB2312" w:hAnsi="方正仿宋_GB2312" w:eastAsia="方正仿宋_GB2312" w:cs="方正仿宋_GB2312"/>
          <w:color w:val="auto"/>
          <w:kern w:val="2"/>
          <w:sz w:val="32"/>
          <w:szCs w:val="32"/>
          <w:highlight w:val="none"/>
          <w:lang w:val="zh-CN" w:eastAsia="zh-CN" w:bidi="ar-SA"/>
        </w:rPr>
        <w:t>资金到位率</w:t>
      </w:r>
      <w:r>
        <w:rPr>
          <w:rFonts w:hint="eastAsia" w:ascii="方正仿宋_GB2312" w:hAnsi="方正仿宋_GB2312" w:eastAsia="方正仿宋_GB2312" w:cs="方正仿宋_GB2312"/>
          <w:color w:val="auto"/>
          <w:kern w:val="2"/>
          <w:sz w:val="32"/>
          <w:szCs w:val="32"/>
          <w:highlight w:val="none"/>
          <w:lang w:val="en-US" w:eastAsia="zh-CN" w:bidi="ar-SA"/>
        </w:rPr>
        <w:t>100%，</w:t>
      </w:r>
      <w:r>
        <w:rPr>
          <w:rFonts w:hint="eastAsia" w:ascii="方正仿宋_GB2312" w:hAnsi="方正仿宋_GB2312" w:eastAsia="方正仿宋_GB2312" w:cs="方正仿宋_GB2312"/>
          <w:color w:val="auto"/>
          <w:kern w:val="2"/>
          <w:sz w:val="32"/>
          <w:szCs w:val="32"/>
          <w:highlight w:val="none"/>
          <w:lang w:val="zh-CN" w:eastAsia="zh-CN" w:bidi="ar-SA"/>
        </w:rPr>
        <w:t>到位及时率</w:t>
      </w:r>
      <w:r>
        <w:rPr>
          <w:rFonts w:hint="eastAsia" w:ascii="方正仿宋_GB2312" w:hAnsi="方正仿宋_GB2312" w:eastAsia="方正仿宋_GB2312" w:cs="方正仿宋_GB2312"/>
          <w:color w:val="auto"/>
          <w:kern w:val="2"/>
          <w:sz w:val="32"/>
          <w:szCs w:val="32"/>
          <w:highlight w:val="none"/>
          <w:lang w:val="en-US" w:eastAsia="zh-CN" w:bidi="ar-SA"/>
        </w:rPr>
        <w:t>100%</w:t>
      </w:r>
      <w:r>
        <w:rPr>
          <w:rFonts w:hint="eastAsia" w:ascii="方正仿宋_GB2312" w:hAnsi="方正仿宋_GB2312" w:eastAsia="方正仿宋_GB2312" w:cs="方正仿宋_GB2312"/>
          <w:color w:val="auto"/>
          <w:kern w:val="2"/>
          <w:sz w:val="32"/>
          <w:szCs w:val="32"/>
          <w:highlight w:val="none"/>
          <w:lang w:val="zh-CN" w:eastAsia="zh-CN" w:bidi="ar-SA"/>
        </w:rPr>
        <w:t>。</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方正仿宋简体" w:hAnsi="宋体" w:eastAsia="方正仿宋简体"/>
          <w:color w:val="auto"/>
          <w:sz w:val="32"/>
          <w:szCs w:val="32"/>
          <w:lang w:val="zh-CN"/>
        </w:rPr>
      </w:pPr>
      <w:r>
        <w:rPr>
          <w:rFonts w:hint="eastAsia" w:ascii="方正仿宋_GB2312" w:hAnsi="方正仿宋_GB2312" w:eastAsia="方正仿宋_GB2312" w:cs="方正仿宋_GB2312"/>
          <w:color w:val="auto"/>
          <w:sz w:val="32"/>
          <w:szCs w:val="32"/>
          <w:highlight w:val="none"/>
          <w:lang w:val="zh-CN"/>
        </w:rPr>
        <w:t>3.资金使用。</w:t>
      </w:r>
      <w:r>
        <w:rPr>
          <w:rFonts w:hint="eastAsia" w:ascii="仿宋_GB2312" w:hAnsi="宋体" w:eastAsia="仿宋_GB2312" w:cs="Times New Roman"/>
          <w:color w:val="auto"/>
          <w:kern w:val="2"/>
          <w:sz w:val="32"/>
          <w:szCs w:val="32"/>
          <w:highlight w:val="none"/>
          <w:lang w:val="zh-CN" w:eastAsia="zh-CN" w:bidi="ar-SA"/>
        </w:rPr>
        <w:t>资金支出</w:t>
      </w:r>
      <w:r>
        <w:rPr>
          <w:rFonts w:hint="eastAsia" w:ascii="方正仿宋_GB2312" w:hAnsi="方正仿宋_GB2312" w:eastAsia="方正仿宋_GB2312" w:cs="方正仿宋_GB2312"/>
          <w:color w:val="auto"/>
          <w:kern w:val="2"/>
          <w:sz w:val="32"/>
          <w:szCs w:val="32"/>
          <w:highlight w:val="none"/>
          <w:lang w:val="en-US" w:eastAsia="zh-CN" w:bidi="ar-SA"/>
        </w:rPr>
        <w:t>4万元</w:t>
      </w:r>
      <w:r>
        <w:rPr>
          <w:rFonts w:hint="eastAsia" w:ascii="仿宋_GB2312" w:hAnsi="宋体" w:eastAsia="仿宋_GB2312" w:cs="Times New Roman"/>
          <w:color w:val="auto"/>
          <w:kern w:val="2"/>
          <w:sz w:val="32"/>
          <w:szCs w:val="32"/>
          <w:highlight w:val="none"/>
          <w:lang w:val="en-US" w:eastAsia="zh-CN" w:bidi="ar-SA"/>
        </w:rPr>
        <w:t>，</w:t>
      </w:r>
      <w:r>
        <w:rPr>
          <w:rFonts w:hint="eastAsia" w:ascii="仿宋_GB2312" w:hAnsi="宋体" w:eastAsia="仿宋_GB2312" w:cs="Times New Roman"/>
          <w:color w:val="auto"/>
          <w:kern w:val="2"/>
          <w:sz w:val="32"/>
          <w:szCs w:val="32"/>
          <w:highlight w:val="none"/>
          <w:lang w:val="zh-CN" w:eastAsia="zh-CN" w:bidi="ar-SA"/>
        </w:rPr>
        <w:t>资金使用安全、规范、效果显著。资金支付范围全用于电梯运行及维护费、日常运行电费，电梯年检、维修及保养费。支付标准均按照财政资金管理限额（标准）执行。根据项目实施进度支付款项，支付依据合规合法，支出金额与预算相符。</w:t>
      </w:r>
    </w:p>
    <w:p>
      <w:pPr>
        <w:keepNext w:val="0"/>
        <w:keepLines w:val="0"/>
        <w:pageBreakBefore w:val="0"/>
        <w:kinsoku/>
        <w:wordWrap/>
        <w:overflowPunct/>
        <w:topLinePunct w:val="0"/>
        <w:autoSpaceDE/>
        <w:autoSpaceDN/>
        <w:bidi w:val="0"/>
        <w:adjustRightInd w:val="0"/>
        <w:snapToGrid w:val="0"/>
        <w:spacing w:line="576" w:lineRule="exact"/>
        <w:ind w:firstLine="642" w:firstLineChars="20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（三）项目财务管理情况。</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cs="Times New Roman"/>
          <w:color w:val="auto"/>
          <w:kern w:val="2"/>
          <w:sz w:val="32"/>
          <w:szCs w:val="32"/>
          <w:highlight w:val="none"/>
          <w:lang w:val="zh-CN" w:eastAsia="zh-CN" w:bidi="ar-SA"/>
        </w:rPr>
      </w:pPr>
      <w:r>
        <w:rPr>
          <w:rFonts w:hint="eastAsia" w:ascii="仿宋_GB2312" w:hAnsi="宋体" w:eastAsia="仿宋_GB2312" w:cs="Times New Roman"/>
          <w:color w:val="auto"/>
          <w:kern w:val="2"/>
          <w:sz w:val="32"/>
          <w:szCs w:val="32"/>
          <w:highlight w:val="none"/>
          <w:lang w:val="zh-CN" w:eastAsia="zh-CN" w:bidi="ar-SA"/>
        </w:rPr>
        <w:t>本单位财务管理制度健全，严格执行财务管理制度，账务处理及时，会计核算规范。</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ascii="黑体" w:hAnsi="宋体" w:eastAsia="黑体" w:cs="Times New Roman"/>
          <w:color w:val="auto"/>
          <w:sz w:val="32"/>
          <w:szCs w:val="32"/>
          <w:highlight w:val="none"/>
        </w:rPr>
      </w:pPr>
      <w:r>
        <w:rPr>
          <w:rFonts w:hint="eastAsia" w:ascii="黑体" w:hAnsi="宋体" w:eastAsia="黑体" w:cs="Times New Roman"/>
          <w:color w:val="auto"/>
          <w:sz w:val="32"/>
          <w:szCs w:val="32"/>
          <w:highlight w:val="none"/>
        </w:rPr>
        <w:t>三、项目实施及管理情况</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kern w:val="2"/>
          <w:sz w:val="32"/>
          <w:szCs w:val="32"/>
          <w:highlight w:val="none"/>
          <w:lang w:val="zh-CN" w:eastAsia="zh-CN" w:bidi="ar-SA"/>
        </w:rPr>
        <w:t>结合项目组织实施管理办法，重点围绕以下内容进行分析评价，并对自评中发现的问题分析说明。</w:t>
      </w:r>
    </w:p>
    <w:p>
      <w:pPr>
        <w:keepNext w:val="0"/>
        <w:keepLines w:val="0"/>
        <w:pageBreakBefore w:val="0"/>
        <w:kinsoku/>
        <w:wordWrap/>
        <w:overflowPunct/>
        <w:topLinePunct w:val="0"/>
        <w:autoSpaceDE/>
        <w:autoSpaceDN/>
        <w:bidi w:val="0"/>
        <w:adjustRightInd w:val="0"/>
        <w:snapToGrid w:val="0"/>
        <w:spacing w:line="576" w:lineRule="exact"/>
        <w:ind w:firstLine="642" w:firstLineChars="20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（一）项目组织架构及实施流程。</w:t>
      </w:r>
      <w:r>
        <w:rPr>
          <w:rFonts w:hint="eastAsia" w:ascii="仿宋_GB2312" w:hAnsi="宋体" w:eastAsia="仿宋_GB2312" w:cs="Times New Roman"/>
          <w:color w:val="auto"/>
          <w:kern w:val="2"/>
          <w:sz w:val="32"/>
          <w:szCs w:val="32"/>
          <w:highlight w:val="none"/>
          <w:lang w:val="en-US" w:eastAsia="zh-CN" w:bidi="ar-SA"/>
        </w:rPr>
        <w:t>本</w:t>
      </w:r>
      <w:r>
        <w:rPr>
          <w:rFonts w:hint="eastAsia" w:ascii="仿宋_GB2312" w:hAnsi="宋体" w:eastAsia="仿宋_GB2312" w:cs="Times New Roman"/>
          <w:color w:val="auto"/>
          <w:kern w:val="2"/>
          <w:sz w:val="32"/>
          <w:szCs w:val="32"/>
          <w:highlight w:val="none"/>
          <w:lang w:val="zh-CN" w:eastAsia="zh-CN" w:bidi="ar-SA"/>
        </w:rPr>
        <w:t>单位成立了项目领导小组负责项目统筹安排及管理，安排专人具体负责实施。</w:t>
      </w:r>
    </w:p>
    <w:p>
      <w:pPr>
        <w:keepNext w:val="0"/>
        <w:keepLines w:val="0"/>
        <w:pageBreakBefore w:val="0"/>
        <w:kinsoku/>
        <w:wordWrap/>
        <w:overflowPunct/>
        <w:topLinePunct w:val="0"/>
        <w:autoSpaceDE/>
        <w:autoSpaceDN/>
        <w:bidi w:val="0"/>
        <w:adjustRightInd w:val="0"/>
        <w:snapToGrid w:val="0"/>
        <w:spacing w:line="576" w:lineRule="exact"/>
        <w:ind w:firstLine="642" w:firstLineChars="200"/>
        <w:textAlignment w:val="auto"/>
        <w:rPr>
          <w:rFonts w:ascii="仿宋_GB2312" w:hAnsi="宋体" w:eastAsia="仿宋_GB2312" w:cs="Times New Roman"/>
          <w:color w:val="auto"/>
          <w:sz w:val="32"/>
          <w:szCs w:val="32"/>
          <w:highlight w:val="none"/>
          <w:lang w:val="zh-CN"/>
        </w:rPr>
      </w:pPr>
      <w:r>
        <w:rPr>
          <w:rFonts w:hint="eastAsia" w:ascii="楷体_GB2312" w:hAnsi="宋体" w:eastAsia="楷体_GB2312" w:cs="Times New Roman"/>
          <w:b/>
          <w:color w:val="auto"/>
          <w:sz w:val="32"/>
          <w:szCs w:val="32"/>
          <w:highlight w:val="none"/>
          <w:lang w:val="zh-CN"/>
        </w:rPr>
        <w:t>（二）项目管理情况。</w:t>
      </w:r>
      <w:r>
        <w:rPr>
          <w:rFonts w:hint="eastAsia" w:ascii="仿宋_GB2312" w:hAnsi="宋体" w:eastAsia="仿宋_GB2312" w:cs="Times New Roman"/>
          <w:color w:val="auto"/>
          <w:kern w:val="2"/>
          <w:sz w:val="32"/>
          <w:szCs w:val="32"/>
          <w:highlight w:val="none"/>
          <w:lang w:val="zh-CN" w:eastAsia="zh-CN" w:bidi="ar-SA"/>
        </w:rPr>
        <w:t>我单位严格执行相关法律法规及项目管理制度，管理有序，质量较高，取得了良好的效果。</w:t>
      </w:r>
    </w:p>
    <w:p>
      <w:pPr>
        <w:keepNext w:val="0"/>
        <w:keepLines w:val="0"/>
        <w:pageBreakBefore w:val="0"/>
        <w:kinsoku/>
        <w:wordWrap/>
        <w:overflowPunct/>
        <w:topLinePunct w:val="0"/>
        <w:autoSpaceDE/>
        <w:autoSpaceDN/>
        <w:bidi w:val="0"/>
        <w:adjustRightInd w:val="0"/>
        <w:snapToGrid w:val="0"/>
        <w:spacing w:line="576" w:lineRule="exact"/>
        <w:ind w:firstLine="642" w:firstLineChars="200"/>
        <w:textAlignment w:val="auto"/>
        <w:rPr>
          <w:rFonts w:hint="eastAsia" w:ascii="方正仿宋_GB2312" w:hAnsi="方正仿宋_GB2312" w:eastAsia="方正仿宋_GB2312" w:cs="方正仿宋_GB2312"/>
          <w:color w:val="auto"/>
          <w:sz w:val="32"/>
          <w:szCs w:val="32"/>
          <w:highlight w:val="none"/>
        </w:rPr>
      </w:pPr>
      <w:r>
        <w:rPr>
          <w:rFonts w:hint="eastAsia" w:ascii="楷体_GB2312" w:hAnsi="宋体" w:eastAsia="楷体_GB2312" w:cs="Times New Roman"/>
          <w:b/>
          <w:color w:val="auto"/>
          <w:sz w:val="32"/>
          <w:szCs w:val="32"/>
          <w:highlight w:val="none"/>
          <w:lang w:val="zh-CN"/>
        </w:rPr>
        <w:t>（三）项目监管情况。</w:t>
      </w:r>
      <w:r>
        <w:rPr>
          <w:rFonts w:hint="eastAsia" w:ascii="方正仿宋_GB2312" w:hAnsi="方正仿宋_GB2312" w:eastAsia="方正仿宋_GB2312" w:cs="方正仿宋_GB2312"/>
          <w:color w:val="auto"/>
          <w:sz w:val="32"/>
          <w:szCs w:val="32"/>
          <w:highlight w:val="none"/>
        </w:rPr>
        <w:t>我单位项目主要是工作经费，费用支出经过逐级审核，项目实施中纪检部门进行监管，按照单位内控控制制度实施监管，有力的促进了项目顺利实施，圆满完成，监管效果良好。</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ascii="仿宋_GB2312" w:hAnsi="宋体" w:eastAsia="仿宋_GB2312" w:cs="Times New Roman"/>
          <w:color w:val="auto"/>
          <w:sz w:val="32"/>
          <w:szCs w:val="32"/>
          <w:highlight w:val="none"/>
          <w:lang w:val="zh-CN"/>
        </w:rPr>
      </w:pPr>
      <w:r>
        <w:rPr>
          <w:rFonts w:hint="eastAsia" w:ascii="黑体" w:hAnsi="宋体" w:eastAsia="黑体" w:cs="Times New Roman"/>
          <w:color w:val="auto"/>
          <w:sz w:val="32"/>
          <w:szCs w:val="32"/>
          <w:highlight w:val="none"/>
        </w:rPr>
        <w:t>四、项目绩效情况</w:t>
      </w:r>
      <w:r>
        <w:rPr>
          <w:rFonts w:hint="eastAsia" w:ascii="仿宋_GB2312" w:hAnsi="宋体" w:eastAsia="仿宋_GB2312" w:cs="Times New Roman"/>
          <w:color w:val="auto"/>
          <w:sz w:val="32"/>
          <w:szCs w:val="32"/>
          <w:highlight w:val="none"/>
          <w:lang w:val="zh-CN"/>
        </w:rPr>
        <w:tab/>
      </w:r>
    </w:p>
    <w:p>
      <w:pPr>
        <w:keepNext w:val="0"/>
        <w:keepLines w:val="0"/>
        <w:pageBreakBefore w:val="0"/>
        <w:kinsoku/>
        <w:wordWrap/>
        <w:overflowPunct/>
        <w:topLinePunct w:val="0"/>
        <w:autoSpaceDE/>
        <w:autoSpaceDN/>
        <w:bidi w:val="0"/>
        <w:adjustRightInd w:val="0"/>
        <w:snapToGrid w:val="0"/>
        <w:spacing w:line="576" w:lineRule="exact"/>
        <w:ind w:firstLine="642" w:firstLineChars="20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（一）项目完成情况。</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方正仿宋简体" w:hAnsi="宋体" w:eastAsia="方正仿宋简体"/>
          <w:color w:val="auto"/>
          <w:sz w:val="32"/>
          <w:szCs w:val="32"/>
          <w:lang w:val="en-US" w:eastAsia="zh-CN"/>
        </w:rPr>
      </w:pPr>
      <w:r>
        <w:rPr>
          <w:rFonts w:hint="eastAsia" w:ascii="仿宋_GB2312" w:hAnsi="宋体" w:eastAsia="仿宋_GB2312" w:cs="Times New Roman"/>
          <w:color w:val="auto"/>
          <w:kern w:val="2"/>
          <w:sz w:val="32"/>
          <w:szCs w:val="32"/>
          <w:highlight w:val="none"/>
          <w:lang w:val="zh-CN" w:eastAsia="zh-CN" w:bidi="ar-SA"/>
        </w:rPr>
        <w:t>项目全部完成预期目标，均达到数量计划值，质量良好、按时完成、未超预算，无资金结余，无违规违纪情况。</w:t>
      </w:r>
      <w:r>
        <w:rPr>
          <w:rFonts w:hint="eastAsia" w:ascii="方正仿宋简体" w:hAnsi="宋体" w:eastAsia="方正仿宋简体"/>
          <w:color w:val="auto"/>
          <w:sz w:val="32"/>
          <w:szCs w:val="32"/>
          <w:lang w:val="en-US" w:eastAsia="zh-CN"/>
        </w:rPr>
        <w:t xml:space="preserve">  </w:t>
      </w:r>
    </w:p>
    <w:p>
      <w:pPr>
        <w:keepNext w:val="0"/>
        <w:keepLines w:val="0"/>
        <w:pageBreakBefore w:val="0"/>
        <w:kinsoku/>
        <w:wordWrap/>
        <w:overflowPunct/>
        <w:topLinePunct w:val="0"/>
        <w:autoSpaceDE/>
        <w:autoSpaceDN/>
        <w:bidi w:val="0"/>
        <w:adjustRightInd w:val="0"/>
        <w:snapToGrid w:val="0"/>
        <w:spacing w:line="576" w:lineRule="exact"/>
        <w:ind w:firstLine="642" w:firstLineChars="20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（二）项目效益情况。</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黑体" w:hAnsi="宋体" w:eastAsia="黑体" w:cs="Times New Roman"/>
          <w:color w:val="auto"/>
          <w:sz w:val="32"/>
          <w:szCs w:val="32"/>
          <w:highlight w:val="none"/>
        </w:rPr>
      </w:pPr>
      <w:r>
        <w:rPr>
          <w:rFonts w:hint="eastAsia" w:ascii="黑体" w:hAnsi="宋体" w:eastAsia="黑体" w:cs="Times New Roman"/>
          <w:color w:val="auto"/>
          <w:sz w:val="32"/>
          <w:szCs w:val="32"/>
          <w:highlight w:val="none"/>
        </w:rPr>
        <w:t>项目取得了良好的社会效益。保证我院5部电梯使用期间的运行质量，电梯及消防安全设施设备质量符合合格标准。保障电梯运行及维护费，日常运行电费，电梯年检、维修及保养费的支出。保障特困人员、代养老人、孤儿弃婴的生活方便，促进社会稳定和谐发展。特困人员、代养老人、孤儿弃婴满意度90%。</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ascii="黑体" w:hAnsi="宋体" w:eastAsia="黑体" w:cs="Times New Roman"/>
          <w:color w:val="auto"/>
          <w:sz w:val="32"/>
          <w:szCs w:val="32"/>
          <w:highlight w:val="none"/>
        </w:rPr>
      </w:pPr>
      <w:r>
        <w:rPr>
          <w:rFonts w:hint="eastAsia" w:ascii="黑体" w:hAnsi="宋体" w:eastAsia="黑体" w:cs="Times New Roman"/>
          <w:color w:val="auto"/>
          <w:sz w:val="32"/>
          <w:szCs w:val="32"/>
          <w:highlight w:val="none"/>
        </w:rPr>
        <w:t>五、评价结论及建议</w:t>
      </w:r>
    </w:p>
    <w:p>
      <w:pPr>
        <w:keepNext w:val="0"/>
        <w:keepLines w:val="0"/>
        <w:pageBreakBefore w:val="0"/>
        <w:kinsoku/>
        <w:wordWrap/>
        <w:overflowPunct/>
        <w:topLinePunct w:val="0"/>
        <w:autoSpaceDE/>
        <w:autoSpaceDN/>
        <w:bidi w:val="0"/>
        <w:adjustRightInd w:val="0"/>
        <w:snapToGrid w:val="0"/>
        <w:spacing w:line="576" w:lineRule="exact"/>
        <w:ind w:firstLine="642" w:firstLineChars="20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（一）评价结论。</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default" w:ascii="仿宋_GB2312" w:hAnsi="宋体" w:eastAsia="仿宋_GB2312" w:cs="Times New Roman"/>
          <w:color w:val="auto"/>
          <w:kern w:val="2"/>
          <w:sz w:val="32"/>
          <w:szCs w:val="32"/>
          <w:highlight w:val="none"/>
          <w:lang w:val="en-US" w:eastAsia="zh-CN" w:bidi="ar-SA"/>
        </w:rPr>
      </w:pPr>
      <w:r>
        <w:rPr>
          <w:rFonts w:hint="eastAsia" w:ascii="仿宋_GB2312" w:hAnsi="宋体" w:eastAsia="仿宋_GB2312" w:cs="Times New Roman"/>
          <w:color w:val="auto"/>
          <w:kern w:val="2"/>
          <w:sz w:val="32"/>
          <w:szCs w:val="32"/>
          <w:highlight w:val="none"/>
          <w:lang w:val="en-US" w:eastAsia="zh-CN" w:bidi="ar-SA"/>
        </w:rPr>
        <w:t>项目管理良好，实施有序，绩效显著。均达到了预期目标</w:t>
      </w:r>
      <w:r>
        <w:rPr>
          <w:rFonts w:hint="eastAsia" w:ascii="仿宋_GB2312" w:hAnsi="宋体" w:eastAsia="仿宋_GB2312" w:cs="Times New Roman"/>
          <w:color w:val="auto"/>
          <w:kern w:val="2"/>
          <w:sz w:val="32"/>
          <w:szCs w:val="32"/>
          <w:highlight w:val="none"/>
          <w:lang w:val="zh-CN" w:eastAsia="zh-CN" w:bidi="ar-SA"/>
        </w:rPr>
        <w:t>。</w:t>
      </w:r>
    </w:p>
    <w:p>
      <w:pPr>
        <w:keepNext w:val="0"/>
        <w:keepLines w:val="0"/>
        <w:pageBreakBefore w:val="0"/>
        <w:kinsoku/>
        <w:wordWrap/>
        <w:overflowPunct/>
        <w:topLinePunct w:val="0"/>
        <w:autoSpaceDE/>
        <w:autoSpaceDN/>
        <w:bidi w:val="0"/>
        <w:adjustRightInd w:val="0"/>
        <w:snapToGrid w:val="0"/>
        <w:spacing w:line="576" w:lineRule="exact"/>
        <w:ind w:firstLine="642" w:firstLineChars="20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（二）存在的问题。</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kern w:val="2"/>
          <w:sz w:val="32"/>
          <w:szCs w:val="32"/>
          <w:highlight w:val="none"/>
          <w:lang w:val="zh-CN" w:eastAsia="zh-CN" w:bidi="ar-SA"/>
        </w:rPr>
        <w:t>无。</w:t>
      </w:r>
      <w:r>
        <w:rPr>
          <w:rFonts w:hint="eastAsia" w:ascii="仿宋_GB2312" w:hAnsi="宋体" w:eastAsia="仿宋_GB2312" w:cs="Times New Roman"/>
          <w:color w:val="auto"/>
          <w:sz w:val="32"/>
          <w:szCs w:val="32"/>
          <w:highlight w:val="none"/>
          <w:lang w:val="zh-CN"/>
        </w:rPr>
        <w:tab/>
      </w:r>
    </w:p>
    <w:p>
      <w:pPr>
        <w:keepNext w:val="0"/>
        <w:keepLines w:val="0"/>
        <w:pageBreakBefore w:val="0"/>
        <w:kinsoku/>
        <w:wordWrap/>
        <w:overflowPunct/>
        <w:topLinePunct w:val="0"/>
        <w:autoSpaceDE/>
        <w:autoSpaceDN/>
        <w:bidi w:val="0"/>
        <w:adjustRightInd w:val="0"/>
        <w:snapToGrid w:val="0"/>
        <w:spacing w:line="576" w:lineRule="exact"/>
        <w:ind w:firstLine="642" w:firstLineChars="20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（三）相关建议。</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rPr>
      </w:pPr>
      <w:r>
        <w:rPr>
          <w:rFonts w:hint="eastAsia" w:ascii="仿宋_GB2312" w:hAnsi="宋体" w:eastAsia="仿宋_GB2312" w:cs="Times New Roman"/>
          <w:color w:val="auto"/>
          <w:kern w:val="2"/>
          <w:sz w:val="32"/>
          <w:szCs w:val="32"/>
          <w:highlight w:val="none"/>
          <w:lang w:val="zh-CN" w:eastAsia="zh-CN" w:bidi="ar-SA"/>
        </w:rPr>
        <w:t>一是加强业务培训，进一步提高工作人员财政资金绩效意识；二是进一步细化项目预算，严格控制各项费用，过紧日子；三是今后对于财政资金项目，加大评价结果应用，真正做到“用钱必问效，无效必问责”。</w:t>
      </w:r>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黑体" w:hAnsi="黑体" w:eastAsia="黑体" w:cs="黑体"/>
          <w:color w:val="auto"/>
          <w:sz w:val="32"/>
          <w:szCs w:val="32"/>
          <w:highlight w:val="none"/>
        </w:rPr>
      </w:pPr>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黑体" w:hAnsi="黑体" w:eastAsia="黑体" w:cs="黑体"/>
          <w:color w:val="auto"/>
          <w:sz w:val="32"/>
          <w:szCs w:val="32"/>
          <w:highlight w:val="none"/>
        </w:rPr>
      </w:pPr>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黑体" w:hAnsi="黑体" w:eastAsia="黑体" w:cs="黑体"/>
          <w:color w:val="auto"/>
          <w:sz w:val="32"/>
          <w:szCs w:val="32"/>
          <w:highlight w:val="none"/>
        </w:rPr>
      </w:pPr>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黑体" w:hAnsi="黑体" w:eastAsia="黑体" w:cs="黑体"/>
          <w:color w:val="auto"/>
          <w:sz w:val="32"/>
          <w:szCs w:val="32"/>
          <w:highlight w:val="none"/>
        </w:rPr>
      </w:pPr>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仿宋_GB2312" w:hAnsi="仿宋_GB2312" w:eastAsia="黑体" w:cs="仿宋_GB2312"/>
          <w:color w:val="auto"/>
          <w:sz w:val="32"/>
          <w:szCs w:val="32"/>
          <w:highlight w:val="none"/>
          <w:lang w:val="en-US" w:eastAsia="zh-CN"/>
        </w:rPr>
      </w:pPr>
      <w:r>
        <w:rPr>
          <w:rFonts w:hint="eastAsia" w:ascii="黑体" w:hAnsi="黑体" w:eastAsia="黑体" w:cs="黑体"/>
          <w:color w:val="auto"/>
          <w:sz w:val="32"/>
          <w:szCs w:val="32"/>
          <w:highlight w:val="none"/>
        </w:rPr>
        <w:t>附</w:t>
      </w:r>
      <w:r>
        <w:rPr>
          <w:rFonts w:hint="eastAsia" w:ascii="黑体" w:hAnsi="黑体" w:eastAsia="黑体" w:cs="黑体"/>
          <w:color w:val="auto"/>
          <w:sz w:val="32"/>
          <w:szCs w:val="32"/>
          <w:highlight w:val="none"/>
          <w:lang w:val="en-US" w:eastAsia="zh-CN"/>
        </w:rPr>
        <w:t>表</w:t>
      </w:r>
    </w:p>
    <w:tbl>
      <w:tblPr>
        <w:tblStyle w:val="13"/>
        <w:tblpPr w:leftFromText="180" w:rightFromText="180" w:vertAnchor="text" w:horzAnchor="page" w:tblpX="1281" w:tblpY="660"/>
        <w:tblOverlap w:val="never"/>
        <w:tblW w:w="957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796"/>
        <w:gridCol w:w="1005"/>
        <w:gridCol w:w="1410"/>
        <w:gridCol w:w="1920"/>
        <w:gridCol w:w="1215"/>
        <w:gridCol w:w="22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9577" w:type="dxa"/>
            <w:gridSpan w:val="6"/>
            <w:tcBorders>
              <w:top w:val="nil"/>
              <w:left w:val="nil"/>
              <w:bottom w:val="nil"/>
              <w:right w:val="nil"/>
            </w:tcBorders>
            <w:shd w:val="clear" w:color="auto" w:fill="auto"/>
            <w:vAlign w:val="center"/>
          </w:tcPr>
          <w:p>
            <w:pPr>
              <w:keepNext w:val="0"/>
              <w:keepLines w:val="0"/>
              <w:widowControl/>
              <w:suppressLineNumbers w:val="0"/>
              <w:spacing w:beforeAutospacing="0"/>
              <w:jc w:val="center"/>
              <w:textAlignment w:val="center"/>
              <w:rPr>
                <w:rFonts w:hint="eastAsia" w:ascii="宋体" w:hAnsi="宋体" w:eastAsia="宋体" w:cs="宋体"/>
                <w:b/>
                <w:i w:val="0"/>
                <w:color w:val="auto"/>
                <w:sz w:val="32"/>
                <w:szCs w:val="32"/>
                <w:u w:val="none"/>
              </w:rPr>
            </w:pPr>
            <w:bookmarkStart w:id="53" w:name="_Toc15396618"/>
            <w:r>
              <w:rPr>
                <w:rFonts w:hint="eastAsia" w:ascii="宋体" w:hAnsi="宋体" w:eastAsia="宋体" w:cs="宋体"/>
                <w:b/>
                <w:bCs w:val="0"/>
                <w:i w:val="0"/>
                <w:color w:val="auto"/>
                <w:sz w:val="32"/>
                <w:szCs w:val="32"/>
                <w:highlight w:val="none"/>
                <w:u w:val="none"/>
                <w:lang w:val="en-US" w:eastAsia="zh-CN"/>
              </w:rPr>
              <w:t>2021年部门预算项目绩效目标自评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4" w:hRule="atLeast"/>
        </w:trPr>
        <w:tc>
          <w:tcPr>
            <w:tcW w:w="28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主管部门及代码</w:t>
            </w:r>
          </w:p>
        </w:tc>
        <w:tc>
          <w:tcPr>
            <w:tcW w:w="33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广元市民政局343001</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实施单位</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lang w:eastAsia="zh-CN"/>
              </w:rPr>
            </w:pPr>
            <w:r>
              <w:rPr>
                <w:rFonts w:hint="eastAsia" w:ascii="宋体" w:hAnsi="宋体" w:cs="宋体"/>
                <w:i w:val="0"/>
                <w:color w:val="auto"/>
                <w:sz w:val="24"/>
                <w:szCs w:val="24"/>
                <w:u w:val="none"/>
                <w:lang w:eastAsia="zh-CN"/>
              </w:rPr>
              <w:t>广元市儿童福利院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80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项目预算</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执行情况</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（万元）</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预算数：</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53.2</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执行数：</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cs="宋体"/>
                <w:i w:val="0"/>
                <w:color w:val="auto"/>
                <w:sz w:val="24"/>
                <w:szCs w:val="24"/>
                <w:u w:val="none"/>
                <w:lang w:val="en-US" w:eastAsia="zh-CN"/>
              </w:rPr>
              <w:t>53.2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280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财政拨款</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cs="宋体"/>
                <w:i w:val="0"/>
                <w:color w:val="auto"/>
                <w:sz w:val="24"/>
                <w:szCs w:val="24"/>
                <w:u w:val="none"/>
                <w:lang w:val="en-US" w:eastAsia="zh-CN"/>
              </w:rPr>
              <w:t>53.2</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财政拨款</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cs="宋体"/>
                <w:i w:val="0"/>
                <w:color w:val="auto"/>
                <w:sz w:val="24"/>
                <w:szCs w:val="24"/>
                <w:u w:val="none"/>
                <w:lang w:val="en-US" w:eastAsia="zh-CN"/>
              </w:rPr>
              <w:t>53.2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trPr>
        <w:tc>
          <w:tcPr>
            <w:tcW w:w="280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其他资金</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其他资金</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7" w:hRule="atLeast"/>
        </w:trPr>
        <w:tc>
          <w:tcPr>
            <w:tcW w:w="17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年度总体目标</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完成情况</w:t>
            </w:r>
          </w:p>
        </w:tc>
        <w:tc>
          <w:tcPr>
            <w:tcW w:w="43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预期目标</w:t>
            </w:r>
          </w:p>
        </w:tc>
        <w:tc>
          <w:tcPr>
            <w:tcW w:w="34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7" w:hRule="atLeast"/>
        </w:trPr>
        <w:tc>
          <w:tcPr>
            <w:tcW w:w="1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433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1"/>
                <w:szCs w:val="21"/>
                <w:u w:val="none"/>
              </w:rPr>
            </w:pPr>
            <w:r>
              <w:rPr>
                <w:rFonts w:hint="eastAsia" w:ascii="宋体" w:hAnsi="宋体" w:eastAsia="宋体" w:cs="宋体"/>
                <w:i w:val="0"/>
                <w:color w:val="auto"/>
                <w:sz w:val="20"/>
                <w:szCs w:val="20"/>
                <w:u w:val="none"/>
              </w:rPr>
              <w:t>根据《广元市民政局广元市财政局关于提高全市孤儿基本生活最低养育标准的通知》（广市民〔2019〕83号）及《广元市民政局 广元市财政局关于提高特困人员救助供养标准的通知》（广市民〔2020〕58号）文件精神，为贯彻落实孤儿（含艾滋病病毒感染儿童）基本生活最低养育标准自然增长机制，持续提高全市孤儿基本生活最低养育标准。为进一步保障困难群众基本生活，经七届市人民政府第100次常务会议同意，将2020年城乡居民最低生活保障标准和城乡特困人员基本生活标准调整。保障孤儿弃婴、特困人员生活水平，促进孤儿弃婴、特困人员身体健康发展、衣食住行有保障等。</w:t>
            </w:r>
          </w:p>
        </w:tc>
        <w:tc>
          <w:tcPr>
            <w:tcW w:w="344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1"/>
                <w:szCs w:val="21"/>
                <w:u w:val="none"/>
                <w:lang w:eastAsia="zh-CN"/>
              </w:rPr>
            </w:pPr>
            <w:r>
              <w:rPr>
                <w:rFonts w:hint="eastAsia" w:ascii="宋体" w:hAnsi="宋体" w:cs="宋体"/>
                <w:i w:val="0"/>
                <w:color w:val="auto"/>
                <w:sz w:val="21"/>
                <w:szCs w:val="21"/>
                <w:u w:val="none"/>
                <w:lang w:eastAsia="zh-CN"/>
              </w:rPr>
              <w:t>保障院内特困人员、孤儿弃婴基本</w:t>
            </w:r>
            <w:r>
              <w:rPr>
                <w:rFonts w:hint="eastAsia" w:ascii="宋体" w:hAnsi="宋体" w:eastAsia="宋体" w:cs="宋体"/>
                <w:i w:val="0"/>
                <w:color w:val="auto"/>
                <w:sz w:val="21"/>
                <w:szCs w:val="21"/>
                <w:u w:val="none"/>
              </w:rPr>
              <w:t>生活水平</w:t>
            </w:r>
            <w:r>
              <w:rPr>
                <w:rFonts w:hint="eastAsia" w:ascii="宋体" w:hAnsi="宋体" w:cs="宋体"/>
                <w:i w:val="0"/>
                <w:color w:val="auto"/>
                <w:sz w:val="21"/>
                <w:szCs w:val="21"/>
                <w:u w:val="none"/>
                <w:lang w:eastAsia="zh-CN"/>
              </w:rPr>
              <w:t>包括</w:t>
            </w:r>
            <w:r>
              <w:rPr>
                <w:rFonts w:hint="eastAsia" w:ascii="宋体" w:hAnsi="宋体" w:eastAsia="宋体" w:cs="宋体"/>
                <w:i w:val="0"/>
                <w:color w:val="auto"/>
                <w:sz w:val="21"/>
                <w:szCs w:val="21"/>
                <w:u w:val="none"/>
              </w:rPr>
              <w:t>衣食住行</w:t>
            </w:r>
            <w:r>
              <w:rPr>
                <w:rFonts w:hint="eastAsia" w:ascii="宋体" w:hAnsi="宋体" w:cs="宋体"/>
                <w:i w:val="0"/>
                <w:color w:val="auto"/>
                <w:sz w:val="21"/>
                <w:szCs w:val="21"/>
                <w:u w:val="none"/>
                <w:lang w:eastAsia="zh-CN"/>
              </w:rPr>
              <w:t>、就医就学</w:t>
            </w:r>
            <w:r>
              <w:rPr>
                <w:rFonts w:hint="eastAsia" w:ascii="宋体" w:hAnsi="宋体" w:eastAsia="宋体" w:cs="宋体"/>
                <w:i w:val="0"/>
                <w:color w:val="auto"/>
                <w:sz w:val="21"/>
                <w:szCs w:val="21"/>
                <w:u w:val="none"/>
              </w:rPr>
              <w:t>，促进孤儿弃婴、特困人员身体健康发展。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1796"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年度绩效指标完成情况</w:t>
            </w:r>
          </w:p>
        </w:tc>
        <w:tc>
          <w:tcPr>
            <w:tcW w:w="100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一级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二级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三级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预期指标值</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1796"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完成</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数量指标</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sz w:val="22"/>
                <w:szCs w:val="22"/>
                <w:u w:val="none"/>
              </w:rPr>
              <w:t>特困人员、孤儿弃婴共</w:t>
            </w:r>
            <w:r>
              <w:rPr>
                <w:rFonts w:hint="eastAsia" w:ascii="仿宋_GB2312" w:hAnsi="仿宋_GB2312" w:eastAsia="仿宋_GB2312" w:cs="仿宋_GB2312"/>
                <w:i w:val="0"/>
                <w:color w:val="auto"/>
                <w:sz w:val="22"/>
                <w:szCs w:val="22"/>
                <w:u w:val="none"/>
                <w:lang w:val="en-US" w:eastAsia="zh-CN"/>
              </w:rPr>
              <w:t>80</w:t>
            </w:r>
            <w:r>
              <w:rPr>
                <w:rFonts w:hint="eastAsia" w:ascii="仿宋_GB2312" w:hAnsi="仿宋_GB2312" w:eastAsia="仿宋_GB2312" w:cs="仿宋_GB2312"/>
                <w:i w:val="0"/>
                <w:color w:val="auto"/>
                <w:sz w:val="22"/>
                <w:szCs w:val="22"/>
                <w:u w:val="none"/>
              </w:rPr>
              <w:t>人</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sz w:val="22"/>
                <w:szCs w:val="22"/>
                <w:u w:val="none"/>
                <w:lang w:val="en-US" w:eastAsia="zh-CN"/>
              </w:rPr>
              <w:t>80</w:t>
            </w:r>
            <w:r>
              <w:rPr>
                <w:rFonts w:hint="eastAsia" w:ascii="仿宋_GB2312" w:hAnsi="仿宋_GB2312" w:eastAsia="仿宋_GB2312" w:cs="仿宋_GB2312"/>
                <w:i w:val="0"/>
                <w:color w:val="auto"/>
                <w:sz w:val="22"/>
                <w:szCs w:val="22"/>
                <w:u w:val="none"/>
              </w:rPr>
              <w:t>人</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sz w:val="22"/>
                <w:szCs w:val="22"/>
                <w:u w:val="none"/>
                <w:lang w:val="en-US" w:eastAsia="zh-CN"/>
              </w:rPr>
              <w:t>80</w:t>
            </w:r>
            <w:r>
              <w:rPr>
                <w:rFonts w:hint="eastAsia" w:ascii="仿宋_GB2312" w:hAnsi="仿宋_GB2312" w:eastAsia="仿宋_GB2312" w:cs="仿宋_GB2312"/>
                <w:i w:val="0"/>
                <w:color w:val="auto"/>
                <w:sz w:val="22"/>
                <w:szCs w:val="22"/>
                <w:u w:val="none"/>
              </w:rPr>
              <w:t>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1796"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质量指标</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sz w:val="22"/>
                <w:szCs w:val="22"/>
                <w:u w:val="none"/>
              </w:rPr>
              <w:t>特困人员、孤儿弃婴生活（包括衣食住行）基本保障，以及儿童上学需求，特困人员住院期间生活保障等。</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i w:val="0"/>
                <w:color w:val="auto"/>
                <w:sz w:val="22"/>
                <w:szCs w:val="22"/>
                <w:u w:val="none"/>
                <w:lang w:val="en-US" w:eastAsia="zh-CN"/>
              </w:rPr>
            </w:pPr>
            <w:r>
              <w:rPr>
                <w:rFonts w:hint="eastAsia" w:ascii="仿宋_GB2312" w:hAnsi="仿宋_GB2312" w:eastAsia="仿宋_GB2312" w:cs="仿宋_GB2312"/>
                <w:i w:val="0"/>
                <w:color w:val="auto"/>
                <w:sz w:val="22"/>
                <w:szCs w:val="22"/>
                <w:u w:val="none"/>
                <w:lang w:val="en-US" w:eastAsia="zh-CN"/>
              </w:rPr>
              <w:t>100%</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sz w:val="22"/>
                <w:szCs w:val="22"/>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1796"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时效指标</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sz w:val="22"/>
                <w:szCs w:val="22"/>
                <w:u w:val="none"/>
              </w:rPr>
              <w:t>完成时间</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lang w:eastAsia="zh-CN"/>
              </w:rPr>
            </w:pPr>
            <w:r>
              <w:rPr>
                <w:rFonts w:hint="eastAsia" w:ascii="仿宋_GB2312" w:hAnsi="仿宋_GB2312" w:eastAsia="仿宋_GB2312" w:cs="仿宋_GB2312"/>
                <w:i w:val="0"/>
                <w:color w:val="auto"/>
                <w:sz w:val="22"/>
                <w:szCs w:val="22"/>
                <w:u w:val="none"/>
              </w:rPr>
              <w:t>2021年12月31日前</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sz w:val="22"/>
                <w:szCs w:val="22"/>
                <w:u w:val="none"/>
              </w:rPr>
              <w:t>按时完成，2021年12月31日前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796"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成本指标</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lang w:eastAsia="zh-CN"/>
              </w:rPr>
            </w:pPr>
            <w:r>
              <w:rPr>
                <w:rFonts w:hint="eastAsia" w:ascii="仿宋_GB2312" w:hAnsi="仿宋_GB2312" w:eastAsia="仿宋_GB2312" w:cs="仿宋_GB2312"/>
                <w:i w:val="0"/>
                <w:color w:val="auto"/>
                <w:sz w:val="22"/>
                <w:szCs w:val="22"/>
                <w:u w:val="none"/>
              </w:rPr>
              <w:t>儿童每人每月1400元，特困人员每人每月767元生活基本保障。</w:t>
            </w:r>
            <w:r>
              <w:rPr>
                <w:rFonts w:hint="eastAsia" w:ascii="仿宋_GB2312" w:hAnsi="仿宋_GB2312" w:eastAsia="仿宋_GB2312" w:cs="仿宋_GB2312"/>
                <w:i w:val="0"/>
                <w:color w:val="auto"/>
                <w:sz w:val="22"/>
                <w:szCs w:val="22"/>
                <w:u w:val="none"/>
                <w:lang w:eastAsia="zh-CN"/>
              </w:rPr>
              <w:t>门诊住院自付医疗费、疫苗接种费、传染病耗材费等。</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i w:val="0"/>
                <w:color w:val="auto"/>
                <w:sz w:val="22"/>
                <w:szCs w:val="22"/>
                <w:u w:val="none"/>
                <w:lang w:val="en-US" w:eastAsia="zh-CN"/>
              </w:rPr>
            </w:pPr>
            <w:r>
              <w:rPr>
                <w:rFonts w:hint="eastAsia" w:ascii="仿宋_GB2312" w:hAnsi="仿宋_GB2312" w:eastAsia="仿宋_GB2312" w:cs="仿宋_GB2312"/>
                <w:i w:val="0"/>
                <w:color w:val="auto"/>
                <w:sz w:val="22"/>
                <w:szCs w:val="22"/>
                <w:u w:val="none"/>
                <w:lang w:val="en-US" w:eastAsia="zh-CN"/>
              </w:rPr>
              <w:t>53.2万</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sz w:val="22"/>
                <w:szCs w:val="22"/>
                <w:u w:val="none"/>
                <w:lang w:val="en-US" w:eastAsia="zh-CN"/>
              </w:rPr>
              <w:t>53.2万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796"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效益</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社会效益  指标</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sz w:val="22"/>
                <w:szCs w:val="22"/>
                <w:u w:val="none"/>
              </w:rPr>
              <w:t>改善孤儿生活质量，促进文明和谐社会发展。保障特困人员和孤儿弃婴的疾病救治、健康保健，确保医疗保障。</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lang w:eastAsia="zh-CN"/>
              </w:rPr>
            </w:pPr>
            <w:r>
              <w:rPr>
                <w:rFonts w:hint="eastAsia" w:ascii="仿宋_GB2312" w:hAnsi="仿宋_GB2312" w:eastAsia="仿宋_GB2312" w:cs="仿宋_GB2312"/>
                <w:i w:val="0"/>
                <w:color w:val="auto"/>
                <w:sz w:val="22"/>
                <w:szCs w:val="22"/>
                <w:u w:val="none"/>
                <w:lang w:eastAsia="zh-CN"/>
              </w:rPr>
              <w:t>显著提升</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sz w:val="22"/>
                <w:szCs w:val="22"/>
                <w:u w:val="none"/>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trPr>
        <w:tc>
          <w:tcPr>
            <w:tcW w:w="1796"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005" w:type="dxa"/>
            <w:vMerge w:val="restart"/>
            <w:tcBorders>
              <w:top w:val="single" w:color="000000" w:sz="4" w:space="0"/>
              <w:left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满意</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度指标</w:t>
            </w:r>
          </w:p>
        </w:tc>
        <w:tc>
          <w:tcPr>
            <w:tcW w:w="1410" w:type="dxa"/>
            <w:vMerge w:val="restart"/>
            <w:tcBorders>
              <w:top w:val="single" w:color="000000" w:sz="4" w:space="0"/>
              <w:left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满意</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度指标</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sz w:val="22"/>
                <w:szCs w:val="22"/>
                <w:u w:val="none"/>
              </w:rPr>
              <w:t>特困人员满意度指标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sz w:val="22"/>
                <w:szCs w:val="22"/>
                <w:u w:val="none"/>
              </w:rPr>
              <w:t>≧90%</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i w:val="0"/>
                <w:color w:val="auto"/>
                <w:sz w:val="22"/>
                <w:szCs w:val="22"/>
                <w:u w:val="none"/>
                <w:lang w:val="en-US" w:eastAsia="zh-CN"/>
              </w:rPr>
            </w:pPr>
            <w:r>
              <w:rPr>
                <w:rFonts w:hint="eastAsia" w:ascii="仿宋_GB2312" w:hAnsi="仿宋_GB2312" w:eastAsia="仿宋_GB2312" w:cs="仿宋_GB2312"/>
                <w:i w:val="0"/>
                <w:color w:val="auto"/>
                <w:sz w:val="22"/>
                <w:szCs w:val="22"/>
                <w:u w:val="none"/>
                <w:lang w:val="en-US" w:eastAsia="zh-CN"/>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trPr>
        <w:tc>
          <w:tcPr>
            <w:tcW w:w="1796" w:type="dxa"/>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005" w:type="dxa"/>
            <w:vMerge w:val="continue"/>
            <w:tcBorders>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u w:val="none"/>
                <w:lang w:val="en-US" w:eastAsia="zh-CN" w:bidi="ar"/>
              </w:rPr>
            </w:pPr>
          </w:p>
        </w:tc>
        <w:tc>
          <w:tcPr>
            <w:tcW w:w="1410" w:type="dxa"/>
            <w:vMerge w:val="continue"/>
            <w:tcBorders>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sz w:val="22"/>
                <w:szCs w:val="22"/>
                <w:u w:val="none"/>
              </w:rPr>
              <w:t>孤儿弃婴满意度指标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sz w:val="22"/>
                <w:szCs w:val="22"/>
                <w:u w:val="none"/>
              </w:rPr>
              <w:t>≧90%</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sz w:val="22"/>
                <w:szCs w:val="22"/>
                <w:u w:val="none"/>
                <w:lang w:val="en-US" w:eastAsia="zh-CN"/>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577" w:type="dxa"/>
            <w:gridSpan w:val="6"/>
            <w:tcBorders>
              <w:top w:val="nil"/>
              <w:left w:val="nil"/>
              <w:bottom w:val="nil"/>
              <w:right w:val="nil"/>
            </w:tcBorders>
            <w:shd w:val="clear" w:color="auto" w:fill="auto"/>
            <w:vAlign w:val="center"/>
          </w:tcPr>
          <w:p>
            <w:pPr>
              <w:keepNext w:val="0"/>
              <w:keepLines w:val="0"/>
              <w:widowControl/>
              <w:suppressLineNumbers w:val="0"/>
              <w:spacing w:beforeAutospacing="0"/>
              <w:jc w:val="center"/>
              <w:textAlignment w:val="center"/>
              <w:rPr>
                <w:rFonts w:hint="eastAsia" w:ascii="宋体" w:hAnsi="宋体" w:eastAsia="宋体" w:cs="宋体"/>
                <w:b/>
                <w:bCs w:val="0"/>
                <w:i w:val="0"/>
                <w:color w:val="auto"/>
                <w:sz w:val="32"/>
                <w:szCs w:val="32"/>
                <w:highlight w:val="none"/>
                <w:u w:val="none"/>
                <w:lang w:val="en-US" w:eastAsia="zh-CN"/>
              </w:rPr>
            </w:pPr>
          </w:p>
          <w:p>
            <w:pPr>
              <w:keepNext w:val="0"/>
              <w:keepLines w:val="0"/>
              <w:widowControl/>
              <w:suppressLineNumbers w:val="0"/>
              <w:spacing w:beforeAutospacing="0"/>
              <w:jc w:val="center"/>
              <w:textAlignment w:val="center"/>
              <w:rPr>
                <w:rFonts w:hint="eastAsia" w:ascii="宋体" w:hAnsi="宋体" w:eastAsia="宋体" w:cs="宋体"/>
                <w:b/>
                <w:i w:val="0"/>
                <w:color w:val="auto"/>
                <w:sz w:val="32"/>
                <w:szCs w:val="32"/>
                <w:u w:val="none"/>
              </w:rPr>
            </w:pPr>
            <w:r>
              <w:rPr>
                <w:rFonts w:hint="eastAsia" w:ascii="宋体" w:hAnsi="宋体" w:eastAsia="宋体" w:cs="宋体"/>
                <w:b/>
                <w:bCs w:val="0"/>
                <w:i w:val="0"/>
                <w:color w:val="auto"/>
                <w:sz w:val="32"/>
                <w:szCs w:val="32"/>
                <w:highlight w:val="none"/>
                <w:u w:val="none"/>
                <w:lang w:val="en-US" w:eastAsia="zh-CN"/>
              </w:rPr>
              <w:t>2021年部门预算项目绩效目标自评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4" w:hRule="atLeast"/>
        </w:trPr>
        <w:tc>
          <w:tcPr>
            <w:tcW w:w="28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主管部门及代码</w:t>
            </w:r>
          </w:p>
        </w:tc>
        <w:tc>
          <w:tcPr>
            <w:tcW w:w="33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广元市民政局343001</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实施单位</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lang w:eastAsia="zh-CN"/>
              </w:rPr>
            </w:pPr>
            <w:r>
              <w:rPr>
                <w:rFonts w:hint="eastAsia" w:ascii="宋体" w:hAnsi="宋体" w:cs="宋体"/>
                <w:i w:val="0"/>
                <w:color w:val="auto"/>
                <w:sz w:val="24"/>
                <w:szCs w:val="24"/>
                <w:u w:val="none"/>
                <w:lang w:eastAsia="zh-CN"/>
              </w:rPr>
              <w:t>广元市儿童福利院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80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项目预算</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执行情况</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（万元）</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预算数：</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8</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执行数：</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cs="宋体"/>
                <w:i w:val="0"/>
                <w:color w:val="auto"/>
                <w:sz w:val="24"/>
                <w:szCs w:val="24"/>
                <w:u w:val="none"/>
                <w:lang w:val="en-US" w:eastAsia="zh-CN"/>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280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财政拨款</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cs="宋体"/>
                <w:i w:val="0"/>
                <w:color w:val="auto"/>
                <w:sz w:val="24"/>
                <w:szCs w:val="24"/>
                <w:u w:val="none"/>
                <w:lang w:val="en-US" w:eastAsia="zh-CN"/>
              </w:rPr>
              <w:t>8</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财政拨款</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cs="宋体"/>
                <w:i w:val="0"/>
                <w:color w:val="auto"/>
                <w:sz w:val="24"/>
                <w:szCs w:val="24"/>
                <w:u w:val="none"/>
                <w:lang w:val="en-US" w:eastAsia="zh-CN"/>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trPr>
        <w:tc>
          <w:tcPr>
            <w:tcW w:w="280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其他资金</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其他资金</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7" w:hRule="atLeast"/>
        </w:trPr>
        <w:tc>
          <w:tcPr>
            <w:tcW w:w="17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年度总体目标</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完成情况</w:t>
            </w:r>
          </w:p>
        </w:tc>
        <w:tc>
          <w:tcPr>
            <w:tcW w:w="43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预期目标</w:t>
            </w:r>
          </w:p>
        </w:tc>
        <w:tc>
          <w:tcPr>
            <w:tcW w:w="34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7" w:hRule="atLeast"/>
        </w:trPr>
        <w:tc>
          <w:tcPr>
            <w:tcW w:w="1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433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1"/>
                <w:szCs w:val="21"/>
                <w:u w:val="none"/>
              </w:rPr>
            </w:pPr>
            <w:r>
              <w:rPr>
                <w:rFonts w:hint="eastAsia" w:ascii="宋体" w:hAnsi="宋体" w:eastAsia="宋体" w:cs="宋体"/>
                <w:i w:val="0"/>
                <w:color w:val="auto"/>
                <w:sz w:val="20"/>
                <w:szCs w:val="20"/>
                <w:u w:val="none"/>
              </w:rPr>
              <w:t>一是为落实《广元市人民政府办公室关于切实做好城镇“三无”人员供养工作的通知》（广府办函〔2010〕143号）文件精神，实现市政府提出的确保城镇“三无”人员自愿集中供养的全部纳入集中供养的目标。二是根据《广元市人民政府办公室关于开展政府向社会力量购买社会服务的实施意见》（广府办函〔2015〕62号）文件精神，三是明确了政府向社会力量购买服务范围包含劳务服务（园林绿化养护、环卫保洁、市政维护、公厕管理、路灯管理、停车管理等事宜）。全院有床位350张，人员编制29人，编外聘用职工31人，目前入住服务对象140人，其中盲、聋、哑、残、弱智等占80%，生活基本无法自理，为更好的服务三无人员，我院将物业管理及绿化清洁向社会购买服务。</w:t>
            </w:r>
          </w:p>
        </w:tc>
        <w:tc>
          <w:tcPr>
            <w:tcW w:w="344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1"/>
                <w:szCs w:val="21"/>
                <w:u w:val="none"/>
                <w:lang w:eastAsia="zh-CN"/>
              </w:rPr>
            </w:pPr>
            <w:r>
              <w:rPr>
                <w:rFonts w:hint="eastAsia" w:ascii="宋体" w:hAnsi="宋体" w:eastAsia="宋体" w:cs="宋体"/>
                <w:i w:val="0"/>
                <w:color w:val="auto"/>
                <w:sz w:val="21"/>
                <w:szCs w:val="21"/>
                <w:u w:val="none"/>
                <w:lang w:eastAsia="zh-CN"/>
              </w:rPr>
              <w:t>为更好的服务特困人员、代养老人和孤儿弃婴，物业管理为提供院内园林绿化养护、环卫保洁、路灯管理、停车管理等服务。保障入住人员生活舒适，居住环境的优美以及日常的安全维护工作。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1796"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年度绩效指标完成情况</w:t>
            </w:r>
          </w:p>
        </w:tc>
        <w:tc>
          <w:tcPr>
            <w:tcW w:w="100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一级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二级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三级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预期指标值</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1796"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完成</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数量指标</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sz w:val="22"/>
                <w:szCs w:val="22"/>
                <w:u w:val="none"/>
              </w:rPr>
              <w:t>服务人员人数</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sz w:val="22"/>
                <w:szCs w:val="22"/>
                <w:u w:val="none"/>
              </w:rPr>
              <w:t>200人</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sz w:val="22"/>
                <w:szCs w:val="22"/>
                <w:u w:val="none"/>
              </w:rPr>
              <w:t>200人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1796"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质量指标</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sz w:val="22"/>
                <w:szCs w:val="22"/>
                <w:u w:val="none"/>
              </w:rPr>
              <w:t>提供院内园林绿化养护、环卫保洁、路灯管理、停车管理等服务达到标准</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i w:val="0"/>
                <w:color w:val="auto"/>
                <w:sz w:val="22"/>
                <w:szCs w:val="22"/>
                <w:u w:val="none"/>
                <w:lang w:val="en-US" w:eastAsia="zh-CN"/>
              </w:rPr>
            </w:pPr>
            <w:r>
              <w:rPr>
                <w:rFonts w:hint="eastAsia" w:ascii="仿宋_GB2312" w:hAnsi="仿宋_GB2312" w:eastAsia="仿宋_GB2312" w:cs="仿宋_GB2312"/>
                <w:i w:val="0"/>
                <w:color w:val="auto"/>
                <w:sz w:val="22"/>
                <w:szCs w:val="22"/>
                <w:u w:val="none"/>
              </w:rPr>
              <w:t>达到标准</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sz w:val="22"/>
                <w:szCs w:val="22"/>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1796"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时效指标</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sz w:val="22"/>
                <w:szCs w:val="22"/>
                <w:u w:val="none"/>
              </w:rPr>
              <w:t>完成时间</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lang w:eastAsia="zh-CN"/>
              </w:rPr>
            </w:pPr>
            <w:r>
              <w:rPr>
                <w:rFonts w:hint="eastAsia" w:ascii="仿宋_GB2312" w:hAnsi="仿宋_GB2312" w:eastAsia="仿宋_GB2312" w:cs="仿宋_GB2312"/>
                <w:i w:val="0"/>
                <w:color w:val="auto"/>
                <w:sz w:val="22"/>
                <w:szCs w:val="22"/>
                <w:u w:val="none"/>
              </w:rPr>
              <w:t>2021年12月31日前</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sz w:val="22"/>
                <w:szCs w:val="22"/>
                <w:u w:val="none"/>
              </w:rPr>
              <w:t>按时完成，2021年12月31日前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796"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成本指标</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sz w:val="22"/>
                <w:szCs w:val="22"/>
                <w:u w:val="none"/>
              </w:rPr>
              <w:t>物业管理及绿化清洁费</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i w:val="0"/>
                <w:color w:val="auto"/>
                <w:sz w:val="22"/>
                <w:szCs w:val="22"/>
                <w:u w:val="none"/>
                <w:lang w:val="en-US" w:eastAsia="zh-CN"/>
              </w:rPr>
            </w:pPr>
            <w:r>
              <w:rPr>
                <w:rFonts w:hint="eastAsia" w:ascii="仿宋_GB2312" w:hAnsi="仿宋_GB2312" w:eastAsia="仿宋_GB2312" w:cs="仿宋_GB2312"/>
                <w:i w:val="0"/>
                <w:color w:val="auto"/>
                <w:sz w:val="22"/>
                <w:szCs w:val="22"/>
                <w:u w:val="none"/>
                <w:lang w:val="en-US" w:eastAsia="zh-CN"/>
              </w:rPr>
              <w:t>物业管理及绿化清洁费8万元</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lang w:eastAsia="zh-CN"/>
              </w:rPr>
            </w:pPr>
            <w:r>
              <w:rPr>
                <w:rFonts w:hint="eastAsia" w:ascii="仿宋_GB2312" w:hAnsi="仿宋_GB2312" w:eastAsia="仿宋_GB2312" w:cs="仿宋_GB2312"/>
                <w:i w:val="0"/>
                <w:color w:val="auto"/>
                <w:sz w:val="22"/>
                <w:szCs w:val="22"/>
                <w:u w:val="none"/>
                <w:lang w:val="en-US" w:eastAsia="zh-CN"/>
              </w:rPr>
              <w:t>8万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796"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效益</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社会效益  指标</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sz w:val="22"/>
                <w:szCs w:val="22"/>
                <w:u w:val="none"/>
              </w:rPr>
              <w:t>为更好的服务特困人员、代养老人、孤儿弃婴满意度，保障入住人员生活幸福、环境优美。</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sz w:val="22"/>
                <w:szCs w:val="22"/>
                <w:u w:val="none"/>
              </w:rPr>
              <w:t>保障入住人员生活幸福、环境优美。</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sz w:val="22"/>
                <w:szCs w:val="22"/>
                <w:u w:val="none"/>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trPr>
        <w:tc>
          <w:tcPr>
            <w:tcW w:w="1796"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005" w:type="dxa"/>
            <w:vMerge w:val="restart"/>
            <w:tcBorders>
              <w:top w:val="single" w:color="000000" w:sz="4" w:space="0"/>
              <w:left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满意</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度指标</w:t>
            </w:r>
          </w:p>
        </w:tc>
        <w:tc>
          <w:tcPr>
            <w:tcW w:w="1410" w:type="dxa"/>
            <w:vMerge w:val="restart"/>
            <w:tcBorders>
              <w:top w:val="single" w:color="000000" w:sz="4" w:space="0"/>
              <w:left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满意</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度指标</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sz w:val="22"/>
                <w:szCs w:val="22"/>
                <w:u w:val="none"/>
              </w:rPr>
              <w:t>特困人员、代养老人、孤儿弃婴满意度</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sz w:val="22"/>
                <w:szCs w:val="22"/>
                <w:u w:val="none"/>
              </w:rPr>
              <w:t>≧90%</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i w:val="0"/>
                <w:color w:val="auto"/>
                <w:sz w:val="22"/>
                <w:szCs w:val="22"/>
                <w:u w:val="none"/>
                <w:lang w:val="en-US" w:eastAsia="zh-CN"/>
              </w:rPr>
            </w:pPr>
            <w:r>
              <w:rPr>
                <w:rFonts w:hint="eastAsia" w:ascii="仿宋_GB2312" w:hAnsi="仿宋_GB2312" w:eastAsia="仿宋_GB2312" w:cs="仿宋_GB2312"/>
                <w:i w:val="0"/>
                <w:color w:val="auto"/>
                <w:sz w:val="22"/>
                <w:szCs w:val="22"/>
                <w:u w:val="none"/>
                <w:lang w:val="en-US" w:eastAsia="zh-CN"/>
              </w:rPr>
              <w:t>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trPr>
        <w:tc>
          <w:tcPr>
            <w:tcW w:w="1796" w:type="dxa"/>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005" w:type="dxa"/>
            <w:vMerge w:val="continue"/>
            <w:tcBorders>
              <w:left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u w:val="none"/>
                <w:lang w:val="en-US" w:eastAsia="zh-CN" w:bidi="ar"/>
              </w:rPr>
            </w:pPr>
          </w:p>
        </w:tc>
        <w:tc>
          <w:tcPr>
            <w:tcW w:w="1410" w:type="dxa"/>
            <w:vMerge w:val="continue"/>
            <w:tcBorders>
              <w:left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sz w:val="22"/>
                <w:szCs w:val="22"/>
                <w:u w:val="none"/>
                <w:lang w:eastAsia="zh-CN"/>
              </w:rPr>
              <w:t>在院职工</w:t>
            </w:r>
            <w:r>
              <w:rPr>
                <w:rFonts w:hint="eastAsia" w:ascii="仿宋_GB2312" w:hAnsi="仿宋_GB2312" w:eastAsia="仿宋_GB2312" w:cs="仿宋_GB2312"/>
                <w:i w:val="0"/>
                <w:color w:val="auto"/>
                <w:sz w:val="22"/>
                <w:szCs w:val="22"/>
                <w:u w:val="none"/>
              </w:rPr>
              <w:t>满意度指标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sz w:val="22"/>
                <w:szCs w:val="22"/>
                <w:u w:val="none"/>
              </w:rPr>
              <w:t>≧90%</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sz w:val="22"/>
                <w:szCs w:val="22"/>
                <w:u w:val="none"/>
                <w:lang w:val="en-US" w:eastAsia="zh-CN"/>
              </w:rPr>
              <w:t>92%</w:t>
            </w:r>
          </w:p>
        </w:tc>
      </w:tr>
    </w:tbl>
    <w:p>
      <w:pPr>
        <w:pStyle w:val="2"/>
        <w:rPr>
          <w:rFonts w:hint="eastAsia"/>
        </w:rPr>
      </w:pPr>
    </w:p>
    <w:tbl>
      <w:tblPr>
        <w:tblStyle w:val="13"/>
        <w:tblpPr w:leftFromText="180" w:rightFromText="180" w:vertAnchor="text" w:horzAnchor="page" w:tblpX="1281" w:tblpY="660"/>
        <w:tblOverlap w:val="never"/>
        <w:tblW w:w="957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796"/>
        <w:gridCol w:w="1005"/>
        <w:gridCol w:w="1410"/>
        <w:gridCol w:w="1920"/>
        <w:gridCol w:w="1215"/>
        <w:gridCol w:w="22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9577" w:type="dxa"/>
            <w:gridSpan w:val="6"/>
            <w:tcBorders>
              <w:top w:val="nil"/>
              <w:left w:val="nil"/>
              <w:bottom w:val="nil"/>
              <w:right w:val="nil"/>
            </w:tcBorders>
            <w:shd w:val="clear" w:color="auto" w:fill="auto"/>
            <w:vAlign w:val="center"/>
          </w:tcPr>
          <w:p>
            <w:pPr>
              <w:keepNext w:val="0"/>
              <w:keepLines w:val="0"/>
              <w:widowControl/>
              <w:suppressLineNumbers w:val="0"/>
              <w:spacing w:beforeAutospacing="0"/>
              <w:jc w:val="center"/>
              <w:textAlignment w:val="center"/>
              <w:rPr>
                <w:rFonts w:hint="eastAsia" w:ascii="宋体" w:hAnsi="宋体" w:eastAsia="宋体" w:cs="宋体"/>
                <w:b/>
                <w:i w:val="0"/>
                <w:color w:val="auto"/>
                <w:sz w:val="32"/>
                <w:szCs w:val="32"/>
                <w:u w:val="none"/>
              </w:rPr>
            </w:pPr>
            <w:r>
              <w:rPr>
                <w:rFonts w:hint="eastAsia" w:ascii="宋体" w:hAnsi="宋体" w:eastAsia="宋体" w:cs="宋体"/>
                <w:b/>
                <w:bCs w:val="0"/>
                <w:i w:val="0"/>
                <w:color w:val="auto"/>
                <w:sz w:val="32"/>
                <w:szCs w:val="32"/>
                <w:highlight w:val="none"/>
                <w:u w:val="none"/>
                <w:lang w:val="en-US" w:eastAsia="zh-CN"/>
              </w:rPr>
              <w:t>2021年部门预算项目绩效目标自评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4" w:hRule="atLeast"/>
        </w:trPr>
        <w:tc>
          <w:tcPr>
            <w:tcW w:w="28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主管部门及代码</w:t>
            </w:r>
          </w:p>
        </w:tc>
        <w:tc>
          <w:tcPr>
            <w:tcW w:w="33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广元市民政局343001</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实施单位</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lang w:eastAsia="zh-CN"/>
              </w:rPr>
            </w:pPr>
            <w:r>
              <w:rPr>
                <w:rFonts w:hint="eastAsia" w:ascii="宋体" w:hAnsi="宋体" w:cs="宋体"/>
                <w:i w:val="0"/>
                <w:color w:val="auto"/>
                <w:sz w:val="24"/>
                <w:szCs w:val="24"/>
                <w:u w:val="none"/>
                <w:lang w:eastAsia="zh-CN"/>
              </w:rPr>
              <w:t>广元市儿童福利院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80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项目预算</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执行情况</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（万元）</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预算数：</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60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执行数：</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cs="宋体"/>
                <w:i w:val="0"/>
                <w:color w:val="auto"/>
                <w:sz w:val="24"/>
                <w:szCs w:val="24"/>
                <w:u w:val="none"/>
                <w:lang w:val="en-US" w:eastAsia="zh-CN"/>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55" w:hRule="atLeast"/>
        </w:trPr>
        <w:tc>
          <w:tcPr>
            <w:tcW w:w="280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财政拨款</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60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财政拨款</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cs="宋体"/>
                <w:i w:val="0"/>
                <w:color w:val="auto"/>
                <w:sz w:val="24"/>
                <w:szCs w:val="24"/>
                <w:u w:val="none"/>
                <w:lang w:val="en-US" w:eastAsia="zh-CN"/>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trPr>
        <w:tc>
          <w:tcPr>
            <w:tcW w:w="280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其他资金</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其他资金</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7" w:hRule="atLeast"/>
        </w:trPr>
        <w:tc>
          <w:tcPr>
            <w:tcW w:w="17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年度总体目标</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完成情况</w:t>
            </w:r>
          </w:p>
        </w:tc>
        <w:tc>
          <w:tcPr>
            <w:tcW w:w="43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预期目标</w:t>
            </w:r>
          </w:p>
        </w:tc>
        <w:tc>
          <w:tcPr>
            <w:tcW w:w="34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7" w:hRule="atLeast"/>
        </w:trPr>
        <w:tc>
          <w:tcPr>
            <w:tcW w:w="1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433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1"/>
                <w:szCs w:val="21"/>
                <w:u w:val="none"/>
              </w:rPr>
            </w:pPr>
            <w:r>
              <w:rPr>
                <w:rFonts w:hint="eastAsia" w:ascii="宋体" w:hAnsi="宋体" w:eastAsia="宋体" w:cs="宋体"/>
                <w:i w:val="0"/>
                <w:color w:val="auto"/>
                <w:sz w:val="20"/>
                <w:szCs w:val="20"/>
                <w:u w:val="none"/>
              </w:rPr>
              <w:t>根据《中共广元市委机构编制委员会关于调整市民政局所属事业单位机构编制事项的通知》（广编发〔2019〕111号）要求，市福利院核定购买服务岗位限额20名，财政核定3万元/年/人。保障20名购买服务人员全年工作经费及工资水平。聘用人员主要从事孤残儿童、特困人员、代养人员日常照料、康复等服务。</w:t>
            </w:r>
          </w:p>
        </w:tc>
        <w:tc>
          <w:tcPr>
            <w:tcW w:w="344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1"/>
                <w:szCs w:val="21"/>
                <w:u w:val="none"/>
                <w:lang w:eastAsia="zh-CN"/>
              </w:rPr>
            </w:pPr>
            <w:r>
              <w:rPr>
                <w:rFonts w:hint="eastAsia" w:ascii="宋体" w:hAnsi="宋体" w:eastAsia="宋体" w:cs="宋体"/>
                <w:i w:val="0"/>
                <w:color w:val="auto"/>
                <w:sz w:val="21"/>
                <w:szCs w:val="21"/>
                <w:u w:val="none"/>
              </w:rPr>
              <w:t>聘用人员主要从事孤残儿童、特困人员、代养人员日常照料、康复等服务。保障20名聘用人员全年工作经费及工资水平。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93" w:hRule="atLeast"/>
        </w:trPr>
        <w:tc>
          <w:tcPr>
            <w:tcW w:w="1796"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年度绩效指标完成情况</w:t>
            </w:r>
          </w:p>
        </w:tc>
        <w:tc>
          <w:tcPr>
            <w:tcW w:w="100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一级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二级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三级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预期指标值</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1796"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完成</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数量指标</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sz w:val="22"/>
                <w:szCs w:val="22"/>
                <w:u w:val="none"/>
              </w:rPr>
              <w:t>聘用人员人数</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i w:val="0"/>
                <w:color w:val="auto"/>
                <w:sz w:val="22"/>
                <w:szCs w:val="22"/>
                <w:u w:val="none"/>
                <w:lang w:val="en-US" w:eastAsia="zh-CN"/>
              </w:rPr>
            </w:pPr>
            <w:r>
              <w:rPr>
                <w:rFonts w:hint="eastAsia" w:ascii="仿宋_GB2312" w:hAnsi="仿宋_GB2312" w:eastAsia="仿宋_GB2312" w:cs="仿宋_GB2312"/>
                <w:i w:val="0"/>
                <w:color w:val="auto"/>
                <w:sz w:val="22"/>
                <w:szCs w:val="22"/>
                <w:u w:val="none"/>
                <w:lang w:val="en-US" w:eastAsia="zh-CN"/>
              </w:rPr>
              <w:t>20人</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sz w:val="22"/>
                <w:szCs w:val="22"/>
                <w:u w:val="none"/>
                <w:lang w:val="en-US" w:eastAsia="zh-CN"/>
              </w:rPr>
              <w:t>20人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1796"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质量指标</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sz w:val="22"/>
                <w:szCs w:val="22"/>
                <w:u w:val="none"/>
              </w:rPr>
              <w:t>聘用人员主要从事孤残儿童、特困人员、代养人员日常照料、康复等服务达到标准。</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i w:val="0"/>
                <w:color w:val="auto"/>
                <w:sz w:val="22"/>
                <w:szCs w:val="22"/>
                <w:u w:val="none"/>
                <w:lang w:val="en-US" w:eastAsia="zh-CN"/>
              </w:rPr>
            </w:pPr>
            <w:r>
              <w:rPr>
                <w:rFonts w:hint="eastAsia" w:ascii="仿宋_GB2312" w:hAnsi="仿宋_GB2312" w:eastAsia="仿宋_GB2312" w:cs="仿宋_GB2312"/>
                <w:i w:val="0"/>
                <w:color w:val="auto"/>
                <w:sz w:val="22"/>
                <w:szCs w:val="22"/>
                <w:u w:val="none"/>
              </w:rPr>
              <w:t>达到标准</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sz w:val="22"/>
                <w:szCs w:val="22"/>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1796"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时效指标</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sz w:val="22"/>
                <w:szCs w:val="22"/>
                <w:u w:val="none"/>
              </w:rPr>
              <w:t>完成时间</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lang w:eastAsia="zh-CN"/>
              </w:rPr>
            </w:pPr>
            <w:r>
              <w:rPr>
                <w:rFonts w:hint="eastAsia" w:ascii="仿宋_GB2312" w:hAnsi="仿宋_GB2312" w:eastAsia="仿宋_GB2312" w:cs="仿宋_GB2312"/>
                <w:i w:val="0"/>
                <w:color w:val="auto"/>
                <w:sz w:val="22"/>
                <w:szCs w:val="22"/>
                <w:u w:val="none"/>
              </w:rPr>
              <w:t>2021年12月31日前</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sz w:val="22"/>
                <w:szCs w:val="22"/>
                <w:u w:val="none"/>
              </w:rPr>
              <w:t>按时完成，2021年12月31日前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80" w:hRule="atLeast"/>
        </w:trPr>
        <w:tc>
          <w:tcPr>
            <w:tcW w:w="1796"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成本指标</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sz w:val="22"/>
                <w:szCs w:val="22"/>
                <w:u w:val="none"/>
              </w:rPr>
              <w:t>支付工资、社保、医保、失业保险、工伤保险。</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i w:val="0"/>
                <w:color w:val="auto"/>
                <w:sz w:val="22"/>
                <w:szCs w:val="22"/>
                <w:u w:val="none"/>
                <w:lang w:val="en-US" w:eastAsia="zh-CN"/>
              </w:rPr>
            </w:pPr>
            <w:r>
              <w:rPr>
                <w:rFonts w:hint="eastAsia" w:ascii="仿宋_GB2312" w:hAnsi="仿宋_GB2312" w:eastAsia="仿宋_GB2312" w:cs="仿宋_GB2312"/>
                <w:i w:val="0"/>
                <w:color w:val="auto"/>
                <w:sz w:val="22"/>
                <w:szCs w:val="22"/>
                <w:u w:val="none"/>
                <w:lang w:val="en-US" w:eastAsia="zh-CN"/>
              </w:rPr>
              <w:t>每人每年3万元，共20人。</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i w:val="0"/>
                <w:color w:val="auto"/>
                <w:sz w:val="22"/>
                <w:szCs w:val="22"/>
                <w:u w:val="none"/>
                <w:lang w:val="en-US" w:eastAsia="zh-CN"/>
              </w:rPr>
            </w:pPr>
            <w:r>
              <w:rPr>
                <w:rFonts w:hint="eastAsia" w:ascii="仿宋_GB2312" w:hAnsi="仿宋_GB2312" w:eastAsia="仿宋_GB2312" w:cs="仿宋_GB2312"/>
                <w:i w:val="0"/>
                <w:color w:val="auto"/>
                <w:sz w:val="22"/>
                <w:szCs w:val="22"/>
                <w:u w:val="none"/>
                <w:lang w:val="en-US" w:eastAsia="zh-CN"/>
              </w:rPr>
              <w:t>60万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796"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效益</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社会效益  指标</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sz w:val="22"/>
                <w:szCs w:val="22"/>
                <w:u w:val="none"/>
              </w:rPr>
              <w:t>一线工作人员为服务对象提供生活起居、文化娱乐、医疗保健等方面养护、康复、托管等综合性服务促进社会稳定发展。</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sz w:val="22"/>
                <w:szCs w:val="22"/>
                <w:u w:val="none"/>
              </w:rPr>
              <w:t>一线工作人员为服务对象提供生活起居、文化娱乐、医疗保健等方面养护、康复、托管等综合性服务促进社会稳定发展。</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sz w:val="22"/>
                <w:szCs w:val="22"/>
                <w:u w:val="none"/>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trPr>
        <w:tc>
          <w:tcPr>
            <w:tcW w:w="1796"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005" w:type="dxa"/>
            <w:vMerge w:val="restart"/>
            <w:tcBorders>
              <w:top w:val="single" w:color="000000" w:sz="4" w:space="0"/>
              <w:left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满意</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度指标</w:t>
            </w:r>
          </w:p>
        </w:tc>
        <w:tc>
          <w:tcPr>
            <w:tcW w:w="1410" w:type="dxa"/>
            <w:vMerge w:val="restart"/>
            <w:tcBorders>
              <w:top w:val="single" w:color="000000" w:sz="4" w:space="0"/>
              <w:left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满意</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度指标</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sz w:val="22"/>
                <w:szCs w:val="22"/>
                <w:u w:val="none"/>
              </w:rPr>
              <w:t>聘用人员满意度</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sz w:val="22"/>
                <w:szCs w:val="22"/>
                <w:u w:val="none"/>
              </w:rPr>
              <w:t>≧90%</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i w:val="0"/>
                <w:color w:val="auto"/>
                <w:sz w:val="22"/>
                <w:szCs w:val="22"/>
                <w:u w:val="none"/>
                <w:lang w:val="en-US" w:eastAsia="zh-CN"/>
              </w:rPr>
            </w:pPr>
            <w:r>
              <w:rPr>
                <w:rFonts w:hint="eastAsia" w:ascii="仿宋_GB2312" w:hAnsi="仿宋_GB2312" w:eastAsia="仿宋_GB2312" w:cs="仿宋_GB2312"/>
                <w:i w:val="0"/>
                <w:color w:val="auto"/>
                <w:sz w:val="22"/>
                <w:szCs w:val="22"/>
                <w:u w:val="none"/>
                <w:lang w:val="en-US" w:eastAsia="zh-CN"/>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trPr>
        <w:tc>
          <w:tcPr>
            <w:tcW w:w="1796" w:type="dxa"/>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005" w:type="dxa"/>
            <w:vMerge w:val="continue"/>
            <w:tcBorders>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u w:val="none"/>
                <w:lang w:val="en-US" w:eastAsia="zh-CN" w:bidi="ar"/>
              </w:rPr>
            </w:pPr>
          </w:p>
        </w:tc>
        <w:tc>
          <w:tcPr>
            <w:tcW w:w="1410" w:type="dxa"/>
            <w:vMerge w:val="continue"/>
            <w:tcBorders>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sz w:val="22"/>
                <w:szCs w:val="22"/>
                <w:u w:val="none"/>
              </w:rPr>
              <w:t>特困人员、代养老人、孤儿弃婴满意度</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sz w:val="22"/>
                <w:szCs w:val="22"/>
                <w:u w:val="none"/>
              </w:rPr>
              <w:t>≧90%</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sz w:val="22"/>
                <w:szCs w:val="22"/>
                <w:u w:val="none"/>
                <w:lang w:val="en-US" w:eastAsia="zh-CN"/>
              </w:rPr>
              <w:t>95%</w:t>
            </w:r>
          </w:p>
        </w:tc>
      </w:tr>
    </w:tbl>
    <w:p>
      <w:pPr>
        <w:widowControl/>
        <w:adjustRightInd w:val="0"/>
        <w:snapToGrid w:val="0"/>
        <w:spacing w:line="580" w:lineRule="exact"/>
        <w:contextualSpacing/>
        <w:jc w:val="left"/>
        <w:rPr>
          <w:rFonts w:hint="eastAsia" w:ascii="仿宋_GB2312" w:hAnsi="宋体" w:eastAsia="仿宋_GB2312" w:cs="宋体"/>
          <w:color w:val="000000"/>
          <w:kern w:val="0"/>
          <w:sz w:val="32"/>
          <w:szCs w:val="32"/>
          <w:highlight w:val="yellow"/>
          <w:shd w:val="clear" w:color="auto" w:fill="FFFFFF"/>
          <w:lang w:val="en-US" w:eastAsia="zh-CN"/>
        </w:rPr>
      </w:pPr>
    </w:p>
    <w:p>
      <w:pPr>
        <w:pStyle w:val="2"/>
        <w:rPr>
          <w:rFonts w:hint="eastAsia"/>
          <w:lang w:val="en-US" w:eastAsia="zh-CN"/>
        </w:rPr>
      </w:pPr>
    </w:p>
    <w:tbl>
      <w:tblPr>
        <w:tblStyle w:val="13"/>
        <w:tblpPr w:leftFromText="180" w:rightFromText="180" w:vertAnchor="text" w:horzAnchor="page" w:tblpX="1281" w:tblpY="660"/>
        <w:tblOverlap w:val="never"/>
        <w:tblW w:w="957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796"/>
        <w:gridCol w:w="1005"/>
        <w:gridCol w:w="1410"/>
        <w:gridCol w:w="1920"/>
        <w:gridCol w:w="1215"/>
        <w:gridCol w:w="22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9577" w:type="dxa"/>
            <w:gridSpan w:val="6"/>
            <w:tcBorders>
              <w:top w:val="nil"/>
              <w:left w:val="nil"/>
              <w:bottom w:val="nil"/>
              <w:right w:val="nil"/>
            </w:tcBorders>
            <w:shd w:val="clear" w:color="auto" w:fill="auto"/>
            <w:vAlign w:val="center"/>
          </w:tcPr>
          <w:p>
            <w:pPr>
              <w:keepNext w:val="0"/>
              <w:keepLines w:val="0"/>
              <w:widowControl/>
              <w:suppressLineNumbers w:val="0"/>
              <w:spacing w:beforeAutospacing="0"/>
              <w:jc w:val="center"/>
              <w:textAlignment w:val="center"/>
              <w:rPr>
                <w:rFonts w:hint="eastAsia" w:ascii="宋体" w:hAnsi="宋体" w:eastAsia="宋体" w:cs="宋体"/>
                <w:b/>
                <w:i w:val="0"/>
                <w:color w:val="auto"/>
                <w:sz w:val="32"/>
                <w:szCs w:val="32"/>
                <w:u w:val="none"/>
              </w:rPr>
            </w:pPr>
            <w:r>
              <w:rPr>
                <w:rFonts w:hint="eastAsia" w:ascii="宋体" w:hAnsi="宋体" w:eastAsia="宋体" w:cs="宋体"/>
                <w:b/>
                <w:bCs w:val="0"/>
                <w:i w:val="0"/>
                <w:color w:val="auto"/>
                <w:sz w:val="32"/>
                <w:szCs w:val="32"/>
                <w:highlight w:val="none"/>
                <w:u w:val="none"/>
                <w:lang w:val="en-US" w:eastAsia="zh-CN"/>
              </w:rPr>
              <w:t>2021年部门预算项目绩效目标自评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4" w:hRule="atLeast"/>
        </w:trPr>
        <w:tc>
          <w:tcPr>
            <w:tcW w:w="28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主管部门及代码</w:t>
            </w:r>
          </w:p>
        </w:tc>
        <w:tc>
          <w:tcPr>
            <w:tcW w:w="33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广元市民政局343001</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实施单位</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lang w:eastAsia="zh-CN"/>
              </w:rPr>
            </w:pPr>
            <w:r>
              <w:rPr>
                <w:rFonts w:hint="eastAsia" w:ascii="宋体" w:hAnsi="宋体" w:cs="宋体"/>
                <w:i w:val="0"/>
                <w:color w:val="auto"/>
                <w:sz w:val="24"/>
                <w:szCs w:val="24"/>
                <w:u w:val="none"/>
                <w:lang w:eastAsia="zh-CN"/>
              </w:rPr>
              <w:t>广元市儿童福利院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80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项目预算</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执行情况</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（万元）</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预算数：</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4</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执行数：</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280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财政拨款</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4</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财政拨款</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trPr>
        <w:tc>
          <w:tcPr>
            <w:tcW w:w="280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其他资金</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其他资金</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7" w:hRule="atLeast"/>
        </w:trPr>
        <w:tc>
          <w:tcPr>
            <w:tcW w:w="17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年度总体目标</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完成情况</w:t>
            </w:r>
          </w:p>
        </w:tc>
        <w:tc>
          <w:tcPr>
            <w:tcW w:w="43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预期目标</w:t>
            </w:r>
          </w:p>
        </w:tc>
        <w:tc>
          <w:tcPr>
            <w:tcW w:w="34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7" w:hRule="atLeast"/>
        </w:trPr>
        <w:tc>
          <w:tcPr>
            <w:tcW w:w="1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433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1"/>
                <w:szCs w:val="21"/>
                <w:u w:val="none"/>
              </w:rPr>
            </w:pPr>
            <w:r>
              <w:rPr>
                <w:rFonts w:hint="eastAsia" w:ascii="宋体" w:hAnsi="宋体" w:eastAsia="宋体" w:cs="宋体"/>
                <w:i w:val="0"/>
                <w:color w:val="auto"/>
                <w:sz w:val="20"/>
                <w:szCs w:val="20"/>
                <w:u w:val="none"/>
              </w:rPr>
              <w:t>民政部颁发《家庭寄养管理办法》（中华人民共和国民政部第54号令）第五章第二十九条规定：家庭寄养经费，包括寄养儿童的养育费用补贴，寄养家庭劳务补贴，寄养工作经费等。寄养儿童养育费用补贴按照国家规定列支。寄养家庭补贴、寄养工作经费等由当地人民政府予以保障。</w:t>
            </w:r>
          </w:p>
        </w:tc>
        <w:tc>
          <w:tcPr>
            <w:tcW w:w="344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1"/>
                <w:szCs w:val="21"/>
                <w:u w:val="none"/>
                <w:lang w:eastAsia="zh-CN"/>
              </w:rPr>
            </w:pPr>
            <w:r>
              <w:rPr>
                <w:rFonts w:hint="eastAsia" w:ascii="宋体" w:hAnsi="宋体" w:eastAsia="宋体" w:cs="宋体"/>
                <w:i w:val="0"/>
                <w:color w:val="auto"/>
                <w:sz w:val="21"/>
                <w:szCs w:val="21"/>
                <w:u w:val="none"/>
              </w:rPr>
              <w:t>保障10名寄养儿童在寄养家庭中养育水平、生活水平，日常营养需要，为寄养家庭提供养育费用补贴、劳务补贴、工作经费等。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1796"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年度绩效指标完成情况</w:t>
            </w:r>
          </w:p>
        </w:tc>
        <w:tc>
          <w:tcPr>
            <w:tcW w:w="100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一级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二级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三级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预期指标值</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1796"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完成</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数量指标</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sz w:val="22"/>
                <w:szCs w:val="22"/>
                <w:u w:val="none"/>
              </w:rPr>
              <w:t>家庭寄养人数</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i w:val="0"/>
                <w:color w:val="auto"/>
                <w:sz w:val="22"/>
                <w:szCs w:val="22"/>
                <w:u w:val="none"/>
                <w:lang w:val="en-US" w:eastAsia="zh-CN"/>
              </w:rPr>
            </w:pPr>
            <w:r>
              <w:rPr>
                <w:rFonts w:hint="eastAsia" w:ascii="仿宋_GB2312" w:hAnsi="仿宋_GB2312" w:eastAsia="仿宋_GB2312" w:cs="仿宋_GB2312"/>
                <w:i w:val="0"/>
                <w:color w:val="auto"/>
                <w:sz w:val="22"/>
                <w:szCs w:val="22"/>
                <w:u w:val="none"/>
                <w:lang w:val="en-US" w:eastAsia="zh-CN"/>
              </w:rPr>
              <w:t>10人</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i w:val="0"/>
                <w:color w:val="auto"/>
                <w:sz w:val="22"/>
                <w:szCs w:val="22"/>
                <w:u w:val="none"/>
                <w:lang w:val="en-US" w:eastAsia="zh-CN"/>
              </w:rPr>
            </w:pPr>
            <w:r>
              <w:rPr>
                <w:rFonts w:hint="eastAsia" w:ascii="仿宋_GB2312" w:hAnsi="仿宋_GB2312" w:eastAsia="仿宋_GB2312" w:cs="仿宋_GB2312"/>
                <w:i w:val="0"/>
                <w:color w:val="auto"/>
                <w:sz w:val="22"/>
                <w:szCs w:val="22"/>
                <w:u w:val="none"/>
                <w:lang w:val="en-US" w:eastAsia="zh-CN"/>
              </w:rPr>
              <w:t>10人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1796"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质量指标</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sz w:val="22"/>
                <w:szCs w:val="22"/>
                <w:u w:val="none"/>
              </w:rPr>
              <w:t>保障寄养儿童的养育质量</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i w:val="0"/>
                <w:color w:val="auto"/>
                <w:sz w:val="22"/>
                <w:szCs w:val="22"/>
                <w:u w:val="none"/>
                <w:lang w:val="en-US" w:eastAsia="zh-CN"/>
              </w:rPr>
            </w:pPr>
            <w:r>
              <w:rPr>
                <w:rFonts w:hint="eastAsia" w:ascii="仿宋_GB2312" w:hAnsi="仿宋_GB2312" w:eastAsia="仿宋_GB2312" w:cs="仿宋_GB2312"/>
                <w:i w:val="0"/>
                <w:color w:val="auto"/>
                <w:sz w:val="22"/>
                <w:szCs w:val="22"/>
                <w:u w:val="none"/>
                <w:lang w:val="en-US" w:eastAsia="zh-CN"/>
              </w:rPr>
              <w:t>显著提升</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sz w:val="22"/>
                <w:szCs w:val="22"/>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1796"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时效指标</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lang w:eastAsia="zh-CN"/>
              </w:rPr>
            </w:pPr>
            <w:r>
              <w:rPr>
                <w:rFonts w:hint="eastAsia" w:ascii="仿宋_GB2312" w:hAnsi="仿宋_GB2312" w:eastAsia="仿宋_GB2312" w:cs="仿宋_GB2312"/>
                <w:i w:val="0"/>
                <w:color w:val="auto"/>
                <w:sz w:val="22"/>
                <w:szCs w:val="22"/>
                <w:u w:val="none"/>
                <w:lang w:eastAsia="zh-CN"/>
              </w:rPr>
              <w:t>完成时间</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lang w:eastAsia="zh-CN"/>
              </w:rPr>
            </w:pPr>
            <w:r>
              <w:rPr>
                <w:rFonts w:hint="eastAsia" w:ascii="仿宋_GB2312" w:hAnsi="仿宋_GB2312" w:eastAsia="仿宋_GB2312" w:cs="仿宋_GB2312"/>
                <w:i w:val="0"/>
                <w:color w:val="auto"/>
                <w:sz w:val="22"/>
                <w:szCs w:val="22"/>
                <w:u w:val="none"/>
              </w:rPr>
              <w:t>2021年12月31日前</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sz w:val="22"/>
                <w:szCs w:val="22"/>
                <w:u w:val="none"/>
              </w:rPr>
              <w:t>按时完成，2021年12月31日前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796"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成本指标</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sz w:val="22"/>
                <w:szCs w:val="22"/>
                <w:u w:val="none"/>
              </w:rPr>
              <w:t>寄养儿童的养育费用补贴，寄养家庭劳务补贴，寄养工作经费。</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i w:val="0"/>
                <w:color w:val="auto"/>
                <w:sz w:val="22"/>
                <w:szCs w:val="22"/>
                <w:u w:val="none"/>
                <w:lang w:val="en-US" w:eastAsia="zh-CN"/>
              </w:rPr>
            </w:pPr>
            <w:r>
              <w:rPr>
                <w:rFonts w:hint="eastAsia" w:ascii="仿宋_GB2312" w:hAnsi="仿宋_GB2312" w:eastAsia="仿宋_GB2312" w:cs="仿宋_GB2312"/>
                <w:i w:val="0"/>
                <w:color w:val="auto"/>
                <w:sz w:val="22"/>
                <w:szCs w:val="22"/>
                <w:u w:val="none"/>
                <w:lang w:val="en-US" w:eastAsia="zh-CN"/>
              </w:rPr>
              <w:t>寄养、助养儿童的养育费用补贴2.5万元，寄养、助养家庭劳务补贴1.5万元，合计4万元。</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lang w:eastAsia="zh-CN"/>
              </w:rPr>
            </w:pPr>
            <w:r>
              <w:rPr>
                <w:rFonts w:hint="eastAsia" w:ascii="仿宋_GB2312" w:hAnsi="仿宋_GB2312" w:eastAsia="仿宋_GB2312" w:cs="仿宋_GB2312"/>
                <w:i w:val="0"/>
                <w:color w:val="auto"/>
                <w:sz w:val="22"/>
                <w:szCs w:val="22"/>
                <w:u w:val="none"/>
                <w:lang w:val="en-US" w:eastAsia="zh-CN"/>
              </w:rPr>
              <w:t>4万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796"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效益</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社会效益  指标</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sz w:val="22"/>
                <w:szCs w:val="22"/>
                <w:u w:val="none"/>
              </w:rPr>
              <w:t>保障寄养儿童的养育，促进社会稳定发展。</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lang w:eastAsia="zh-CN"/>
              </w:rPr>
            </w:pPr>
            <w:r>
              <w:rPr>
                <w:rFonts w:hint="eastAsia" w:ascii="仿宋_GB2312" w:hAnsi="仿宋_GB2312" w:eastAsia="仿宋_GB2312" w:cs="仿宋_GB2312"/>
                <w:i w:val="0"/>
                <w:color w:val="auto"/>
                <w:sz w:val="22"/>
                <w:szCs w:val="22"/>
                <w:u w:val="none"/>
                <w:lang w:eastAsia="zh-CN"/>
              </w:rPr>
              <w:t>显著提升</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sz w:val="22"/>
                <w:szCs w:val="22"/>
                <w:u w:val="none"/>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trPr>
        <w:tc>
          <w:tcPr>
            <w:tcW w:w="1796"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005" w:type="dxa"/>
            <w:vMerge w:val="restart"/>
            <w:tcBorders>
              <w:top w:val="single" w:color="000000" w:sz="4" w:space="0"/>
              <w:left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满意</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度指标</w:t>
            </w:r>
          </w:p>
        </w:tc>
        <w:tc>
          <w:tcPr>
            <w:tcW w:w="1410" w:type="dxa"/>
            <w:vMerge w:val="restart"/>
            <w:tcBorders>
              <w:top w:val="single" w:color="000000" w:sz="4" w:space="0"/>
              <w:left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满意</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度指标</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sz w:val="22"/>
                <w:szCs w:val="22"/>
                <w:u w:val="none"/>
              </w:rPr>
              <w:t>寄养儿童满意度</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sz w:val="22"/>
                <w:szCs w:val="22"/>
                <w:u w:val="none"/>
              </w:rPr>
              <w:t>≧90%</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i w:val="0"/>
                <w:color w:val="auto"/>
                <w:sz w:val="22"/>
                <w:szCs w:val="22"/>
                <w:u w:val="none"/>
                <w:lang w:val="en-US" w:eastAsia="zh-CN"/>
              </w:rPr>
            </w:pPr>
            <w:r>
              <w:rPr>
                <w:rFonts w:hint="eastAsia" w:ascii="仿宋_GB2312" w:hAnsi="仿宋_GB2312" w:eastAsia="仿宋_GB2312" w:cs="仿宋_GB2312"/>
                <w:i w:val="0"/>
                <w:color w:val="auto"/>
                <w:sz w:val="22"/>
                <w:szCs w:val="22"/>
                <w:u w:val="none"/>
                <w:lang w:val="en-US" w:eastAsia="zh-CN"/>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trPr>
        <w:tc>
          <w:tcPr>
            <w:tcW w:w="1796" w:type="dxa"/>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005" w:type="dxa"/>
            <w:vMerge w:val="continue"/>
            <w:tcBorders>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u w:val="none"/>
                <w:lang w:val="en-US" w:eastAsia="zh-CN" w:bidi="ar"/>
              </w:rPr>
            </w:pPr>
          </w:p>
        </w:tc>
        <w:tc>
          <w:tcPr>
            <w:tcW w:w="1410" w:type="dxa"/>
            <w:vMerge w:val="continue"/>
            <w:tcBorders>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sz w:val="22"/>
                <w:szCs w:val="22"/>
                <w:u w:val="none"/>
              </w:rPr>
              <w:t>家养家庭满意度</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sz w:val="22"/>
                <w:szCs w:val="22"/>
                <w:u w:val="none"/>
              </w:rPr>
              <w:t>≧90%</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sz w:val="22"/>
                <w:szCs w:val="22"/>
                <w:u w:val="none"/>
                <w:lang w:val="en-US" w:eastAsia="zh-CN"/>
              </w:rPr>
              <w:t>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577" w:type="dxa"/>
            <w:gridSpan w:val="6"/>
            <w:tcBorders>
              <w:top w:val="nil"/>
              <w:left w:val="nil"/>
              <w:bottom w:val="nil"/>
              <w:right w:val="nil"/>
            </w:tcBorders>
            <w:shd w:val="clear" w:color="auto" w:fill="auto"/>
            <w:vAlign w:val="center"/>
          </w:tcPr>
          <w:p>
            <w:pPr>
              <w:keepNext w:val="0"/>
              <w:keepLines w:val="0"/>
              <w:widowControl/>
              <w:suppressLineNumbers w:val="0"/>
              <w:spacing w:beforeAutospacing="0"/>
              <w:jc w:val="center"/>
              <w:textAlignment w:val="center"/>
              <w:rPr>
                <w:rFonts w:hint="eastAsia" w:ascii="宋体" w:hAnsi="宋体" w:eastAsia="宋体" w:cs="宋体"/>
                <w:b/>
                <w:bCs w:val="0"/>
                <w:i w:val="0"/>
                <w:color w:val="auto"/>
                <w:sz w:val="32"/>
                <w:szCs w:val="32"/>
                <w:highlight w:val="none"/>
                <w:u w:val="none"/>
                <w:lang w:val="en-US" w:eastAsia="zh-CN"/>
              </w:rPr>
            </w:pPr>
          </w:p>
          <w:p>
            <w:pPr>
              <w:keepNext w:val="0"/>
              <w:keepLines w:val="0"/>
              <w:widowControl/>
              <w:suppressLineNumbers w:val="0"/>
              <w:spacing w:beforeAutospacing="0"/>
              <w:jc w:val="center"/>
              <w:textAlignment w:val="center"/>
              <w:rPr>
                <w:rFonts w:hint="eastAsia" w:ascii="宋体" w:hAnsi="宋体" w:eastAsia="宋体" w:cs="宋体"/>
                <w:b/>
                <w:i w:val="0"/>
                <w:color w:val="auto"/>
                <w:sz w:val="32"/>
                <w:szCs w:val="32"/>
                <w:u w:val="none"/>
              </w:rPr>
            </w:pPr>
            <w:r>
              <w:rPr>
                <w:rFonts w:hint="eastAsia" w:ascii="宋体" w:hAnsi="宋体" w:eastAsia="宋体" w:cs="宋体"/>
                <w:b/>
                <w:bCs w:val="0"/>
                <w:i w:val="0"/>
                <w:color w:val="auto"/>
                <w:sz w:val="32"/>
                <w:szCs w:val="32"/>
                <w:highlight w:val="none"/>
                <w:u w:val="none"/>
                <w:lang w:val="en-US" w:eastAsia="zh-CN"/>
              </w:rPr>
              <w:t>2021年部门预算项目绩效目标自评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4" w:hRule="atLeast"/>
        </w:trPr>
        <w:tc>
          <w:tcPr>
            <w:tcW w:w="28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主管部门及代码</w:t>
            </w:r>
          </w:p>
        </w:tc>
        <w:tc>
          <w:tcPr>
            <w:tcW w:w="33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广元市民政局343001</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实施单位</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lang w:eastAsia="zh-CN"/>
              </w:rPr>
            </w:pPr>
            <w:r>
              <w:rPr>
                <w:rFonts w:hint="eastAsia" w:ascii="宋体" w:hAnsi="宋体" w:cs="宋体"/>
                <w:i w:val="0"/>
                <w:color w:val="auto"/>
                <w:sz w:val="24"/>
                <w:szCs w:val="24"/>
                <w:u w:val="none"/>
                <w:lang w:eastAsia="zh-CN"/>
              </w:rPr>
              <w:t>广元市儿童福利院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80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项目预算</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执行情况</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（万元）</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预算数：</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4</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执行数：</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280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财政拨款</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4</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财政拨款</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trPr>
        <w:tc>
          <w:tcPr>
            <w:tcW w:w="280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其他资金</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其他资金</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7" w:hRule="atLeast"/>
        </w:trPr>
        <w:tc>
          <w:tcPr>
            <w:tcW w:w="17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年度总体目标</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完成情况</w:t>
            </w:r>
          </w:p>
        </w:tc>
        <w:tc>
          <w:tcPr>
            <w:tcW w:w="43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预期目标</w:t>
            </w:r>
          </w:p>
        </w:tc>
        <w:tc>
          <w:tcPr>
            <w:tcW w:w="34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7" w:hRule="atLeast"/>
        </w:trPr>
        <w:tc>
          <w:tcPr>
            <w:tcW w:w="1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433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1"/>
                <w:szCs w:val="21"/>
                <w:u w:val="none"/>
              </w:rPr>
            </w:pPr>
            <w:r>
              <w:rPr>
                <w:rFonts w:hint="eastAsia" w:ascii="宋体" w:hAnsi="宋体" w:eastAsia="宋体" w:cs="宋体"/>
                <w:i w:val="0"/>
                <w:color w:val="auto"/>
                <w:sz w:val="20"/>
                <w:szCs w:val="20"/>
                <w:u w:val="none"/>
              </w:rPr>
              <w:t>为落实《广元市人民政府办公室关于切实做好城镇“三无”人员供养工作的通知》（广府办函〔2010〕143号精神，实现市政府提出的确保城镇“三无”人员自愿集中供养的全部纳入集中供养的目标。文件规定：各级政府要认真解决落实公办社会福利机构建设、设施设备以及城镇三无人员供养经费和必要的工作经费。我院配备电梯5部，切实保障电梯运行安全与运行期间所产生的费用，包括电梯运行及维护费，日常运行电费，电梯年检、维修及保养费。</w:t>
            </w:r>
          </w:p>
        </w:tc>
        <w:tc>
          <w:tcPr>
            <w:tcW w:w="344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1"/>
                <w:szCs w:val="21"/>
                <w:u w:val="none"/>
                <w:lang w:eastAsia="zh-CN"/>
              </w:rPr>
            </w:pPr>
            <w:r>
              <w:rPr>
                <w:rFonts w:hint="eastAsia" w:ascii="宋体" w:hAnsi="宋体" w:eastAsia="宋体" w:cs="宋体"/>
                <w:i w:val="0"/>
                <w:color w:val="auto"/>
                <w:sz w:val="21"/>
                <w:szCs w:val="21"/>
                <w:u w:val="none"/>
              </w:rPr>
              <w:t>保证我院5部电梯使用期间的运行质量，电梯及消防安全设施设备质量符合合格标准。保障电梯运行及维护费，日常运行电费，电梯年检、维修及保养费的支出。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1796"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年度绩效指标完成情况</w:t>
            </w:r>
          </w:p>
        </w:tc>
        <w:tc>
          <w:tcPr>
            <w:tcW w:w="100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一级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二级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三级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预期指标值</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1796"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完成</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数量指标</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sz w:val="22"/>
                <w:szCs w:val="22"/>
                <w:u w:val="none"/>
              </w:rPr>
              <w:t>电梯、消防安全设施设备数量</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sz w:val="22"/>
                <w:szCs w:val="22"/>
                <w:u w:val="none"/>
              </w:rPr>
              <w:t>5部</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sz w:val="22"/>
                <w:szCs w:val="22"/>
                <w:u w:val="none"/>
              </w:rPr>
              <w:t>5部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1796"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质量指标</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sz w:val="22"/>
                <w:szCs w:val="22"/>
                <w:u w:val="none"/>
              </w:rPr>
              <w:t>保证电梯使用期间的运行质量，电梯及消防安全设施设备质量符合合格标准</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i w:val="0"/>
                <w:color w:val="auto"/>
                <w:sz w:val="22"/>
                <w:szCs w:val="22"/>
                <w:u w:val="none"/>
                <w:lang w:val="en-US" w:eastAsia="zh-CN"/>
              </w:rPr>
            </w:pPr>
            <w:r>
              <w:rPr>
                <w:rFonts w:hint="eastAsia" w:ascii="仿宋_GB2312" w:hAnsi="仿宋_GB2312" w:eastAsia="仿宋_GB2312" w:cs="仿宋_GB2312"/>
                <w:i w:val="0"/>
                <w:color w:val="auto"/>
                <w:sz w:val="22"/>
                <w:szCs w:val="22"/>
                <w:u w:val="none"/>
                <w:lang w:val="en-US" w:eastAsia="zh-CN"/>
              </w:rPr>
              <w:t>达到检验合格标准</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sz w:val="22"/>
                <w:szCs w:val="22"/>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1796"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时效指标</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sz w:val="22"/>
                <w:szCs w:val="22"/>
                <w:u w:val="none"/>
              </w:rPr>
              <w:t>完成时间</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lang w:eastAsia="zh-CN"/>
              </w:rPr>
            </w:pPr>
            <w:r>
              <w:rPr>
                <w:rFonts w:hint="eastAsia" w:ascii="仿宋_GB2312" w:hAnsi="仿宋_GB2312" w:eastAsia="仿宋_GB2312" w:cs="仿宋_GB2312"/>
                <w:i w:val="0"/>
                <w:color w:val="auto"/>
                <w:sz w:val="22"/>
                <w:szCs w:val="22"/>
                <w:u w:val="none"/>
              </w:rPr>
              <w:t>2021年12月31日前</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sz w:val="22"/>
                <w:szCs w:val="22"/>
                <w:u w:val="none"/>
              </w:rPr>
              <w:t>按时完成，2021年12月31日前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796"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成本指标</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sz w:val="22"/>
                <w:szCs w:val="22"/>
                <w:u w:val="none"/>
              </w:rPr>
              <w:t>电梯运行及维护费，日常运行电费，电梯年检、维修及保养费</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i w:val="0"/>
                <w:color w:val="auto"/>
                <w:sz w:val="22"/>
                <w:szCs w:val="22"/>
                <w:u w:val="none"/>
                <w:lang w:val="en-US" w:eastAsia="zh-CN"/>
              </w:rPr>
            </w:pPr>
            <w:r>
              <w:rPr>
                <w:rFonts w:hint="eastAsia" w:ascii="仿宋_GB2312" w:hAnsi="仿宋_GB2312" w:eastAsia="仿宋_GB2312" w:cs="仿宋_GB2312"/>
                <w:i w:val="0"/>
                <w:color w:val="auto"/>
                <w:sz w:val="22"/>
                <w:szCs w:val="22"/>
                <w:u w:val="none"/>
                <w:lang w:val="en-US" w:eastAsia="zh-CN"/>
              </w:rPr>
              <w:t>4万</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sz w:val="22"/>
                <w:szCs w:val="22"/>
                <w:u w:val="none"/>
                <w:lang w:val="en-US" w:eastAsia="zh-CN"/>
              </w:rPr>
              <w:t>4万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796"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效益</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社会效益  指标</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sz w:val="22"/>
                <w:szCs w:val="22"/>
                <w:u w:val="none"/>
              </w:rPr>
              <w:t>保障特困人员、代养老人、孤儿弃婴的生活方便，促进社会稳定和谐发展。</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sz w:val="22"/>
                <w:szCs w:val="22"/>
                <w:u w:val="none"/>
              </w:rPr>
              <w:t>保障特困人员、代养老人、孤儿弃婴的生活方便，促进社会稳定和谐发展。</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sz w:val="22"/>
                <w:szCs w:val="22"/>
                <w:u w:val="none"/>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trPr>
        <w:tc>
          <w:tcPr>
            <w:tcW w:w="1796"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005" w:type="dxa"/>
            <w:tcBorders>
              <w:top w:val="single" w:color="000000" w:sz="4" w:space="0"/>
              <w:left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满意</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度指标</w:t>
            </w:r>
          </w:p>
        </w:tc>
        <w:tc>
          <w:tcPr>
            <w:tcW w:w="1410" w:type="dxa"/>
            <w:tcBorders>
              <w:top w:val="single" w:color="000000" w:sz="4" w:space="0"/>
              <w:left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满意</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度指标</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sz w:val="22"/>
                <w:szCs w:val="22"/>
                <w:u w:val="none"/>
              </w:rPr>
              <w:t>特困人员、代养老人、孤儿弃婴满意度</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sz w:val="22"/>
                <w:szCs w:val="22"/>
                <w:u w:val="none"/>
              </w:rPr>
              <w:t>≧90%</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i w:val="0"/>
                <w:color w:val="auto"/>
                <w:sz w:val="22"/>
                <w:szCs w:val="22"/>
                <w:u w:val="none"/>
                <w:lang w:val="en-US" w:eastAsia="zh-CN"/>
              </w:rPr>
            </w:pPr>
            <w:r>
              <w:rPr>
                <w:rFonts w:hint="eastAsia" w:ascii="仿宋_GB2312" w:hAnsi="仿宋_GB2312" w:eastAsia="仿宋_GB2312" w:cs="仿宋_GB2312"/>
                <w:i w:val="0"/>
                <w:color w:val="auto"/>
                <w:sz w:val="22"/>
                <w:szCs w:val="22"/>
                <w:u w:val="none"/>
                <w:lang w:val="en-US" w:eastAsia="zh-CN"/>
              </w:rPr>
              <w:t>90%</w:t>
            </w:r>
          </w:p>
        </w:tc>
      </w:tr>
    </w:tbl>
    <w:p>
      <w:pPr>
        <w:widowControl/>
        <w:adjustRightInd w:val="0"/>
        <w:snapToGrid w:val="0"/>
        <w:spacing w:line="580" w:lineRule="exact"/>
        <w:contextualSpacing/>
        <w:jc w:val="left"/>
        <w:rPr>
          <w:rFonts w:hint="eastAsia" w:ascii="仿宋_GB2312" w:hAnsi="宋体" w:eastAsia="仿宋_GB2312" w:cs="宋体"/>
          <w:color w:val="000000"/>
          <w:kern w:val="0"/>
          <w:sz w:val="32"/>
          <w:szCs w:val="32"/>
          <w:highlight w:val="yellow"/>
          <w:shd w:val="clear" w:color="auto" w:fill="FFFFFF"/>
          <w:lang w:val="en-US" w:eastAsia="zh-CN"/>
        </w:rPr>
      </w:pPr>
    </w:p>
    <w:p>
      <w:pPr>
        <w:pStyle w:val="2"/>
        <w:rPr>
          <w:rFonts w:hint="eastAsia"/>
          <w:lang w:val="en-US" w:eastAsia="zh-CN"/>
        </w:rPr>
      </w:pPr>
    </w:p>
    <w:p>
      <w:pPr>
        <w:pStyle w:val="2"/>
        <w:rPr>
          <w:rFonts w:hint="eastAsia"/>
          <w:lang w:val="en-US" w:eastAsia="zh-CN"/>
        </w:rPr>
      </w:pPr>
    </w:p>
    <w:p>
      <w:pPr>
        <w:spacing w:line="600" w:lineRule="exact"/>
        <w:jc w:val="both"/>
        <w:outlineLvl w:val="0"/>
        <w:rPr>
          <w:rFonts w:hint="eastAsia" w:ascii="黑体" w:hAnsi="黑体" w:eastAsia="黑体"/>
          <w:color w:val="auto"/>
          <w:sz w:val="44"/>
          <w:szCs w:val="44"/>
          <w:highlight w:val="none"/>
        </w:rPr>
      </w:pPr>
    </w:p>
    <w:p>
      <w:pPr>
        <w:spacing w:line="600" w:lineRule="exact"/>
        <w:jc w:val="center"/>
        <w:outlineLvl w:val="0"/>
        <w:rPr>
          <w:rFonts w:hint="eastAsia" w:ascii="仿宋" w:hAnsi="仿宋" w:eastAsia="仿宋"/>
          <w:b w:val="0"/>
          <w:color w:val="auto"/>
          <w:highlight w:val="none"/>
        </w:rPr>
      </w:pPr>
      <w:r>
        <w:rPr>
          <w:rFonts w:hint="eastAsia" w:ascii="黑体" w:hAnsi="黑体" w:eastAsia="黑体"/>
          <w:color w:val="auto"/>
          <w:sz w:val="44"/>
          <w:szCs w:val="44"/>
          <w:highlight w:val="none"/>
        </w:rPr>
        <w:t>第</w:t>
      </w:r>
      <w:r>
        <w:rPr>
          <w:rStyle w:val="26"/>
          <w:rFonts w:hint="eastAsia" w:ascii="黑体" w:hAnsi="黑体" w:eastAsia="黑体"/>
          <w:b w:val="0"/>
          <w:color w:val="auto"/>
          <w:highlight w:val="none"/>
        </w:rPr>
        <w:t>五部分 附表</w:t>
      </w:r>
      <w:bookmarkEnd w:id="51"/>
      <w:bookmarkEnd w:id="53"/>
      <w:bookmarkStart w:id="54" w:name="_Toc15396619"/>
    </w:p>
    <w:p>
      <w:pPr>
        <w:pStyle w:val="4"/>
        <w:rPr>
          <w:rFonts w:ascii="仿宋" w:hAnsi="仿宋" w:eastAsia="仿宋"/>
          <w:color w:val="auto"/>
          <w:highlight w:val="none"/>
        </w:rPr>
      </w:pPr>
      <w:r>
        <w:rPr>
          <w:rFonts w:hint="eastAsia" w:ascii="仿宋" w:hAnsi="仿宋" w:eastAsia="仿宋"/>
          <w:b w:val="0"/>
          <w:color w:val="auto"/>
          <w:highlight w:val="none"/>
        </w:rPr>
        <w:t>一、收</w:t>
      </w:r>
      <w:r>
        <w:rPr>
          <w:rStyle w:val="27"/>
          <w:rFonts w:hint="eastAsia" w:ascii="仿宋" w:hAnsi="仿宋" w:eastAsia="仿宋"/>
          <w:b w:val="0"/>
          <w:bCs w:val="0"/>
          <w:color w:val="auto"/>
          <w:highlight w:val="none"/>
        </w:rPr>
        <w:t>入支出决算总表</w:t>
      </w:r>
      <w:bookmarkEnd w:id="54"/>
    </w:p>
    <w:p>
      <w:pPr>
        <w:pStyle w:val="4"/>
        <w:rPr>
          <w:rFonts w:ascii="仿宋" w:hAnsi="仿宋" w:eastAsia="仿宋"/>
          <w:color w:val="auto"/>
          <w:highlight w:val="none"/>
        </w:rPr>
      </w:pPr>
      <w:bookmarkStart w:id="55" w:name="_Toc15396620"/>
      <w:r>
        <w:rPr>
          <w:rFonts w:hint="eastAsia" w:ascii="仿宋" w:hAnsi="仿宋" w:eastAsia="仿宋"/>
          <w:b w:val="0"/>
          <w:color w:val="auto"/>
          <w:highlight w:val="none"/>
        </w:rPr>
        <w:t>二、收</w:t>
      </w:r>
      <w:r>
        <w:rPr>
          <w:rStyle w:val="27"/>
          <w:rFonts w:hint="eastAsia" w:ascii="仿宋" w:hAnsi="仿宋" w:eastAsia="仿宋"/>
          <w:b w:val="0"/>
          <w:bCs w:val="0"/>
          <w:color w:val="auto"/>
          <w:highlight w:val="none"/>
        </w:rPr>
        <w:t>入决算表</w:t>
      </w:r>
      <w:bookmarkEnd w:id="55"/>
    </w:p>
    <w:p>
      <w:pPr>
        <w:pStyle w:val="4"/>
        <w:rPr>
          <w:rFonts w:ascii="仿宋" w:hAnsi="仿宋" w:eastAsia="仿宋"/>
          <w:color w:val="auto"/>
          <w:highlight w:val="none"/>
        </w:rPr>
      </w:pPr>
      <w:bookmarkStart w:id="56" w:name="_Toc15396621"/>
      <w:r>
        <w:rPr>
          <w:rStyle w:val="27"/>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27"/>
          <w:rFonts w:hint="eastAsia" w:ascii="仿宋" w:hAnsi="仿宋" w:eastAsia="仿宋"/>
          <w:b w:val="0"/>
          <w:bCs w:val="0"/>
          <w:color w:val="auto"/>
          <w:highlight w:val="none"/>
        </w:rPr>
        <w:t>出决算表</w:t>
      </w:r>
      <w:bookmarkEnd w:id="56"/>
    </w:p>
    <w:p>
      <w:pPr>
        <w:pStyle w:val="4"/>
        <w:rPr>
          <w:rFonts w:ascii="仿宋" w:hAnsi="仿宋" w:eastAsia="仿宋"/>
          <w:b w:val="0"/>
          <w:color w:val="auto"/>
          <w:highlight w:val="none"/>
        </w:rPr>
      </w:pPr>
      <w:bookmarkStart w:id="57" w:name="_Toc15396622"/>
      <w:r>
        <w:rPr>
          <w:rStyle w:val="27"/>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27"/>
          <w:rFonts w:hint="eastAsia" w:ascii="仿宋" w:hAnsi="仿宋" w:eastAsia="仿宋"/>
          <w:b w:val="0"/>
          <w:bCs w:val="0"/>
          <w:color w:val="auto"/>
          <w:highlight w:val="none"/>
        </w:rPr>
        <w:t>政拨款收入支出决算总表</w:t>
      </w:r>
      <w:bookmarkEnd w:id="57"/>
    </w:p>
    <w:p>
      <w:pPr>
        <w:pStyle w:val="4"/>
        <w:rPr>
          <w:rStyle w:val="27"/>
          <w:rFonts w:ascii="仿宋" w:hAnsi="仿宋" w:eastAsia="仿宋"/>
          <w:b w:val="0"/>
          <w:bCs w:val="0"/>
          <w:color w:val="auto"/>
          <w:highlight w:val="none"/>
        </w:rPr>
      </w:pPr>
      <w:bookmarkStart w:id="58" w:name="_Toc15396623"/>
      <w:r>
        <w:rPr>
          <w:rStyle w:val="27"/>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27"/>
          <w:rFonts w:hint="eastAsia" w:ascii="仿宋" w:hAnsi="仿宋" w:eastAsia="仿宋"/>
          <w:b w:val="0"/>
          <w:bCs w:val="0"/>
          <w:color w:val="auto"/>
          <w:highlight w:val="none"/>
        </w:rPr>
        <w:t>政拨款支出决算明细表</w:t>
      </w:r>
      <w:bookmarkEnd w:id="58"/>
      <w:bookmarkStart w:id="59" w:name="_Toc15396624"/>
    </w:p>
    <w:p>
      <w:pPr>
        <w:pStyle w:val="4"/>
        <w:rPr>
          <w:rFonts w:ascii="仿宋" w:hAnsi="仿宋" w:eastAsia="仿宋"/>
          <w:color w:val="auto"/>
          <w:highlight w:val="none"/>
        </w:rPr>
      </w:pPr>
      <w:r>
        <w:rPr>
          <w:rStyle w:val="27"/>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27"/>
          <w:rFonts w:hint="eastAsia" w:ascii="仿宋" w:hAnsi="仿宋" w:eastAsia="仿宋"/>
          <w:b w:val="0"/>
          <w:bCs w:val="0"/>
          <w:color w:val="auto"/>
          <w:highlight w:val="none"/>
        </w:rPr>
        <w:t>般公共预算财政拨款支出决算表</w:t>
      </w:r>
      <w:bookmarkEnd w:id="59"/>
    </w:p>
    <w:p>
      <w:pPr>
        <w:pStyle w:val="4"/>
        <w:rPr>
          <w:rFonts w:ascii="仿宋" w:hAnsi="仿宋" w:eastAsia="仿宋"/>
          <w:color w:val="auto"/>
          <w:highlight w:val="none"/>
        </w:rPr>
      </w:pPr>
      <w:bookmarkStart w:id="60" w:name="_Toc15396625"/>
      <w:r>
        <w:rPr>
          <w:rStyle w:val="27"/>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27"/>
          <w:rFonts w:hint="eastAsia" w:ascii="仿宋" w:hAnsi="仿宋" w:eastAsia="仿宋"/>
          <w:b w:val="0"/>
          <w:bCs w:val="0"/>
          <w:color w:val="auto"/>
          <w:highlight w:val="none"/>
        </w:rPr>
        <w:t>般公共预算财政拨款支出决算明细表</w:t>
      </w:r>
      <w:bookmarkEnd w:id="60"/>
    </w:p>
    <w:p>
      <w:pPr>
        <w:pStyle w:val="4"/>
        <w:rPr>
          <w:rFonts w:ascii="仿宋" w:hAnsi="仿宋" w:eastAsia="仿宋"/>
          <w:color w:val="auto"/>
          <w:highlight w:val="none"/>
        </w:rPr>
      </w:pPr>
      <w:bookmarkStart w:id="61" w:name="_Toc15396626"/>
      <w:r>
        <w:rPr>
          <w:rStyle w:val="27"/>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27"/>
          <w:rFonts w:hint="eastAsia" w:ascii="仿宋" w:hAnsi="仿宋" w:eastAsia="仿宋"/>
          <w:b w:val="0"/>
          <w:bCs w:val="0"/>
          <w:color w:val="auto"/>
          <w:highlight w:val="none"/>
        </w:rPr>
        <w:t>般公共预算财政拨款基本支出决算表</w:t>
      </w:r>
      <w:bookmarkEnd w:id="61"/>
    </w:p>
    <w:p>
      <w:pPr>
        <w:pStyle w:val="4"/>
        <w:rPr>
          <w:rFonts w:ascii="仿宋" w:hAnsi="仿宋" w:eastAsia="仿宋"/>
          <w:color w:val="auto"/>
          <w:highlight w:val="none"/>
        </w:rPr>
      </w:pPr>
      <w:bookmarkStart w:id="62" w:name="_Toc15396627"/>
      <w:r>
        <w:rPr>
          <w:rStyle w:val="27"/>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27"/>
          <w:rFonts w:hint="eastAsia" w:ascii="仿宋" w:hAnsi="仿宋" w:eastAsia="仿宋"/>
          <w:b w:val="0"/>
          <w:bCs w:val="0"/>
          <w:color w:val="auto"/>
          <w:highlight w:val="none"/>
        </w:rPr>
        <w:t>般公共预算财政拨款项目支出决算表</w:t>
      </w:r>
      <w:bookmarkEnd w:id="62"/>
    </w:p>
    <w:p>
      <w:pPr>
        <w:pStyle w:val="4"/>
        <w:rPr>
          <w:rFonts w:ascii="仿宋" w:hAnsi="仿宋" w:eastAsia="仿宋"/>
          <w:color w:val="auto"/>
          <w:highlight w:val="none"/>
        </w:rPr>
      </w:pPr>
      <w:bookmarkStart w:id="63" w:name="_Toc15396628"/>
      <w:r>
        <w:rPr>
          <w:rStyle w:val="27"/>
          <w:rFonts w:hint="eastAsia" w:ascii="仿宋" w:hAnsi="仿宋" w:eastAsia="仿宋"/>
          <w:b w:val="0"/>
          <w:bCs w:val="0"/>
          <w:color w:val="auto"/>
          <w:highlight w:val="none"/>
        </w:rPr>
        <w:t>十、</w:t>
      </w:r>
      <w:r>
        <w:rPr>
          <w:rFonts w:hint="eastAsia" w:ascii="仿宋" w:hAnsi="仿宋" w:eastAsia="仿宋"/>
          <w:b w:val="0"/>
          <w:color w:val="auto"/>
          <w:highlight w:val="none"/>
        </w:rPr>
        <w:t>一</w:t>
      </w:r>
      <w:r>
        <w:rPr>
          <w:rStyle w:val="27"/>
          <w:rFonts w:hint="eastAsia" w:ascii="仿宋" w:hAnsi="仿宋" w:eastAsia="仿宋"/>
          <w:b w:val="0"/>
          <w:bCs w:val="0"/>
          <w:color w:val="auto"/>
          <w:highlight w:val="none"/>
        </w:rPr>
        <w:t>般公共预算财政拨款“三公”经费支出决算表</w:t>
      </w:r>
      <w:bookmarkEnd w:id="63"/>
    </w:p>
    <w:p>
      <w:pPr>
        <w:pStyle w:val="4"/>
        <w:rPr>
          <w:rFonts w:ascii="仿宋" w:hAnsi="仿宋" w:eastAsia="仿宋"/>
          <w:color w:val="auto"/>
          <w:highlight w:val="none"/>
        </w:rPr>
      </w:pPr>
      <w:bookmarkStart w:id="64" w:name="_Toc15396629"/>
      <w:r>
        <w:rPr>
          <w:rStyle w:val="27"/>
          <w:rFonts w:hint="eastAsia" w:ascii="仿宋" w:hAnsi="仿宋" w:eastAsia="仿宋"/>
          <w:b w:val="0"/>
          <w:bCs w:val="0"/>
          <w:color w:val="auto"/>
          <w:highlight w:val="none"/>
        </w:rPr>
        <w:t>十一、</w:t>
      </w:r>
      <w:r>
        <w:rPr>
          <w:rFonts w:hint="eastAsia" w:ascii="仿宋" w:hAnsi="仿宋" w:eastAsia="仿宋"/>
          <w:b w:val="0"/>
          <w:color w:val="auto"/>
          <w:highlight w:val="none"/>
        </w:rPr>
        <w:t>政</w:t>
      </w:r>
      <w:r>
        <w:rPr>
          <w:rStyle w:val="27"/>
          <w:rFonts w:hint="eastAsia" w:ascii="仿宋" w:hAnsi="仿宋" w:eastAsia="仿宋"/>
          <w:b w:val="0"/>
          <w:bCs w:val="0"/>
          <w:color w:val="auto"/>
          <w:highlight w:val="none"/>
        </w:rPr>
        <w:t>府性基金预算财政拨款收入支出决算表</w:t>
      </w:r>
      <w:bookmarkEnd w:id="64"/>
    </w:p>
    <w:p>
      <w:pPr>
        <w:pStyle w:val="4"/>
        <w:rPr>
          <w:rFonts w:ascii="仿宋" w:hAnsi="仿宋" w:eastAsia="仿宋"/>
          <w:color w:val="auto"/>
          <w:highlight w:val="none"/>
        </w:rPr>
      </w:pPr>
      <w:bookmarkStart w:id="65" w:name="_Toc15396630"/>
      <w:r>
        <w:rPr>
          <w:rStyle w:val="27"/>
          <w:rFonts w:hint="eastAsia" w:ascii="仿宋" w:hAnsi="仿宋" w:eastAsia="仿宋"/>
          <w:b w:val="0"/>
          <w:bCs w:val="0"/>
          <w:color w:val="auto"/>
          <w:highlight w:val="none"/>
        </w:rPr>
        <w:t>十二、</w:t>
      </w:r>
      <w:r>
        <w:rPr>
          <w:rFonts w:hint="eastAsia" w:ascii="仿宋" w:hAnsi="仿宋" w:eastAsia="仿宋"/>
          <w:b w:val="0"/>
          <w:color w:val="auto"/>
          <w:highlight w:val="none"/>
        </w:rPr>
        <w:t>政</w:t>
      </w:r>
      <w:r>
        <w:rPr>
          <w:rStyle w:val="27"/>
          <w:rFonts w:hint="eastAsia" w:ascii="仿宋" w:hAnsi="仿宋" w:eastAsia="仿宋"/>
          <w:b w:val="0"/>
          <w:bCs w:val="0"/>
          <w:color w:val="auto"/>
          <w:highlight w:val="none"/>
        </w:rPr>
        <w:t>府性基金预算财政拨款“三公”经费支出决算表</w:t>
      </w:r>
      <w:bookmarkEnd w:id="65"/>
    </w:p>
    <w:p>
      <w:pPr>
        <w:pStyle w:val="4"/>
        <w:rPr>
          <w:rStyle w:val="27"/>
          <w:rFonts w:hint="eastAsia" w:ascii="仿宋" w:hAnsi="仿宋" w:eastAsia="仿宋"/>
          <w:b w:val="0"/>
          <w:bCs w:val="0"/>
          <w:color w:val="auto"/>
          <w:highlight w:val="none"/>
        </w:rPr>
      </w:pPr>
      <w:bookmarkStart w:id="66" w:name="_Toc15396631"/>
      <w:r>
        <w:rPr>
          <w:rStyle w:val="27"/>
          <w:rFonts w:hint="eastAsia" w:ascii="仿宋" w:hAnsi="仿宋" w:eastAsia="仿宋"/>
          <w:b w:val="0"/>
          <w:bCs w:val="0"/>
          <w:color w:val="auto"/>
          <w:highlight w:val="none"/>
        </w:rPr>
        <w:t>十三、</w:t>
      </w:r>
      <w:r>
        <w:rPr>
          <w:rFonts w:hint="eastAsia" w:ascii="仿宋" w:hAnsi="仿宋" w:eastAsia="仿宋"/>
          <w:b w:val="0"/>
          <w:color w:val="auto"/>
          <w:highlight w:val="none"/>
        </w:rPr>
        <w:t>国</w:t>
      </w:r>
      <w:r>
        <w:rPr>
          <w:rStyle w:val="27"/>
          <w:rFonts w:hint="eastAsia" w:ascii="仿宋" w:hAnsi="仿宋" w:eastAsia="仿宋"/>
          <w:b w:val="0"/>
          <w:bCs w:val="0"/>
          <w:color w:val="auto"/>
          <w:highlight w:val="none"/>
        </w:rPr>
        <w:t>有资本经营预算</w:t>
      </w:r>
      <w:r>
        <w:rPr>
          <w:rStyle w:val="27"/>
          <w:rFonts w:hint="eastAsia" w:ascii="仿宋" w:hAnsi="仿宋" w:eastAsia="仿宋"/>
          <w:b w:val="0"/>
          <w:bCs w:val="0"/>
          <w:color w:val="auto"/>
          <w:highlight w:val="none"/>
          <w:lang w:eastAsia="zh-CN"/>
        </w:rPr>
        <w:t>财政拨款收入</w:t>
      </w:r>
      <w:r>
        <w:rPr>
          <w:rStyle w:val="27"/>
          <w:rFonts w:hint="eastAsia" w:ascii="仿宋" w:hAnsi="仿宋" w:eastAsia="仿宋"/>
          <w:b w:val="0"/>
          <w:bCs w:val="0"/>
          <w:color w:val="auto"/>
          <w:highlight w:val="none"/>
        </w:rPr>
        <w:t>支出决算表</w:t>
      </w:r>
      <w:bookmarkEnd w:id="66"/>
    </w:p>
    <w:p>
      <w:pPr>
        <w:rPr>
          <w:rFonts w:hint="eastAsia" w:eastAsia="仿宋"/>
          <w:color w:val="auto"/>
          <w:highlight w:val="none"/>
          <w:lang w:eastAsia="zh-CN"/>
        </w:rPr>
      </w:pPr>
      <w:r>
        <w:rPr>
          <w:rStyle w:val="27"/>
          <w:rFonts w:hint="eastAsia" w:ascii="仿宋" w:hAnsi="仿宋" w:eastAsia="仿宋"/>
          <w:b w:val="0"/>
          <w:bCs w:val="0"/>
          <w:color w:val="auto"/>
          <w:highlight w:val="none"/>
          <w:lang w:eastAsia="zh-CN"/>
        </w:rPr>
        <w:t>十四、国有资本经营预算财政拨款支出决算表</w:t>
      </w:r>
    </w:p>
    <w:bookmarkEnd w:id="67"/>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swiss"/>
    <w:pitch w:val="default"/>
    <w:sig w:usb0="E0002AFF" w:usb1="C00078FB" w:usb2="0000002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Cambria">
    <w:altName w:val="Georgia"/>
    <w:panose1 w:val="02040503050406030204"/>
    <w:charset w:val="00"/>
    <w:family w:val="roman"/>
    <w:pitch w:val="default"/>
    <w:sig w:usb0="00000000" w:usb1="00000000"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auto"/>
    <w:pitch w:val="default"/>
    <w:sig w:usb0="00000000" w:usb1="00000000"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楷体">
    <w:altName w:val="方正楷体_GBK"/>
    <w:panose1 w:val="02010609060101010101"/>
    <w:charset w:val="86"/>
    <w:family w:val="auto"/>
    <w:pitch w:val="default"/>
    <w:sig w:usb0="00000000" w:usb1="00000000" w:usb2="00000016" w:usb3="00000000" w:csb0="00040001" w:csb1="00000000"/>
  </w:font>
  <w:font w:name="Tahoma">
    <w:panose1 w:val="020B0604030504040204"/>
    <w:charset w:val="00"/>
    <w:family w:val="swiss"/>
    <w:pitch w:val="default"/>
    <w:sig w:usb0="61007A87" w:usb1="80000000" w:usb2="00000008" w:usb3="00000000" w:csb0="200101FF" w:csb1="20280000"/>
  </w:font>
  <w:font w:name="微软雅黑">
    <w:altName w:val="黑体"/>
    <w:panose1 w:val="020B0503020204020204"/>
    <w:charset w:val="86"/>
    <w:family w:val="auto"/>
    <w:pitch w:val="default"/>
    <w:sig w:usb0="00000000" w:usb1="00000000" w:usb2="00000000" w:usb3="00000000" w:csb0="00000000" w:csb1="00000000"/>
  </w:font>
  <w:font w:name="方正仿宋_GB2312">
    <w:altName w:val="方正仿宋_GBK"/>
    <w:panose1 w:val="02000000000000000000"/>
    <w:charset w:val="86"/>
    <w:family w:val="auto"/>
    <w:pitch w:val="default"/>
    <w:sig w:usb0="00000000" w:usb1="00000000"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Lucida Sans">
    <w:panose1 w:val="020B0602030504020204"/>
    <w:charset w:val="00"/>
    <w:family w:val="auto"/>
    <w:pitch w:val="default"/>
    <w:sig w:usb0="00000000" w:usb1="00000000" w:usb2="00000000" w:usb3="00000000" w:csb0="00000000" w:csb1="00000000"/>
  </w:font>
  <w:font w:name="Comic Sans MS">
    <w:panose1 w:val="030F0702030302020204"/>
    <w:charset w:val="00"/>
    <w:family w:val="auto"/>
    <w:pitch w:val="default"/>
    <w:sig w:usb0="00000287" w:usb1="00000000" w:usb2="00000000" w:usb3="00000000" w:csb0="2000009F" w:csb1="00000000"/>
  </w:font>
  <w:font w:name="Georgia">
    <w:panose1 w:val="02040502050405020303"/>
    <w:charset w:val="00"/>
    <w:family w:val="auto"/>
    <w:pitch w:val="default"/>
    <w:sig w:usb0="00000287" w:usb1="00000000" w:usb2="00000000" w:usb3="00000000" w:csb0="2000009F"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pPr>
          <w:pStyle w:val="9"/>
          <w:jc w:val="center"/>
        </w:pPr>
        <w:r>
          <w:fldChar w:fldCharType="begin"/>
        </w:r>
        <w:r>
          <w:instrText xml:space="preserve">PAGE   \* MERGEFORMAT</w:instrText>
        </w:r>
        <w:r>
          <w:fldChar w:fldCharType="separate"/>
        </w:r>
        <w:r>
          <w:rPr>
            <w:lang w:val="zh-CN"/>
          </w:rPr>
          <w:t>8</w:t>
        </w:r>
        <w:r>
          <w:fldChar w:fldCharType="end"/>
        </w:r>
      </w:p>
    </w:sdtContent>
  </w:sdt>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ViM2E1OWFmZDFiNDZkMzI4NmJjMTI1NDQ5NTE2ZTM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5946BD7"/>
    <w:rsid w:val="074B00F2"/>
    <w:rsid w:val="07782589"/>
    <w:rsid w:val="08884325"/>
    <w:rsid w:val="0A2032A3"/>
    <w:rsid w:val="0A687A71"/>
    <w:rsid w:val="0B8A37D8"/>
    <w:rsid w:val="0BCB0583"/>
    <w:rsid w:val="0D771816"/>
    <w:rsid w:val="10C055FF"/>
    <w:rsid w:val="118107EC"/>
    <w:rsid w:val="11DD6519"/>
    <w:rsid w:val="120F5FA1"/>
    <w:rsid w:val="16BB723D"/>
    <w:rsid w:val="1772030A"/>
    <w:rsid w:val="18015F3F"/>
    <w:rsid w:val="19BD37B7"/>
    <w:rsid w:val="1AE654C9"/>
    <w:rsid w:val="1BE8440E"/>
    <w:rsid w:val="1D155CEE"/>
    <w:rsid w:val="1D2B3667"/>
    <w:rsid w:val="1F4E7AE0"/>
    <w:rsid w:val="20F57F95"/>
    <w:rsid w:val="23A80914"/>
    <w:rsid w:val="240371BF"/>
    <w:rsid w:val="250C28F1"/>
    <w:rsid w:val="252675E9"/>
    <w:rsid w:val="252732C9"/>
    <w:rsid w:val="25C741E6"/>
    <w:rsid w:val="27842671"/>
    <w:rsid w:val="27DB36C6"/>
    <w:rsid w:val="29594DD4"/>
    <w:rsid w:val="29FD04D3"/>
    <w:rsid w:val="2ABE7A3E"/>
    <w:rsid w:val="2AE135C8"/>
    <w:rsid w:val="2AE25B4D"/>
    <w:rsid w:val="2C2D6120"/>
    <w:rsid w:val="2C5076F2"/>
    <w:rsid w:val="2C9D5771"/>
    <w:rsid w:val="2EFA178C"/>
    <w:rsid w:val="305B6D4A"/>
    <w:rsid w:val="30B46D73"/>
    <w:rsid w:val="30BC6003"/>
    <w:rsid w:val="319F7F4E"/>
    <w:rsid w:val="33F51964"/>
    <w:rsid w:val="372649B8"/>
    <w:rsid w:val="37A57B5D"/>
    <w:rsid w:val="39AE70AB"/>
    <w:rsid w:val="3ADF5EF4"/>
    <w:rsid w:val="3AF13539"/>
    <w:rsid w:val="3C0C0783"/>
    <w:rsid w:val="3E7B6A78"/>
    <w:rsid w:val="3EEB01A9"/>
    <w:rsid w:val="3F795B0E"/>
    <w:rsid w:val="3F9F3A96"/>
    <w:rsid w:val="40350D30"/>
    <w:rsid w:val="407A5790"/>
    <w:rsid w:val="42B747E8"/>
    <w:rsid w:val="42C04198"/>
    <w:rsid w:val="44E97866"/>
    <w:rsid w:val="493C27E9"/>
    <w:rsid w:val="496F39ED"/>
    <w:rsid w:val="49900657"/>
    <w:rsid w:val="49FF41D3"/>
    <w:rsid w:val="4A185DC8"/>
    <w:rsid w:val="4B3C42FD"/>
    <w:rsid w:val="4BE068DB"/>
    <w:rsid w:val="4BF6002B"/>
    <w:rsid w:val="4D1B70C9"/>
    <w:rsid w:val="4ECE2238"/>
    <w:rsid w:val="51DB4B86"/>
    <w:rsid w:val="52FC3137"/>
    <w:rsid w:val="543069E9"/>
    <w:rsid w:val="55333C3E"/>
    <w:rsid w:val="55853A0B"/>
    <w:rsid w:val="57B95EBF"/>
    <w:rsid w:val="59DF1E13"/>
    <w:rsid w:val="59E34E09"/>
    <w:rsid w:val="5AB55727"/>
    <w:rsid w:val="5AF05E30"/>
    <w:rsid w:val="5B454387"/>
    <w:rsid w:val="5BE25C25"/>
    <w:rsid w:val="5D6777F5"/>
    <w:rsid w:val="5E290C38"/>
    <w:rsid w:val="5F013432"/>
    <w:rsid w:val="64CA39A1"/>
    <w:rsid w:val="65764DAE"/>
    <w:rsid w:val="65D908CE"/>
    <w:rsid w:val="67155E1D"/>
    <w:rsid w:val="6A6A3DBE"/>
    <w:rsid w:val="6C4A05C8"/>
    <w:rsid w:val="6DDE201E"/>
    <w:rsid w:val="6FAE7AEA"/>
    <w:rsid w:val="716733EE"/>
    <w:rsid w:val="720D6EFE"/>
    <w:rsid w:val="72734D90"/>
    <w:rsid w:val="75AE678B"/>
    <w:rsid w:val="785C5285"/>
    <w:rsid w:val="79B37C7F"/>
    <w:rsid w:val="79E7B28D"/>
    <w:rsid w:val="7C151188"/>
    <w:rsid w:val="7C775BAB"/>
    <w:rsid w:val="7E7964E6"/>
    <w:rsid w:val="7F9F20EE"/>
    <w:rsid w:val="7FC3786E"/>
    <w:rsid w:val="7FCA49AC"/>
    <w:rsid w:val="9E3A10E2"/>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6"/>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0"/>
    <w:unhideWhenUsed/>
    <w:qFormat/>
    <w:uiPriority w:val="9"/>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Salutation"/>
    <w:basedOn w:val="1"/>
    <w:next w:val="1"/>
    <w:qFormat/>
    <w:uiPriority w:val="0"/>
    <w:pPr>
      <w:jc w:val="both"/>
      <w:textAlignment w:val="baseline"/>
    </w:pPr>
    <w:rPr>
      <w:rFonts w:ascii="Times New Roman" w:hAnsi="Times New Roman" w:eastAsia="宋体"/>
      <w:kern w:val="2"/>
      <w:sz w:val="21"/>
      <w:szCs w:val="24"/>
      <w:lang w:val="en-US" w:eastAsia="zh-CN" w:bidi="ar-SA"/>
    </w:rPr>
  </w:style>
  <w:style w:type="paragraph" w:styleId="6">
    <w:name w:val="Body Text"/>
    <w:basedOn w:val="1"/>
    <w:link w:val="23"/>
    <w:qFormat/>
    <w:uiPriority w:val="99"/>
    <w:pPr>
      <w:spacing w:beforeLines="30"/>
    </w:pPr>
    <w:rPr>
      <w:rFonts w:ascii="仿宋_GB2312" w:eastAsia="仿宋_GB2312"/>
      <w:kern w:val="0"/>
      <w:sz w:val="30"/>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29"/>
    <w:semiHidden/>
    <w:unhideWhenUsed/>
    <w:qFormat/>
    <w:uiPriority w:val="99"/>
    <w:rPr>
      <w:sz w:val="18"/>
      <w:szCs w:val="18"/>
    </w:rPr>
  </w:style>
  <w:style w:type="paragraph" w:styleId="9">
    <w:name w:val="footer"/>
    <w:basedOn w:val="1"/>
    <w:link w:val="21"/>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19"/>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character" w:styleId="15">
    <w:name w:val="Strong"/>
    <w:basedOn w:val="16"/>
    <w:link w:val="1"/>
    <w:qFormat/>
    <w:uiPriority w:val="99"/>
    <w:rPr>
      <w:rFonts w:ascii="Times New Roman" w:hAnsi="Times New Roman" w:eastAsia="宋体" w:cs="Times New Roman"/>
      <w:kern w:val="2"/>
      <w:sz w:val="21"/>
      <w:szCs w:val="24"/>
      <w:lang w:val="en-US" w:eastAsia="zh-CN" w:bidi="ar-SA"/>
    </w:rPr>
  </w:style>
  <w:style w:type="character" w:customStyle="1" w:styleId="16">
    <w:name w:val="NormalCharacter"/>
    <w:link w:val="1"/>
    <w:semiHidden/>
    <w:qFormat/>
    <w:uiPriority w:val="0"/>
  </w:style>
  <w:style w:type="character" w:styleId="17">
    <w:name w:val="Hyperlink"/>
    <w:basedOn w:val="14"/>
    <w:unhideWhenUsed/>
    <w:qFormat/>
    <w:uiPriority w:val="99"/>
    <w:rPr>
      <w:color w:val="0000FF" w:themeColor="hyperlink"/>
      <w:u w:val="single"/>
      <w14:textFill>
        <w14:solidFill>
          <w14:schemeClr w14:val="hlink"/>
        </w14:solidFill>
      </w14:textFill>
    </w:rPr>
  </w:style>
  <w:style w:type="character" w:customStyle="1" w:styleId="18">
    <w:name w:val="Header Char"/>
    <w:basedOn w:val="14"/>
    <w:semiHidden/>
    <w:qFormat/>
    <w:uiPriority w:val="99"/>
    <w:rPr>
      <w:rFonts w:ascii="Times New Roman" w:hAnsi="Times New Roman"/>
      <w:sz w:val="18"/>
      <w:szCs w:val="18"/>
    </w:rPr>
  </w:style>
  <w:style w:type="character" w:customStyle="1" w:styleId="19">
    <w:name w:val="页眉 Char"/>
    <w:link w:val="10"/>
    <w:semiHidden/>
    <w:qFormat/>
    <w:locked/>
    <w:uiPriority w:val="99"/>
    <w:rPr>
      <w:sz w:val="18"/>
    </w:rPr>
  </w:style>
  <w:style w:type="character" w:customStyle="1" w:styleId="20">
    <w:name w:val="Footer Char"/>
    <w:basedOn w:val="14"/>
    <w:semiHidden/>
    <w:qFormat/>
    <w:uiPriority w:val="99"/>
    <w:rPr>
      <w:rFonts w:ascii="Times New Roman" w:hAnsi="Times New Roman"/>
      <w:sz w:val="18"/>
      <w:szCs w:val="18"/>
    </w:rPr>
  </w:style>
  <w:style w:type="character" w:customStyle="1" w:styleId="21">
    <w:name w:val="页脚 Char"/>
    <w:link w:val="9"/>
    <w:qFormat/>
    <w:locked/>
    <w:uiPriority w:val="99"/>
    <w:rPr>
      <w:sz w:val="18"/>
    </w:rPr>
  </w:style>
  <w:style w:type="character" w:customStyle="1" w:styleId="22">
    <w:name w:val="Body Text Char"/>
    <w:basedOn w:val="14"/>
    <w:semiHidden/>
    <w:qFormat/>
    <w:uiPriority w:val="99"/>
    <w:rPr>
      <w:rFonts w:ascii="Times New Roman" w:hAnsi="Times New Roman"/>
      <w:szCs w:val="24"/>
    </w:rPr>
  </w:style>
  <w:style w:type="character" w:customStyle="1" w:styleId="23">
    <w:name w:val="正文文本 Char"/>
    <w:link w:val="6"/>
    <w:qFormat/>
    <w:locked/>
    <w:uiPriority w:val="99"/>
    <w:rPr>
      <w:rFonts w:ascii="仿宋_GB2312" w:hAnsi="Times New Roman" w:eastAsia="仿宋_GB2312"/>
      <w:sz w:val="24"/>
    </w:rPr>
  </w:style>
  <w:style w:type="paragraph" w:customStyle="1" w:styleId="24">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5">
    <w:name w:val="List Paragraph"/>
    <w:basedOn w:val="1"/>
    <w:qFormat/>
    <w:uiPriority w:val="34"/>
    <w:pPr>
      <w:ind w:firstLine="420" w:firstLineChars="200"/>
    </w:pPr>
  </w:style>
  <w:style w:type="character" w:customStyle="1" w:styleId="26">
    <w:name w:val="标题 1 Char"/>
    <w:basedOn w:val="14"/>
    <w:link w:val="3"/>
    <w:qFormat/>
    <w:uiPriority w:val="9"/>
    <w:rPr>
      <w:rFonts w:ascii="Times New Roman" w:hAnsi="Times New Roman"/>
      <w:b/>
      <w:bCs/>
      <w:kern w:val="44"/>
      <w:sz w:val="44"/>
      <w:szCs w:val="44"/>
    </w:rPr>
  </w:style>
  <w:style w:type="character" w:customStyle="1" w:styleId="27">
    <w:name w:val="标题 2 Char"/>
    <w:basedOn w:val="14"/>
    <w:link w:val="4"/>
    <w:qFormat/>
    <w:uiPriority w:val="9"/>
    <w:rPr>
      <w:rFonts w:asciiTheme="majorHAnsi" w:hAnsiTheme="majorHAnsi" w:eastAsiaTheme="majorEastAsia" w:cstheme="majorBidi"/>
      <w:b/>
      <w:bCs/>
      <w:kern w:val="2"/>
      <w:sz w:val="32"/>
      <w:szCs w:val="32"/>
    </w:rPr>
  </w:style>
  <w:style w:type="paragraph" w:customStyle="1" w:styleId="28">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9">
    <w:name w:val="批注框文本 Char"/>
    <w:basedOn w:val="14"/>
    <w:link w:val="8"/>
    <w:semiHidden/>
    <w:qFormat/>
    <w:uiPriority w:val="99"/>
    <w:rPr>
      <w:rFonts w:ascii="Times New Roman" w:hAnsi="Times New Roman"/>
      <w:kern w:val="2"/>
      <w:sz w:val="18"/>
      <w:szCs w:val="18"/>
    </w:rPr>
  </w:style>
  <w:style w:type="character" w:customStyle="1" w:styleId="30">
    <w:name w:val="标题 3 Char"/>
    <w:basedOn w:val="14"/>
    <w:link w:val="5"/>
    <w:qFormat/>
    <w:uiPriority w:val="9"/>
    <w:rPr>
      <w:rFonts w:ascii="Times New Roman" w:hAnsi="Times New Roman"/>
      <w:b/>
      <w:bCs/>
      <w:kern w:val="2"/>
      <w:sz w:val="32"/>
      <w:szCs w:val="32"/>
    </w:rPr>
  </w:style>
  <w:style w:type="paragraph" w:customStyle="1" w:styleId="31">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4" Type="http://schemas.microsoft.com/office/2011/relationships/chartColorStyle" Target="colors2.xml"/><Relationship Id="rId3" Type="http://schemas.microsoft.com/office/2011/relationships/chartStyle" Target="style2.xml"/><Relationship Id="rId2" Type="http://schemas.openxmlformats.org/officeDocument/2006/relationships/themeOverride" Target="../theme/themeOverride2.xml"/><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4" Type="http://schemas.microsoft.com/office/2011/relationships/chartColorStyle" Target="colors1.xml"/><Relationship Id="rId3" Type="http://schemas.microsoft.com/office/2011/relationships/chartStyle" Target="style1.xml"/><Relationship Id="rId2" Type="http://schemas.openxmlformats.org/officeDocument/2006/relationships/themeOverride" Target="../theme/themeOverride1.xml"/><Relationship Id="rId1" Type="http://schemas.openxmlformats.org/officeDocument/2006/relationships/package" Target="../embeddings/Workbook1.xlsx"/></Relationships>
</file>

<file path=word/charts/_rels/chart3.xml.rels><?xml version="1.0" encoding="UTF-8" standalone="yes"?>
<Relationships xmlns="http://schemas.openxmlformats.org/package/2006/relationships"><Relationship Id="rId4" Type="http://schemas.microsoft.com/office/2011/relationships/chartColorStyle" Target="colors3.xml"/><Relationship Id="rId3" Type="http://schemas.microsoft.com/office/2011/relationships/chartStyle" Target="style3.xml"/><Relationship Id="rId2" Type="http://schemas.openxmlformats.org/officeDocument/2006/relationships/themeOverride" Target="../theme/themeOverride3.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4" Type="http://schemas.microsoft.com/office/2011/relationships/chartColorStyle" Target="colors4.xml"/><Relationship Id="rId3" Type="http://schemas.microsoft.com/office/2011/relationships/chartStyle" Target="style4.xml"/><Relationship Id="rId2" Type="http://schemas.openxmlformats.org/officeDocument/2006/relationships/themeOverride" Target="../theme/themeOverride4.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4" Type="http://schemas.microsoft.com/office/2011/relationships/chartColorStyle" Target="colors5.xml"/><Relationship Id="rId3" Type="http://schemas.microsoft.com/office/2011/relationships/chartStyle" Target="style5.xml"/><Relationship Id="rId2" Type="http://schemas.openxmlformats.org/officeDocument/2006/relationships/themeOverride" Target="../theme/themeOverride5.xml"/><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4" Type="http://schemas.microsoft.com/office/2011/relationships/chartColorStyle" Target="colors6.xml"/><Relationship Id="rId3" Type="http://schemas.microsoft.com/office/2011/relationships/chartStyle" Target="style6.xml"/><Relationship Id="rId2" Type="http://schemas.openxmlformats.org/officeDocument/2006/relationships/themeOverride" Target="../theme/themeOverride6.xml"/><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4" Type="http://schemas.microsoft.com/office/2011/relationships/chartColorStyle" Target="colors7.xml"/><Relationship Id="rId3" Type="http://schemas.microsoft.com/office/2011/relationships/chartStyle" Target="style7.xml"/><Relationship Id="rId2" Type="http://schemas.openxmlformats.org/officeDocument/2006/relationships/themeOverride" Target="../theme/themeOverride7.xml"/><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true" forceAA="false"/>
          <a:lstStyle/>
          <a:p>
            <a:pPr defTabSz="914400">
              <a:defRPr lang="zh-CN" sz="1400" b="0" i="0" u="none" strike="noStrike" kern="1200" spc="0" baseline="0">
                <a:solidFill>
                  <a:sysClr val="windowText" lastClr="000000"/>
                </a:solidFill>
                <a:effectLst/>
                <a:latin typeface="微软雅黑" panose="020B0503020204020204" charset="-122"/>
                <a:ea typeface="微软雅黑" panose="020B0503020204020204" charset="-122"/>
                <a:cs typeface="微软雅黑" panose="020B0503020204020204" charset="-122"/>
                <a:sym typeface="微软雅黑" panose="020B0503020204020204" charset="-122"/>
              </a:defRPr>
            </a:pPr>
            <a:r>
              <a:rPr>
                <a:solidFill>
                  <a:sysClr val="windowText" lastClr="000000"/>
                </a:solidFill>
              </a:rPr>
              <a:t>收、支决算总计变动情况图</a:t>
            </a:r>
            <a:endParaRPr>
              <a:solidFill>
                <a:sysClr val="windowText" lastClr="000000"/>
              </a:solidFill>
            </a:endParaRPr>
          </a:p>
        </c:rich>
      </c:tx>
      <c:layout>
        <c:manualLayout>
          <c:xMode val="edge"/>
          <c:yMode val="edge"/>
          <c:x val="0.0192056441076561"/>
          <c:y val="0.0308710033076075"/>
        </c:manualLayout>
      </c:layout>
      <c:overlay val="false"/>
      <c:spPr>
        <a:noFill/>
        <a:ln>
          <a:noFill/>
        </a:ln>
        <a:effectLst/>
      </c:spPr>
    </c:title>
    <c:autoTitleDeleted val="false"/>
    <c:plotArea>
      <c:layout>
        <c:manualLayout>
          <c:layoutTarget val="inner"/>
          <c:xMode val="edge"/>
          <c:yMode val="edge"/>
          <c:x val="0.0900312532791253"/>
          <c:y val="0.180255753587582"/>
          <c:w val="0.873734694843312"/>
          <c:h val="0.686161352212451"/>
        </c:manualLayout>
      </c:layout>
      <c:barChart>
        <c:barDir val="col"/>
        <c:grouping val="clustered"/>
        <c:varyColors val="false"/>
        <c:ser>
          <c:idx val="3"/>
          <c:order val="0"/>
          <c:tx>
            <c:strRef>
              <c:f>Sheet1!$B$1</c:f>
              <c:strCache>
                <c:ptCount val="1"/>
                <c:pt idx="0">
                  <c:v>收支总计</c:v>
                </c:pt>
              </c:strCache>
            </c:strRef>
          </c:tx>
          <c:spPr>
            <a:solidFill>
              <a:srgbClr val="9884F4">
                <a:alpha val="70000"/>
              </a:srgbClr>
            </a:solidFill>
            <a:ln>
              <a:noFill/>
            </a:ln>
            <a:effectLst/>
          </c:spPr>
          <c:invertIfNegative val="false"/>
          <c:dPt>
            <c:idx val="0"/>
            <c:invertIfNegative val="false"/>
            <c:bubble3D val="false"/>
            <c:spPr>
              <a:solidFill>
                <a:srgbClr val="4F81BD">
                  <a:alpha val="70000"/>
                </a:srgbClr>
              </a:solidFill>
              <a:ln>
                <a:noFill/>
              </a:ln>
              <a:effectLst/>
            </c:spPr>
          </c:dPt>
          <c:dPt>
            <c:idx val="1"/>
            <c:invertIfNegative val="false"/>
            <c:bubble3D val="false"/>
            <c:spPr>
              <a:solidFill>
                <a:srgbClr val="C0504D">
                  <a:alpha val="70000"/>
                </a:srgbClr>
              </a:solidFill>
              <a:ln>
                <a:noFill/>
              </a:ln>
              <a:effectLst/>
            </c:spPr>
          </c:dPt>
          <c:dLbls>
            <c:dLbl>
              <c:idx val="0"/>
              <c:layout>
                <c:manualLayout>
                  <c:x val="0.00375"/>
                  <c:y val="-0.0675"/>
                </c:manualLayout>
              </c:layout>
              <c:dLblPos val="inEnd"/>
              <c:showLegendKey val="false"/>
              <c:showVal val="true"/>
              <c:showCatName val="false"/>
              <c:showSerName val="false"/>
              <c:showPercent val="false"/>
              <c:showBubbleSize val="false"/>
              <c:extLst>
                <c:ext xmlns:c15="http://schemas.microsoft.com/office/drawing/2012/chart" uri="{CE6537A1-D6FC-4f65-9D91-7224C49458BB}">
                  <c15:layout/>
                </c:ext>
              </c:extLst>
            </c:dLbl>
            <c:dLbl>
              <c:idx val="1"/>
              <c:layout>
                <c:manualLayout>
                  <c:x val="-0.001875"/>
                  <c:y val="-0.025"/>
                </c:manualLayout>
              </c:layout>
              <c:dLblPos val="inEnd"/>
              <c:showLegendKey val="false"/>
              <c:showVal val="true"/>
              <c:showCatName val="false"/>
              <c:showSerName val="false"/>
              <c:showPercent val="false"/>
              <c:showBubbleSize val="false"/>
              <c:extLst>
                <c:ext xmlns:c15="http://schemas.microsoft.com/office/drawing/2012/chart" uri="{CE6537A1-D6FC-4f65-9D91-7224C49458BB}">
                  <c15:layout/>
                </c:ext>
              </c:extLst>
            </c:dLbl>
            <c:numFmt formatCode="General" sourceLinked="true"/>
            <c:spPr>
              <a:noFill/>
              <a:ln>
                <a:noFill/>
              </a:ln>
              <a:effectLst/>
            </c:spPr>
            <c:txPr>
              <a:bodyPr rot="0" spcFirstLastPara="0" vertOverflow="ellipsis" vert="horz" wrap="square" lIns="38100" tIns="19050" rIns="38100" bIns="19050" anchor="ctr" anchorCtr="true" forceAA="false"/>
              <a:lstStyle/>
              <a:p>
                <a:pPr>
                  <a:defRPr lang="zh-CN" sz="900" b="0" i="0" u="none" strike="noStrike" kern="1200" baseline="0">
                    <a:solidFill>
                      <a:sysClr val="windowText" lastClr="000000"/>
                    </a:solidFill>
                    <a:effectLst/>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in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numRef>
              <c:f>Sheet1!$A$2:$A$3</c:f>
              <c:numCache>
                <c:formatCode>General</c:formatCode>
                <c:ptCount val="2"/>
                <c:pt idx="0">
                  <c:v>2021</c:v>
                </c:pt>
                <c:pt idx="1">
                  <c:v>2020</c:v>
                </c:pt>
              </c:numCache>
            </c:numRef>
          </c:cat>
          <c:val>
            <c:numRef>
              <c:f>Sheet1!$B$2:$B$3</c:f>
              <c:numCache>
                <c:formatCode>General</c:formatCode>
                <c:ptCount val="2"/>
                <c:pt idx="0">
                  <c:v>919.24</c:v>
                </c:pt>
                <c:pt idx="1">
                  <c:v>60.4</c:v>
                </c:pt>
              </c:numCache>
            </c:numRef>
          </c:val>
        </c:ser>
        <c:dLbls>
          <c:showLegendKey val="false"/>
          <c:showVal val="true"/>
          <c:showCatName val="false"/>
          <c:showSerName val="false"/>
          <c:showPercent val="false"/>
          <c:showBubbleSize val="false"/>
        </c:dLbls>
        <c:gapWidth val="120"/>
        <c:overlap val="20"/>
        <c:axId val="718828570"/>
        <c:axId val="590458883"/>
      </c:barChart>
      <c:catAx>
        <c:axId val="718828570"/>
        <c:scaling>
          <c:orientation val="minMax"/>
        </c:scaling>
        <c:delete val="false"/>
        <c:axPos val="b"/>
        <c:majorGridlines>
          <c:spPr>
            <a:ln w="3175" cap="flat" cmpd="sng" algn="ctr">
              <a:solidFill>
                <a:schemeClr val="bg1">
                  <a:lumMod val="85000"/>
                </a:schemeClr>
              </a:solidFill>
              <a:round/>
            </a:ln>
            <a:effectLst/>
          </c:spPr>
        </c:majorGridlines>
        <c:minorGridlines>
          <c:spPr>
            <a:ln w="3175" cap="flat" cmpd="sng" algn="ctr">
              <a:solidFill>
                <a:schemeClr val="bg1">
                  <a:lumMod val="85000"/>
                </a:schemeClr>
              </a:solidFill>
              <a:round/>
            </a:ln>
            <a:effectLst/>
          </c:spPr>
        </c:minorGridlines>
        <c:numFmt formatCode="General" sourceLinked="true"/>
        <c:majorTickMark val="in"/>
        <c:minorTickMark val="none"/>
        <c:tickLblPos val="nextTo"/>
        <c:spPr>
          <a:noFill/>
          <a:ln w="3175" cap="flat" cmpd="sng" algn="ctr">
            <a:noFill/>
            <a:prstDash val="solid"/>
            <a:round/>
          </a:ln>
          <a:effectLst/>
        </c:spPr>
        <c:txPr>
          <a:bodyPr rot="-60000000" spcFirstLastPara="0" vertOverflow="ellipsis" vert="horz" wrap="square" anchor="ctr" anchorCtr="true" forceAA="false"/>
          <a:lstStyle/>
          <a:p>
            <a:pPr>
              <a:defRPr lang="zh-CN" sz="900" b="0" i="0" u="none" strike="noStrike" kern="1200" baseline="0">
                <a:solidFill>
                  <a:sysClr val="windowText" lastClr="000000"/>
                </a:solidFill>
                <a:effectLst/>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590458883"/>
        <c:crosses val="autoZero"/>
        <c:auto val="true"/>
        <c:lblAlgn val="ctr"/>
        <c:lblOffset val="100"/>
        <c:noMultiLvlLbl val="false"/>
      </c:catAx>
      <c:valAx>
        <c:axId val="590458883"/>
        <c:scaling>
          <c:orientation val="minMax"/>
        </c:scaling>
        <c:delete val="false"/>
        <c:axPos val="l"/>
        <c:majorGridlines>
          <c:spPr>
            <a:ln w="3175" cap="flat" cmpd="sng" algn="ctr">
              <a:solidFill>
                <a:schemeClr val="bg1">
                  <a:lumMod val="85000"/>
                </a:schemeClr>
              </a:solidFill>
              <a:round/>
            </a:ln>
            <a:effectLst/>
          </c:spPr>
        </c:majorGridlines>
        <c:numFmt formatCode="General" sourceLinked="true"/>
        <c:majorTickMark val="none"/>
        <c:minorTickMark val="none"/>
        <c:tickLblPos val="nextTo"/>
        <c:spPr>
          <a:noFill/>
          <a:ln>
            <a:noFill/>
          </a:ln>
          <a:effectLst/>
        </c:spPr>
        <c:txPr>
          <a:bodyPr rot="-60000000" spcFirstLastPara="0" vertOverflow="ellipsis" vert="horz" wrap="square" anchor="ctr" anchorCtr="true" forceAA="false"/>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718828570"/>
        <c:crosses val="autoZero"/>
        <c:crossBetween val="between"/>
      </c:valAx>
      <c:spPr>
        <a:solidFill>
          <a:schemeClr val="bg1"/>
        </a:solidFill>
        <a:ln w="3175">
          <a:noFill/>
        </a:ln>
        <a:effectLst/>
      </c:spPr>
    </c:plotArea>
    <c:legend>
      <c:legendPos val="t"/>
      <c:legendEntry>
        <c:idx val="0"/>
        <c:txPr>
          <a:bodyPr rot="0" spcFirstLastPara="0" vertOverflow="ellipsis" vert="horz" wrap="square" anchor="ctr" anchorCtr="true"/>
          <a:lstStyle/>
          <a:p>
            <a:pPr>
              <a:defRPr lang="zh-CN" sz="900" b="0" i="0" u="none" strike="noStrike" kern="1200" baseline="0">
                <a:solidFill>
                  <a:sysClr val="windowText" lastClr="000000"/>
                </a:solidFill>
                <a:effectLst/>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Entry>
      <c:legendEntry>
        <c:idx val="1"/>
        <c:txPr>
          <a:bodyPr rot="0" spcFirstLastPara="0" vertOverflow="ellipsis" vert="horz" wrap="square" anchor="ctr" anchorCtr="true"/>
          <a:lstStyle/>
          <a:p>
            <a:pPr>
              <a:defRPr lang="zh-CN" sz="900" b="0" i="0" u="none" strike="noStrike" kern="1200" baseline="0">
                <a:solidFill>
                  <a:sysClr val="windowText" lastClr="000000"/>
                </a:solidFill>
                <a:effectLst/>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Entry>
      <c:layout>
        <c:manualLayout>
          <c:xMode val="edge"/>
          <c:yMode val="edge"/>
          <c:x val="0.788919591217808"/>
          <c:y val="0.0485997794928335"/>
          <c:w val="0.179934324906538"/>
          <c:h val="0.0783293543654342"/>
        </c:manualLayout>
      </c:layout>
      <c:overlay val="false"/>
      <c:spPr>
        <a:noFill/>
        <a:ln>
          <a:noFill/>
        </a:ln>
        <a:effectLst/>
      </c:spPr>
      <c:txPr>
        <a:bodyPr rot="0" spcFirstLastPara="0" vertOverflow="ellipsis" vert="horz" wrap="square" anchor="ctr" anchorCtr="true" forceAA="false"/>
        <a:lstStyle/>
        <a:p>
          <a:pPr>
            <a:defRPr lang="zh-CN" sz="900" b="0" i="0" u="none" strike="noStrike" kern="1200" baseline="0">
              <a:solidFill>
                <a:sysClr val="windowText" lastClr="000000"/>
              </a:solidFill>
              <a:effectLst/>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
    <c:plotVisOnly val="true"/>
    <c:dispBlanksAs val="gap"/>
    <c:showDLblsOverMax val="false"/>
  </c:chart>
  <c:spPr>
    <a:solidFill>
      <a:schemeClr val="bg1"/>
    </a:solidFill>
    <a:ln w="3175" cap="flat" cmpd="sng" algn="ctr">
      <a:solidFill>
        <a:schemeClr val="tx1">
          <a:lumMod val="15000"/>
          <a:lumOff val="85000"/>
        </a:schemeClr>
      </a:solidFill>
      <a:round/>
    </a:ln>
    <a:effectLst/>
  </c:spPr>
  <c:txPr>
    <a:bodyPr/>
    <a:lstStyle/>
    <a:p>
      <a:pPr>
        <a:defRPr lang="zh-CN">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externalData r:id="rId1">
    <c:autoUpdate val="false"/>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true" forceAA="false"/>
          <a:lstStyle/>
          <a:p>
            <a:pPr defTabSz="914400">
              <a:defRPr lang="zh-CN" sz="1400" b="0" i="0" u="none" strike="noStrike" kern="1200" spc="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rPr>
                <a:solidFill>
                  <a:sysClr val="windowText" lastClr="000000"/>
                </a:solidFill>
              </a:rPr>
              <a:t>收入决算结构图</a:t>
            </a:r>
            <a:endParaRPr>
              <a:solidFill>
                <a:sysClr val="windowText" lastClr="000000"/>
              </a:solidFill>
            </a:endParaRPr>
          </a:p>
        </c:rich>
      </c:tx>
      <c:layout/>
      <c:overlay val="false"/>
      <c:spPr>
        <a:noFill/>
        <a:ln>
          <a:noFill/>
        </a:ln>
        <a:effectLst/>
      </c:spPr>
    </c:title>
    <c:autoTitleDeleted val="false"/>
    <c:plotArea>
      <c:layout>
        <c:manualLayout>
          <c:layoutTarget val="inner"/>
          <c:xMode val="edge"/>
          <c:yMode val="edge"/>
          <c:x val="0.300459674049311"/>
          <c:y val="0.25974025974026"/>
          <c:w val="0.408552723220504"/>
          <c:h val="0.692561983471074"/>
        </c:manualLayout>
      </c:layout>
      <c:pieChart>
        <c:varyColors val="true"/>
        <c:ser>
          <c:idx val="0"/>
          <c:order val="0"/>
          <c:tx>
            <c:strRef>
              <c:f>Sheet1!$B$1</c:f>
              <c:strCache>
                <c:ptCount val="1"/>
                <c:pt idx="0">
                  <c:v>本年收入</c:v>
                </c:pt>
              </c:strCache>
            </c:strRef>
          </c:tx>
          <c:spPr>
            <a:solidFill>
              <a:srgbClr val="4F81BD"/>
            </a:solidFill>
            <a:ln w="31750">
              <a:solidFill>
                <a:schemeClr val="bg1">
                  <a:alpha val="42000"/>
                </a:schemeClr>
              </a:solidFill>
            </a:ln>
          </c:spPr>
          <c:explosion val="0"/>
          <c:dPt>
            <c:idx val="0"/>
            <c:bubble3D val="false"/>
            <c:spPr>
              <a:solidFill>
                <a:srgbClr val="4F81BD"/>
              </a:solidFill>
              <a:ln w="31750">
                <a:solidFill>
                  <a:schemeClr val="bg1">
                    <a:alpha val="42000"/>
                  </a:schemeClr>
                </a:solidFill>
              </a:ln>
              <a:effectLst/>
            </c:spPr>
          </c:dPt>
          <c:dPt>
            <c:idx val="1"/>
            <c:bubble3D val="false"/>
            <c:spPr>
              <a:solidFill>
                <a:srgbClr val="9BBB59"/>
              </a:solidFill>
              <a:ln w="31750">
                <a:solidFill>
                  <a:schemeClr val="bg1">
                    <a:alpha val="42000"/>
                  </a:schemeClr>
                </a:solidFill>
              </a:ln>
              <a:effectLst/>
            </c:spPr>
          </c:dPt>
          <c:dPt>
            <c:idx val="2"/>
            <c:bubble3D val="false"/>
            <c:spPr>
              <a:solidFill>
                <a:srgbClr val="C0504D">
                  <a:alpha val="86000"/>
                </a:srgbClr>
              </a:solidFill>
              <a:ln w="31750">
                <a:solidFill>
                  <a:schemeClr val="bg1">
                    <a:alpha val="42000"/>
                  </a:schemeClr>
                </a:solidFill>
              </a:ln>
              <a:effectLst/>
            </c:spPr>
          </c:dPt>
          <c:dLbls>
            <c:dLbl>
              <c:idx val="0"/>
              <c:layout/>
              <c:numFmt formatCode="General" sourceLinked="false"/>
              <c:spPr>
                <a:noFill/>
                <a:ln>
                  <a:noFill/>
                </a:ln>
                <a:effectLst/>
              </c:spPr>
              <c:txPr>
                <a:bodyPr rot="0" spcFirstLastPara="0" vertOverflow="ellipsis" vert="horz" wrap="square" lIns="38100" tIns="19050" rIns="38100" bIns="19050" anchor="ctr" anchorCtr="true" forceAA="false"/>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outEnd"/>
              <c:showLegendKey val="true"/>
              <c:showVal val="true"/>
              <c:showCatName val="false"/>
              <c:showSerName val="false"/>
              <c:showPercent val="false"/>
              <c:showBubbleSize val="false"/>
              <c:extLst>
                <c:ext xmlns:c15="http://schemas.microsoft.com/office/drawing/2012/chart" uri="{CE6537A1-D6FC-4f65-9D91-7224C49458BB}"/>
              </c:extLst>
            </c:dLbl>
            <c:dLbl>
              <c:idx val="1"/>
              <c:layout/>
              <c:numFmt formatCode="General" sourceLinked="false"/>
              <c:spPr>
                <a:noFill/>
                <a:ln>
                  <a:noFill/>
                </a:ln>
                <a:effectLst/>
              </c:spPr>
              <c:txPr>
                <a:bodyPr rot="0" spcFirstLastPara="0" vertOverflow="ellipsis" vert="horz" wrap="square" lIns="38100" tIns="19050" rIns="38100" bIns="19050" anchor="ctr" anchorCtr="true" forceAA="false"/>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outEnd"/>
              <c:showLegendKey val="true"/>
              <c:showVal val="true"/>
              <c:showCatName val="false"/>
              <c:showSerName val="false"/>
              <c:showPercent val="false"/>
              <c:showBubbleSize val="false"/>
              <c:extLst>
                <c:ext xmlns:c15="http://schemas.microsoft.com/office/drawing/2012/chart" uri="{CE6537A1-D6FC-4f65-9D91-7224C49458BB}"/>
              </c:extLst>
            </c:dLbl>
            <c:dLbl>
              <c:idx val="2"/>
              <c:layout/>
              <c:numFmt formatCode="General" sourceLinked="false"/>
              <c:spPr>
                <a:noFill/>
                <a:ln>
                  <a:noFill/>
                </a:ln>
                <a:effectLst/>
              </c:spPr>
              <c:txPr>
                <a:bodyPr rot="0" spcFirstLastPara="0" vertOverflow="ellipsis" vert="horz" wrap="square" lIns="38100" tIns="19050" rIns="38100" bIns="19050" anchor="ctr" anchorCtr="true" forceAA="false"/>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outEnd"/>
              <c:showLegendKey val="true"/>
              <c:showVal val="true"/>
              <c:showCatName val="false"/>
              <c:showSerName val="false"/>
              <c:showPercent val="false"/>
              <c:showBubbleSize val="false"/>
              <c:extLst>
                <c:ext xmlns:c15="http://schemas.microsoft.com/office/drawing/2012/chart" uri="{CE6537A1-D6FC-4f65-9D91-7224C49458BB}"/>
              </c:extLst>
            </c:dLbl>
            <c:numFmt formatCode="General" sourceLinked="false"/>
            <c:spPr>
              <a:noFill/>
              <a:ln>
                <a:noFill/>
              </a:ln>
              <a:effectLst/>
            </c:spPr>
            <c:txPr>
              <a:bodyPr rot="0" spcFirstLastPara="0" vertOverflow="ellipsis" vert="horz" wrap="square" lIns="38100" tIns="19050" rIns="38100" bIns="19050" anchor="ctr" anchorCtr="true" forceAA="false"/>
              <a:lstStyle/>
              <a:p>
                <a:pPr>
                  <a:defRPr lang="zh-CN" sz="900" b="0" i="0" u="none" strike="noStrike" kern="1200" baseline="0">
                    <a:solidFill>
                      <a:schemeClr val="bg1"/>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outEnd"/>
            <c:showLegendKey val="tru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Sheet1!$A$2:$A$4</c:f>
              <c:strCache>
                <c:ptCount val="3"/>
                <c:pt idx="0">
                  <c:v>一般公共预算财政拨款收入</c:v>
                </c:pt>
                <c:pt idx="1">
                  <c:v>政府性基金预算财政拨款收入</c:v>
                </c:pt>
                <c:pt idx="2">
                  <c:v>其他收入</c:v>
                </c:pt>
              </c:strCache>
            </c:strRef>
          </c:cat>
          <c:val>
            <c:numRef>
              <c:f>Sheet1!$B$2:$B$4</c:f>
              <c:numCache>
                <c:formatCode>General</c:formatCode>
                <c:ptCount val="3"/>
                <c:pt idx="0">
                  <c:v>703.1</c:v>
                </c:pt>
                <c:pt idx="1">
                  <c:v>26</c:v>
                </c:pt>
                <c:pt idx="2">
                  <c:v>45.39</c:v>
                </c:pt>
              </c:numCache>
            </c:numRef>
          </c:val>
        </c:ser>
        <c:dLbls>
          <c:showLegendKey val="false"/>
          <c:showVal val="false"/>
          <c:showCatName val="true"/>
          <c:showSerName val="false"/>
          <c:showPercent val="true"/>
          <c:showBubbleSize val="false"/>
          <c:showLeaderLines val="true"/>
        </c:dLbls>
        <c:firstSliceAng val="0"/>
      </c:pieChart>
      <c:spPr>
        <a:noFill/>
        <a:ln>
          <a:noFill/>
        </a:ln>
        <a:effectLst/>
      </c:spPr>
    </c:plotArea>
    <c:legend>
      <c:legendPos val="t"/>
      <c:legendEntry>
        <c:idx val="0"/>
        <c:txPr>
          <a:bodyPr rot="0" spcFirstLastPara="0" vertOverflow="ellipsis" vert="horz" wrap="square" anchor="ctr" anchorCtr="true"/>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Entry>
      <c:legendEntry>
        <c:idx val="1"/>
        <c:txPr>
          <a:bodyPr rot="0" spcFirstLastPara="0" vertOverflow="ellipsis" vert="horz" wrap="square" anchor="ctr" anchorCtr="true"/>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Entry>
      <c:legendEntry>
        <c:idx val="2"/>
        <c:txPr>
          <a:bodyPr rot="0" spcFirstLastPara="0" vertOverflow="ellipsis" vert="horz" wrap="square" anchor="ctr" anchorCtr="true"/>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Entry>
      <c:layout/>
      <c:overlay val="false"/>
      <c:spPr>
        <a:noFill/>
        <a:ln>
          <a:noFill/>
        </a:ln>
        <a:effectLst/>
      </c:spPr>
      <c:txPr>
        <a:bodyPr rot="0" spcFirstLastPara="0" vertOverflow="ellipsis" vert="horz" wrap="square" anchor="ctr" anchorCtr="true" forceAA="false"/>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a:outerShdw blurRad="63500" dist="37357" dir="2700000" sx="0" sy="0" rotWithShape="0">
        <a:scrgbClr r="0" g="0" b="0"/>
      </a:outerShdw>
    </a:effectLst>
  </c:spPr>
  <c:txPr>
    <a:bodyPr/>
    <a:lstStyle/>
    <a:p>
      <a:pPr>
        <a:defRPr lang="zh-CN">
          <a:solidFill>
            <a:schemeClr val="tx1">
              <a:lumMod val="65000"/>
              <a:lumOff val="3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externalData r:id="rId1">
    <c:autoUpdate val="false"/>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true" forceAA="false"/>
          <a:lstStyle/>
          <a:p>
            <a:pPr defTabSz="914400">
              <a:defRPr lang="zh-CN" sz="1400" b="0" i="0" u="none" strike="noStrike" kern="1200" spc="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rPr>
                <a:solidFill>
                  <a:sysClr val="windowText" lastClr="000000"/>
                </a:solidFill>
              </a:rPr>
              <a:t>支出决算结构图</a:t>
            </a:r>
            <a:endParaRPr>
              <a:solidFill>
                <a:sysClr val="windowText" lastClr="000000"/>
              </a:solidFill>
            </a:endParaRPr>
          </a:p>
        </c:rich>
      </c:tx>
      <c:layout>
        <c:manualLayout>
          <c:xMode val="edge"/>
          <c:yMode val="edge"/>
          <c:x val="0.4055"/>
          <c:y val="0.0175"/>
        </c:manualLayout>
      </c:layout>
      <c:overlay val="false"/>
      <c:spPr>
        <a:noFill/>
        <a:ln>
          <a:noFill/>
        </a:ln>
        <a:effectLst/>
      </c:spPr>
    </c:title>
    <c:autoTitleDeleted val="false"/>
    <c:plotArea>
      <c:layout>
        <c:manualLayout>
          <c:layoutTarget val="inner"/>
          <c:xMode val="edge"/>
          <c:yMode val="edge"/>
          <c:x val="0.300459674049311"/>
          <c:y val="0.25974025974026"/>
          <c:w val="0.408552723220504"/>
          <c:h val="0.692561983471074"/>
        </c:manualLayout>
      </c:layout>
      <c:pieChart>
        <c:varyColors val="true"/>
        <c:ser>
          <c:idx val="0"/>
          <c:order val="0"/>
          <c:tx>
            <c:strRef>
              <c:f>Sheet1!$B$1</c:f>
              <c:strCache>
                <c:ptCount val="1"/>
                <c:pt idx="0">
                  <c:v>本年支出</c:v>
                </c:pt>
              </c:strCache>
            </c:strRef>
          </c:tx>
          <c:spPr>
            <a:solidFill>
              <a:srgbClr val="859949"/>
            </a:solidFill>
            <a:ln w="31750">
              <a:solidFill>
                <a:schemeClr val="bg1">
                  <a:alpha val="42000"/>
                </a:schemeClr>
              </a:solidFill>
            </a:ln>
          </c:spPr>
          <c:explosion val="0"/>
          <c:dPt>
            <c:idx val="0"/>
            <c:bubble3D val="false"/>
            <c:spPr>
              <a:solidFill>
                <a:srgbClr val="4F81BD"/>
              </a:solidFill>
              <a:ln w="31750">
                <a:solidFill>
                  <a:schemeClr val="bg1">
                    <a:alpha val="42000"/>
                  </a:schemeClr>
                </a:solidFill>
              </a:ln>
              <a:effectLst/>
            </c:spPr>
          </c:dPt>
          <c:dPt>
            <c:idx val="1"/>
            <c:bubble3D val="false"/>
            <c:spPr>
              <a:solidFill>
                <a:srgbClr val="C0504D">
                  <a:alpha val="86000"/>
                </a:srgbClr>
              </a:solidFill>
              <a:ln w="31750">
                <a:solidFill>
                  <a:schemeClr val="bg1">
                    <a:alpha val="42000"/>
                  </a:schemeClr>
                </a:solidFill>
              </a:ln>
              <a:effectLst/>
            </c:spPr>
          </c:dPt>
          <c:dLbls>
            <c:numFmt formatCode="General" sourceLinked="true"/>
            <c:spPr>
              <a:noFill/>
              <a:ln>
                <a:noFill/>
              </a:ln>
              <a:effectLst/>
            </c:spPr>
            <c:txPr>
              <a:bodyPr rot="0" spcFirstLastPara="0" vertOverflow="ellipsis" vert="horz" wrap="square" lIns="38100" tIns="19050" rIns="38100" bIns="19050" anchor="ctr" anchorCtr="true" forceAA="false"/>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outEnd"/>
            <c:showLegendKey val="tru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501.63</c:v>
                </c:pt>
                <c:pt idx="1">
                  <c:v>338.14</c:v>
                </c:pt>
              </c:numCache>
            </c:numRef>
          </c:val>
        </c:ser>
        <c:dLbls>
          <c:showLegendKey val="false"/>
          <c:showVal val="false"/>
          <c:showCatName val="true"/>
          <c:showSerName val="false"/>
          <c:showPercent val="true"/>
          <c:showBubbleSize val="false"/>
          <c:showLeaderLines val="true"/>
        </c:dLbls>
        <c:firstSliceAng val="0"/>
      </c:pieChart>
      <c:spPr>
        <a:noFill/>
        <a:ln>
          <a:noFill/>
        </a:ln>
        <a:effectLst/>
      </c:spPr>
    </c:plotArea>
    <c:legend>
      <c:legendPos val="t"/>
      <c:legendEntry>
        <c:idx val="0"/>
        <c:txPr>
          <a:bodyPr rot="0" spcFirstLastPara="0" vertOverflow="ellipsis" vert="horz" wrap="square" anchor="ctr" anchorCtr="true"/>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Entry>
      <c:legendEntry>
        <c:idx val="1"/>
        <c:txPr>
          <a:bodyPr rot="0" spcFirstLastPara="0" vertOverflow="ellipsis" vert="horz" wrap="square" anchor="ctr" anchorCtr="true"/>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Entry>
      <c:layout/>
      <c:overlay val="false"/>
      <c:spPr>
        <a:noFill/>
        <a:ln>
          <a:noFill/>
        </a:ln>
        <a:effectLst/>
      </c:spPr>
      <c:txPr>
        <a:bodyPr rot="0" spcFirstLastPara="0" vertOverflow="ellipsis" vert="horz" wrap="square" anchor="ctr" anchorCtr="true" forceAA="false"/>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a:outerShdw blurRad="63500" dist="37357" dir="2700000" sx="0" sy="0" rotWithShape="0">
        <a:scrgbClr r="0" g="0" b="0"/>
      </a:outerShdw>
    </a:effectLst>
  </c:spPr>
  <c:txPr>
    <a:bodyPr/>
    <a:lstStyle/>
    <a:p>
      <a:pPr>
        <a:defRPr lang="zh-CN">
          <a:solidFill>
            <a:schemeClr val="tx1">
              <a:lumMod val="65000"/>
              <a:lumOff val="3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externalData r:id="rId1">
    <c:autoUpdate val="false"/>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true" forceAA="false"/>
          <a:lstStyle/>
          <a:p>
            <a:pPr defTabSz="914400">
              <a:defRPr lang="zh-CN" sz="1400" b="0" i="0" u="none" strike="noStrike" kern="1200" spc="0" baseline="0">
                <a:solidFill>
                  <a:sysClr val="windowText" lastClr="000000"/>
                </a:solidFill>
                <a:effectLst/>
                <a:latin typeface="微软雅黑" panose="020B0503020204020204" charset="-122"/>
                <a:ea typeface="微软雅黑" panose="020B0503020204020204" charset="-122"/>
                <a:cs typeface="微软雅黑" panose="020B0503020204020204" charset="-122"/>
                <a:sym typeface="微软雅黑" panose="020B0503020204020204" charset="-122"/>
              </a:defRPr>
            </a:pPr>
            <a:r>
              <a:rPr>
                <a:solidFill>
                  <a:sysClr val="windowText" lastClr="000000"/>
                </a:solidFill>
              </a:rPr>
              <a:t>财政拨款收、支决算总体变动情况图</a:t>
            </a:r>
            <a:endParaRPr>
              <a:solidFill>
                <a:sysClr val="windowText" lastClr="000000"/>
              </a:solidFill>
            </a:endParaRPr>
          </a:p>
        </c:rich>
      </c:tx>
      <c:layout>
        <c:manualLayout>
          <c:xMode val="edge"/>
          <c:yMode val="edge"/>
          <c:x val="0.0192056441076561"/>
          <c:y val="0.0308710033076075"/>
        </c:manualLayout>
      </c:layout>
      <c:overlay val="false"/>
      <c:spPr>
        <a:noFill/>
        <a:ln>
          <a:noFill/>
        </a:ln>
        <a:effectLst/>
      </c:spPr>
    </c:title>
    <c:autoTitleDeleted val="false"/>
    <c:plotArea>
      <c:layout>
        <c:manualLayout>
          <c:layoutTarget val="inner"/>
          <c:xMode val="edge"/>
          <c:yMode val="edge"/>
          <c:x val="0.0900312532791253"/>
          <c:y val="0.180255753587582"/>
          <c:w val="0.873734694843312"/>
          <c:h val="0.686161352212451"/>
        </c:manualLayout>
      </c:layout>
      <c:barChart>
        <c:barDir val="col"/>
        <c:grouping val="clustered"/>
        <c:varyColors val="false"/>
        <c:ser>
          <c:idx val="3"/>
          <c:order val="0"/>
          <c:tx>
            <c:strRef>
              <c:f>Sheet1!$B$1</c:f>
              <c:strCache>
                <c:ptCount val="1"/>
                <c:pt idx="0">
                  <c:v>收、支决算总计</c:v>
                </c:pt>
              </c:strCache>
            </c:strRef>
          </c:tx>
          <c:spPr>
            <a:solidFill>
              <a:srgbClr val="4F81BD">
                <a:alpha val="70000"/>
              </a:srgbClr>
            </a:solidFill>
            <a:ln>
              <a:noFill/>
            </a:ln>
            <a:effectLst/>
          </c:spPr>
          <c:invertIfNegative val="false"/>
          <c:dPt>
            <c:idx val="1"/>
            <c:invertIfNegative val="false"/>
            <c:bubble3D val="false"/>
            <c:spPr>
              <a:solidFill>
                <a:srgbClr val="C0504D">
                  <a:alpha val="70000"/>
                </a:srgbClr>
              </a:solidFill>
              <a:ln>
                <a:noFill/>
              </a:ln>
              <a:effectLst/>
            </c:spPr>
          </c:dPt>
          <c:dLbls>
            <c:dLbl>
              <c:idx val="0"/>
              <c:layout>
                <c:manualLayout>
                  <c:x val="0"/>
                  <c:y val="-0.06"/>
                </c:manualLayout>
              </c:layout>
              <c:dLblPos val="inEnd"/>
              <c:showLegendKey val="false"/>
              <c:showVal val="true"/>
              <c:showCatName val="false"/>
              <c:showSerName val="false"/>
              <c:showPercent val="false"/>
              <c:showBubbleSize val="false"/>
              <c:extLst>
                <c:ext xmlns:c15="http://schemas.microsoft.com/office/drawing/2012/chart" uri="{CE6537A1-D6FC-4f65-9D91-7224C49458BB}">
                  <c15:layout/>
                </c:ext>
              </c:extLst>
            </c:dLbl>
            <c:dLbl>
              <c:idx val="1"/>
              <c:layout>
                <c:manualLayout>
                  <c:x val="0"/>
                  <c:y val="-0.02"/>
                </c:manualLayout>
              </c:layout>
              <c:dLblPos val="inEnd"/>
              <c:showLegendKey val="false"/>
              <c:showVal val="true"/>
              <c:showCatName val="false"/>
              <c:showSerName val="false"/>
              <c:showPercent val="false"/>
              <c:showBubbleSize val="false"/>
              <c:extLst>
                <c:ext xmlns:c15="http://schemas.microsoft.com/office/drawing/2012/chart" uri="{CE6537A1-D6FC-4f65-9D91-7224C49458BB}">
                  <c15:layout/>
                </c:ext>
              </c:extLst>
            </c:dLbl>
            <c:numFmt formatCode="General" sourceLinked="true"/>
            <c:spPr>
              <a:noFill/>
              <a:ln>
                <a:noFill/>
              </a:ln>
              <a:effectLst/>
            </c:spPr>
            <c:txPr>
              <a:bodyPr rot="0" spcFirstLastPara="0" vertOverflow="ellipsis" vert="horz" wrap="square" lIns="38100" tIns="19050" rIns="38100" bIns="19050" anchor="ctr" anchorCtr="true" forceAA="false"/>
              <a:lstStyle/>
              <a:p>
                <a:pPr>
                  <a:defRPr lang="zh-CN" sz="900" b="0" i="0" u="none" strike="noStrike" kern="1200" baseline="0">
                    <a:solidFill>
                      <a:sysClr val="windowText" lastClr="000000"/>
                    </a:solidFill>
                    <a:effectLst/>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in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numRef>
              <c:f>Sheet1!$A$2:$A$3</c:f>
              <c:numCache>
                <c:formatCode>General</c:formatCode>
                <c:ptCount val="2"/>
                <c:pt idx="0">
                  <c:v>2021</c:v>
                </c:pt>
                <c:pt idx="1">
                  <c:v>2020</c:v>
                </c:pt>
              </c:numCache>
            </c:numRef>
          </c:cat>
          <c:val>
            <c:numRef>
              <c:f>Sheet1!$B$2:$B$3</c:f>
              <c:numCache>
                <c:formatCode>General</c:formatCode>
                <c:ptCount val="2"/>
                <c:pt idx="0">
                  <c:v>873.84</c:v>
                </c:pt>
                <c:pt idx="1">
                  <c:v>60.4</c:v>
                </c:pt>
              </c:numCache>
            </c:numRef>
          </c:val>
        </c:ser>
        <c:dLbls>
          <c:showLegendKey val="false"/>
          <c:showVal val="true"/>
          <c:showCatName val="false"/>
          <c:showSerName val="false"/>
          <c:showPercent val="false"/>
          <c:showBubbleSize val="false"/>
        </c:dLbls>
        <c:gapWidth val="120"/>
        <c:overlap val="20"/>
        <c:axId val="28130332"/>
        <c:axId val="599905576"/>
      </c:barChart>
      <c:catAx>
        <c:axId val="28130332"/>
        <c:scaling>
          <c:orientation val="minMax"/>
        </c:scaling>
        <c:delete val="false"/>
        <c:axPos val="b"/>
        <c:majorGridlines>
          <c:spPr>
            <a:ln w="3175" cap="flat" cmpd="sng" algn="ctr">
              <a:solidFill>
                <a:schemeClr val="bg1">
                  <a:lumMod val="85000"/>
                </a:schemeClr>
              </a:solidFill>
              <a:round/>
            </a:ln>
            <a:effectLst/>
          </c:spPr>
        </c:majorGridlines>
        <c:minorGridlines>
          <c:spPr>
            <a:ln w="3175" cap="flat" cmpd="sng" algn="ctr">
              <a:solidFill>
                <a:schemeClr val="bg1">
                  <a:lumMod val="85000"/>
                </a:schemeClr>
              </a:solidFill>
              <a:round/>
            </a:ln>
            <a:effectLst/>
          </c:spPr>
        </c:minorGridlines>
        <c:numFmt formatCode="General" sourceLinked="true"/>
        <c:majorTickMark val="in"/>
        <c:minorTickMark val="none"/>
        <c:tickLblPos val="nextTo"/>
        <c:spPr>
          <a:noFill/>
          <a:ln w="3175" cap="flat" cmpd="sng" algn="ctr">
            <a:noFill/>
            <a:prstDash val="solid"/>
            <a:round/>
          </a:ln>
          <a:effectLst/>
        </c:spPr>
        <c:txPr>
          <a:bodyPr rot="-60000000" spcFirstLastPara="0" vertOverflow="ellipsis" vert="horz" wrap="square" anchor="ctr" anchorCtr="true" forceAA="false"/>
          <a:lstStyle/>
          <a:p>
            <a:pPr>
              <a:defRPr lang="zh-CN" sz="900" b="0" i="0" u="none" strike="noStrike" kern="1200" baseline="0">
                <a:solidFill>
                  <a:sysClr val="windowText" lastClr="000000"/>
                </a:solidFill>
                <a:effectLst/>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599905576"/>
        <c:crosses val="autoZero"/>
        <c:auto val="true"/>
        <c:lblAlgn val="ctr"/>
        <c:lblOffset val="100"/>
        <c:noMultiLvlLbl val="false"/>
      </c:catAx>
      <c:valAx>
        <c:axId val="599905576"/>
        <c:scaling>
          <c:orientation val="minMax"/>
        </c:scaling>
        <c:delete val="false"/>
        <c:axPos val="l"/>
        <c:majorGridlines>
          <c:spPr>
            <a:ln w="3175" cap="flat" cmpd="sng" algn="ctr">
              <a:solidFill>
                <a:schemeClr val="bg1">
                  <a:lumMod val="85000"/>
                </a:schemeClr>
              </a:solidFill>
              <a:round/>
            </a:ln>
            <a:effectLst/>
          </c:spPr>
        </c:majorGridlines>
        <c:numFmt formatCode="General" sourceLinked="true"/>
        <c:majorTickMark val="none"/>
        <c:minorTickMark val="none"/>
        <c:tickLblPos val="nextTo"/>
        <c:spPr>
          <a:noFill/>
          <a:ln>
            <a:noFill/>
          </a:ln>
          <a:effectLst/>
        </c:spPr>
        <c:txPr>
          <a:bodyPr rot="-60000000" spcFirstLastPara="0" vertOverflow="ellipsis" vert="horz" wrap="square" anchor="ctr" anchorCtr="true" forceAA="false"/>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28130332"/>
        <c:crosses val="autoZero"/>
        <c:crossBetween val="between"/>
      </c:valAx>
      <c:spPr>
        <a:solidFill>
          <a:schemeClr val="bg1"/>
        </a:solidFill>
        <a:ln w="3175">
          <a:noFill/>
        </a:ln>
        <a:effectLst/>
      </c:spPr>
    </c:plotArea>
    <c:legend>
      <c:legendPos val="t"/>
      <c:legendEntry>
        <c:idx val="0"/>
        <c:txPr>
          <a:bodyPr rot="0" spcFirstLastPara="0" vertOverflow="ellipsis" vert="horz" wrap="square" anchor="ctr" anchorCtr="true"/>
          <a:lstStyle/>
          <a:p>
            <a:pPr>
              <a:defRPr lang="zh-CN" sz="900" b="0" i="0" u="none" strike="noStrike" kern="1200" baseline="0">
                <a:solidFill>
                  <a:sysClr val="windowText" lastClr="000000"/>
                </a:solidFill>
                <a:effectLst/>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Entry>
      <c:legendEntry>
        <c:idx val="1"/>
        <c:txPr>
          <a:bodyPr rot="0" spcFirstLastPara="0" vertOverflow="ellipsis" vert="horz" wrap="square" anchor="ctr" anchorCtr="true"/>
          <a:lstStyle/>
          <a:p>
            <a:pPr>
              <a:defRPr lang="zh-CN" sz="900" b="0" i="0" u="none" strike="noStrike" kern="1200" baseline="0">
                <a:solidFill>
                  <a:sysClr val="windowText" lastClr="000000"/>
                </a:solidFill>
                <a:effectLst/>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Entry>
      <c:layout>
        <c:manualLayout>
          <c:xMode val="edge"/>
          <c:yMode val="edge"/>
          <c:x val="0.788919591217808"/>
          <c:y val="0.0485997794928335"/>
          <c:w val="0.179934324906538"/>
          <c:h val="0.0783293543654342"/>
        </c:manualLayout>
      </c:layout>
      <c:overlay val="false"/>
      <c:spPr>
        <a:noFill/>
        <a:ln>
          <a:noFill/>
        </a:ln>
        <a:effectLst/>
      </c:spPr>
      <c:txPr>
        <a:bodyPr rot="0" spcFirstLastPara="0" vertOverflow="ellipsis" vert="horz" wrap="square" anchor="ctr" anchorCtr="true" forceAA="false"/>
        <a:lstStyle/>
        <a:p>
          <a:pPr>
            <a:defRPr lang="zh-CN" sz="900" b="0" i="0" u="none" strike="noStrike" kern="1200" baseline="0">
              <a:solidFill>
                <a:sysClr val="windowText" lastClr="000000"/>
              </a:solidFill>
              <a:effectLst/>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
    <c:plotVisOnly val="true"/>
    <c:dispBlanksAs val="gap"/>
    <c:showDLblsOverMax val="false"/>
  </c:chart>
  <c:spPr>
    <a:solidFill>
      <a:schemeClr val="bg1"/>
    </a:solidFill>
    <a:ln w="3175" cap="flat" cmpd="sng" algn="ctr">
      <a:solidFill>
        <a:schemeClr val="tx1">
          <a:lumMod val="15000"/>
          <a:lumOff val="85000"/>
        </a:schemeClr>
      </a:solidFill>
      <a:round/>
    </a:ln>
    <a:effectLst/>
  </c:spPr>
  <c:txPr>
    <a:bodyPr/>
    <a:lstStyle/>
    <a:p>
      <a:pPr>
        <a:defRPr lang="zh-CN">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externalData r:id="rId1">
    <c:autoUpdate val="false"/>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true" forceAA="false"/>
          <a:lstStyle/>
          <a:p>
            <a:pPr defTabSz="914400">
              <a:defRPr lang="zh-CN" sz="1400" b="0" i="0" u="none" strike="noStrike" kern="1200" spc="0" baseline="0">
                <a:solidFill>
                  <a:sysClr val="windowText" lastClr="000000"/>
                </a:solidFill>
                <a:effectLst/>
                <a:latin typeface="微软雅黑" panose="020B0503020204020204" charset="-122"/>
                <a:ea typeface="微软雅黑" panose="020B0503020204020204" charset="-122"/>
                <a:cs typeface="微软雅黑" panose="020B0503020204020204" charset="-122"/>
                <a:sym typeface="微软雅黑" panose="020B0503020204020204" charset="-122"/>
              </a:defRPr>
            </a:pPr>
            <a:r>
              <a:rPr>
                <a:solidFill>
                  <a:sysClr val="windowText" lastClr="000000"/>
                </a:solidFill>
              </a:rPr>
              <a:t>一般公共预算财政拨款支出决算变动情况图</a:t>
            </a:r>
            <a:endParaRPr>
              <a:solidFill>
                <a:sysClr val="windowText" lastClr="000000"/>
              </a:solidFill>
            </a:endParaRPr>
          </a:p>
        </c:rich>
      </c:tx>
      <c:layout>
        <c:manualLayout>
          <c:xMode val="edge"/>
          <c:yMode val="edge"/>
          <c:x val="0.0192056441076561"/>
          <c:y val="0.0308710033076075"/>
        </c:manualLayout>
      </c:layout>
      <c:overlay val="false"/>
      <c:spPr>
        <a:noFill/>
        <a:ln>
          <a:noFill/>
        </a:ln>
        <a:effectLst/>
      </c:spPr>
    </c:title>
    <c:autoTitleDeleted val="false"/>
    <c:plotArea>
      <c:layout>
        <c:manualLayout>
          <c:layoutTarget val="inner"/>
          <c:xMode val="edge"/>
          <c:yMode val="edge"/>
          <c:x val="0.0900312532791253"/>
          <c:y val="0.180255753587582"/>
          <c:w val="0.873734694843312"/>
          <c:h val="0.686161352212451"/>
        </c:manualLayout>
      </c:layout>
      <c:barChart>
        <c:barDir val="col"/>
        <c:grouping val="clustered"/>
        <c:varyColors val="false"/>
        <c:ser>
          <c:idx val="3"/>
          <c:order val="0"/>
          <c:tx>
            <c:strRef>
              <c:f>Sheet1!$B$1</c:f>
              <c:strCache>
                <c:ptCount val="1"/>
                <c:pt idx="0">
                  <c:v>一般公共预算财政拨款支出</c:v>
                </c:pt>
              </c:strCache>
            </c:strRef>
          </c:tx>
          <c:spPr>
            <a:solidFill>
              <a:srgbClr val="9884F4">
                <a:alpha val="70000"/>
              </a:srgbClr>
            </a:solidFill>
            <a:ln>
              <a:noFill/>
            </a:ln>
            <a:effectLst/>
          </c:spPr>
          <c:invertIfNegative val="false"/>
          <c:dPt>
            <c:idx val="0"/>
            <c:invertIfNegative val="false"/>
            <c:bubble3D val="false"/>
            <c:spPr>
              <a:solidFill>
                <a:srgbClr val="4F81BD">
                  <a:alpha val="70000"/>
                </a:srgbClr>
              </a:solidFill>
              <a:ln>
                <a:noFill/>
              </a:ln>
              <a:effectLst/>
            </c:spPr>
          </c:dPt>
          <c:dPt>
            <c:idx val="1"/>
            <c:invertIfNegative val="false"/>
            <c:bubble3D val="false"/>
            <c:spPr>
              <a:solidFill>
                <a:srgbClr val="C0504D">
                  <a:alpha val="70000"/>
                </a:srgbClr>
              </a:solidFill>
              <a:ln>
                <a:noFill/>
              </a:ln>
              <a:effectLst/>
            </c:spPr>
          </c:dPt>
          <c:dLbls>
            <c:dLbl>
              <c:idx val="0"/>
              <c:layout>
                <c:manualLayout>
                  <c:x val="0.001875"/>
                  <c:y val="-0.0575"/>
                </c:manualLayout>
              </c:layout>
              <c:dLblPos val="inEnd"/>
              <c:showLegendKey val="false"/>
              <c:showVal val="true"/>
              <c:showCatName val="false"/>
              <c:showSerName val="false"/>
              <c:showPercent val="false"/>
              <c:showBubbleSize val="false"/>
              <c:extLst>
                <c:ext xmlns:c15="http://schemas.microsoft.com/office/drawing/2012/chart" uri="{CE6537A1-D6FC-4f65-9D91-7224C49458BB}">
                  <c15:layout/>
                </c:ext>
              </c:extLst>
            </c:dLbl>
            <c:dLbl>
              <c:idx val="1"/>
              <c:layout>
                <c:manualLayout>
                  <c:x val="0.001875"/>
                  <c:y val="-0.0325"/>
                </c:manualLayout>
              </c:layout>
              <c:dLblPos val="inEnd"/>
              <c:showLegendKey val="false"/>
              <c:showVal val="true"/>
              <c:showCatName val="false"/>
              <c:showSerName val="false"/>
              <c:showPercent val="false"/>
              <c:showBubbleSize val="false"/>
              <c:extLst>
                <c:ext xmlns:c15="http://schemas.microsoft.com/office/drawing/2012/chart" uri="{CE6537A1-D6FC-4f65-9D91-7224C49458BB}">
                  <c15:layout/>
                </c:ext>
              </c:extLst>
            </c:dLbl>
            <c:numFmt formatCode="General" sourceLinked="true"/>
            <c:spPr>
              <a:noFill/>
              <a:ln>
                <a:noFill/>
              </a:ln>
              <a:effectLst/>
            </c:spPr>
            <c:txPr>
              <a:bodyPr rot="0" spcFirstLastPara="0" vertOverflow="ellipsis" vert="horz" wrap="square" lIns="38100" tIns="19050" rIns="38100" bIns="19050" anchor="ctr" anchorCtr="true" forceAA="false"/>
              <a:lstStyle/>
              <a:p>
                <a:pPr>
                  <a:defRPr lang="zh-CN" sz="900" b="0" i="0" u="none" strike="noStrike" kern="1200" baseline="0">
                    <a:solidFill>
                      <a:sysClr val="windowText" lastClr="000000"/>
                    </a:solidFill>
                    <a:effectLst/>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in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numRef>
              <c:f>Sheet1!$A$2:$A$3</c:f>
              <c:numCache>
                <c:formatCode>General</c:formatCode>
                <c:ptCount val="2"/>
                <c:pt idx="0">
                  <c:v>2021</c:v>
                </c:pt>
                <c:pt idx="1">
                  <c:v>2020</c:v>
                </c:pt>
              </c:numCache>
            </c:numRef>
          </c:cat>
          <c:val>
            <c:numRef>
              <c:f>Sheet1!$B$2:$B$3</c:f>
              <c:numCache>
                <c:formatCode>General</c:formatCode>
                <c:ptCount val="2"/>
                <c:pt idx="0">
                  <c:v>678.03</c:v>
                </c:pt>
                <c:pt idx="1">
                  <c:v>60.4</c:v>
                </c:pt>
              </c:numCache>
            </c:numRef>
          </c:val>
        </c:ser>
        <c:dLbls>
          <c:showLegendKey val="false"/>
          <c:showVal val="true"/>
          <c:showCatName val="false"/>
          <c:showSerName val="false"/>
          <c:showPercent val="false"/>
          <c:showBubbleSize val="false"/>
        </c:dLbls>
        <c:gapWidth val="120"/>
        <c:overlap val="20"/>
        <c:axId val="975616833"/>
        <c:axId val="282071817"/>
      </c:barChart>
      <c:catAx>
        <c:axId val="975616833"/>
        <c:scaling>
          <c:orientation val="minMax"/>
        </c:scaling>
        <c:delete val="false"/>
        <c:axPos val="b"/>
        <c:majorGridlines>
          <c:spPr>
            <a:ln w="3175" cap="flat" cmpd="sng" algn="ctr">
              <a:solidFill>
                <a:schemeClr val="bg1">
                  <a:lumMod val="85000"/>
                </a:schemeClr>
              </a:solidFill>
              <a:round/>
            </a:ln>
            <a:effectLst/>
          </c:spPr>
        </c:majorGridlines>
        <c:minorGridlines>
          <c:spPr>
            <a:ln w="3175" cap="flat" cmpd="sng" algn="ctr">
              <a:solidFill>
                <a:schemeClr val="bg1">
                  <a:lumMod val="85000"/>
                </a:schemeClr>
              </a:solidFill>
              <a:round/>
            </a:ln>
            <a:effectLst/>
          </c:spPr>
        </c:minorGridlines>
        <c:numFmt formatCode="General" sourceLinked="true"/>
        <c:majorTickMark val="in"/>
        <c:minorTickMark val="none"/>
        <c:tickLblPos val="nextTo"/>
        <c:spPr>
          <a:noFill/>
          <a:ln w="3175" cap="flat" cmpd="sng" algn="ctr">
            <a:noFill/>
            <a:prstDash val="solid"/>
            <a:round/>
          </a:ln>
          <a:effectLst/>
        </c:spPr>
        <c:txPr>
          <a:bodyPr rot="-60000000" spcFirstLastPara="0" vertOverflow="ellipsis" vert="horz" wrap="square" anchor="ctr" anchorCtr="true" forceAA="false"/>
          <a:lstStyle/>
          <a:p>
            <a:pPr>
              <a:defRPr lang="zh-CN" sz="900" b="0" i="0" u="none" strike="noStrike" kern="1200" baseline="0">
                <a:solidFill>
                  <a:sysClr val="windowText" lastClr="000000"/>
                </a:solidFill>
                <a:effectLst/>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282071817"/>
        <c:crosses val="autoZero"/>
        <c:auto val="true"/>
        <c:lblAlgn val="ctr"/>
        <c:lblOffset val="100"/>
        <c:noMultiLvlLbl val="false"/>
      </c:catAx>
      <c:valAx>
        <c:axId val="282071817"/>
        <c:scaling>
          <c:orientation val="minMax"/>
        </c:scaling>
        <c:delete val="false"/>
        <c:axPos val="l"/>
        <c:majorGridlines>
          <c:spPr>
            <a:ln w="3175" cap="flat" cmpd="sng" algn="ctr">
              <a:solidFill>
                <a:schemeClr val="bg1">
                  <a:lumMod val="85000"/>
                </a:schemeClr>
              </a:solidFill>
              <a:round/>
            </a:ln>
            <a:effectLst/>
          </c:spPr>
        </c:majorGridlines>
        <c:numFmt formatCode="General" sourceLinked="true"/>
        <c:majorTickMark val="none"/>
        <c:minorTickMark val="none"/>
        <c:tickLblPos val="nextTo"/>
        <c:spPr>
          <a:noFill/>
          <a:ln>
            <a:noFill/>
          </a:ln>
          <a:effectLst/>
        </c:spPr>
        <c:txPr>
          <a:bodyPr rot="-60000000" spcFirstLastPara="0" vertOverflow="ellipsis" vert="horz" wrap="square" anchor="ctr" anchorCtr="true" forceAA="false"/>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975616833"/>
        <c:crosses val="autoZero"/>
        <c:crossBetween val="between"/>
      </c:valAx>
      <c:spPr>
        <a:solidFill>
          <a:schemeClr val="bg1"/>
        </a:solidFill>
        <a:ln w="3175">
          <a:noFill/>
        </a:ln>
        <a:effectLst/>
      </c:spPr>
    </c:plotArea>
    <c:legend>
      <c:legendPos val="t"/>
      <c:layout>
        <c:manualLayout>
          <c:xMode val="edge"/>
          <c:yMode val="edge"/>
          <c:x val="0.788919591217808"/>
          <c:y val="0.0485997794928335"/>
          <c:w val="0.179934324906538"/>
          <c:h val="0.0783293543654342"/>
        </c:manualLayout>
      </c:layout>
      <c:overlay val="false"/>
      <c:spPr>
        <a:noFill/>
        <a:ln>
          <a:noFill/>
        </a:ln>
        <a:effectLst/>
      </c:spPr>
      <c:txPr>
        <a:bodyPr rot="0" spcFirstLastPara="0" vertOverflow="ellipsis" vert="horz" wrap="square" anchor="ctr" anchorCtr="true" forceAA="false"/>
        <a:lstStyle/>
        <a:p>
          <a:pPr>
            <a:defRPr lang="zh-CN" sz="900" b="0" i="0" u="none" strike="noStrike" kern="1200" baseline="0">
              <a:solidFill>
                <a:sysClr val="windowText" lastClr="000000"/>
              </a:solidFill>
              <a:effectLst/>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
    <c:plotVisOnly val="true"/>
    <c:dispBlanksAs val="gap"/>
    <c:showDLblsOverMax val="false"/>
  </c:chart>
  <c:spPr>
    <a:solidFill>
      <a:schemeClr val="bg1"/>
    </a:solidFill>
    <a:ln w="3175" cap="flat" cmpd="sng" algn="ctr">
      <a:solidFill>
        <a:schemeClr val="tx1">
          <a:lumMod val="15000"/>
          <a:lumOff val="85000"/>
        </a:schemeClr>
      </a:solidFill>
      <a:round/>
    </a:ln>
    <a:effectLst/>
  </c:spPr>
  <c:txPr>
    <a:bodyPr/>
    <a:lstStyle/>
    <a:p>
      <a:pPr>
        <a:defRPr lang="zh-CN">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externalData r:id="rId1">
    <c:autoUpdate val="false"/>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true" forceAA="false"/>
          <a:lstStyle/>
          <a:p>
            <a:pPr defTabSz="914400">
              <a:defRPr lang="zh-CN" sz="1400" b="0" i="0" u="none" strike="noStrike" kern="1200" spc="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rPr>
                <a:solidFill>
                  <a:sysClr val="windowText" lastClr="000000"/>
                </a:solidFill>
              </a:rPr>
              <a:t>一般公共预算财政拨款支出决算结构图</a:t>
            </a:r>
            <a:endParaRPr>
              <a:solidFill>
                <a:sysClr val="windowText" lastClr="000000"/>
              </a:solidFill>
            </a:endParaRPr>
          </a:p>
        </c:rich>
      </c:tx>
      <c:layout/>
      <c:overlay val="false"/>
      <c:spPr>
        <a:noFill/>
        <a:ln>
          <a:noFill/>
        </a:ln>
        <a:effectLst/>
      </c:spPr>
    </c:title>
    <c:autoTitleDeleted val="false"/>
    <c:plotArea>
      <c:layout>
        <c:manualLayout>
          <c:layoutTarget val="inner"/>
          <c:xMode val="edge"/>
          <c:yMode val="edge"/>
          <c:x val="0.300459674049311"/>
          <c:y val="0.25974025974026"/>
          <c:w val="0.408552723220504"/>
          <c:h val="0.692561983471074"/>
        </c:manualLayout>
      </c:layout>
      <c:pieChart>
        <c:varyColors val="true"/>
        <c:ser>
          <c:idx val="0"/>
          <c:order val="0"/>
          <c:tx>
            <c:strRef>
              <c:f>Sheet1!$B$1</c:f>
              <c:strCache>
                <c:ptCount val="1"/>
                <c:pt idx="0">
                  <c:v>一般公共预算财政拨款支出</c:v>
                </c:pt>
              </c:strCache>
            </c:strRef>
          </c:tx>
          <c:spPr>
            <a:solidFill>
              <a:srgbClr val="4F81BD"/>
            </a:solidFill>
            <a:ln w="31750">
              <a:solidFill>
                <a:schemeClr val="bg1">
                  <a:alpha val="42000"/>
                </a:schemeClr>
              </a:solidFill>
            </a:ln>
          </c:spPr>
          <c:explosion val="0"/>
          <c:dPt>
            <c:idx val="0"/>
            <c:bubble3D val="false"/>
            <c:spPr>
              <a:solidFill>
                <a:srgbClr val="4F81BD"/>
              </a:solidFill>
              <a:ln w="31750">
                <a:solidFill>
                  <a:schemeClr val="bg1">
                    <a:alpha val="42000"/>
                  </a:schemeClr>
                </a:solidFill>
              </a:ln>
              <a:effectLst/>
            </c:spPr>
          </c:dPt>
          <c:dPt>
            <c:idx val="1"/>
            <c:bubble3D val="false"/>
            <c:spPr>
              <a:solidFill>
                <a:srgbClr val="9BBB59"/>
              </a:solidFill>
              <a:ln w="31750">
                <a:solidFill>
                  <a:schemeClr val="bg1">
                    <a:alpha val="42000"/>
                  </a:schemeClr>
                </a:solidFill>
              </a:ln>
              <a:effectLst/>
            </c:spPr>
          </c:dPt>
          <c:dPt>
            <c:idx val="2"/>
            <c:bubble3D val="false"/>
            <c:spPr>
              <a:solidFill>
                <a:srgbClr val="C0504D">
                  <a:alpha val="86000"/>
                </a:srgbClr>
              </a:solidFill>
              <a:ln w="31750">
                <a:solidFill>
                  <a:schemeClr val="bg1">
                    <a:alpha val="42000"/>
                  </a:schemeClr>
                </a:solidFill>
              </a:ln>
              <a:effectLst/>
            </c:spPr>
          </c:dPt>
          <c:dLbls>
            <c:numFmt formatCode="General" sourceLinked="true"/>
            <c:spPr>
              <a:noFill/>
              <a:ln>
                <a:noFill/>
              </a:ln>
              <a:effectLst/>
            </c:spPr>
            <c:txPr>
              <a:bodyPr rot="0" spcFirstLastPara="0" vertOverflow="ellipsis" vert="horz" wrap="square" lIns="38100" tIns="19050" rIns="38100" bIns="19050" anchor="ctr" anchorCtr="true" forceAA="false"/>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outEnd"/>
            <c:showLegendKey val="tru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Sheet1!$A$2:$A$4</c:f>
              <c:strCache>
                <c:ptCount val="3"/>
                <c:pt idx="0">
                  <c:v>社会保障和就业（类）</c:v>
                </c:pt>
                <c:pt idx="1">
                  <c:v>卫生健康支出（类）</c:v>
                </c:pt>
                <c:pt idx="2">
                  <c:v>住房保障支出（类）</c:v>
                </c:pt>
              </c:strCache>
            </c:strRef>
          </c:cat>
          <c:val>
            <c:numRef>
              <c:f>Sheet1!$B$2:$B$4</c:f>
              <c:numCache>
                <c:formatCode>General</c:formatCode>
                <c:ptCount val="3"/>
                <c:pt idx="0">
                  <c:v>608.19</c:v>
                </c:pt>
                <c:pt idx="1">
                  <c:v>23.13</c:v>
                </c:pt>
                <c:pt idx="2">
                  <c:v>46.71</c:v>
                </c:pt>
              </c:numCache>
            </c:numRef>
          </c:val>
        </c:ser>
        <c:dLbls>
          <c:showLegendKey val="false"/>
          <c:showVal val="false"/>
          <c:showCatName val="true"/>
          <c:showSerName val="false"/>
          <c:showPercent val="true"/>
          <c:showBubbleSize val="false"/>
          <c:showLeaderLines val="true"/>
        </c:dLbls>
        <c:firstSliceAng val="0"/>
      </c:pieChart>
      <c:spPr>
        <a:noFill/>
        <a:ln>
          <a:noFill/>
        </a:ln>
        <a:effectLst/>
      </c:spPr>
    </c:plotArea>
    <c:legend>
      <c:legendPos val="t"/>
      <c:legendEntry>
        <c:idx val="0"/>
        <c:txPr>
          <a:bodyPr rot="0" spcFirstLastPara="0" vertOverflow="ellipsis" vert="horz" wrap="square" anchor="ctr" anchorCtr="true"/>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Entry>
      <c:legendEntry>
        <c:idx val="1"/>
        <c:txPr>
          <a:bodyPr rot="0" spcFirstLastPara="0" vertOverflow="ellipsis" vert="horz" wrap="square" anchor="ctr" anchorCtr="true"/>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Entry>
      <c:legendEntry>
        <c:idx val="2"/>
        <c:txPr>
          <a:bodyPr rot="0" spcFirstLastPara="0" vertOverflow="ellipsis" vert="horz" wrap="square" anchor="ctr" anchorCtr="true"/>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Entry>
      <c:layout/>
      <c:overlay val="false"/>
      <c:spPr>
        <a:noFill/>
        <a:ln>
          <a:noFill/>
        </a:ln>
        <a:effectLst/>
      </c:spPr>
      <c:txPr>
        <a:bodyPr rot="0" spcFirstLastPara="0" vertOverflow="ellipsis" vert="horz" wrap="square" anchor="ctr" anchorCtr="true" forceAA="false"/>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a:outerShdw blurRad="63500" dist="37357" dir="2700000" sx="0" sy="0" rotWithShape="0">
        <a:scrgbClr r="0" g="0" b="0"/>
      </a:outerShdw>
    </a:effectLst>
  </c:spPr>
  <c:txPr>
    <a:bodyPr/>
    <a:lstStyle/>
    <a:p>
      <a:pPr>
        <a:defRPr lang="zh-CN">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externalData r:id="rId1">
    <c:autoUpdate val="false"/>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true" forceAA="false"/>
          <a:lstStyle/>
          <a:p>
            <a:pPr defTabSz="914400">
              <a:defRPr lang="zh-CN" sz="1400" b="0" i="0" u="none" strike="noStrike" kern="1200" spc="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rPr altLang="zh-CN">
                <a:solidFill>
                  <a:sysClr val="windowText" lastClr="000000"/>
                </a:solidFill>
              </a:rPr>
              <a:t>三公经费财政拨款支出结构图</a:t>
            </a:r>
            <a:endParaRPr altLang="zh-CN">
              <a:solidFill>
                <a:sysClr val="windowText" lastClr="000000"/>
              </a:solidFill>
            </a:endParaRPr>
          </a:p>
        </c:rich>
      </c:tx>
      <c:layout/>
      <c:overlay val="false"/>
      <c:spPr>
        <a:noFill/>
        <a:ln>
          <a:noFill/>
        </a:ln>
        <a:effectLst/>
      </c:spPr>
    </c:title>
    <c:autoTitleDeleted val="false"/>
    <c:plotArea>
      <c:layout>
        <c:manualLayout>
          <c:layoutTarget val="inner"/>
          <c:xMode val="edge"/>
          <c:yMode val="edge"/>
          <c:x val="0.300459674049311"/>
          <c:y val="0.25974025974026"/>
          <c:w val="0.408552723220504"/>
          <c:h val="0.692561983471074"/>
        </c:manualLayout>
      </c:layout>
      <c:pieChart>
        <c:varyColors val="true"/>
        <c:ser>
          <c:idx val="0"/>
          <c:order val="0"/>
          <c:tx>
            <c:strRef>
              <c:f>Sheet1!$B$1</c:f>
              <c:strCache>
                <c:ptCount val="1"/>
                <c:pt idx="0">
                  <c:v>三公经费财政拨款支出</c:v>
                </c:pt>
              </c:strCache>
            </c:strRef>
          </c:tx>
          <c:spPr>
            <a:solidFill>
              <a:srgbClr val="C0504D"/>
            </a:solidFill>
            <a:ln w="31750">
              <a:solidFill>
                <a:schemeClr val="bg1">
                  <a:alpha val="42000"/>
                </a:schemeClr>
              </a:solidFill>
            </a:ln>
          </c:spPr>
          <c:explosion val="0"/>
          <c:dPt>
            <c:idx val="0"/>
            <c:bubble3D val="false"/>
            <c:spPr>
              <a:solidFill>
                <a:srgbClr val="4F81BD"/>
              </a:solidFill>
              <a:ln w="31750">
                <a:solidFill>
                  <a:schemeClr val="bg1">
                    <a:alpha val="42000"/>
                  </a:schemeClr>
                </a:solidFill>
              </a:ln>
              <a:effectLst/>
            </c:spPr>
          </c:dPt>
          <c:dPt>
            <c:idx val="1"/>
            <c:bubble3D val="false"/>
            <c:spPr>
              <a:solidFill>
                <a:srgbClr val="C0504D">
                  <a:alpha val="86000"/>
                </a:srgbClr>
              </a:solidFill>
              <a:ln w="31750">
                <a:solidFill>
                  <a:schemeClr val="bg1">
                    <a:alpha val="42000"/>
                  </a:schemeClr>
                </a:solidFill>
              </a:ln>
              <a:effectLst/>
            </c:spPr>
          </c:dPt>
          <c:dLbls>
            <c:numFmt formatCode="General" sourceLinked="true"/>
            <c:spPr>
              <a:noFill/>
              <a:ln>
                <a:noFill/>
              </a:ln>
              <a:effectLst/>
            </c:spPr>
            <c:txPr>
              <a:bodyPr rot="0" spcFirstLastPara="0" vertOverflow="ellipsis" vert="horz" wrap="square" lIns="38100" tIns="19050" rIns="38100" bIns="19050" anchor="ctr" anchorCtr="true" forceAA="false"/>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outEnd"/>
            <c:showLegendKey val="tru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Sheet1!$A$2:$A$3</c:f>
              <c:strCache>
                <c:ptCount val="2"/>
                <c:pt idx="0">
                  <c:v>公务用车购置及运行维护费</c:v>
                </c:pt>
                <c:pt idx="1">
                  <c:v>公务接待费</c:v>
                </c:pt>
              </c:strCache>
            </c:strRef>
          </c:cat>
          <c:val>
            <c:numRef>
              <c:f>Sheet1!$B$2:$B$3</c:f>
              <c:numCache>
                <c:formatCode>General</c:formatCode>
                <c:ptCount val="2"/>
                <c:pt idx="0">
                  <c:v>7</c:v>
                </c:pt>
                <c:pt idx="1">
                  <c:v>0.32</c:v>
                </c:pt>
              </c:numCache>
            </c:numRef>
          </c:val>
        </c:ser>
        <c:dLbls>
          <c:showLegendKey val="false"/>
          <c:showVal val="false"/>
          <c:showCatName val="true"/>
          <c:showSerName val="false"/>
          <c:showPercent val="true"/>
          <c:showBubbleSize val="false"/>
          <c:showLeaderLines val="true"/>
        </c:dLbls>
        <c:firstSliceAng val="0"/>
      </c:pieChart>
      <c:spPr>
        <a:noFill/>
        <a:ln>
          <a:noFill/>
        </a:ln>
        <a:effectLst/>
      </c:spPr>
    </c:plotArea>
    <c:legend>
      <c:legendPos val="t"/>
      <c:legendEntry>
        <c:idx val="0"/>
        <c:txPr>
          <a:bodyPr rot="0" spcFirstLastPara="0" vertOverflow="ellipsis" vert="horz" wrap="square" anchor="ctr" anchorCtr="true"/>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Entry>
      <c:legendEntry>
        <c:idx val="1"/>
        <c:txPr>
          <a:bodyPr rot="0" spcFirstLastPara="0" vertOverflow="ellipsis" vert="horz" wrap="square" anchor="ctr" anchorCtr="true"/>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Entry>
      <c:layout/>
      <c:overlay val="false"/>
      <c:spPr>
        <a:noFill/>
        <a:ln>
          <a:noFill/>
        </a:ln>
        <a:effectLst/>
      </c:spPr>
      <c:txPr>
        <a:bodyPr rot="0" spcFirstLastPara="0" vertOverflow="ellipsis" vert="horz" wrap="square" anchor="ctr" anchorCtr="true" forceAA="false"/>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a:outerShdw blurRad="63500" dist="37357" dir="2700000" sx="0" sy="0" rotWithShape="0">
        <a:scrgbClr r="0" g="0" b="0"/>
      </a:outerShdw>
    </a:effectLst>
  </c:spPr>
  <c:txPr>
    <a:bodyPr/>
    <a:lstStyle/>
    <a:p>
      <a:pPr>
        <a:defRPr lang="zh-CN">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externalData r:id="rId1">
    <c:autoUpdate val="false"/>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四川省财政厅</Company>
  <Pages>55</Pages>
  <Words>21905</Words>
  <Characters>24017</Characters>
  <Lines>61</Lines>
  <Paragraphs>17</Paragraphs>
  <TotalTime>3</TotalTime>
  <ScaleCrop>false</ScaleCrop>
  <LinksUpToDate>false</LinksUpToDate>
  <CharactersWithSpaces>24111</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2020-08-05T17:49:00Z</dcterms:created>
  <dc:creator>曹颖</dc:creator>
  <cp:lastModifiedBy> </cp:lastModifiedBy>
  <cp:lastPrinted>2022-08-06T18:23:00Z</cp:lastPrinted>
  <dcterms:modified xsi:type="dcterms:W3CDTF">2024-12-12T17:12:27Z</dcterms:modified>
  <dc:title>四川省***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5AF4D8E6225249DEAF29F2B1497E4ACD</vt:lpwstr>
  </property>
</Properties>
</file>