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D569F">
      <w:pPr>
        <w:widowControl/>
        <w:shd w:val="clear" w:color="auto" w:fill="FFFFFF"/>
        <w:spacing w:line="625" w:lineRule="atLeast"/>
        <w:jc w:val="center"/>
        <w:outlineLvl w:val="9"/>
        <w:rPr>
          <w:rFonts w:hint="eastAsia" w:ascii="微软雅黑" w:hAnsi="微软雅黑" w:eastAsia="微软雅黑" w:cs="宋体"/>
          <w:b/>
          <w:bCs/>
          <w:color w:val="000000"/>
          <w:kern w:val="0"/>
          <w:sz w:val="37"/>
          <w:szCs w:val="37"/>
        </w:rPr>
      </w:pPr>
      <w:bookmarkStart w:id="0" w:name="_Toc2482"/>
      <w:bookmarkStart w:id="1" w:name="_Toc8278"/>
    </w:p>
    <w:p w14:paraId="20B627D0">
      <w:pPr>
        <w:widowControl/>
        <w:shd w:val="clear" w:color="auto" w:fill="FFFFFF"/>
        <w:spacing w:line="625" w:lineRule="atLeast"/>
        <w:jc w:val="center"/>
        <w:outlineLvl w:val="0"/>
        <w:rPr>
          <w:rFonts w:hint="eastAsia" w:ascii="微软雅黑" w:hAnsi="微软雅黑" w:eastAsia="微软雅黑" w:cs="宋体"/>
          <w:b/>
          <w:bCs/>
          <w:color w:val="000000"/>
          <w:kern w:val="0"/>
          <w:sz w:val="37"/>
          <w:szCs w:val="37"/>
        </w:rPr>
      </w:pPr>
      <w:bookmarkStart w:id="2" w:name="_Toc29902"/>
      <w:bookmarkStart w:id="3" w:name="_Toc2712"/>
      <w:r>
        <w:rPr>
          <w:rFonts w:hint="eastAsia" w:ascii="微软雅黑" w:hAnsi="微软雅黑" w:eastAsia="微软雅黑" w:cs="宋体"/>
          <w:b/>
          <w:bCs/>
          <w:color w:val="000000"/>
          <w:kern w:val="0"/>
          <w:sz w:val="37"/>
          <w:szCs w:val="37"/>
        </w:rPr>
        <w:t>广元市朝天区人民法院2023年部门预算</w:t>
      </w:r>
      <w:bookmarkEnd w:id="0"/>
      <w:bookmarkEnd w:id="1"/>
      <w:bookmarkEnd w:id="2"/>
      <w:bookmarkEnd w:id="3"/>
      <w:bookmarkStart w:id="106" w:name="_GoBack"/>
      <w:bookmarkEnd w:id="106"/>
    </w:p>
    <w:sdt>
      <w:sdtPr>
        <w:rPr>
          <w:rFonts w:ascii="宋体" w:hAnsi="宋体" w:eastAsia="宋体" w:cstheme="minorBidi"/>
          <w:kern w:val="2"/>
          <w:sz w:val="21"/>
          <w:szCs w:val="22"/>
          <w:lang w:val="en-US" w:eastAsia="zh-CN" w:bidi="ar-SA"/>
        </w:rPr>
        <w:id w:val="147470562"/>
        <w15:color w:val="DBDBDB"/>
        <w:docPartObj>
          <w:docPartGallery w:val="Table of Contents"/>
          <w:docPartUnique/>
        </w:docPartObj>
      </w:sdtPr>
      <w:sdtContent>
        <w:p w14:paraId="3F11413B">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pPr>
        </w:p>
        <w:p w14:paraId="4267B9F9">
          <w:pPr>
            <w:spacing w:before="0" w:beforeLines="0" w:after="0" w:afterLines="0" w:line="240" w:lineRule="auto"/>
            <w:ind w:left="0" w:leftChars="0" w:right="0" w:rightChars="0" w:firstLine="0" w:firstLineChars="0"/>
            <w:jc w:val="center"/>
          </w:pPr>
          <w:r>
            <w:rPr>
              <w:rFonts w:ascii="宋体" w:hAnsi="宋体" w:eastAsia="宋体"/>
              <w:sz w:val="21"/>
            </w:rPr>
            <w:t>目录</w:t>
          </w:r>
        </w:p>
        <w:p w14:paraId="55FB6043">
          <w:pPr>
            <w:pStyle w:val="8"/>
            <w:tabs>
              <w:tab w:val="right" w:leader="dot" w:pos="8306"/>
            </w:tabs>
          </w:pPr>
          <w:r>
            <w:fldChar w:fldCharType="begin"/>
          </w:r>
          <w:r>
            <w:instrText xml:space="preserve">TOC \o "1-3" \h \u </w:instrText>
          </w:r>
          <w:r>
            <w:fldChar w:fldCharType="separate"/>
          </w:r>
          <w:r>
            <w:fldChar w:fldCharType="begin"/>
          </w:r>
          <w:r>
            <w:instrText xml:space="preserve"> HYPERLINK \l _Toc29030 </w:instrText>
          </w:r>
          <w:r>
            <w:fldChar w:fldCharType="separate"/>
          </w:r>
          <w:r>
            <w:rPr>
              <w:rFonts w:hint="eastAsia" w:ascii="微软雅黑" w:hAnsi="微软雅黑" w:eastAsia="微软雅黑" w:cs="宋体"/>
              <w:kern w:val="0"/>
              <w:szCs w:val="25"/>
            </w:rPr>
            <w:t>一、基本职能及主要工作</w:t>
          </w:r>
          <w:r>
            <w:tab/>
          </w:r>
          <w:r>
            <w:fldChar w:fldCharType="begin"/>
          </w:r>
          <w:r>
            <w:instrText xml:space="preserve"> PAGEREF _Toc29030 \h </w:instrText>
          </w:r>
          <w:r>
            <w:fldChar w:fldCharType="separate"/>
          </w:r>
          <w:r>
            <w:t>1</w:t>
          </w:r>
          <w:r>
            <w:fldChar w:fldCharType="end"/>
          </w:r>
          <w:r>
            <w:fldChar w:fldCharType="end"/>
          </w:r>
        </w:p>
        <w:p w14:paraId="1D369B1D">
          <w:pPr>
            <w:pStyle w:val="9"/>
            <w:tabs>
              <w:tab w:val="right" w:leader="dot" w:pos="8306"/>
            </w:tabs>
          </w:pPr>
          <w:r>
            <w:fldChar w:fldCharType="begin"/>
          </w:r>
          <w:r>
            <w:instrText xml:space="preserve"> HYPERLINK \l _Toc30236 </w:instrText>
          </w:r>
          <w:r>
            <w:fldChar w:fldCharType="separate"/>
          </w:r>
          <w:r>
            <w:rPr>
              <w:rFonts w:hint="eastAsia" w:ascii="微软雅黑" w:hAnsi="微软雅黑" w:eastAsia="微软雅黑" w:cs="宋体"/>
              <w:kern w:val="0"/>
              <w:szCs w:val="25"/>
            </w:rPr>
            <w:t>（一）广元市朝天区人民法院职能简介</w:t>
          </w:r>
          <w:r>
            <w:tab/>
          </w:r>
          <w:r>
            <w:fldChar w:fldCharType="begin"/>
          </w:r>
          <w:r>
            <w:instrText xml:space="preserve"> PAGEREF _Toc30236 \h </w:instrText>
          </w:r>
          <w:r>
            <w:fldChar w:fldCharType="separate"/>
          </w:r>
          <w:r>
            <w:t>1</w:t>
          </w:r>
          <w:r>
            <w:fldChar w:fldCharType="end"/>
          </w:r>
          <w:r>
            <w:fldChar w:fldCharType="end"/>
          </w:r>
        </w:p>
        <w:p w14:paraId="20A4521A">
          <w:pPr>
            <w:pStyle w:val="9"/>
            <w:tabs>
              <w:tab w:val="right" w:leader="dot" w:pos="8306"/>
            </w:tabs>
          </w:pPr>
          <w:r>
            <w:fldChar w:fldCharType="begin"/>
          </w:r>
          <w:r>
            <w:instrText xml:space="preserve"> HYPERLINK \l _Toc13238 </w:instrText>
          </w:r>
          <w:r>
            <w:fldChar w:fldCharType="separate"/>
          </w:r>
          <w:r>
            <w:rPr>
              <w:rFonts w:hint="eastAsia" w:ascii="微软雅黑" w:hAnsi="微软雅黑" w:eastAsia="微软雅黑" w:cs="宋体"/>
              <w:kern w:val="0"/>
              <w:szCs w:val="25"/>
            </w:rPr>
            <w:t>（二）广元市朝天区人民法院2023年重点工作</w:t>
          </w:r>
          <w:r>
            <w:tab/>
          </w:r>
          <w:r>
            <w:fldChar w:fldCharType="begin"/>
          </w:r>
          <w:r>
            <w:instrText xml:space="preserve"> PAGEREF _Toc13238 \h </w:instrText>
          </w:r>
          <w:r>
            <w:fldChar w:fldCharType="separate"/>
          </w:r>
          <w:r>
            <w:t>1</w:t>
          </w:r>
          <w:r>
            <w:fldChar w:fldCharType="end"/>
          </w:r>
          <w:r>
            <w:fldChar w:fldCharType="end"/>
          </w:r>
        </w:p>
        <w:p w14:paraId="53C3EF5A">
          <w:pPr>
            <w:pStyle w:val="8"/>
            <w:tabs>
              <w:tab w:val="right" w:leader="dot" w:pos="8306"/>
            </w:tabs>
          </w:pPr>
          <w:r>
            <w:fldChar w:fldCharType="begin"/>
          </w:r>
          <w:r>
            <w:instrText xml:space="preserve"> HYPERLINK \l _Toc2112 </w:instrText>
          </w:r>
          <w:r>
            <w:fldChar w:fldCharType="separate"/>
          </w:r>
          <w:r>
            <w:rPr>
              <w:rFonts w:hint="eastAsia" w:ascii="微软雅黑" w:hAnsi="微软雅黑" w:eastAsia="微软雅黑" w:cs="宋体"/>
              <w:kern w:val="0"/>
              <w:szCs w:val="25"/>
            </w:rPr>
            <w:t>二、部门预算单位构成</w:t>
          </w:r>
          <w:r>
            <w:tab/>
          </w:r>
          <w:r>
            <w:fldChar w:fldCharType="begin"/>
          </w:r>
          <w:r>
            <w:instrText xml:space="preserve"> PAGEREF _Toc2112 \h </w:instrText>
          </w:r>
          <w:r>
            <w:fldChar w:fldCharType="separate"/>
          </w:r>
          <w:r>
            <w:t>2</w:t>
          </w:r>
          <w:r>
            <w:fldChar w:fldCharType="end"/>
          </w:r>
          <w:r>
            <w:fldChar w:fldCharType="end"/>
          </w:r>
        </w:p>
        <w:p w14:paraId="076D23AB">
          <w:pPr>
            <w:pStyle w:val="8"/>
            <w:tabs>
              <w:tab w:val="right" w:leader="dot" w:pos="8306"/>
            </w:tabs>
          </w:pPr>
          <w:r>
            <w:fldChar w:fldCharType="begin"/>
          </w:r>
          <w:r>
            <w:instrText xml:space="preserve"> HYPERLINK \l _Toc20527 </w:instrText>
          </w:r>
          <w:r>
            <w:fldChar w:fldCharType="separate"/>
          </w:r>
          <w:r>
            <w:rPr>
              <w:rFonts w:hint="eastAsia" w:ascii="微软雅黑" w:hAnsi="微软雅黑" w:eastAsia="微软雅黑" w:cs="宋体"/>
              <w:kern w:val="0"/>
              <w:szCs w:val="25"/>
              <w:lang w:val="en-US" w:eastAsia="zh-CN"/>
            </w:rPr>
            <w:t>三</w:t>
          </w:r>
          <w:r>
            <w:rPr>
              <w:rFonts w:hint="eastAsia" w:ascii="微软雅黑" w:hAnsi="微软雅黑" w:eastAsia="微软雅黑" w:cs="宋体"/>
              <w:kern w:val="0"/>
              <w:szCs w:val="25"/>
            </w:rPr>
            <w:t>、收支预算情况说明</w:t>
          </w:r>
          <w:r>
            <w:tab/>
          </w:r>
          <w:r>
            <w:fldChar w:fldCharType="begin"/>
          </w:r>
          <w:r>
            <w:instrText xml:space="preserve"> PAGEREF _Toc20527 \h </w:instrText>
          </w:r>
          <w:r>
            <w:fldChar w:fldCharType="separate"/>
          </w:r>
          <w:r>
            <w:t>3</w:t>
          </w:r>
          <w:r>
            <w:fldChar w:fldCharType="end"/>
          </w:r>
          <w:r>
            <w:fldChar w:fldCharType="end"/>
          </w:r>
        </w:p>
        <w:p w14:paraId="39A56BD0">
          <w:pPr>
            <w:pStyle w:val="9"/>
            <w:tabs>
              <w:tab w:val="right" w:leader="dot" w:pos="8306"/>
            </w:tabs>
          </w:pPr>
          <w:r>
            <w:fldChar w:fldCharType="begin"/>
          </w:r>
          <w:r>
            <w:instrText xml:space="preserve"> HYPERLINK \l _Toc425 </w:instrText>
          </w:r>
          <w:r>
            <w:fldChar w:fldCharType="separate"/>
          </w:r>
          <w:r>
            <w:rPr>
              <w:rFonts w:hint="eastAsia" w:ascii="微软雅黑" w:hAnsi="微软雅黑" w:eastAsia="微软雅黑" w:cs="宋体"/>
              <w:kern w:val="0"/>
              <w:szCs w:val="25"/>
            </w:rPr>
            <w:t>（一）收入预算情况</w:t>
          </w:r>
          <w:r>
            <w:tab/>
          </w:r>
          <w:r>
            <w:fldChar w:fldCharType="begin"/>
          </w:r>
          <w:r>
            <w:instrText xml:space="preserve"> PAGEREF _Toc425 \h </w:instrText>
          </w:r>
          <w:r>
            <w:fldChar w:fldCharType="separate"/>
          </w:r>
          <w:r>
            <w:t>3</w:t>
          </w:r>
          <w:r>
            <w:fldChar w:fldCharType="end"/>
          </w:r>
          <w:r>
            <w:fldChar w:fldCharType="end"/>
          </w:r>
        </w:p>
        <w:p w14:paraId="7E4AF57F">
          <w:pPr>
            <w:pStyle w:val="9"/>
            <w:tabs>
              <w:tab w:val="right" w:leader="dot" w:pos="8306"/>
            </w:tabs>
          </w:pPr>
          <w:r>
            <w:fldChar w:fldCharType="begin"/>
          </w:r>
          <w:r>
            <w:instrText xml:space="preserve"> HYPERLINK \l _Toc920 </w:instrText>
          </w:r>
          <w:r>
            <w:fldChar w:fldCharType="separate"/>
          </w:r>
          <w:r>
            <w:rPr>
              <w:rFonts w:hint="eastAsia" w:ascii="微软雅黑" w:hAnsi="微软雅黑" w:eastAsia="微软雅黑" w:cs="宋体"/>
              <w:kern w:val="0"/>
              <w:szCs w:val="25"/>
            </w:rPr>
            <w:t>（二）支出预算情况</w:t>
          </w:r>
          <w:r>
            <w:tab/>
          </w:r>
          <w:r>
            <w:fldChar w:fldCharType="begin"/>
          </w:r>
          <w:r>
            <w:instrText xml:space="preserve"> PAGEREF _Toc920 \h </w:instrText>
          </w:r>
          <w:r>
            <w:fldChar w:fldCharType="separate"/>
          </w:r>
          <w:r>
            <w:t>3</w:t>
          </w:r>
          <w:r>
            <w:fldChar w:fldCharType="end"/>
          </w:r>
          <w:r>
            <w:fldChar w:fldCharType="end"/>
          </w:r>
        </w:p>
        <w:p w14:paraId="65913991">
          <w:pPr>
            <w:pStyle w:val="8"/>
            <w:tabs>
              <w:tab w:val="right" w:leader="dot" w:pos="8306"/>
            </w:tabs>
          </w:pPr>
          <w:r>
            <w:fldChar w:fldCharType="begin"/>
          </w:r>
          <w:r>
            <w:instrText xml:space="preserve"> HYPERLINK \l _Toc25638 </w:instrText>
          </w:r>
          <w:r>
            <w:fldChar w:fldCharType="separate"/>
          </w:r>
          <w:r>
            <w:rPr>
              <w:rFonts w:hint="eastAsia" w:ascii="微软雅黑" w:hAnsi="微软雅黑" w:eastAsia="微软雅黑" w:cs="宋体"/>
              <w:kern w:val="0"/>
              <w:szCs w:val="25"/>
              <w:lang w:val="en-US" w:eastAsia="zh-CN"/>
            </w:rPr>
            <w:t>四</w:t>
          </w:r>
          <w:r>
            <w:rPr>
              <w:rFonts w:hint="eastAsia" w:ascii="微软雅黑" w:hAnsi="微软雅黑" w:eastAsia="微软雅黑" w:cs="宋体"/>
              <w:kern w:val="0"/>
              <w:szCs w:val="25"/>
            </w:rPr>
            <w:t>、财政拨款收支预算情况说明</w:t>
          </w:r>
          <w:r>
            <w:tab/>
          </w:r>
          <w:r>
            <w:fldChar w:fldCharType="begin"/>
          </w:r>
          <w:r>
            <w:instrText xml:space="preserve"> PAGEREF _Toc25638 \h </w:instrText>
          </w:r>
          <w:r>
            <w:fldChar w:fldCharType="separate"/>
          </w:r>
          <w:r>
            <w:t>3</w:t>
          </w:r>
          <w:r>
            <w:fldChar w:fldCharType="end"/>
          </w:r>
          <w:r>
            <w:fldChar w:fldCharType="end"/>
          </w:r>
        </w:p>
        <w:p w14:paraId="2F55853E">
          <w:pPr>
            <w:pStyle w:val="8"/>
            <w:tabs>
              <w:tab w:val="right" w:leader="dot" w:pos="8306"/>
            </w:tabs>
          </w:pPr>
          <w:r>
            <w:fldChar w:fldCharType="begin"/>
          </w:r>
          <w:r>
            <w:instrText xml:space="preserve"> HYPERLINK \l _Toc21269 </w:instrText>
          </w:r>
          <w:r>
            <w:fldChar w:fldCharType="separate"/>
          </w:r>
          <w:r>
            <w:rPr>
              <w:rFonts w:hint="eastAsia" w:ascii="微软雅黑" w:hAnsi="微软雅黑" w:eastAsia="微软雅黑" w:cs="宋体"/>
              <w:kern w:val="0"/>
              <w:szCs w:val="25"/>
              <w:lang w:val="en-US" w:eastAsia="zh-CN"/>
            </w:rPr>
            <w:t>五</w:t>
          </w:r>
          <w:r>
            <w:rPr>
              <w:rFonts w:hint="eastAsia" w:ascii="微软雅黑" w:hAnsi="微软雅黑" w:eastAsia="微软雅黑" w:cs="宋体"/>
              <w:kern w:val="0"/>
              <w:szCs w:val="25"/>
            </w:rPr>
            <w:t>、一般公共预算当年拨款情况说明</w:t>
          </w:r>
          <w:r>
            <w:tab/>
          </w:r>
          <w:r>
            <w:fldChar w:fldCharType="begin"/>
          </w:r>
          <w:r>
            <w:instrText xml:space="preserve"> PAGEREF _Toc21269 \h </w:instrText>
          </w:r>
          <w:r>
            <w:fldChar w:fldCharType="separate"/>
          </w:r>
          <w:r>
            <w:t>4</w:t>
          </w:r>
          <w:r>
            <w:fldChar w:fldCharType="end"/>
          </w:r>
          <w:r>
            <w:fldChar w:fldCharType="end"/>
          </w:r>
        </w:p>
        <w:p w14:paraId="1D50B8B8">
          <w:pPr>
            <w:pStyle w:val="9"/>
            <w:tabs>
              <w:tab w:val="right" w:leader="dot" w:pos="8306"/>
            </w:tabs>
          </w:pPr>
          <w:r>
            <w:fldChar w:fldCharType="begin"/>
          </w:r>
          <w:r>
            <w:instrText xml:space="preserve"> HYPERLINK \l _Toc18800 </w:instrText>
          </w:r>
          <w:r>
            <w:fldChar w:fldCharType="separate"/>
          </w:r>
          <w:r>
            <w:rPr>
              <w:rFonts w:hint="eastAsia" w:ascii="微软雅黑" w:hAnsi="微软雅黑" w:eastAsia="微软雅黑" w:cs="宋体"/>
              <w:kern w:val="0"/>
              <w:szCs w:val="25"/>
            </w:rPr>
            <w:t>（一）一般公共预算当年拨款规模变化情况</w:t>
          </w:r>
          <w:r>
            <w:tab/>
          </w:r>
          <w:r>
            <w:fldChar w:fldCharType="begin"/>
          </w:r>
          <w:r>
            <w:instrText xml:space="preserve"> PAGEREF _Toc18800 \h </w:instrText>
          </w:r>
          <w:r>
            <w:fldChar w:fldCharType="separate"/>
          </w:r>
          <w:r>
            <w:t>4</w:t>
          </w:r>
          <w:r>
            <w:fldChar w:fldCharType="end"/>
          </w:r>
          <w:r>
            <w:fldChar w:fldCharType="end"/>
          </w:r>
        </w:p>
        <w:p w14:paraId="14F7BF86">
          <w:pPr>
            <w:pStyle w:val="9"/>
            <w:tabs>
              <w:tab w:val="right" w:leader="dot" w:pos="8306"/>
            </w:tabs>
          </w:pPr>
          <w:r>
            <w:fldChar w:fldCharType="begin"/>
          </w:r>
          <w:r>
            <w:instrText xml:space="preserve"> HYPERLINK \l _Toc32284 </w:instrText>
          </w:r>
          <w:r>
            <w:fldChar w:fldCharType="separate"/>
          </w:r>
          <w:r>
            <w:rPr>
              <w:rFonts w:hint="eastAsia" w:ascii="微软雅黑" w:hAnsi="微软雅黑" w:eastAsia="微软雅黑" w:cs="宋体"/>
              <w:kern w:val="0"/>
              <w:szCs w:val="25"/>
            </w:rPr>
            <w:t>（二）一般公共预算当年拨款结构情况</w:t>
          </w:r>
          <w:r>
            <w:tab/>
          </w:r>
          <w:r>
            <w:fldChar w:fldCharType="begin"/>
          </w:r>
          <w:r>
            <w:instrText xml:space="preserve"> PAGEREF _Toc32284 \h </w:instrText>
          </w:r>
          <w:r>
            <w:fldChar w:fldCharType="separate"/>
          </w:r>
          <w:r>
            <w:t>4</w:t>
          </w:r>
          <w:r>
            <w:fldChar w:fldCharType="end"/>
          </w:r>
          <w:r>
            <w:fldChar w:fldCharType="end"/>
          </w:r>
        </w:p>
        <w:p w14:paraId="4CE86227">
          <w:pPr>
            <w:pStyle w:val="9"/>
            <w:tabs>
              <w:tab w:val="right" w:leader="dot" w:pos="8306"/>
            </w:tabs>
          </w:pPr>
          <w:r>
            <w:fldChar w:fldCharType="begin"/>
          </w:r>
          <w:r>
            <w:instrText xml:space="preserve"> HYPERLINK \l _Toc13650 </w:instrText>
          </w:r>
          <w:r>
            <w:fldChar w:fldCharType="separate"/>
          </w:r>
          <w:r>
            <w:rPr>
              <w:rFonts w:hint="eastAsia" w:ascii="微软雅黑" w:hAnsi="微软雅黑" w:eastAsia="微软雅黑" w:cs="宋体"/>
              <w:kern w:val="0"/>
              <w:szCs w:val="25"/>
            </w:rPr>
            <w:t>（三）一般公共预算当年拨款具体使用情况</w:t>
          </w:r>
          <w:r>
            <w:tab/>
          </w:r>
          <w:r>
            <w:fldChar w:fldCharType="begin"/>
          </w:r>
          <w:r>
            <w:instrText xml:space="preserve"> PAGEREF _Toc13650 \h </w:instrText>
          </w:r>
          <w:r>
            <w:fldChar w:fldCharType="separate"/>
          </w:r>
          <w:r>
            <w:t>4</w:t>
          </w:r>
          <w:r>
            <w:fldChar w:fldCharType="end"/>
          </w:r>
          <w:r>
            <w:fldChar w:fldCharType="end"/>
          </w:r>
        </w:p>
        <w:p w14:paraId="3F1FA928">
          <w:pPr>
            <w:pStyle w:val="8"/>
            <w:tabs>
              <w:tab w:val="right" w:leader="dot" w:pos="8306"/>
            </w:tabs>
          </w:pPr>
          <w:r>
            <w:fldChar w:fldCharType="begin"/>
          </w:r>
          <w:r>
            <w:instrText xml:space="preserve"> HYPERLINK \l _Toc31408 </w:instrText>
          </w:r>
          <w:r>
            <w:fldChar w:fldCharType="separate"/>
          </w:r>
          <w:r>
            <w:rPr>
              <w:rFonts w:hint="eastAsia" w:ascii="微软雅黑" w:hAnsi="微软雅黑" w:eastAsia="微软雅黑" w:cs="宋体"/>
              <w:kern w:val="0"/>
              <w:szCs w:val="25"/>
              <w:lang w:val="en-US" w:eastAsia="zh-CN"/>
            </w:rPr>
            <w:t>六</w:t>
          </w:r>
          <w:r>
            <w:rPr>
              <w:rFonts w:hint="eastAsia" w:ascii="微软雅黑" w:hAnsi="微软雅黑" w:eastAsia="微软雅黑" w:cs="宋体"/>
              <w:kern w:val="0"/>
              <w:szCs w:val="25"/>
            </w:rPr>
            <w:t>、一般公共预算基本支出情况说明</w:t>
          </w:r>
          <w:r>
            <w:tab/>
          </w:r>
          <w:r>
            <w:fldChar w:fldCharType="begin"/>
          </w:r>
          <w:r>
            <w:instrText xml:space="preserve"> PAGEREF _Toc31408 \h </w:instrText>
          </w:r>
          <w:r>
            <w:fldChar w:fldCharType="separate"/>
          </w:r>
          <w:r>
            <w:t>5</w:t>
          </w:r>
          <w:r>
            <w:fldChar w:fldCharType="end"/>
          </w:r>
          <w:r>
            <w:fldChar w:fldCharType="end"/>
          </w:r>
        </w:p>
        <w:p w14:paraId="522311CC">
          <w:pPr>
            <w:pStyle w:val="8"/>
            <w:tabs>
              <w:tab w:val="right" w:leader="dot" w:pos="8306"/>
            </w:tabs>
          </w:pPr>
          <w:r>
            <w:fldChar w:fldCharType="begin"/>
          </w:r>
          <w:r>
            <w:instrText xml:space="preserve"> HYPERLINK \l _Toc27017 </w:instrText>
          </w:r>
          <w:r>
            <w:fldChar w:fldCharType="separate"/>
          </w:r>
          <w:r>
            <w:rPr>
              <w:rFonts w:hint="eastAsia" w:ascii="微软雅黑" w:hAnsi="微软雅黑" w:eastAsia="微软雅黑" w:cs="宋体"/>
              <w:kern w:val="0"/>
              <w:szCs w:val="25"/>
              <w:lang w:val="en-US" w:eastAsia="zh-CN"/>
            </w:rPr>
            <w:t>七</w:t>
          </w:r>
          <w:r>
            <w:rPr>
              <w:rFonts w:hint="eastAsia" w:ascii="微软雅黑" w:hAnsi="微软雅黑" w:eastAsia="微软雅黑" w:cs="宋体"/>
              <w:kern w:val="0"/>
              <w:szCs w:val="25"/>
            </w:rPr>
            <w:t>、“三公”经费财政拨款预算安排情况说明</w:t>
          </w:r>
          <w:r>
            <w:tab/>
          </w:r>
          <w:r>
            <w:fldChar w:fldCharType="begin"/>
          </w:r>
          <w:r>
            <w:instrText xml:space="preserve"> PAGEREF _Toc27017 \h </w:instrText>
          </w:r>
          <w:r>
            <w:fldChar w:fldCharType="separate"/>
          </w:r>
          <w:r>
            <w:t>5</w:t>
          </w:r>
          <w:r>
            <w:fldChar w:fldCharType="end"/>
          </w:r>
          <w:r>
            <w:fldChar w:fldCharType="end"/>
          </w:r>
        </w:p>
        <w:p w14:paraId="1F12B101">
          <w:pPr>
            <w:pStyle w:val="9"/>
            <w:tabs>
              <w:tab w:val="right" w:leader="dot" w:pos="8306"/>
            </w:tabs>
          </w:pPr>
          <w:r>
            <w:fldChar w:fldCharType="begin"/>
          </w:r>
          <w:r>
            <w:instrText xml:space="preserve"> HYPERLINK \l _Toc29012 </w:instrText>
          </w:r>
          <w:r>
            <w:fldChar w:fldCharType="separate"/>
          </w:r>
          <w:r>
            <w:rPr>
              <w:rFonts w:hint="eastAsia" w:ascii="微软雅黑" w:hAnsi="微软雅黑" w:eastAsia="微软雅黑" w:cs="宋体"/>
              <w:kern w:val="0"/>
              <w:szCs w:val="25"/>
            </w:rPr>
            <w:t>（一）公务接待费与2022年预算</w:t>
          </w:r>
          <w:r>
            <w:rPr>
              <w:rFonts w:hint="eastAsia" w:ascii="微软雅黑" w:hAnsi="微软雅黑" w:eastAsia="微软雅黑" w:cs="宋体"/>
              <w:kern w:val="0"/>
              <w:szCs w:val="25"/>
              <w:lang w:eastAsia="zh-CN"/>
            </w:rPr>
            <w:t>相比</w:t>
          </w:r>
          <w:r>
            <w:tab/>
          </w:r>
          <w:r>
            <w:fldChar w:fldCharType="begin"/>
          </w:r>
          <w:r>
            <w:instrText xml:space="preserve"> PAGEREF _Toc29012 \h </w:instrText>
          </w:r>
          <w:r>
            <w:fldChar w:fldCharType="separate"/>
          </w:r>
          <w:r>
            <w:t>5</w:t>
          </w:r>
          <w:r>
            <w:fldChar w:fldCharType="end"/>
          </w:r>
          <w:r>
            <w:fldChar w:fldCharType="end"/>
          </w:r>
        </w:p>
        <w:p w14:paraId="4D4BAA2A">
          <w:pPr>
            <w:pStyle w:val="9"/>
            <w:tabs>
              <w:tab w:val="right" w:leader="dot" w:pos="8306"/>
            </w:tabs>
          </w:pPr>
          <w:r>
            <w:fldChar w:fldCharType="begin"/>
          </w:r>
          <w:r>
            <w:instrText xml:space="preserve"> HYPERLINK \l _Toc24540 </w:instrText>
          </w:r>
          <w:r>
            <w:fldChar w:fldCharType="separate"/>
          </w:r>
          <w:r>
            <w:rPr>
              <w:rFonts w:hint="eastAsia" w:ascii="微软雅黑" w:hAnsi="微软雅黑" w:eastAsia="微软雅黑" w:cs="宋体"/>
              <w:kern w:val="0"/>
              <w:szCs w:val="25"/>
            </w:rPr>
            <w:t>（二）公务用车购置及运行维护费与2022年预算</w:t>
          </w:r>
          <w:r>
            <w:rPr>
              <w:rFonts w:hint="eastAsia" w:ascii="微软雅黑" w:hAnsi="微软雅黑" w:eastAsia="微软雅黑" w:cs="宋体"/>
              <w:kern w:val="0"/>
              <w:szCs w:val="25"/>
              <w:lang w:eastAsia="zh-CN"/>
            </w:rPr>
            <w:t>相比</w:t>
          </w:r>
          <w:r>
            <w:tab/>
          </w:r>
          <w:r>
            <w:fldChar w:fldCharType="begin"/>
          </w:r>
          <w:r>
            <w:instrText xml:space="preserve"> PAGEREF _Toc24540 \h </w:instrText>
          </w:r>
          <w:r>
            <w:fldChar w:fldCharType="separate"/>
          </w:r>
          <w:r>
            <w:t>5</w:t>
          </w:r>
          <w:r>
            <w:fldChar w:fldCharType="end"/>
          </w:r>
          <w:r>
            <w:fldChar w:fldCharType="end"/>
          </w:r>
        </w:p>
        <w:p w14:paraId="61EF799C">
          <w:pPr>
            <w:pStyle w:val="9"/>
            <w:tabs>
              <w:tab w:val="right" w:leader="dot" w:pos="8306"/>
            </w:tabs>
          </w:pPr>
          <w:r>
            <w:fldChar w:fldCharType="begin"/>
          </w:r>
          <w:r>
            <w:instrText xml:space="preserve"> HYPERLINK \l _Toc27311 </w:instrText>
          </w:r>
          <w:r>
            <w:fldChar w:fldCharType="separate"/>
          </w:r>
          <w:r>
            <w:rPr>
              <w:rFonts w:hint="eastAsia" w:ascii="微软雅黑" w:hAnsi="微软雅黑" w:eastAsia="微软雅黑" w:cs="宋体"/>
              <w:kern w:val="0"/>
              <w:szCs w:val="25"/>
            </w:rPr>
            <w:t>（三）因公出国（境）费用与2022年预算</w:t>
          </w:r>
          <w:r>
            <w:rPr>
              <w:rFonts w:hint="eastAsia" w:ascii="微软雅黑" w:hAnsi="微软雅黑" w:eastAsia="微软雅黑" w:cs="宋体"/>
              <w:kern w:val="0"/>
              <w:szCs w:val="25"/>
              <w:lang w:eastAsia="zh-CN"/>
            </w:rPr>
            <w:t>相比</w:t>
          </w:r>
          <w:r>
            <w:tab/>
          </w:r>
          <w:r>
            <w:fldChar w:fldCharType="begin"/>
          </w:r>
          <w:r>
            <w:instrText xml:space="preserve"> PAGEREF _Toc27311 \h </w:instrText>
          </w:r>
          <w:r>
            <w:fldChar w:fldCharType="separate"/>
          </w:r>
          <w:r>
            <w:t>6</w:t>
          </w:r>
          <w:r>
            <w:fldChar w:fldCharType="end"/>
          </w:r>
          <w:r>
            <w:fldChar w:fldCharType="end"/>
          </w:r>
        </w:p>
        <w:p w14:paraId="4F20292C">
          <w:pPr>
            <w:pStyle w:val="8"/>
            <w:tabs>
              <w:tab w:val="right" w:leader="dot" w:pos="8306"/>
            </w:tabs>
          </w:pPr>
          <w:r>
            <w:fldChar w:fldCharType="begin"/>
          </w:r>
          <w:r>
            <w:instrText xml:space="preserve"> HYPERLINK \l _Toc5671 </w:instrText>
          </w:r>
          <w:r>
            <w:fldChar w:fldCharType="separate"/>
          </w:r>
          <w:r>
            <w:rPr>
              <w:rFonts w:hint="eastAsia" w:ascii="微软雅黑" w:hAnsi="微软雅黑" w:eastAsia="微软雅黑" w:cs="宋体"/>
              <w:kern w:val="0"/>
              <w:szCs w:val="25"/>
              <w:lang w:val="en-US" w:eastAsia="zh-CN"/>
            </w:rPr>
            <w:t>八</w:t>
          </w:r>
          <w:r>
            <w:rPr>
              <w:rFonts w:hint="eastAsia" w:ascii="微软雅黑" w:hAnsi="微软雅黑" w:eastAsia="微软雅黑" w:cs="宋体"/>
              <w:kern w:val="0"/>
              <w:szCs w:val="25"/>
            </w:rPr>
            <w:t>、政府性基金预算支出情况说明</w:t>
          </w:r>
          <w:r>
            <w:tab/>
          </w:r>
          <w:r>
            <w:fldChar w:fldCharType="begin"/>
          </w:r>
          <w:r>
            <w:instrText xml:space="preserve"> PAGEREF _Toc5671 \h </w:instrText>
          </w:r>
          <w:r>
            <w:fldChar w:fldCharType="separate"/>
          </w:r>
          <w:r>
            <w:t>6</w:t>
          </w:r>
          <w:r>
            <w:fldChar w:fldCharType="end"/>
          </w:r>
          <w:r>
            <w:fldChar w:fldCharType="end"/>
          </w:r>
        </w:p>
        <w:p w14:paraId="3B2E5652">
          <w:pPr>
            <w:pStyle w:val="8"/>
            <w:tabs>
              <w:tab w:val="right" w:leader="dot" w:pos="8306"/>
            </w:tabs>
          </w:pPr>
          <w:r>
            <w:fldChar w:fldCharType="begin"/>
          </w:r>
          <w:r>
            <w:instrText xml:space="preserve"> HYPERLINK \l _Toc601 </w:instrText>
          </w:r>
          <w:r>
            <w:fldChar w:fldCharType="separate"/>
          </w:r>
          <w:r>
            <w:rPr>
              <w:rFonts w:hint="eastAsia" w:ascii="微软雅黑" w:hAnsi="微软雅黑" w:eastAsia="微软雅黑" w:cs="宋体"/>
              <w:kern w:val="0"/>
              <w:szCs w:val="25"/>
              <w:lang w:val="en-US" w:eastAsia="zh-CN"/>
            </w:rPr>
            <w:t>九</w:t>
          </w:r>
          <w:r>
            <w:rPr>
              <w:rFonts w:hint="eastAsia" w:ascii="微软雅黑" w:hAnsi="微软雅黑" w:eastAsia="微软雅黑" w:cs="宋体"/>
              <w:kern w:val="0"/>
              <w:szCs w:val="25"/>
            </w:rPr>
            <w:t>、国有资本经营预算支出情况说明</w:t>
          </w:r>
          <w:r>
            <w:tab/>
          </w:r>
          <w:r>
            <w:fldChar w:fldCharType="begin"/>
          </w:r>
          <w:r>
            <w:instrText xml:space="preserve"> PAGEREF _Toc601 \h </w:instrText>
          </w:r>
          <w:r>
            <w:fldChar w:fldCharType="separate"/>
          </w:r>
          <w:r>
            <w:t>6</w:t>
          </w:r>
          <w:r>
            <w:fldChar w:fldCharType="end"/>
          </w:r>
          <w:r>
            <w:fldChar w:fldCharType="end"/>
          </w:r>
        </w:p>
        <w:p w14:paraId="7C783A47">
          <w:pPr>
            <w:pStyle w:val="8"/>
            <w:tabs>
              <w:tab w:val="right" w:leader="dot" w:pos="8306"/>
            </w:tabs>
          </w:pPr>
          <w:r>
            <w:fldChar w:fldCharType="begin"/>
          </w:r>
          <w:r>
            <w:instrText xml:space="preserve"> HYPERLINK \l _Toc15012 </w:instrText>
          </w:r>
          <w:r>
            <w:fldChar w:fldCharType="separate"/>
          </w:r>
          <w:r>
            <w:rPr>
              <w:rFonts w:hint="eastAsia" w:ascii="微软雅黑" w:hAnsi="微软雅黑" w:eastAsia="微软雅黑" w:cs="宋体"/>
              <w:kern w:val="0"/>
              <w:szCs w:val="25"/>
              <w:lang w:val="en-US" w:eastAsia="zh-CN"/>
            </w:rPr>
            <w:t>十</w:t>
          </w:r>
          <w:r>
            <w:rPr>
              <w:rFonts w:hint="eastAsia" w:ascii="微软雅黑" w:hAnsi="微软雅黑" w:eastAsia="微软雅黑" w:cs="宋体"/>
              <w:kern w:val="0"/>
              <w:szCs w:val="25"/>
            </w:rPr>
            <w:t>、其他重要事项的情况说明</w:t>
          </w:r>
          <w:r>
            <w:tab/>
          </w:r>
          <w:r>
            <w:fldChar w:fldCharType="begin"/>
          </w:r>
          <w:r>
            <w:instrText xml:space="preserve"> PAGEREF _Toc15012 \h </w:instrText>
          </w:r>
          <w:r>
            <w:fldChar w:fldCharType="separate"/>
          </w:r>
          <w:r>
            <w:t>6</w:t>
          </w:r>
          <w:r>
            <w:fldChar w:fldCharType="end"/>
          </w:r>
          <w:r>
            <w:fldChar w:fldCharType="end"/>
          </w:r>
        </w:p>
        <w:p w14:paraId="72617C65">
          <w:pPr>
            <w:pStyle w:val="9"/>
            <w:tabs>
              <w:tab w:val="right" w:leader="dot" w:pos="8306"/>
            </w:tabs>
          </w:pPr>
          <w:r>
            <w:fldChar w:fldCharType="begin"/>
          </w:r>
          <w:r>
            <w:instrText xml:space="preserve"> HYPERLINK \l _Toc273 </w:instrText>
          </w:r>
          <w:r>
            <w:fldChar w:fldCharType="separate"/>
          </w:r>
          <w:r>
            <w:rPr>
              <w:rFonts w:hint="eastAsia" w:ascii="微软雅黑" w:hAnsi="微软雅黑" w:eastAsia="微软雅黑" w:cs="宋体"/>
              <w:kern w:val="0"/>
              <w:szCs w:val="25"/>
            </w:rPr>
            <w:t>（一）机关运行经费</w:t>
          </w:r>
          <w:r>
            <w:tab/>
          </w:r>
          <w:r>
            <w:fldChar w:fldCharType="begin"/>
          </w:r>
          <w:r>
            <w:instrText xml:space="preserve"> PAGEREF _Toc273 \h </w:instrText>
          </w:r>
          <w:r>
            <w:fldChar w:fldCharType="separate"/>
          </w:r>
          <w:r>
            <w:t>6</w:t>
          </w:r>
          <w:r>
            <w:fldChar w:fldCharType="end"/>
          </w:r>
          <w:r>
            <w:fldChar w:fldCharType="end"/>
          </w:r>
        </w:p>
        <w:p w14:paraId="6D412E6D">
          <w:pPr>
            <w:pStyle w:val="9"/>
            <w:tabs>
              <w:tab w:val="right" w:leader="dot" w:pos="8306"/>
            </w:tabs>
          </w:pPr>
          <w:r>
            <w:fldChar w:fldCharType="begin"/>
          </w:r>
          <w:r>
            <w:instrText xml:space="preserve"> HYPERLINK \l _Toc28177 </w:instrText>
          </w:r>
          <w:r>
            <w:fldChar w:fldCharType="separate"/>
          </w:r>
          <w:r>
            <w:rPr>
              <w:rFonts w:hint="eastAsia" w:ascii="微软雅黑" w:hAnsi="微软雅黑" w:eastAsia="微软雅黑" w:cs="宋体"/>
              <w:kern w:val="0"/>
              <w:szCs w:val="25"/>
            </w:rPr>
            <w:t>（二）政府采购情况</w:t>
          </w:r>
          <w:r>
            <w:tab/>
          </w:r>
          <w:r>
            <w:fldChar w:fldCharType="begin"/>
          </w:r>
          <w:r>
            <w:instrText xml:space="preserve"> PAGEREF _Toc28177 \h </w:instrText>
          </w:r>
          <w:r>
            <w:fldChar w:fldCharType="separate"/>
          </w:r>
          <w:r>
            <w:t>6</w:t>
          </w:r>
          <w:r>
            <w:fldChar w:fldCharType="end"/>
          </w:r>
          <w:r>
            <w:fldChar w:fldCharType="end"/>
          </w:r>
        </w:p>
        <w:p w14:paraId="387DA2AD">
          <w:pPr>
            <w:pStyle w:val="9"/>
            <w:tabs>
              <w:tab w:val="right" w:leader="dot" w:pos="8306"/>
            </w:tabs>
          </w:pPr>
          <w:r>
            <w:fldChar w:fldCharType="begin"/>
          </w:r>
          <w:r>
            <w:instrText xml:space="preserve"> HYPERLINK \l _Toc31660 </w:instrText>
          </w:r>
          <w:r>
            <w:fldChar w:fldCharType="separate"/>
          </w:r>
          <w:r>
            <w:rPr>
              <w:rFonts w:hint="eastAsia" w:ascii="微软雅黑" w:hAnsi="微软雅黑" w:eastAsia="微软雅黑" w:cs="宋体"/>
              <w:kern w:val="0"/>
              <w:szCs w:val="25"/>
            </w:rPr>
            <w:t>（三）国有资产占有使用情况</w:t>
          </w:r>
          <w:r>
            <w:tab/>
          </w:r>
          <w:r>
            <w:fldChar w:fldCharType="begin"/>
          </w:r>
          <w:r>
            <w:instrText xml:space="preserve"> PAGEREF _Toc31660 \h </w:instrText>
          </w:r>
          <w:r>
            <w:fldChar w:fldCharType="separate"/>
          </w:r>
          <w:r>
            <w:t>7</w:t>
          </w:r>
          <w:r>
            <w:fldChar w:fldCharType="end"/>
          </w:r>
          <w:r>
            <w:fldChar w:fldCharType="end"/>
          </w:r>
        </w:p>
        <w:p w14:paraId="7B27BF60">
          <w:pPr>
            <w:pStyle w:val="9"/>
            <w:tabs>
              <w:tab w:val="right" w:leader="dot" w:pos="8306"/>
            </w:tabs>
          </w:pPr>
          <w:r>
            <w:fldChar w:fldCharType="begin"/>
          </w:r>
          <w:r>
            <w:instrText xml:space="preserve"> HYPERLINK \l _Toc21686 </w:instrText>
          </w:r>
          <w:r>
            <w:fldChar w:fldCharType="separate"/>
          </w:r>
          <w:r>
            <w:rPr>
              <w:rFonts w:hint="eastAsia" w:ascii="微软雅黑" w:hAnsi="微软雅黑" w:eastAsia="微软雅黑" w:cs="宋体"/>
              <w:kern w:val="0"/>
              <w:szCs w:val="25"/>
            </w:rPr>
            <w:t>（四）绩效目标设置情况</w:t>
          </w:r>
          <w:r>
            <w:tab/>
          </w:r>
          <w:r>
            <w:fldChar w:fldCharType="begin"/>
          </w:r>
          <w:r>
            <w:instrText xml:space="preserve"> PAGEREF _Toc21686 \h </w:instrText>
          </w:r>
          <w:r>
            <w:fldChar w:fldCharType="separate"/>
          </w:r>
          <w:r>
            <w:t>7</w:t>
          </w:r>
          <w:r>
            <w:fldChar w:fldCharType="end"/>
          </w:r>
          <w:r>
            <w:fldChar w:fldCharType="end"/>
          </w:r>
        </w:p>
        <w:p w14:paraId="7BF2A370">
          <w:pPr>
            <w:pStyle w:val="8"/>
            <w:tabs>
              <w:tab w:val="right" w:leader="dot" w:pos="8306"/>
            </w:tabs>
          </w:pPr>
          <w:r>
            <w:fldChar w:fldCharType="begin"/>
          </w:r>
          <w:r>
            <w:instrText xml:space="preserve"> HYPERLINK \l _Toc1271 </w:instrText>
          </w:r>
          <w:r>
            <w:fldChar w:fldCharType="separate"/>
          </w:r>
          <w:r>
            <w:rPr>
              <w:rFonts w:hint="eastAsia" w:ascii="微软雅黑" w:hAnsi="微软雅黑" w:eastAsia="微软雅黑" w:cs="宋体"/>
              <w:kern w:val="0"/>
              <w:szCs w:val="25"/>
              <w:lang w:val="en-US" w:eastAsia="zh-CN"/>
            </w:rPr>
            <w:t>十一</w:t>
          </w:r>
          <w:r>
            <w:rPr>
              <w:rFonts w:hint="eastAsia" w:ascii="微软雅黑" w:hAnsi="微软雅黑" w:eastAsia="微软雅黑" w:cs="宋体"/>
              <w:kern w:val="0"/>
              <w:szCs w:val="25"/>
            </w:rPr>
            <w:t>、名词解释</w:t>
          </w:r>
          <w:r>
            <w:tab/>
          </w:r>
          <w:r>
            <w:fldChar w:fldCharType="begin"/>
          </w:r>
          <w:r>
            <w:instrText xml:space="preserve"> PAGEREF _Toc1271 \h </w:instrText>
          </w:r>
          <w:r>
            <w:fldChar w:fldCharType="separate"/>
          </w:r>
          <w:r>
            <w:t>7</w:t>
          </w:r>
          <w:r>
            <w:fldChar w:fldCharType="end"/>
          </w:r>
          <w:r>
            <w:fldChar w:fldCharType="end"/>
          </w:r>
        </w:p>
        <w:p w14:paraId="2F03F451">
          <w:r>
            <w:fldChar w:fldCharType="end"/>
          </w:r>
        </w:p>
      </w:sdtContent>
    </w:sdt>
    <w:p w14:paraId="488545E0"/>
    <w:p w14:paraId="6C2450F9">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bookmarkStart w:id="4" w:name="_Toc17671"/>
    </w:p>
    <w:p w14:paraId="33D5CFE2">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2DA7EC8C">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1130328D">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1AC7F788">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76535969">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766A6236">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0597968B">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1A661EA7">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0F5C215F">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0BD91AB0">
      <w:pPr>
        <w:widowControl/>
        <w:shd w:val="clear" w:color="auto" w:fill="FFFFFF"/>
        <w:spacing w:line="480" w:lineRule="auto"/>
        <w:ind w:firstLine="480"/>
        <w:outlineLvl w:val="9"/>
        <w:rPr>
          <w:rFonts w:hint="eastAsia" w:ascii="微软雅黑" w:hAnsi="微软雅黑" w:eastAsia="微软雅黑" w:cs="宋体"/>
          <w:color w:val="000000"/>
          <w:kern w:val="0"/>
          <w:sz w:val="25"/>
          <w:szCs w:val="25"/>
        </w:rPr>
      </w:pPr>
    </w:p>
    <w:p w14:paraId="06A43182">
      <w:pPr>
        <w:widowControl/>
        <w:shd w:val="clear" w:color="auto" w:fill="FFFFFF"/>
        <w:spacing w:line="480" w:lineRule="auto"/>
        <w:ind w:firstLine="480"/>
        <w:outlineLvl w:val="0"/>
        <w:rPr>
          <w:rFonts w:hint="eastAsia" w:ascii="微软雅黑" w:hAnsi="微软雅黑" w:eastAsia="微软雅黑" w:cs="宋体"/>
          <w:color w:val="000000"/>
          <w:kern w:val="0"/>
          <w:sz w:val="25"/>
          <w:szCs w:val="25"/>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6827ACFA">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5" w:name="_Toc29030"/>
      <w:r>
        <w:rPr>
          <w:rFonts w:hint="eastAsia" w:ascii="微软雅黑" w:hAnsi="微软雅黑" w:eastAsia="微软雅黑" w:cs="宋体"/>
          <w:color w:val="000000"/>
          <w:kern w:val="0"/>
          <w:sz w:val="25"/>
          <w:szCs w:val="25"/>
        </w:rPr>
        <w:t>一、基本职能及主要工作</w:t>
      </w:r>
      <w:bookmarkEnd w:id="4"/>
      <w:bookmarkEnd w:id="5"/>
    </w:p>
    <w:p w14:paraId="7058F83C">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6" w:name="_Toc21215"/>
      <w:bookmarkStart w:id="7" w:name="_Toc19080"/>
      <w:bookmarkStart w:id="8" w:name="_Toc24915"/>
      <w:bookmarkStart w:id="9" w:name="_Toc30236"/>
      <w:r>
        <w:rPr>
          <w:rFonts w:hint="eastAsia" w:ascii="微软雅黑" w:hAnsi="微软雅黑" w:eastAsia="微软雅黑" w:cs="宋体"/>
          <w:color w:val="000000"/>
          <w:kern w:val="0"/>
          <w:sz w:val="25"/>
          <w:szCs w:val="25"/>
        </w:rPr>
        <w:t>（一）广元市朝天区人民法院职能简介</w:t>
      </w:r>
      <w:bookmarkEnd w:id="6"/>
      <w:bookmarkEnd w:id="7"/>
      <w:bookmarkEnd w:id="8"/>
      <w:bookmarkEnd w:id="9"/>
    </w:p>
    <w:p w14:paraId="7360B02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1.依法审理法律规定由基层人民法院管辖刑事、民事、行政、执行等一审案件。</w:t>
      </w:r>
    </w:p>
    <w:p w14:paraId="7557616B">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2.依法审理由上级人民法院指令再审的案件。受理不服本院发生法律效力的判决、裁定的各类申诉和再审，对其中确有错误并已发生法律效力的判决、裁定依法再审。</w:t>
      </w:r>
    </w:p>
    <w:p w14:paraId="7499592D">
      <w:pPr>
        <w:widowControl/>
        <w:shd w:val="clear" w:color="auto" w:fill="FFFFFF"/>
        <w:spacing w:line="480" w:lineRule="auto"/>
        <w:ind w:firstLine="480"/>
        <w:outlineLvl w:val="2"/>
        <w:rPr>
          <w:rFonts w:hint="eastAsia" w:ascii="微软雅黑" w:hAnsi="微软雅黑" w:eastAsia="微软雅黑" w:cs="宋体"/>
          <w:color w:val="000000"/>
          <w:kern w:val="0"/>
          <w:sz w:val="22"/>
        </w:rPr>
      </w:pPr>
      <w:bookmarkStart w:id="10" w:name="_Toc8438"/>
      <w:bookmarkStart w:id="11" w:name="_Toc27531"/>
      <w:r>
        <w:rPr>
          <w:rFonts w:hint="eastAsia" w:ascii="微软雅黑" w:hAnsi="微软雅黑" w:eastAsia="微软雅黑" w:cs="宋体"/>
          <w:color w:val="000000"/>
          <w:kern w:val="0"/>
          <w:sz w:val="25"/>
          <w:szCs w:val="25"/>
        </w:rPr>
        <w:t>3.依法行使执行权和司法决定权。</w:t>
      </w:r>
      <w:bookmarkEnd w:id="10"/>
      <w:bookmarkEnd w:id="11"/>
    </w:p>
    <w:p w14:paraId="69EB67B5">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4.对法律规定、规章等草案提出意见，对案件审理中发现的问题提出司法建议。</w:t>
      </w:r>
    </w:p>
    <w:p w14:paraId="5B1FE939">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5.指导基层法庭工作。</w:t>
      </w:r>
    </w:p>
    <w:p w14:paraId="543240EF">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6.负责全院的思想政治、教育培训工作和干部管理工作。</w:t>
      </w:r>
    </w:p>
    <w:p w14:paraId="53F0CE34">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7.负责全院财务、专项投资的计划管理及分配。</w:t>
      </w:r>
    </w:p>
    <w:p w14:paraId="783BE5D4">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8.负责全院的监察工作。</w:t>
      </w:r>
    </w:p>
    <w:p w14:paraId="399C01B5">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9.管理人民法院司法警察工作。</w:t>
      </w:r>
    </w:p>
    <w:p w14:paraId="22372C26">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10.做好本院行政、后勤事业管理和服务工作。</w:t>
      </w:r>
    </w:p>
    <w:p w14:paraId="1ADB35B5">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11.宣传法制，教育公民忠于社会主义祖国，自觉遵守宪法、法律和社会公德。</w:t>
      </w:r>
    </w:p>
    <w:p w14:paraId="1CBD571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12.积极参与社会治安综合治理。</w:t>
      </w:r>
    </w:p>
    <w:p w14:paraId="6BD2116A">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13.承办其他应由基层人民法院负责的工作。</w:t>
      </w:r>
    </w:p>
    <w:p w14:paraId="5BCF4D8A">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12" w:name="_Toc29485"/>
      <w:bookmarkStart w:id="13" w:name="_Toc16806"/>
      <w:bookmarkStart w:id="14" w:name="_Toc12838"/>
      <w:bookmarkStart w:id="15" w:name="_Toc13238"/>
      <w:r>
        <w:rPr>
          <w:rFonts w:hint="eastAsia" w:ascii="微软雅黑" w:hAnsi="微软雅黑" w:eastAsia="微软雅黑" w:cs="宋体"/>
          <w:color w:val="000000"/>
          <w:kern w:val="0"/>
          <w:sz w:val="25"/>
          <w:szCs w:val="25"/>
        </w:rPr>
        <w:t>（二）广元市朝天区人民法院2023年重点工作</w:t>
      </w:r>
      <w:bookmarkEnd w:id="12"/>
      <w:bookmarkEnd w:id="13"/>
      <w:bookmarkEnd w:id="14"/>
      <w:bookmarkEnd w:id="15"/>
    </w:p>
    <w:p w14:paraId="65F8D587">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一是筑牢政治忠诚，确保法院工作正确的政治方向。坚持不懈强化习近平新时代中国特色社会主义思想理论武装，学深悟透做实习近平法治思想，深刻领会“两个确立”的决定性意义，不断增强“四个意识”，坚定“四个自信”，做到“两个维护”。深入贯彻《中国共产党政法工作条例》，坚持重大事项、重要工作及时向区委、区委政法委请示报告，确保法院工作坚定正确的政治方向。深入开展“两个确立”主题教育，扎实开展习近平法治思想、习近平总书记来川视察重要指示精神等大学习大讨论。学习贯彻党的二十大精神。</w:t>
      </w:r>
    </w:p>
    <w:p w14:paraId="79F2D4CE">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二是发挥审判职能，全力维护社会大局持续和谐稳定。深入推进平安朝天建设。服务保障经济社会发展。积极助力法治政府建设。持续服务保障乡村振兴。主动融入基层社会治理。</w:t>
      </w:r>
    </w:p>
    <w:p w14:paraId="7831AC39">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三是践行司法为民，深入推进“我为群众办实事”活动。不断优化在线诉讼服务。全力兑现群众胜诉权益。切实加强民生司法保障。主动服务助力疫情防控。</w:t>
      </w:r>
    </w:p>
    <w:p w14:paraId="23340F58">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四是深化司法改革，全面促进和提升审判能力现代化。全面落实司法责任制。深化刑事诉讼制度改革。有序推动财物统管改革。</w:t>
      </w:r>
    </w:p>
    <w:p w14:paraId="3B56B5B6">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五是坚持从严治院，努力锻造忠诚干净担当法院铁军。高站位加强党的组织建设。高标准推进清廉法院建设。高质量抓好青年干警培养。</w:t>
      </w:r>
    </w:p>
    <w:p w14:paraId="4F105B6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六是践行人民民主，不断加强改进人民法院各项工作。主动接受人大、政协监督。全面接受法律和社会监督。</w:t>
      </w:r>
    </w:p>
    <w:p w14:paraId="3A51B223">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16" w:name="_Toc22710"/>
      <w:bookmarkStart w:id="17" w:name="_Toc24141"/>
      <w:bookmarkStart w:id="18" w:name="_Toc9530"/>
      <w:bookmarkStart w:id="19" w:name="_Toc2112"/>
      <w:r>
        <w:rPr>
          <w:rFonts w:hint="eastAsia" w:ascii="微软雅黑" w:hAnsi="微软雅黑" w:eastAsia="微软雅黑" w:cs="宋体"/>
          <w:color w:val="000000"/>
          <w:kern w:val="0"/>
          <w:sz w:val="25"/>
          <w:szCs w:val="25"/>
        </w:rPr>
        <w:t>二、部门预算单位构成</w:t>
      </w:r>
      <w:bookmarkEnd w:id="16"/>
      <w:bookmarkEnd w:id="17"/>
      <w:bookmarkEnd w:id="18"/>
      <w:bookmarkEnd w:id="19"/>
    </w:p>
    <w:p w14:paraId="6831C63E">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广元市朝天区人民法院属财政一级预算单位，下属二级预算单位0个，其中参照公务员法管理的事业单位0个。</w:t>
      </w:r>
    </w:p>
    <w:p w14:paraId="094160C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广元市朝天区人民法院总编制48名，其中政法专项编制44名，事业编制4名。在职人员总数47人，其中政法专项编制37名，事业人员4人，工勤人员6人。</w:t>
      </w:r>
    </w:p>
    <w:p w14:paraId="4B11BE10">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20" w:name="_Toc9394"/>
      <w:bookmarkStart w:id="21" w:name="_Toc3271"/>
      <w:bookmarkStart w:id="22" w:name="_Toc21312"/>
      <w:bookmarkStart w:id="23" w:name="_Toc20527"/>
      <w:r>
        <w:rPr>
          <w:rFonts w:hint="eastAsia" w:ascii="微软雅黑" w:hAnsi="微软雅黑" w:eastAsia="微软雅黑" w:cs="宋体"/>
          <w:color w:val="000000"/>
          <w:kern w:val="0"/>
          <w:sz w:val="25"/>
          <w:szCs w:val="25"/>
          <w:lang w:val="en-US" w:eastAsia="zh-CN"/>
        </w:rPr>
        <w:t>三</w:t>
      </w:r>
      <w:r>
        <w:rPr>
          <w:rFonts w:hint="eastAsia" w:ascii="微软雅黑" w:hAnsi="微软雅黑" w:eastAsia="微软雅黑" w:cs="宋体"/>
          <w:color w:val="000000"/>
          <w:kern w:val="0"/>
          <w:sz w:val="25"/>
          <w:szCs w:val="25"/>
        </w:rPr>
        <w:t>、收支预算情况说明</w:t>
      </w:r>
      <w:bookmarkEnd w:id="20"/>
      <w:bookmarkEnd w:id="21"/>
      <w:bookmarkEnd w:id="22"/>
      <w:bookmarkEnd w:id="23"/>
    </w:p>
    <w:p w14:paraId="7508122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按照综合预算的原则，广元市朝天区人民法院所有收入和支出均纳入部门预算管理。收入包括：一般公共预算拨款收入；支出包括：公共安全支出、社会保障和就业支出、卫生健康支出、住房保障支出。广元市朝天区人民法院2023年收支总预算956.63万元,比2022年收支预算总数增加142.37万元，扣除一次性安排等因素后，同口径增加142.37万元，主要原因是由于体制上划，保障标准发生改变。</w:t>
      </w:r>
    </w:p>
    <w:p w14:paraId="481D1920">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24" w:name="_Toc6954"/>
      <w:bookmarkStart w:id="25" w:name="_Toc5305"/>
      <w:bookmarkStart w:id="26" w:name="_Toc476"/>
      <w:bookmarkStart w:id="27" w:name="_Toc425"/>
      <w:r>
        <w:rPr>
          <w:rFonts w:hint="eastAsia" w:ascii="微软雅黑" w:hAnsi="微软雅黑" w:eastAsia="微软雅黑" w:cs="宋体"/>
          <w:color w:val="000000"/>
          <w:kern w:val="0"/>
          <w:sz w:val="25"/>
          <w:szCs w:val="25"/>
        </w:rPr>
        <w:t>（一）收入预算情况</w:t>
      </w:r>
      <w:bookmarkEnd w:id="24"/>
      <w:bookmarkEnd w:id="25"/>
      <w:bookmarkEnd w:id="26"/>
      <w:bookmarkEnd w:id="27"/>
    </w:p>
    <w:p w14:paraId="58F2A0D9">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广元市朝天区人民法院2023年收入预算956.63万元，其中：一般公共预算拨款收入956.63万元，占100%。</w:t>
      </w:r>
    </w:p>
    <w:p w14:paraId="0A528101">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28" w:name="_Toc30697"/>
      <w:bookmarkStart w:id="29" w:name="_Toc8374"/>
      <w:bookmarkStart w:id="30" w:name="_Toc8366"/>
      <w:bookmarkStart w:id="31" w:name="_Toc920"/>
      <w:r>
        <w:rPr>
          <w:rFonts w:hint="eastAsia" w:ascii="微软雅黑" w:hAnsi="微软雅黑" w:eastAsia="微软雅黑" w:cs="宋体"/>
          <w:color w:val="000000"/>
          <w:kern w:val="0"/>
          <w:sz w:val="25"/>
          <w:szCs w:val="25"/>
        </w:rPr>
        <w:t>（二）支出预算情况</w:t>
      </w:r>
      <w:bookmarkEnd w:id="28"/>
      <w:bookmarkEnd w:id="29"/>
      <w:bookmarkEnd w:id="30"/>
      <w:bookmarkEnd w:id="31"/>
    </w:p>
    <w:p w14:paraId="57AC8676">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广元市朝天区人民法院2023年支出预算956.63万元，其中：基本支出840.35万元，占87.84%；项目支出116.28万元，占12.16%。</w:t>
      </w:r>
    </w:p>
    <w:p w14:paraId="238B82D6">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32" w:name="_Toc29411"/>
      <w:bookmarkStart w:id="33" w:name="_Toc14197"/>
      <w:bookmarkStart w:id="34" w:name="_Toc1586"/>
      <w:bookmarkStart w:id="35" w:name="_Toc25638"/>
      <w:r>
        <w:rPr>
          <w:rFonts w:hint="eastAsia" w:ascii="微软雅黑" w:hAnsi="微软雅黑" w:eastAsia="微软雅黑" w:cs="宋体"/>
          <w:color w:val="000000"/>
          <w:kern w:val="0"/>
          <w:sz w:val="25"/>
          <w:szCs w:val="25"/>
          <w:lang w:val="en-US" w:eastAsia="zh-CN"/>
        </w:rPr>
        <w:t>四</w:t>
      </w:r>
      <w:r>
        <w:rPr>
          <w:rFonts w:hint="eastAsia" w:ascii="微软雅黑" w:hAnsi="微软雅黑" w:eastAsia="微软雅黑" w:cs="宋体"/>
          <w:color w:val="000000"/>
          <w:kern w:val="0"/>
          <w:sz w:val="25"/>
          <w:szCs w:val="25"/>
        </w:rPr>
        <w:t>、财政拨款收支预算情况说明</w:t>
      </w:r>
      <w:bookmarkEnd w:id="32"/>
      <w:bookmarkEnd w:id="33"/>
      <w:bookmarkEnd w:id="34"/>
      <w:bookmarkEnd w:id="35"/>
    </w:p>
    <w:p w14:paraId="0596B337">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广元市朝天区人民法院2023年财政拨款收支总预算956.63万元,比2022年财政拨款收支总预算增加142.37万元，扣除一次性安排等因素后，同口径增加142.37万元，主要原因是由于体制上划，保障标准发生改变。</w:t>
      </w:r>
    </w:p>
    <w:p w14:paraId="40AF95F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收入包括：本年一般公共预算拨款收入956.63万元；公共安全支出813.25万元、社会保障和就业支出61.08万元、卫生健康支出30.79万元、住房保障支出51.52万元。</w:t>
      </w:r>
    </w:p>
    <w:p w14:paraId="2EE69C7D">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36" w:name="_Toc6466"/>
      <w:bookmarkStart w:id="37" w:name="_Toc4234"/>
      <w:bookmarkStart w:id="38" w:name="_Toc2540"/>
      <w:bookmarkStart w:id="39" w:name="_Toc21269"/>
      <w:r>
        <w:rPr>
          <w:rFonts w:hint="eastAsia" w:ascii="微软雅黑" w:hAnsi="微软雅黑" w:eastAsia="微软雅黑" w:cs="宋体"/>
          <w:color w:val="000000"/>
          <w:kern w:val="0"/>
          <w:sz w:val="25"/>
          <w:szCs w:val="25"/>
          <w:lang w:val="en-US" w:eastAsia="zh-CN"/>
        </w:rPr>
        <w:t>五</w:t>
      </w:r>
      <w:r>
        <w:rPr>
          <w:rFonts w:hint="eastAsia" w:ascii="微软雅黑" w:hAnsi="微软雅黑" w:eastAsia="微软雅黑" w:cs="宋体"/>
          <w:color w:val="000000"/>
          <w:kern w:val="0"/>
          <w:sz w:val="25"/>
          <w:szCs w:val="25"/>
        </w:rPr>
        <w:t>、一般公共预算当年拨款情况说明</w:t>
      </w:r>
      <w:bookmarkEnd w:id="36"/>
      <w:bookmarkEnd w:id="37"/>
      <w:bookmarkEnd w:id="38"/>
      <w:bookmarkEnd w:id="39"/>
    </w:p>
    <w:p w14:paraId="78362F29">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40" w:name="_Toc16236"/>
      <w:bookmarkStart w:id="41" w:name="_Toc1283"/>
      <w:bookmarkStart w:id="42" w:name="_Toc13148"/>
      <w:bookmarkStart w:id="43" w:name="_Toc18800"/>
      <w:r>
        <w:rPr>
          <w:rFonts w:hint="eastAsia" w:ascii="微软雅黑" w:hAnsi="微软雅黑" w:eastAsia="微软雅黑" w:cs="宋体"/>
          <w:color w:val="000000"/>
          <w:kern w:val="0"/>
          <w:sz w:val="25"/>
          <w:szCs w:val="25"/>
        </w:rPr>
        <w:t>（一）一般公共预算当年拨款规模变化情况</w:t>
      </w:r>
      <w:bookmarkEnd w:id="40"/>
      <w:bookmarkEnd w:id="41"/>
      <w:bookmarkEnd w:id="42"/>
      <w:bookmarkEnd w:id="43"/>
    </w:p>
    <w:p w14:paraId="46EA947C">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广元市朝天区人民法院2023年一般公共预算当年拨款956.63万元，比2022年预算数增加142.37万元，主要原因是由于体制上划，保障标准发生改变。</w:t>
      </w:r>
    </w:p>
    <w:p w14:paraId="7465C79B">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44" w:name="_Toc9100"/>
      <w:bookmarkStart w:id="45" w:name="_Toc24922"/>
      <w:bookmarkStart w:id="46" w:name="_Toc25823"/>
      <w:bookmarkStart w:id="47" w:name="_Toc32284"/>
      <w:r>
        <w:rPr>
          <w:rFonts w:hint="eastAsia" w:ascii="微软雅黑" w:hAnsi="微软雅黑" w:eastAsia="微软雅黑" w:cs="宋体"/>
          <w:color w:val="000000"/>
          <w:kern w:val="0"/>
          <w:sz w:val="25"/>
          <w:szCs w:val="25"/>
        </w:rPr>
        <w:t>（二）一般公共预算当年拨款结构情况</w:t>
      </w:r>
      <w:bookmarkEnd w:id="44"/>
      <w:bookmarkEnd w:id="45"/>
      <w:bookmarkEnd w:id="46"/>
      <w:bookmarkEnd w:id="47"/>
    </w:p>
    <w:p w14:paraId="2AA809C8">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公共安全支出813.25万元，占85.01%；社会保障和就业支出61.08万元，占6.38%；卫生健康支出30.79万元，占3.22%；住房保障支出51.52万元，占5.39%。</w:t>
      </w:r>
    </w:p>
    <w:p w14:paraId="23233C38">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48" w:name="_Toc19458"/>
      <w:bookmarkStart w:id="49" w:name="_Toc13372"/>
      <w:bookmarkStart w:id="50" w:name="_Toc9168"/>
      <w:bookmarkStart w:id="51" w:name="_Toc13650"/>
      <w:r>
        <w:rPr>
          <w:rFonts w:hint="eastAsia" w:ascii="微软雅黑" w:hAnsi="微软雅黑" w:eastAsia="微软雅黑" w:cs="宋体"/>
          <w:color w:val="000000"/>
          <w:kern w:val="0"/>
          <w:sz w:val="25"/>
          <w:szCs w:val="25"/>
        </w:rPr>
        <w:t>（三）一般公共预算当年拨款具体使用情况</w:t>
      </w:r>
      <w:bookmarkEnd w:id="48"/>
      <w:bookmarkEnd w:id="49"/>
      <w:bookmarkEnd w:id="50"/>
      <w:bookmarkEnd w:id="51"/>
    </w:p>
    <w:p w14:paraId="65C6B70C">
      <w:pPr>
        <w:widowControl/>
        <w:shd w:val="clear" w:color="auto" w:fill="FFFFFF"/>
        <w:spacing w:line="480" w:lineRule="auto"/>
        <w:ind w:firstLine="480"/>
        <w:rPr>
          <w:rFonts w:hint="eastAsia"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1.公共安全（类）法院（款）行政运行（项）2023年预算数为780.38万元，主要用于：</w:t>
      </w:r>
      <w:r>
        <w:rPr>
          <w:rFonts w:hint="eastAsia" w:ascii="微软雅黑" w:hAnsi="微软雅黑" w:eastAsia="微软雅黑" w:cs="宋体"/>
          <w:color w:val="000000"/>
          <w:kern w:val="0"/>
          <w:sz w:val="25"/>
          <w:szCs w:val="25"/>
          <w:lang w:val="en-US" w:eastAsia="zh-CN"/>
        </w:rPr>
        <w:t>法院机关正常运转的基本支出，包括基本工资、津贴补贴等人员经费以及办公费、印刷费、水电费等日常公用经费</w:t>
      </w:r>
      <w:r>
        <w:rPr>
          <w:rFonts w:hint="eastAsia" w:ascii="微软雅黑" w:hAnsi="微软雅黑" w:eastAsia="微软雅黑" w:cs="宋体"/>
          <w:color w:val="000000"/>
          <w:kern w:val="0"/>
          <w:sz w:val="25"/>
          <w:szCs w:val="25"/>
        </w:rPr>
        <w:t>。</w:t>
      </w:r>
    </w:p>
    <w:p w14:paraId="37B2C52D">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2.公共安全（类）法院（款）案件审判（项）2023年预算数为32.87万元，主要用于：办案业务经费等支出。</w:t>
      </w:r>
    </w:p>
    <w:p w14:paraId="224D0610">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3.社会保障和就业（类）行政事业单位养老支出 （款） 机关事业单位基本养老保险缴费支出（项）2023年预算数为61.08万元，主要用于：实施养老保险制度由单位缴纳的基本养老保险支出。</w:t>
      </w:r>
    </w:p>
    <w:p w14:paraId="452D075C">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4.卫生健康（类）行政事业单位医疗（款）行政单位医疗（项）2023年预算数为30.79万元。主要用于：按规定由单位缴纳的基本医疗保险支出。</w:t>
      </w:r>
    </w:p>
    <w:p w14:paraId="23906D48">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5.住房保障（类）住房改革支出（款）住房公积金（项）2023年预算数为51.52万元。主要用于：按规定为职工缴纳的住房公积金支出。</w:t>
      </w:r>
    </w:p>
    <w:p w14:paraId="6C4EB8C2">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52" w:name="_Toc2576"/>
      <w:bookmarkStart w:id="53" w:name="_Toc1111"/>
      <w:bookmarkStart w:id="54" w:name="_Toc5571"/>
      <w:bookmarkStart w:id="55" w:name="_Toc31408"/>
      <w:r>
        <w:rPr>
          <w:rFonts w:hint="eastAsia" w:ascii="微软雅黑" w:hAnsi="微软雅黑" w:eastAsia="微软雅黑" w:cs="宋体"/>
          <w:color w:val="000000"/>
          <w:kern w:val="0"/>
          <w:sz w:val="25"/>
          <w:szCs w:val="25"/>
          <w:lang w:val="en-US" w:eastAsia="zh-CN"/>
        </w:rPr>
        <w:t>六</w:t>
      </w:r>
      <w:r>
        <w:rPr>
          <w:rFonts w:hint="eastAsia" w:ascii="微软雅黑" w:hAnsi="微软雅黑" w:eastAsia="微软雅黑" w:cs="宋体"/>
          <w:color w:val="000000"/>
          <w:kern w:val="0"/>
          <w:sz w:val="25"/>
          <w:szCs w:val="25"/>
        </w:rPr>
        <w:t>、一般公共预算基本支出情况说明</w:t>
      </w:r>
      <w:bookmarkEnd w:id="52"/>
      <w:bookmarkEnd w:id="53"/>
      <w:bookmarkEnd w:id="54"/>
      <w:bookmarkEnd w:id="55"/>
    </w:p>
    <w:p w14:paraId="639F263E">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广元市朝天区人民法院2023年一般公共预算基本支出840.35万元，其中：人员经费715.26万元，主要包括：基本工资、津贴补贴、奖金、绩效工资</w:t>
      </w:r>
      <w:r>
        <w:rPr>
          <w:rFonts w:hint="eastAsia" w:ascii="微软雅黑" w:hAnsi="微软雅黑" w:eastAsia="微软雅黑" w:cs="宋体"/>
          <w:color w:val="000000"/>
          <w:kern w:val="0"/>
          <w:sz w:val="25"/>
          <w:szCs w:val="25"/>
          <w:lang w:eastAsia="zh-CN"/>
        </w:rPr>
        <w:t>、机关事业单位基本养老保险缴费、职工基本医疗保险缴费、其他社会保障缴费、</w:t>
      </w:r>
      <w:r>
        <w:rPr>
          <w:rFonts w:hint="eastAsia" w:ascii="微软雅黑" w:hAnsi="微软雅黑" w:eastAsia="微软雅黑" w:cs="宋体"/>
          <w:color w:val="000000"/>
          <w:kern w:val="0"/>
          <w:sz w:val="25"/>
          <w:szCs w:val="25"/>
        </w:rPr>
        <w:t>其他工资福利支出、住房公积金、生活补助等支出。</w:t>
      </w:r>
    </w:p>
    <w:p w14:paraId="4ECCE37F">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公用经费125.09万元，主要包括：办公费、水费、电费、邮电费、物业管理费、公务接待费、工会经费、福利费、公务用车运行维护费、其他交通费用</w:t>
      </w:r>
      <w:r>
        <w:rPr>
          <w:rFonts w:hint="eastAsia" w:ascii="微软雅黑" w:hAnsi="微软雅黑" w:eastAsia="微软雅黑" w:cs="宋体"/>
          <w:color w:val="000000"/>
          <w:kern w:val="0"/>
          <w:sz w:val="25"/>
          <w:szCs w:val="25"/>
          <w:lang w:eastAsia="zh-CN"/>
        </w:rPr>
        <w:t>、</w:t>
      </w:r>
      <w:r>
        <w:rPr>
          <w:rFonts w:hint="eastAsia" w:ascii="微软雅黑" w:hAnsi="微软雅黑" w:eastAsia="微软雅黑" w:cs="宋体"/>
          <w:color w:val="000000"/>
          <w:kern w:val="0"/>
          <w:sz w:val="25"/>
          <w:szCs w:val="25"/>
        </w:rPr>
        <w:t>其他商品和服务支出等支出。</w:t>
      </w:r>
    </w:p>
    <w:p w14:paraId="78F52994">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56" w:name="_Toc18370"/>
      <w:bookmarkStart w:id="57" w:name="_Toc30837"/>
      <w:bookmarkStart w:id="58" w:name="_Toc30725"/>
      <w:bookmarkStart w:id="59" w:name="_Toc27017"/>
      <w:r>
        <w:rPr>
          <w:rFonts w:hint="eastAsia" w:ascii="微软雅黑" w:hAnsi="微软雅黑" w:eastAsia="微软雅黑" w:cs="宋体"/>
          <w:color w:val="000000"/>
          <w:kern w:val="0"/>
          <w:sz w:val="25"/>
          <w:szCs w:val="25"/>
          <w:lang w:val="en-US" w:eastAsia="zh-CN"/>
        </w:rPr>
        <w:t>七</w:t>
      </w:r>
      <w:r>
        <w:rPr>
          <w:rFonts w:hint="eastAsia" w:ascii="微软雅黑" w:hAnsi="微软雅黑" w:eastAsia="微软雅黑" w:cs="宋体"/>
          <w:color w:val="000000"/>
          <w:kern w:val="0"/>
          <w:sz w:val="25"/>
          <w:szCs w:val="25"/>
        </w:rPr>
        <w:t>、“三公”经费财政拨款预算安排情况说明</w:t>
      </w:r>
      <w:bookmarkEnd w:id="56"/>
      <w:bookmarkEnd w:id="57"/>
      <w:bookmarkEnd w:id="58"/>
      <w:bookmarkEnd w:id="59"/>
    </w:p>
    <w:p w14:paraId="1679E7B8">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广元市朝天区人民法院2023年“三公”经费财政拨款预算数11.6万元，其中：公务接待费1.6万元，公务用车购置及运行维护费10万元，因公出国（境）经费0万元。</w:t>
      </w:r>
    </w:p>
    <w:p w14:paraId="0696EAB2">
      <w:pPr>
        <w:widowControl/>
        <w:shd w:val="clear" w:color="auto" w:fill="FFFFFF"/>
        <w:spacing w:line="480" w:lineRule="auto"/>
        <w:ind w:firstLine="480"/>
        <w:outlineLvl w:val="1"/>
        <w:rPr>
          <w:rFonts w:hint="eastAsia" w:ascii="微软雅黑" w:hAnsi="微软雅黑" w:eastAsia="微软雅黑" w:cs="宋体"/>
          <w:color w:val="000000"/>
          <w:kern w:val="0"/>
          <w:sz w:val="25"/>
          <w:szCs w:val="25"/>
        </w:rPr>
      </w:pPr>
      <w:bookmarkStart w:id="60" w:name="_Toc29371"/>
      <w:bookmarkStart w:id="61" w:name="_Toc7065"/>
      <w:bookmarkStart w:id="62" w:name="_Toc29012"/>
      <w:r>
        <w:rPr>
          <w:rFonts w:hint="eastAsia" w:ascii="微软雅黑" w:hAnsi="微软雅黑" w:eastAsia="微软雅黑" w:cs="宋体"/>
          <w:color w:val="000000"/>
          <w:kern w:val="0"/>
          <w:sz w:val="25"/>
          <w:szCs w:val="25"/>
        </w:rPr>
        <w:t>（一）公务接待费与2022年预算</w:t>
      </w:r>
      <w:r>
        <w:rPr>
          <w:rFonts w:hint="eastAsia" w:ascii="微软雅黑" w:hAnsi="微软雅黑" w:eastAsia="微软雅黑" w:cs="宋体"/>
          <w:color w:val="000000"/>
          <w:kern w:val="0"/>
          <w:sz w:val="25"/>
          <w:szCs w:val="25"/>
          <w:lang w:eastAsia="zh-CN"/>
        </w:rPr>
        <w:t>相比</w:t>
      </w:r>
      <w:r>
        <w:rPr>
          <w:rFonts w:hint="eastAsia" w:ascii="微软雅黑" w:hAnsi="微软雅黑" w:eastAsia="微软雅黑" w:cs="宋体"/>
          <w:color w:val="000000"/>
          <w:kern w:val="0"/>
          <w:sz w:val="25"/>
          <w:szCs w:val="25"/>
        </w:rPr>
        <w:t>减少0.4万元，原因是本院厉行节约、控制成本。</w:t>
      </w:r>
      <w:bookmarkEnd w:id="60"/>
      <w:bookmarkEnd w:id="61"/>
      <w:bookmarkEnd w:id="62"/>
    </w:p>
    <w:p w14:paraId="1FDCAF9A">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2023年公务接待费计划用于执行接待考察调研、检查指导等公务活动开支的交通费、住宿费、用餐费等。</w:t>
      </w:r>
    </w:p>
    <w:p w14:paraId="5995F2B9">
      <w:pPr>
        <w:widowControl/>
        <w:shd w:val="clear" w:color="auto" w:fill="FFFFFF"/>
        <w:spacing w:line="480" w:lineRule="auto"/>
        <w:ind w:firstLine="480"/>
        <w:outlineLvl w:val="1"/>
        <w:rPr>
          <w:rFonts w:hint="eastAsia" w:ascii="微软雅黑" w:hAnsi="微软雅黑" w:eastAsia="微软雅黑" w:cs="宋体"/>
          <w:color w:val="000000"/>
          <w:kern w:val="0"/>
          <w:sz w:val="25"/>
          <w:szCs w:val="25"/>
        </w:rPr>
      </w:pPr>
      <w:bookmarkStart w:id="63" w:name="_Toc13370"/>
      <w:bookmarkStart w:id="64" w:name="_Toc14787"/>
      <w:bookmarkStart w:id="65" w:name="_Toc24540"/>
      <w:r>
        <w:rPr>
          <w:rFonts w:hint="eastAsia" w:ascii="微软雅黑" w:hAnsi="微软雅黑" w:eastAsia="微软雅黑" w:cs="宋体"/>
          <w:color w:val="000000"/>
          <w:kern w:val="0"/>
          <w:sz w:val="25"/>
          <w:szCs w:val="25"/>
        </w:rPr>
        <w:t>（二）公务用车购置及运行维护费与2022年预算</w:t>
      </w:r>
      <w:r>
        <w:rPr>
          <w:rFonts w:hint="eastAsia" w:ascii="微软雅黑" w:hAnsi="微软雅黑" w:eastAsia="微软雅黑" w:cs="宋体"/>
          <w:color w:val="000000"/>
          <w:kern w:val="0"/>
          <w:sz w:val="25"/>
          <w:szCs w:val="25"/>
          <w:lang w:eastAsia="zh-CN"/>
        </w:rPr>
        <w:t>相比</w:t>
      </w:r>
      <w:r>
        <w:rPr>
          <w:rFonts w:hint="eastAsia" w:ascii="微软雅黑" w:hAnsi="微软雅黑" w:eastAsia="微软雅黑" w:cs="宋体"/>
          <w:color w:val="000000"/>
          <w:kern w:val="0"/>
          <w:sz w:val="25"/>
          <w:szCs w:val="25"/>
        </w:rPr>
        <w:t>减少5万元，原因是本院合理规划资金使用。</w:t>
      </w:r>
      <w:bookmarkEnd w:id="63"/>
      <w:bookmarkEnd w:id="64"/>
      <w:bookmarkEnd w:id="65"/>
    </w:p>
    <w:p w14:paraId="0338A7BA">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单位现有公务用车11辆，其中：轿车3辆，旅行车（含商务车）3辆，越野车5辆。</w:t>
      </w:r>
    </w:p>
    <w:p w14:paraId="3A9C8252">
      <w:pPr>
        <w:widowControl/>
        <w:shd w:val="clear" w:color="auto" w:fill="FFFFFF"/>
        <w:spacing w:line="480" w:lineRule="auto"/>
        <w:ind w:firstLine="480"/>
        <w:rPr>
          <w:rFonts w:hint="eastAsia" w:ascii="微软雅黑" w:hAnsi="微软雅黑" w:eastAsia="微软雅黑" w:cs="宋体"/>
          <w:color w:val="000000"/>
          <w:kern w:val="0"/>
          <w:sz w:val="25"/>
          <w:szCs w:val="25"/>
        </w:rPr>
      </w:pPr>
      <w:r>
        <w:rPr>
          <w:rFonts w:hint="eastAsia" w:ascii="微软雅黑" w:hAnsi="微软雅黑" w:eastAsia="微软雅黑" w:cs="宋体"/>
          <w:color w:val="000000"/>
          <w:kern w:val="0"/>
          <w:sz w:val="25"/>
          <w:szCs w:val="25"/>
        </w:rPr>
        <w:t>2023年安排公务用车运行维护费10万元，用于11辆公务用车燃油、过路（桥）、维修、保险等方面支出，主要保障法院干警外出办案。</w:t>
      </w:r>
    </w:p>
    <w:p w14:paraId="6629C48D">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2023年公务用车购置费0万元，与2022年预算持平，原因是2023年无公务用车购置计划。</w:t>
      </w:r>
    </w:p>
    <w:p w14:paraId="331474E4">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66" w:name="_Toc3213"/>
      <w:bookmarkStart w:id="67" w:name="_Toc567"/>
      <w:bookmarkStart w:id="68" w:name="_Toc19656"/>
      <w:bookmarkStart w:id="69" w:name="_Toc27311"/>
      <w:r>
        <w:rPr>
          <w:rFonts w:hint="eastAsia" w:ascii="微软雅黑" w:hAnsi="微软雅黑" w:eastAsia="微软雅黑" w:cs="宋体"/>
          <w:color w:val="000000"/>
          <w:kern w:val="0"/>
          <w:sz w:val="25"/>
          <w:szCs w:val="25"/>
        </w:rPr>
        <w:t>（三）因公出国（境）费用与2022年预算</w:t>
      </w:r>
      <w:r>
        <w:rPr>
          <w:rFonts w:hint="eastAsia" w:ascii="微软雅黑" w:hAnsi="微软雅黑" w:eastAsia="微软雅黑" w:cs="宋体"/>
          <w:color w:val="000000"/>
          <w:kern w:val="0"/>
          <w:sz w:val="25"/>
          <w:szCs w:val="25"/>
          <w:lang w:eastAsia="zh-CN"/>
        </w:rPr>
        <w:t>相比</w:t>
      </w:r>
      <w:r>
        <w:rPr>
          <w:rFonts w:hint="eastAsia" w:ascii="微软雅黑" w:hAnsi="微软雅黑" w:eastAsia="微软雅黑" w:cs="宋体"/>
          <w:color w:val="000000"/>
          <w:kern w:val="0"/>
          <w:sz w:val="25"/>
          <w:szCs w:val="25"/>
        </w:rPr>
        <w:t>持平。</w:t>
      </w:r>
      <w:bookmarkEnd w:id="66"/>
      <w:bookmarkEnd w:id="67"/>
      <w:bookmarkEnd w:id="68"/>
      <w:bookmarkEnd w:id="69"/>
    </w:p>
    <w:p w14:paraId="38FE5FF7">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2023年部门预算未编列因公出国（境）经费，未安排出国（境）任务和计划。</w:t>
      </w:r>
    </w:p>
    <w:p w14:paraId="646AC98E">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70" w:name="_Toc21563"/>
      <w:bookmarkStart w:id="71" w:name="_Toc13956"/>
      <w:bookmarkStart w:id="72" w:name="_Toc29343"/>
      <w:bookmarkStart w:id="73" w:name="_Toc5671"/>
      <w:r>
        <w:rPr>
          <w:rFonts w:hint="eastAsia" w:ascii="微软雅黑" w:hAnsi="微软雅黑" w:eastAsia="微软雅黑" w:cs="宋体"/>
          <w:color w:val="000000"/>
          <w:kern w:val="0"/>
          <w:sz w:val="25"/>
          <w:szCs w:val="25"/>
          <w:lang w:val="en-US" w:eastAsia="zh-CN"/>
        </w:rPr>
        <w:t>八</w:t>
      </w:r>
      <w:r>
        <w:rPr>
          <w:rFonts w:hint="eastAsia" w:ascii="微软雅黑" w:hAnsi="微软雅黑" w:eastAsia="微软雅黑" w:cs="宋体"/>
          <w:color w:val="000000"/>
          <w:kern w:val="0"/>
          <w:sz w:val="25"/>
          <w:szCs w:val="25"/>
        </w:rPr>
        <w:t>、政府性基金预算支出情况说明</w:t>
      </w:r>
      <w:bookmarkEnd w:id="70"/>
      <w:bookmarkEnd w:id="71"/>
      <w:bookmarkEnd w:id="72"/>
      <w:bookmarkEnd w:id="73"/>
    </w:p>
    <w:p w14:paraId="0DA73BD8">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广元市朝天区人民法院2023年没有使用政府性基金预算拨款安排的支出。</w:t>
      </w:r>
    </w:p>
    <w:p w14:paraId="753247FA">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74" w:name="_Toc19441"/>
      <w:bookmarkStart w:id="75" w:name="_Toc32194"/>
      <w:bookmarkStart w:id="76" w:name="_Toc11799"/>
      <w:bookmarkStart w:id="77" w:name="_Toc601"/>
      <w:r>
        <w:rPr>
          <w:rFonts w:hint="eastAsia" w:ascii="微软雅黑" w:hAnsi="微软雅黑" w:eastAsia="微软雅黑" w:cs="宋体"/>
          <w:color w:val="000000"/>
          <w:kern w:val="0"/>
          <w:sz w:val="25"/>
          <w:szCs w:val="25"/>
          <w:lang w:val="en-US" w:eastAsia="zh-CN"/>
        </w:rPr>
        <w:t>九</w:t>
      </w:r>
      <w:r>
        <w:rPr>
          <w:rFonts w:hint="eastAsia" w:ascii="微软雅黑" w:hAnsi="微软雅黑" w:eastAsia="微软雅黑" w:cs="宋体"/>
          <w:color w:val="000000"/>
          <w:kern w:val="0"/>
          <w:sz w:val="25"/>
          <w:szCs w:val="25"/>
        </w:rPr>
        <w:t>、国有资本经营预算支出情况说明</w:t>
      </w:r>
      <w:bookmarkEnd w:id="74"/>
      <w:bookmarkEnd w:id="75"/>
      <w:bookmarkEnd w:id="76"/>
      <w:bookmarkEnd w:id="77"/>
    </w:p>
    <w:p w14:paraId="0A9FB7EE">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广元市朝天区人民法院2023年没有使用国有资本经营预算拨款安排的支出。</w:t>
      </w:r>
    </w:p>
    <w:p w14:paraId="32867AA6">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78" w:name="_Toc1468"/>
      <w:bookmarkStart w:id="79" w:name="_Toc32453"/>
      <w:bookmarkStart w:id="80" w:name="_Toc22443"/>
      <w:bookmarkStart w:id="81" w:name="_Toc15012"/>
      <w:r>
        <w:rPr>
          <w:rFonts w:hint="eastAsia" w:ascii="微软雅黑" w:hAnsi="微软雅黑" w:eastAsia="微软雅黑" w:cs="宋体"/>
          <w:color w:val="000000"/>
          <w:kern w:val="0"/>
          <w:sz w:val="25"/>
          <w:szCs w:val="25"/>
          <w:lang w:val="en-US" w:eastAsia="zh-CN"/>
        </w:rPr>
        <w:t>十</w:t>
      </w:r>
      <w:r>
        <w:rPr>
          <w:rFonts w:hint="eastAsia" w:ascii="微软雅黑" w:hAnsi="微软雅黑" w:eastAsia="微软雅黑" w:cs="宋体"/>
          <w:color w:val="000000"/>
          <w:kern w:val="0"/>
          <w:sz w:val="25"/>
          <w:szCs w:val="25"/>
        </w:rPr>
        <w:t>、其他重要事项的情况说明</w:t>
      </w:r>
      <w:bookmarkEnd w:id="78"/>
      <w:bookmarkEnd w:id="79"/>
      <w:bookmarkEnd w:id="80"/>
      <w:bookmarkEnd w:id="81"/>
    </w:p>
    <w:p w14:paraId="0D6A5C32">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82" w:name="_Toc3591"/>
      <w:bookmarkStart w:id="83" w:name="_Toc11772"/>
      <w:bookmarkStart w:id="84" w:name="_Toc24105"/>
      <w:bookmarkStart w:id="85" w:name="_Toc273"/>
      <w:r>
        <w:rPr>
          <w:rFonts w:hint="eastAsia" w:ascii="微软雅黑" w:hAnsi="微软雅黑" w:eastAsia="微软雅黑" w:cs="宋体"/>
          <w:color w:val="000000"/>
          <w:kern w:val="0"/>
          <w:sz w:val="25"/>
          <w:szCs w:val="25"/>
        </w:rPr>
        <w:t>（一）机关运行经费</w:t>
      </w:r>
      <w:bookmarkEnd w:id="82"/>
      <w:bookmarkEnd w:id="83"/>
      <w:bookmarkEnd w:id="84"/>
      <w:bookmarkEnd w:id="85"/>
    </w:p>
    <w:p w14:paraId="76278A0B">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2023年，广元市朝天区人民法院的机关运行经费财政拨款预算为125.09万元，比2022年预算增加2.63万元，上升2.15%。主要原因部分保障标准细微变化。</w:t>
      </w:r>
    </w:p>
    <w:p w14:paraId="6EBC2377">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86" w:name="_Toc19150"/>
      <w:bookmarkStart w:id="87" w:name="_Toc9800"/>
      <w:bookmarkStart w:id="88" w:name="_Toc15211"/>
      <w:bookmarkStart w:id="89" w:name="_Toc28177"/>
      <w:r>
        <w:rPr>
          <w:rFonts w:hint="eastAsia" w:ascii="微软雅黑" w:hAnsi="微软雅黑" w:eastAsia="微软雅黑" w:cs="宋体"/>
          <w:color w:val="000000"/>
          <w:kern w:val="0"/>
          <w:sz w:val="25"/>
          <w:szCs w:val="25"/>
        </w:rPr>
        <w:t>（二）政府采购情况</w:t>
      </w:r>
      <w:bookmarkEnd w:id="86"/>
      <w:bookmarkEnd w:id="87"/>
      <w:bookmarkEnd w:id="88"/>
      <w:bookmarkEnd w:id="89"/>
    </w:p>
    <w:p w14:paraId="6156C7DD">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2023年，广元市朝天区人民法院安排政府采购预算0万元。</w:t>
      </w:r>
    </w:p>
    <w:p w14:paraId="5DEAA58C">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90" w:name="_Toc28534"/>
      <w:bookmarkStart w:id="91" w:name="_Toc5501"/>
      <w:bookmarkStart w:id="92" w:name="_Toc8737"/>
      <w:bookmarkStart w:id="93" w:name="_Toc31660"/>
      <w:r>
        <w:rPr>
          <w:rFonts w:hint="eastAsia" w:ascii="微软雅黑" w:hAnsi="微软雅黑" w:eastAsia="微软雅黑" w:cs="宋体"/>
          <w:color w:val="000000"/>
          <w:kern w:val="0"/>
          <w:sz w:val="25"/>
          <w:szCs w:val="25"/>
        </w:rPr>
        <w:t>（三）国有资产占有使用情况</w:t>
      </w:r>
      <w:bookmarkEnd w:id="90"/>
      <w:bookmarkEnd w:id="91"/>
      <w:bookmarkEnd w:id="92"/>
      <w:bookmarkEnd w:id="93"/>
    </w:p>
    <w:p w14:paraId="5E7B024F">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截至2022年底，广元市朝天区人民法院共有车辆11辆，其中，领导干部用车0辆、定向保障用车0辆、执法执勤用车11辆。单位价值50万元以上大型设备0台（套）。</w:t>
      </w:r>
    </w:p>
    <w:p w14:paraId="62A7D1C5">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94" w:name="_Toc7350"/>
      <w:bookmarkStart w:id="95" w:name="_Toc16831"/>
      <w:bookmarkStart w:id="96" w:name="_Toc16510"/>
      <w:bookmarkStart w:id="97" w:name="_Toc21686"/>
      <w:r>
        <w:rPr>
          <w:rFonts w:hint="eastAsia" w:ascii="微软雅黑" w:hAnsi="微软雅黑" w:eastAsia="微软雅黑" w:cs="宋体"/>
          <w:color w:val="000000"/>
          <w:kern w:val="0"/>
          <w:sz w:val="25"/>
          <w:szCs w:val="25"/>
        </w:rPr>
        <w:t>（四）绩效目标设置情况</w:t>
      </w:r>
      <w:bookmarkEnd w:id="94"/>
      <w:bookmarkEnd w:id="95"/>
      <w:bookmarkEnd w:id="96"/>
      <w:bookmarkEnd w:id="97"/>
    </w:p>
    <w:p w14:paraId="2511E0BB">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绩效目标是预算编制的前提和基础，2023年广元市朝天区人民法院部门预算项目均按要求编制了绩效目标,从项目完成、项目效益、满意度等方面设置了绩效指标，综合反映项目预期完成的数量、成本、时效、质量，预期达到的社会效益、经济效益、生态效益、可持续影响以及服务对象满意度等情况。2023年广元市朝天区人民法院实行绩效目标管理的项目3个，涉及预算116.28万元，其中</w:t>
      </w:r>
      <w:r>
        <w:rPr>
          <w:rFonts w:hint="eastAsia" w:ascii="微软雅黑" w:hAnsi="微软雅黑" w:eastAsia="微软雅黑" w:cs="宋体"/>
          <w:color w:val="000000"/>
          <w:kern w:val="0"/>
          <w:sz w:val="25"/>
          <w:szCs w:val="25"/>
          <w:lang w:eastAsia="zh-CN"/>
        </w:rPr>
        <w:t>，</w:t>
      </w:r>
      <w:r>
        <w:rPr>
          <w:rFonts w:hint="eastAsia" w:ascii="微软雅黑" w:hAnsi="微软雅黑" w:eastAsia="微软雅黑" w:cs="宋体"/>
          <w:color w:val="000000"/>
          <w:kern w:val="0"/>
          <w:sz w:val="25"/>
          <w:szCs w:val="25"/>
        </w:rPr>
        <w:t>一般公共预算116.28万元。</w:t>
      </w:r>
    </w:p>
    <w:p w14:paraId="2CA1B037">
      <w:pPr>
        <w:widowControl/>
        <w:shd w:val="clear" w:color="auto" w:fill="FFFFFF"/>
        <w:spacing w:line="480" w:lineRule="auto"/>
        <w:ind w:firstLine="480"/>
        <w:outlineLvl w:val="0"/>
        <w:rPr>
          <w:rFonts w:hint="eastAsia" w:ascii="微软雅黑" w:hAnsi="微软雅黑" w:eastAsia="微软雅黑" w:cs="宋体"/>
          <w:color w:val="000000"/>
          <w:kern w:val="0"/>
          <w:sz w:val="22"/>
        </w:rPr>
      </w:pPr>
      <w:bookmarkStart w:id="98" w:name="_Toc32444"/>
      <w:bookmarkStart w:id="99" w:name="_Toc2249"/>
      <w:bookmarkStart w:id="100" w:name="_Toc17431"/>
      <w:bookmarkStart w:id="101" w:name="_Toc1271"/>
      <w:r>
        <w:rPr>
          <w:rFonts w:hint="eastAsia" w:ascii="微软雅黑" w:hAnsi="微软雅黑" w:eastAsia="微软雅黑" w:cs="宋体"/>
          <w:color w:val="000000"/>
          <w:kern w:val="0"/>
          <w:sz w:val="25"/>
          <w:szCs w:val="25"/>
          <w:lang w:val="en-US" w:eastAsia="zh-CN"/>
        </w:rPr>
        <w:t>十一</w:t>
      </w:r>
      <w:r>
        <w:rPr>
          <w:rFonts w:hint="eastAsia" w:ascii="微软雅黑" w:hAnsi="微软雅黑" w:eastAsia="微软雅黑" w:cs="宋体"/>
          <w:color w:val="000000"/>
          <w:kern w:val="0"/>
          <w:sz w:val="25"/>
          <w:szCs w:val="25"/>
        </w:rPr>
        <w:t>、名词解释</w:t>
      </w:r>
      <w:bookmarkEnd w:id="98"/>
      <w:bookmarkEnd w:id="99"/>
      <w:bookmarkEnd w:id="100"/>
      <w:bookmarkEnd w:id="101"/>
    </w:p>
    <w:p w14:paraId="5A0267D8">
      <w:pPr>
        <w:widowControl/>
        <w:shd w:val="clear" w:color="auto" w:fill="FFFFFF"/>
        <w:spacing w:line="480" w:lineRule="auto"/>
        <w:ind w:firstLine="480"/>
        <w:outlineLvl w:val="1"/>
        <w:rPr>
          <w:rFonts w:hint="eastAsia" w:ascii="微软雅黑" w:hAnsi="微软雅黑" w:eastAsia="微软雅黑" w:cs="宋体"/>
          <w:color w:val="000000"/>
          <w:kern w:val="0"/>
          <w:sz w:val="22"/>
        </w:rPr>
      </w:pPr>
      <w:bookmarkStart w:id="102" w:name="_Toc10500"/>
      <w:bookmarkStart w:id="103" w:name="_Toc25577"/>
      <w:bookmarkStart w:id="104" w:name="_Toc23212"/>
      <w:bookmarkStart w:id="105" w:name="_Toc16201"/>
      <w:r>
        <w:rPr>
          <w:rFonts w:hint="eastAsia" w:ascii="微软雅黑" w:hAnsi="微软雅黑" w:eastAsia="微软雅黑" w:cs="宋体"/>
          <w:color w:val="000000"/>
          <w:kern w:val="0"/>
          <w:sz w:val="25"/>
          <w:szCs w:val="25"/>
        </w:rPr>
        <w:t>（一）一般公共预算拨款收入：指市级财政当年拨付的资金。</w:t>
      </w:r>
      <w:bookmarkEnd w:id="102"/>
      <w:bookmarkEnd w:id="103"/>
      <w:bookmarkEnd w:id="104"/>
      <w:bookmarkEnd w:id="105"/>
    </w:p>
    <w:p w14:paraId="113079F5">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（二）公共安全（类）法院（款）行政运行（项）：指机关单位用于保障机构正常运行、开展日常工作的基本支出。</w:t>
      </w:r>
    </w:p>
    <w:p w14:paraId="33C81B31">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（三）公共安全（类）法院（款）案件审判（项）：指反映人民法院对刑事、民事、行政、涉外等案件审判活动的支出。</w:t>
      </w:r>
    </w:p>
    <w:p w14:paraId="2DC76B06">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（四）社会保障和就业（类）行政事业单位养老支出（款）机关事业单位基本养老保险缴费支出（项）：指机关事业单位实施养老保险制度由单位缴纳的养老保险的支出。</w:t>
      </w:r>
    </w:p>
    <w:p w14:paraId="1317714D">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（五）卫生健康（类）行政事业单位医疗（款）行政单位医疗（项）：指行政单位基本医疗保险缴费经费。</w:t>
      </w:r>
    </w:p>
    <w:p w14:paraId="6806023F">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（六）住房保障（类）住房改革支出（款）住房公积金（项）：指本部门的行政事业单位按人力资源和社会保障部门、财政部门规定的基本工资和津贴补贴以及规定比例为职工缴纳的住房公积金。</w:t>
      </w:r>
    </w:p>
    <w:p w14:paraId="0021C18C">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（七）基本支出：指为保证机构正常运转，完成日常工作任务而发生的人员支出和公用支出。</w:t>
      </w:r>
    </w:p>
    <w:p w14:paraId="0B1708BC">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（八）项目支出：指在基本支出之外为完成特定行政任务和事业发展目标所发生的支出。</w:t>
      </w:r>
    </w:p>
    <w:p w14:paraId="3A45A9DB">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九）“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E89B969">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14:paraId="24CF885A">
      <w:pPr>
        <w:widowControl/>
        <w:shd w:val="clear" w:color="auto" w:fill="FFFFFF"/>
        <w:spacing w:line="480" w:lineRule="auto"/>
        <w:ind w:firstLine="480"/>
        <w:rPr>
          <w:rFonts w:hint="eastAsia" w:ascii="微软雅黑" w:hAnsi="微软雅黑" w:eastAsia="微软雅黑" w:cs="宋体"/>
          <w:color w:val="000000"/>
          <w:kern w:val="0"/>
          <w:sz w:val="22"/>
        </w:rPr>
      </w:pPr>
      <w:r>
        <w:rPr>
          <w:rFonts w:hint="eastAsia" w:ascii="微软雅黑" w:hAnsi="微软雅黑" w:eastAsia="微软雅黑" w:cs="宋体"/>
          <w:color w:val="000000"/>
          <w:kern w:val="0"/>
          <w:sz w:val="25"/>
          <w:szCs w:val="25"/>
        </w:rPr>
        <w:t>附件：部门预算公开表</w:t>
      </w:r>
    </w:p>
    <w:p w14:paraId="59E66C31"/>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B9B99">
    <w:pPr>
      <w:pStyle w:val="6"/>
      <w:tabs>
        <w:tab w:val="left" w:pos="4747"/>
        <w:tab w:val="clear" w:pos="8306"/>
      </w:tabs>
    </w:pPr>
    <w:r>
      <w:rPr>
        <w:rFonts w:hint="eastAsia"/>
        <w:lang w:eastAsia="zh-CN"/>
      </w:rPr>
      <w:tab/>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F1D6C">
    <w:pPr>
      <w:pStyle w:val="6"/>
    </w:pPr>
    <w:r>
      <w:rPr>
        <w:sz w:val="18"/>
      </w:rPr>
      <w:pict>
        <v:shape id="_x0000_s2052" o:spid="_x0000_s205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B780B2E">
                <w:pPr>
                  <w:pStyle w:val="6"/>
                </w:pPr>
                <w:r>
                  <w:fldChar w:fldCharType="begin"/>
                </w:r>
                <w:r>
                  <w:instrText xml:space="preserve"> PAGE  \* MERGEFORMAT </w:instrText>
                </w:r>
                <w:r>
                  <w:fldChar w:fldCharType="separate"/>
                </w:r>
                <w:r>
                  <w:t>3</w:t>
                </w:r>
                <w:r>
                  <w:fldChar w:fldCharType="end"/>
                </w:r>
              </w:p>
            </w:txbxContent>
          </v:textbox>
        </v:shape>
      </w:pic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zMTU5NmIzMTdiYjAyM2ZjZDg3NzBhMmYyNDA5MDUifQ=="/>
  </w:docVars>
  <w:rsids>
    <w:rsidRoot w:val="007F5B0C"/>
    <w:rsid w:val="00184AE4"/>
    <w:rsid w:val="007F5B0C"/>
    <w:rsid w:val="2BBF3A39"/>
    <w:rsid w:val="53CA986E"/>
    <w:rsid w:val="5DEE5796"/>
    <w:rsid w:val="7CDF8198"/>
    <w:rsid w:val="7FFFE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link w:val="16"/>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ind w:right="-149" w:rightChars="-51" w:firstLine="645"/>
    </w:pPr>
    <w:rPr>
      <w:rFonts w:ascii="仿宋_GB2312" w:eastAsia="仿宋_GB2312"/>
      <w:color w:val="000000"/>
      <w:sz w:val="32"/>
      <w:szCs w:val="32"/>
    </w:rPr>
  </w:style>
  <w:style w:type="paragraph" w:styleId="5">
    <w:name w:val="toc 3"/>
    <w:basedOn w:val="1"/>
    <w:next w:val="1"/>
    <w:semiHidden/>
    <w:unhideWhenUsed/>
    <w:uiPriority w:val="39"/>
    <w:pPr>
      <w:ind w:left="840" w:leftChars="400"/>
    </w:pPr>
  </w:style>
  <w:style w:type="paragraph" w:styleId="6">
    <w:name w:val="footer"/>
    <w:basedOn w:val="1"/>
    <w:link w:val="15"/>
    <w:semiHidden/>
    <w:unhideWhenUsed/>
    <w:qFormat/>
    <w:uiPriority w:val="99"/>
    <w:pPr>
      <w:tabs>
        <w:tab w:val="center" w:pos="4153"/>
        <w:tab w:val="right" w:pos="8306"/>
      </w:tabs>
      <w:snapToGrid w:val="0"/>
      <w:jc w:val="left"/>
    </w:pPr>
    <w:rPr>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semiHidden/>
    <w:unhideWhenUsed/>
    <w:uiPriority w:val="39"/>
  </w:style>
  <w:style w:type="paragraph" w:styleId="9">
    <w:name w:val="toc 2"/>
    <w:basedOn w:val="1"/>
    <w:next w:val="1"/>
    <w:semiHidden/>
    <w:unhideWhenUsed/>
    <w:uiPriority w:val="39"/>
    <w:pPr>
      <w:ind w:left="420" w:leftChars="200"/>
    </w:p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Hyperlink"/>
    <w:basedOn w:val="12"/>
    <w:semiHidden/>
    <w:unhideWhenUsed/>
    <w:qFormat/>
    <w:uiPriority w:val="99"/>
    <w:rPr>
      <w:color w:val="0000FF"/>
      <w:u w:val="single"/>
    </w:rPr>
  </w:style>
  <w:style w:type="character" w:customStyle="1" w:styleId="14">
    <w:name w:val="页眉 Char"/>
    <w:basedOn w:val="12"/>
    <w:link w:val="7"/>
    <w:semiHidden/>
    <w:qFormat/>
    <w:uiPriority w:val="99"/>
    <w:rPr>
      <w:sz w:val="18"/>
      <w:szCs w:val="18"/>
    </w:rPr>
  </w:style>
  <w:style w:type="character" w:customStyle="1" w:styleId="15">
    <w:name w:val="页脚 Char"/>
    <w:basedOn w:val="12"/>
    <w:link w:val="6"/>
    <w:semiHidden/>
    <w:qFormat/>
    <w:uiPriority w:val="99"/>
    <w:rPr>
      <w:sz w:val="18"/>
      <w:szCs w:val="18"/>
    </w:rPr>
  </w:style>
  <w:style w:type="character" w:customStyle="1" w:styleId="16">
    <w:name w:val="标题 2 Char"/>
    <w:basedOn w:val="12"/>
    <w:link w:val="4"/>
    <w:qFormat/>
    <w:uiPriority w:val="9"/>
    <w:rPr>
      <w:rFonts w:ascii="宋体" w:hAnsi="宋体" w:eastAsia="宋体" w:cs="宋体"/>
      <w:b/>
      <w:bCs/>
      <w:kern w:val="0"/>
      <w:sz w:val="36"/>
      <w:szCs w:val="36"/>
    </w:rPr>
  </w:style>
  <w:style w:type="paragraph" w:customStyle="1" w:styleId="17">
    <w:name w:val="WPSOffice手动目录 1"/>
    <w:uiPriority w:val="0"/>
    <w:pPr>
      <w:ind w:leftChars="0"/>
    </w:pPr>
    <w:rPr>
      <w:sz w:val="20"/>
      <w:szCs w:val="20"/>
    </w:rPr>
  </w:style>
  <w:style w:type="paragraph" w:customStyle="1" w:styleId="18">
    <w:name w:val="WPSOffice手动目录 2"/>
    <w:uiPriority w:val="0"/>
    <w:pPr>
      <w:ind w:leftChars="200"/>
    </w:pPr>
    <w:rPr>
      <w:sz w:val="20"/>
      <w:szCs w:val="20"/>
    </w:rPr>
  </w:style>
  <w:style w:type="paragraph" w:customStyle="1" w:styleId="19">
    <w:name w:val="WPSOffice手动目录 3"/>
    <w:uiPriority w:val="0"/>
    <w:pPr>
      <w:ind w:leftChars="4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4274</Words>
  <Characters>4617</Characters>
  <Lines>33</Lines>
  <Paragraphs>9</Paragraphs>
  <TotalTime>2</TotalTime>
  <ScaleCrop>false</ScaleCrop>
  <LinksUpToDate>false</LinksUpToDate>
  <CharactersWithSpaces>4628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2024-08-05T17:58:00Z</dcterms:created>
  <dc:creator>Windows 用户</dc:creator>
  <cp:lastModifiedBy>春华秋实</cp:lastModifiedBy>
  <dcterms:modified xsi:type="dcterms:W3CDTF">2024-08-16T02:56:21Z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3EA59F1163D14AC5AC30AF12FB45A0D2_12</vt:lpwstr>
  </property>
</Properties>
</file>