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ascii="方正小标宋简体" w:hAnsi="宋体" w:eastAsia="方正小标宋简体"/>
          <w:color w:val="auto"/>
          <w:sz w:val="72"/>
          <w:szCs w:val="72"/>
          <w:highlight w:val="none"/>
        </w:rPr>
      </w:pPr>
      <w:bookmarkStart w:id="402" w:name="_GoBack"/>
      <w:bookmarkStart w:id="0" w:name="_Toc15396475"/>
      <w:bookmarkStart w:id="1" w:name="_Toc15377193"/>
      <w:bookmarkStart w:id="2" w:name="_Toc15378441"/>
      <w:bookmarkStart w:id="3" w:name="_Toc15396597"/>
      <w:bookmarkStart w:id="4" w:name="_Toc15377425"/>
      <w:bookmarkStart w:id="5" w:name="_Toc15306267"/>
    </w:p>
    <w:p>
      <w:pPr>
        <w:shd w:val="clear"/>
        <w:spacing w:line="600" w:lineRule="exact"/>
        <w:jc w:val="center"/>
        <w:outlineLvl w:val="9"/>
        <w:rPr>
          <w:rFonts w:ascii="方正小标宋简体" w:hAnsi="宋体" w:eastAsia="方正小标宋简体"/>
          <w:color w:val="auto"/>
          <w:sz w:val="72"/>
          <w:szCs w:val="72"/>
          <w:highlight w:val="none"/>
        </w:rPr>
      </w:pPr>
    </w:p>
    <w:p>
      <w:pPr>
        <w:shd w:val="clear"/>
        <w:spacing w:line="600" w:lineRule="exact"/>
        <w:jc w:val="center"/>
        <w:outlineLvl w:val="9"/>
        <w:rPr>
          <w:rFonts w:ascii="方正小标宋简体" w:hAnsi="宋体" w:eastAsia="方正小标宋简体"/>
          <w:color w:val="auto"/>
          <w:sz w:val="72"/>
          <w:szCs w:val="72"/>
          <w:highlight w:val="none"/>
        </w:rPr>
      </w:pPr>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843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194"/>
      <w:bookmarkStart w:id="8" w:name="_Toc15396476"/>
      <w:bookmarkStart w:id="9" w:name="_Toc15396598"/>
      <w:bookmarkStart w:id="10" w:name="_Toc24143"/>
      <w:bookmarkStart w:id="11" w:name="_Toc15377426"/>
      <w:bookmarkStart w:id="12" w:name="_Toc15378442"/>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住房和城乡建设局</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shd w:val="clear"/>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br w:type="page"/>
      </w:r>
    </w:p>
    <w:p>
      <w:pPr>
        <w:pStyle w:val="2"/>
        <w:shd w:val="clear"/>
        <w:jc w:val="center"/>
        <w:rPr>
          <w:rFonts w:hint="eastAsia"/>
          <w:color w:val="auto"/>
          <w:sz w:val="44"/>
          <w:szCs w:val="44"/>
          <w:highlight w:val="none"/>
        </w:rPr>
      </w:pPr>
      <w:r>
        <w:rPr>
          <w:rFonts w:hint="eastAsia"/>
          <w:color w:val="auto"/>
          <w:sz w:val="44"/>
          <w:szCs w:val="44"/>
          <w:highlight w:val="none"/>
        </w:rPr>
        <w:t>目录</w:t>
      </w:r>
    </w:p>
    <w:p>
      <w:pPr>
        <w:pStyle w:val="2"/>
        <w:shd w:val="clear"/>
        <w:jc w:val="center"/>
        <w:rPr>
          <w:rFonts w:hint="eastAsia"/>
          <w:color w:val="auto"/>
          <w:highlight w:val="none"/>
        </w:rPr>
      </w:pPr>
      <w:r>
        <w:rPr>
          <w:rFonts w:hint="eastAsia"/>
          <w:color w:val="auto"/>
          <w:highlight w:val="none"/>
        </w:rPr>
        <w:t>公开时间：2023年10月7日</w:t>
      </w:r>
    </w:p>
    <w:sdt>
      <w:sdtPr>
        <w:rPr>
          <w:rFonts w:ascii="宋体" w:hAnsi="宋体" w:eastAsia="宋体" w:cs="Times New Roman"/>
          <w:color w:val="auto"/>
          <w:kern w:val="2"/>
          <w:sz w:val="21"/>
          <w:szCs w:val="24"/>
          <w:highlight w:val="none"/>
          <w:lang w:val="en-US" w:eastAsia="zh-CN" w:bidi="ar-SA"/>
        </w:rPr>
        <w:id w:val="147471948"/>
        <w15:color w:val="DBDBDB"/>
        <w:docPartObj>
          <w:docPartGallery w:val="Table of Contents"/>
          <w:docPartUnique/>
        </w:docPartObj>
      </w:sdtPr>
      <w:sdtEndPr>
        <w:rPr>
          <w:rFonts w:hint="eastAsia" w:ascii="Times New Roman" w:hAnsi="Times New Roman" w:eastAsia="宋体" w:cs="Times New Roman"/>
          <w:b/>
          <w:color w:val="auto"/>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b/>
              <w:color w:val="auto"/>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rFonts w:hint="eastAsia"/>
              <w:b/>
              <w:color w:val="auto"/>
              <w:highlight w:val="none"/>
            </w:rPr>
            <w:fldChar w:fldCharType="begin"/>
          </w:r>
          <w:r>
            <w:rPr>
              <w:rFonts w:hint="eastAsia"/>
              <w:b/>
              <w:color w:val="auto"/>
              <w:highlight w:val="none"/>
            </w:rPr>
            <w:instrText xml:space="preserve"> HYPERLINK \l _Toc21761 </w:instrText>
          </w:r>
          <w:r>
            <w:rPr>
              <w:rFonts w:hint="eastAsia"/>
              <w:b/>
              <w:color w:val="auto"/>
              <w:highlight w:val="none"/>
            </w:rPr>
            <w:fldChar w:fldCharType="separate"/>
          </w:r>
          <w:r>
            <w:rPr>
              <w:rFonts w:hint="eastAsia" w:ascii="黑体" w:hAnsi="黑体" w:eastAsia="黑体"/>
              <w:b/>
              <w:color w:val="auto"/>
              <w:highlight w:val="none"/>
            </w:rPr>
            <w:t>第一部分</w:t>
          </w:r>
          <w:r>
            <w:rPr>
              <w:rFonts w:hint="eastAsia" w:ascii="黑体" w:hAnsi="黑体" w:eastAsia="黑体"/>
              <w:b/>
              <w:bCs w:val="0"/>
              <w:color w:val="auto"/>
              <w:highlight w:val="none"/>
            </w:rPr>
            <w:t>部门概况</w:t>
          </w:r>
          <w:r>
            <w:rPr>
              <w:b/>
              <w:color w:val="auto"/>
              <w:highlight w:val="none"/>
            </w:rPr>
            <w:tab/>
          </w:r>
          <w:r>
            <w:rPr>
              <w:b/>
              <w:color w:val="auto"/>
              <w:highlight w:val="none"/>
            </w:rPr>
            <w:fldChar w:fldCharType="begin"/>
          </w:r>
          <w:r>
            <w:rPr>
              <w:b/>
              <w:color w:val="auto"/>
              <w:highlight w:val="none"/>
            </w:rPr>
            <w:instrText xml:space="preserve"> PAGEREF _Toc21761 \h </w:instrText>
          </w:r>
          <w:r>
            <w:rPr>
              <w:b/>
              <w:color w:val="auto"/>
              <w:highlight w:val="none"/>
            </w:rPr>
            <w:fldChar w:fldCharType="separate"/>
          </w:r>
          <w:r>
            <w:rPr>
              <w:b/>
              <w:color w:val="auto"/>
              <w:highlight w:val="none"/>
            </w:rPr>
            <w:t>1</w:t>
          </w:r>
          <w:r>
            <w:rPr>
              <w:b/>
              <w:color w:val="auto"/>
              <w:highlight w:val="none"/>
            </w:rPr>
            <w:fldChar w:fldCharType="end"/>
          </w:r>
          <w:r>
            <w:rPr>
              <w:rFonts w:hint="eastAsia"/>
              <w:b/>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_Toc22 </w:instrText>
          </w:r>
          <w:r>
            <w:rPr>
              <w:rFonts w:hint="eastAsia"/>
              <w:color w:val="auto"/>
              <w:highlight w:val="none"/>
            </w:rPr>
            <w:fldChar w:fldCharType="separate"/>
          </w:r>
          <w:r>
            <w:rPr>
              <w:rFonts w:hint="eastAsia" w:ascii="黑体" w:hAnsi="黑体" w:eastAsia="黑体"/>
              <w:color w:val="auto"/>
              <w:highlight w:val="none"/>
            </w:rPr>
            <w:t>一、</w:t>
          </w:r>
          <w:r>
            <w:rPr>
              <w:rFonts w:hint="eastAsia" w:ascii="黑体" w:hAnsi="黑体" w:eastAsia="黑体"/>
              <w:color w:val="auto"/>
              <w:highlight w:val="none"/>
              <w:lang w:eastAsia="zh-CN"/>
            </w:rPr>
            <w:t>部门职责</w:t>
          </w:r>
          <w:r>
            <w:rPr>
              <w:color w:val="auto"/>
              <w:highlight w:val="none"/>
            </w:rPr>
            <w:tab/>
          </w:r>
          <w:r>
            <w:rPr>
              <w:color w:val="auto"/>
              <w:highlight w:val="none"/>
            </w:rPr>
            <w:fldChar w:fldCharType="begin"/>
          </w:r>
          <w:r>
            <w:rPr>
              <w:color w:val="auto"/>
              <w:highlight w:val="none"/>
            </w:rPr>
            <w:instrText xml:space="preserve"> PAGEREF _Toc22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_Toc31751 </w:instrText>
          </w:r>
          <w:r>
            <w:rPr>
              <w:rFonts w:hint="eastAsia"/>
              <w:color w:val="auto"/>
              <w:highlight w:val="none"/>
            </w:rPr>
            <w:fldChar w:fldCharType="separate"/>
          </w:r>
          <w:r>
            <w:rPr>
              <w:rFonts w:hint="eastAsia" w:ascii="黑体" w:eastAsia="黑体"/>
              <w:color w:val="auto"/>
              <w:highlight w:val="none"/>
            </w:rPr>
            <w:t>二、</w:t>
          </w:r>
          <w:r>
            <w:rPr>
              <w:rFonts w:hint="eastAsia" w:ascii="黑体" w:hAnsi="黑体" w:eastAsia="黑体"/>
              <w:color w:val="auto"/>
              <w:highlight w:val="none"/>
            </w:rPr>
            <w:t>机</w:t>
          </w:r>
          <w:r>
            <w:rPr>
              <w:rFonts w:hint="eastAsia" w:ascii="黑体" w:hAnsi="黑体" w:eastAsia="黑体"/>
              <w:bCs w:val="0"/>
              <w:color w:val="auto"/>
              <w:highlight w:val="none"/>
            </w:rPr>
            <w:t>构设置</w:t>
          </w:r>
          <w:r>
            <w:rPr>
              <w:color w:val="auto"/>
              <w:highlight w:val="none"/>
            </w:rPr>
            <w:tab/>
          </w:r>
          <w:r>
            <w:rPr>
              <w:color w:val="auto"/>
              <w:highlight w:val="none"/>
            </w:rPr>
            <w:fldChar w:fldCharType="begin"/>
          </w:r>
          <w:r>
            <w:rPr>
              <w:color w:val="auto"/>
              <w:highlight w:val="none"/>
            </w:rPr>
            <w:instrText xml:space="preserve"> PAGEREF _Toc31751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b/>
              <w:color w:val="auto"/>
              <w:highlight w:val="none"/>
            </w:rPr>
          </w:pPr>
          <w:r>
            <w:rPr>
              <w:rFonts w:hint="eastAsia"/>
              <w:b/>
              <w:color w:val="auto"/>
              <w:highlight w:val="none"/>
            </w:rPr>
            <w:fldChar w:fldCharType="begin"/>
          </w:r>
          <w:r>
            <w:rPr>
              <w:rFonts w:hint="eastAsia"/>
              <w:b/>
              <w:color w:val="auto"/>
              <w:highlight w:val="none"/>
            </w:rPr>
            <w:instrText xml:space="preserve"> HYPERLINK \l _Toc20630 </w:instrText>
          </w:r>
          <w:r>
            <w:rPr>
              <w:rFonts w:hint="eastAsia"/>
              <w:b/>
              <w:color w:val="auto"/>
              <w:highlight w:val="none"/>
            </w:rPr>
            <w:fldChar w:fldCharType="separate"/>
          </w:r>
          <w:r>
            <w:rPr>
              <w:rFonts w:hint="eastAsia" w:ascii="黑体" w:hAnsi="黑体" w:eastAsia="黑体"/>
              <w:b/>
              <w:bCs/>
              <w:color w:val="auto"/>
              <w:highlight w:val="none"/>
            </w:rPr>
            <w:t>第二部分</w:t>
          </w:r>
          <w:r>
            <w:rPr>
              <w:rFonts w:hint="eastAsia" w:ascii="黑体" w:hAnsi="黑体" w:eastAsia="黑体"/>
              <w:b/>
              <w:bCs/>
              <w:color w:val="auto"/>
              <w:highlight w:val="none"/>
              <w:lang w:val="en-US" w:eastAsia="zh-CN"/>
            </w:rPr>
            <w:t>2022年度</w:t>
          </w:r>
          <w:r>
            <w:rPr>
              <w:rFonts w:hint="eastAsia" w:ascii="黑体" w:hAnsi="黑体" w:eastAsia="黑体"/>
              <w:b/>
              <w:bCs/>
              <w:color w:val="auto"/>
              <w:highlight w:val="none"/>
            </w:rPr>
            <w:t>部门决算情况说明</w:t>
          </w:r>
          <w:r>
            <w:rPr>
              <w:b/>
              <w:color w:val="auto"/>
              <w:highlight w:val="none"/>
            </w:rPr>
            <w:tab/>
          </w:r>
          <w:r>
            <w:rPr>
              <w:b/>
              <w:color w:val="auto"/>
              <w:highlight w:val="none"/>
            </w:rPr>
            <w:fldChar w:fldCharType="begin"/>
          </w:r>
          <w:r>
            <w:rPr>
              <w:b/>
              <w:color w:val="auto"/>
              <w:highlight w:val="none"/>
            </w:rPr>
            <w:instrText xml:space="preserve"> PAGEREF _Toc20630 \h </w:instrText>
          </w:r>
          <w:r>
            <w:rPr>
              <w:b/>
              <w:color w:val="auto"/>
              <w:highlight w:val="none"/>
            </w:rPr>
            <w:fldChar w:fldCharType="separate"/>
          </w:r>
          <w:r>
            <w:rPr>
              <w:b/>
              <w:color w:val="auto"/>
              <w:highlight w:val="none"/>
            </w:rPr>
            <w:t>3</w:t>
          </w:r>
          <w:r>
            <w:rPr>
              <w:b/>
              <w:color w:val="auto"/>
              <w:highlight w:val="none"/>
            </w:rPr>
            <w:fldChar w:fldCharType="end"/>
          </w:r>
          <w:r>
            <w:rPr>
              <w:rFonts w:hint="eastAsia"/>
              <w:b/>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_Toc31219 </w:instrText>
          </w:r>
          <w:r>
            <w:rPr>
              <w:rFonts w:hint="eastAsia"/>
              <w:color w:val="auto"/>
              <w:highlight w:val="none"/>
            </w:rPr>
            <w:fldChar w:fldCharType="separate"/>
          </w:r>
          <w:r>
            <w:rPr>
              <w:rFonts w:hint="default" w:ascii="黑体" w:hAnsi="黑体" w:eastAsia="黑体"/>
              <w:color w:val="auto"/>
              <w:highlight w:val="none"/>
            </w:rPr>
            <w:t>一、</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_Toc31219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_Toc44 </w:instrText>
          </w:r>
          <w:r>
            <w:rPr>
              <w:rFonts w:hint="eastAsia"/>
              <w:color w:val="auto"/>
              <w:highlight w:val="none"/>
            </w:rPr>
            <w:fldChar w:fldCharType="separate"/>
          </w:r>
          <w:r>
            <w:rPr>
              <w:rFonts w:hint="eastAsia" w:ascii="黑体" w:hAnsi="黑体" w:eastAsia="黑体"/>
              <w:color w:val="auto"/>
              <w:szCs w:val="32"/>
              <w:highlight w:val="none"/>
              <w:lang w:eastAsia="zh-CN"/>
            </w:rPr>
            <w:t>二、</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_Toc44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_Toc11026 </w:instrText>
          </w:r>
          <w:r>
            <w:rPr>
              <w:rFonts w:hint="eastAsia"/>
              <w:color w:val="auto"/>
              <w:highlight w:val="none"/>
            </w:rPr>
            <w:fldChar w:fldCharType="separate"/>
          </w:r>
          <w:r>
            <w:rPr>
              <w:rFonts w:hint="eastAsia" w:ascii="黑体" w:hAnsi="黑体" w:eastAsia="黑体"/>
              <w:color w:val="auto"/>
              <w:szCs w:val="32"/>
              <w:highlight w:val="none"/>
              <w:lang w:eastAsia="zh-CN"/>
            </w:rPr>
            <w:t>三、</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_Toc11026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_Toc16641 </w:instrText>
          </w:r>
          <w:r>
            <w:rPr>
              <w:rFonts w:hint="eastAsia"/>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_Toc16641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_Toc19902 </w:instrText>
          </w:r>
          <w:r>
            <w:rPr>
              <w:rFonts w:hint="eastAsia"/>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_Toc19902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_Toc17562 </w:instrText>
          </w:r>
          <w:r>
            <w:rPr>
              <w:rFonts w:hint="eastAsia"/>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_Toc17562 \h </w:instrText>
          </w:r>
          <w:r>
            <w:rPr>
              <w:color w:val="auto"/>
              <w:highlight w:val="none"/>
            </w:rPr>
            <w:fldChar w:fldCharType="separate"/>
          </w:r>
          <w:r>
            <w:rPr>
              <w:color w:val="auto"/>
              <w:highlight w:val="none"/>
            </w:rPr>
            <w:t>10</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_Toc11971 </w:instrText>
          </w:r>
          <w:r>
            <w:rPr>
              <w:rFonts w:hint="eastAsia"/>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_Toc11971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_Toc21053 </w:instrText>
          </w:r>
          <w:r>
            <w:rPr>
              <w:rFonts w:hint="eastAsia"/>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_Toc21053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_Toc5979 </w:instrText>
          </w:r>
          <w:r>
            <w:rPr>
              <w:rFonts w:hint="eastAsia"/>
              <w:color w:val="auto"/>
              <w:highlight w:val="none"/>
            </w:rPr>
            <w:fldChar w:fldCharType="separate"/>
          </w:r>
          <w:r>
            <w:rPr>
              <w:rFonts w:hint="eastAsia" w:ascii="黑体" w:hAnsi="黑体" w:eastAsia="黑体"/>
              <w:color w:val="auto"/>
              <w:highlight w:val="none"/>
            </w:rPr>
            <w:t>九、国有资本经营预算支出决算情况说明</w:t>
          </w:r>
          <w:r>
            <w:rPr>
              <w:color w:val="auto"/>
              <w:highlight w:val="none"/>
            </w:rPr>
            <w:tab/>
          </w:r>
          <w:r>
            <w:rPr>
              <w:color w:val="auto"/>
              <w:highlight w:val="none"/>
            </w:rPr>
            <w:fldChar w:fldCharType="begin"/>
          </w:r>
          <w:r>
            <w:rPr>
              <w:color w:val="auto"/>
              <w:highlight w:val="none"/>
            </w:rPr>
            <w:instrText xml:space="preserve"> PAGEREF _Toc5979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_Toc30990 </w:instrText>
          </w:r>
          <w:r>
            <w:rPr>
              <w:rFonts w:hint="eastAsia"/>
              <w:color w:val="auto"/>
              <w:highlight w:val="none"/>
            </w:rPr>
            <w:fldChar w:fldCharType="separate"/>
          </w:r>
          <w:r>
            <w:rPr>
              <w:rFonts w:hint="eastAsia" w:ascii="黑体" w:hAnsi="黑体" w:eastAsia="黑体"/>
              <w:color w:val="auto"/>
              <w:highlight w:val="none"/>
            </w:rPr>
            <w:t>十、其他重要事项的情况说明</w:t>
          </w:r>
          <w:r>
            <w:rPr>
              <w:color w:val="auto"/>
              <w:highlight w:val="none"/>
            </w:rPr>
            <w:tab/>
          </w:r>
          <w:r>
            <w:rPr>
              <w:color w:val="auto"/>
              <w:highlight w:val="none"/>
            </w:rPr>
            <w:fldChar w:fldCharType="begin"/>
          </w:r>
          <w:r>
            <w:rPr>
              <w:color w:val="auto"/>
              <w:highlight w:val="none"/>
            </w:rPr>
            <w:instrText xml:space="preserve"> PAGEREF _Toc30990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b/>
              <w:color w:val="auto"/>
              <w:highlight w:val="none"/>
            </w:rPr>
          </w:pPr>
          <w:r>
            <w:rPr>
              <w:rFonts w:hint="eastAsia"/>
              <w:b/>
              <w:color w:val="auto"/>
              <w:highlight w:val="none"/>
            </w:rPr>
            <w:fldChar w:fldCharType="begin"/>
          </w:r>
          <w:r>
            <w:rPr>
              <w:rFonts w:hint="eastAsia"/>
              <w:b/>
              <w:color w:val="auto"/>
              <w:highlight w:val="none"/>
            </w:rPr>
            <w:instrText xml:space="preserve"> HYPERLINK \l _Toc16834 </w:instrText>
          </w:r>
          <w:r>
            <w:rPr>
              <w:rFonts w:hint="eastAsia"/>
              <w:b/>
              <w:color w:val="auto"/>
              <w:highlight w:val="none"/>
            </w:rPr>
            <w:fldChar w:fldCharType="separate"/>
          </w:r>
          <w:r>
            <w:rPr>
              <w:rFonts w:hint="eastAsia" w:ascii="黑体" w:hAnsi="黑体" w:eastAsia="黑体"/>
              <w:b/>
              <w:color w:val="auto"/>
              <w:highlight w:val="none"/>
            </w:rPr>
            <w:t>第三部分</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_Toc16834 \h </w:instrText>
          </w:r>
          <w:r>
            <w:rPr>
              <w:b/>
              <w:color w:val="auto"/>
              <w:highlight w:val="none"/>
            </w:rPr>
            <w:fldChar w:fldCharType="separate"/>
          </w:r>
          <w:r>
            <w:rPr>
              <w:b/>
              <w:color w:val="auto"/>
              <w:highlight w:val="none"/>
            </w:rPr>
            <w:t>15</w:t>
          </w:r>
          <w:r>
            <w:rPr>
              <w:b/>
              <w:color w:val="auto"/>
              <w:highlight w:val="none"/>
            </w:rPr>
            <w:fldChar w:fldCharType="end"/>
          </w:r>
          <w:r>
            <w:rPr>
              <w:rFonts w:hint="eastAsia"/>
              <w:b/>
              <w:color w:val="auto"/>
              <w:highlight w:val="none"/>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b/>
              <w:color w:val="auto"/>
              <w:highlight w:val="none"/>
            </w:rPr>
            <w:fldChar w:fldCharType="begin"/>
          </w:r>
          <w:r>
            <w:rPr>
              <w:rFonts w:hint="eastAsia"/>
              <w:b/>
              <w:color w:val="auto"/>
              <w:highlight w:val="none"/>
            </w:rPr>
            <w:instrText xml:space="preserve"> HYPERLINK \l _Toc15239 </w:instrText>
          </w:r>
          <w:r>
            <w:rPr>
              <w:rFonts w:hint="eastAsia"/>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四部分附件</w:t>
          </w:r>
          <w:r>
            <w:rPr>
              <w:b/>
              <w:color w:val="auto"/>
              <w:highlight w:val="none"/>
            </w:rPr>
            <w:tab/>
          </w:r>
          <w:r>
            <w:rPr>
              <w:b/>
              <w:color w:val="auto"/>
              <w:highlight w:val="none"/>
            </w:rPr>
            <w:fldChar w:fldCharType="begin"/>
          </w:r>
          <w:r>
            <w:rPr>
              <w:b/>
              <w:color w:val="auto"/>
              <w:highlight w:val="none"/>
            </w:rPr>
            <w:instrText xml:space="preserve"> PAGEREF _Toc15239 \h </w:instrText>
          </w:r>
          <w:r>
            <w:rPr>
              <w:b/>
              <w:color w:val="auto"/>
              <w:highlight w:val="none"/>
            </w:rPr>
            <w:fldChar w:fldCharType="separate"/>
          </w:r>
          <w:r>
            <w:rPr>
              <w:b/>
              <w:color w:val="auto"/>
              <w:highlight w:val="none"/>
            </w:rPr>
            <w:t>21</w:t>
          </w:r>
          <w:r>
            <w:rPr>
              <w:b/>
              <w:color w:val="auto"/>
              <w:highlight w:val="none"/>
            </w:rPr>
            <w:fldChar w:fldCharType="end"/>
          </w:r>
          <w:r>
            <w:rPr>
              <w:rFonts w:hint="eastAsia"/>
              <w:b/>
              <w:color w:val="auto"/>
              <w:highlight w:val="none"/>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b/>
              <w:color w:val="auto"/>
              <w:highlight w:val="none"/>
            </w:rPr>
          </w:pPr>
          <w:r>
            <w:rPr>
              <w:rFonts w:hint="eastAsia"/>
              <w:b/>
              <w:color w:val="auto"/>
              <w:highlight w:val="none"/>
            </w:rPr>
            <w:fldChar w:fldCharType="begin"/>
          </w:r>
          <w:r>
            <w:rPr>
              <w:rFonts w:hint="eastAsia"/>
              <w:b/>
              <w:color w:val="auto"/>
              <w:highlight w:val="none"/>
            </w:rPr>
            <w:instrText xml:space="preserve"> HYPERLINK \l _Toc22210 </w:instrText>
          </w:r>
          <w:r>
            <w:rPr>
              <w:rFonts w:hint="eastAsia"/>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五部分附表</w:t>
          </w:r>
          <w:r>
            <w:rPr>
              <w:b/>
              <w:color w:val="auto"/>
              <w:highlight w:val="none"/>
            </w:rPr>
            <w:tab/>
          </w:r>
          <w:r>
            <w:rPr>
              <w:b/>
              <w:color w:val="auto"/>
              <w:highlight w:val="none"/>
            </w:rPr>
            <w:fldChar w:fldCharType="begin"/>
          </w:r>
          <w:r>
            <w:rPr>
              <w:b/>
              <w:color w:val="auto"/>
              <w:highlight w:val="none"/>
            </w:rPr>
            <w:instrText xml:space="preserve"> PAGEREF _Toc22210 \h </w:instrText>
          </w:r>
          <w:r>
            <w:rPr>
              <w:b/>
              <w:color w:val="auto"/>
              <w:highlight w:val="none"/>
            </w:rPr>
            <w:fldChar w:fldCharType="separate"/>
          </w:r>
          <w:r>
            <w:rPr>
              <w:b/>
              <w:color w:val="auto"/>
              <w:highlight w:val="none"/>
            </w:rPr>
            <w:t>111</w:t>
          </w:r>
          <w:r>
            <w:rPr>
              <w:b/>
              <w:color w:val="auto"/>
              <w:highlight w:val="none"/>
            </w:rPr>
            <w:fldChar w:fldCharType="end"/>
          </w:r>
          <w:r>
            <w:rPr>
              <w:rFonts w:hint="eastAsia"/>
              <w:b/>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_Toc11752 </w:instrText>
          </w:r>
          <w:r>
            <w:rPr>
              <w:rFonts w:hint="eastAsia"/>
              <w:color w:val="auto"/>
              <w:highlight w:val="none"/>
            </w:rPr>
            <w:fldChar w:fldCharType="separate"/>
          </w:r>
          <w:r>
            <w:rPr>
              <w:rFonts w:hint="eastAsia" w:ascii="仿宋_GB2312" w:hAnsi="仿宋_GB2312" w:eastAsia="仿宋_GB2312" w:cs="仿宋_GB2312"/>
              <w:color w:val="auto"/>
              <w:highlight w:val="none"/>
            </w:rPr>
            <w:t>一、收</w:t>
          </w:r>
          <w:r>
            <w:rPr>
              <w:rFonts w:hint="eastAsia" w:ascii="仿宋_GB2312" w:hAnsi="仿宋_GB2312" w:eastAsia="仿宋_GB2312" w:cs="仿宋_GB2312"/>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_Toc11752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_Toc25272 </w:instrText>
          </w:r>
          <w:r>
            <w:rPr>
              <w:rFonts w:hint="eastAsia"/>
              <w:color w:val="auto"/>
              <w:highlight w:val="none"/>
            </w:rPr>
            <w:fldChar w:fldCharType="separate"/>
          </w:r>
          <w:r>
            <w:rPr>
              <w:rFonts w:hint="eastAsia" w:ascii="仿宋_GB2312" w:hAnsi="仿宋_GB2312" w:eastAsia="仿宋_GB2312" w:cs="仿宋_GB2312"/>
              <w:color w:val="auto"/>
              <w:highlight w:val="none"/>
            </w:rPr>
            <w:t>二、收</w:t>
          </w:r>
          <w:r>
            <w:rPr>
              <w:rFonts w:hint="eastAsia" w:ascii="仿宋_GB2312" w:hAnsi="仿宋_GB2312" w:eastAsia="仿宋_GB2312" w:cs="仿宋_GB2312"/>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_Toc25272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_Toc12269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三、</w:t>
          </w:r>
          <w:r>
            <w:rPr>
              <w:rFonts w:hint="eastAsia" w:ascii="仿宋_GB2312" w:hAnsi="仿宋_GB2312" w:eastAsia="仿宋_GB2312" w:cs="仿宋_GB2312"/>
              <w:color w:val="auto"/>
              <w:highlight w:val="none"/>
            </w:rPr>
            <w:t>支</w:t>
          </w:r>
          <w:r>
            <w:rPr>
              <w:rFonts w:hint="eastAsia" w:ascii="仿宋_GB2312" w:hAnsi="仿宋_GB2312" w:eastAsia="仿宋_GB2312" w:cs="仿宋_GB2312"/>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_Toc12269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_Toc30225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四、</w:t>
          </w:r>
          <w:r>
            <w:rPr>
              <w:rFonts w:hint="eastAsia" w:ascii="仿宋_GB2312" w:hAnsi="仿宋_GB2312" w:eastAsia="仿宋_GB2312" w:cs="仿宋_GB2312"/>
              <w:color w:val="auto"/>
              <w:highlight w:val="none"/>
            </w:rPr>
            <w:t>财</w:t>
          </w:r>
          <w:r>
            <w:rPr>
              <w:rFonts w:hint="eastAsia" w:ascii="仿宋_GB2312" w:hAnsi="仿宋_GB2312" w:eastAsia="仿宋_GB2312" w:cs="仿宋_GB2312"/>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_Toc30225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_Toc2124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五、</w:t>
          </w:r>
          <w:r>
            <w:rPr>
              <w:rFonts w:hint="eastAsia" w:ascii="仿宋_GB2312" w:hAnsi="仿宋_GB2312" w:eastAsia="仿宋_GB2312" w:cs="仿宋_GB2312"/>
              <w:color w:val="auto"/>
              <w:highlight w:val="none"/>
            </w:rPr>
            <w:t>财</w:t>
          </w:r>
          <w:r>
            <w:rPr>
              <w:rFonts w:hint="eastAsia" w:ascii="仿宋_GB2312" w:hAnsi="仿宋_GB2312" w:eastAsia="仿宋_GB2312" w:cs="仿宋_GB2312"/>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_Toc2124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_Toc6614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六、</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_Toc6614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_Toc27133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七、</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_Toc27133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_Toc4836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八、</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_Toc4836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_Toc5382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九、</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_Toc5382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_Toc32075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十、</w:t>
          </w:r>
          <w:r>
            <w:rPr>
              <w:rFonts w:hint="eastAsia" w:ascii="仿宋_GB2312" w:hAnsi="仿宋_GB2312" w:eastAsia="仿宋_GB2312" w:cs="仿宋_GB2312"/>
              <w:color w:val="auto"/>
              <w:highlight w:val="none"/>
            </w:rPr>
            <w:t>政</w:t>
          </w:r>
          <w:r>
            <w:rPr>
              <w:rFonts w:hint="eastAsia" w:ascii="仿宋_GB2312" w:hAnsi="仿宋_GB2312" w:eastAsia="仿宋_GB2312" w:cs="仿宋_GB2312"/>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_Toc32075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_Toc2288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十一、</w:t>
          </w:r>
          <w:r>
            <w:rPr>
              <w:rFonts w:hint="eastAsia" w:ascii="仿宋_GB2312" w:hAnsi="仿宋_GB2312" w:eastAsia="仿宋_GB2312" w:cs="仿宋_GB2312"/>
              <w:color w:val="auto"/>
              <w:highlight w:val="none"/>
            </w:rPr>
            <w:t>国</w:t>
          </w:r>
          <w:r>
            <w:rPr>
              <w:rFonts w:hint="eastAsia" w:ascii="仿宋_GB2312" w:hAnsi="仿宋_GB2312" w:eastAsia="仿宋_GB2312" w:cs="仿宋_GB2312"/>
              <w:bCs w:val="0"/>
              <w:color w:val="auto"/>
              <w:highlight w:val="none"/>
            </w:rPr>
            <w:t>有资本经营预算</w:t>
          </w:r>
          <w:r>
            <w:rPr>
              <w:rFonts w:hint="eastAsia" w:ascii="仿宋_GB2312" w:hAnsi="仿宋_GB2312" w:eastAsia="仿宋_GB2312" w:cs="仿宋_GB2312"/>
              <w:bCs w:val="0"/>
              <w:color w:val="auto"/>
              <w:highlight w:val="none"/>
              <w:lang w:eastAsia="zh-CN"/>
            </w:rPr>
            <w:t>财政拨款收入</w:t>
          </w:r>
          <w:r>
            <w:rPr>
              <w:rFonts w:hint="eastAsia" w:ascii="仿宋_GB2312" w:hAnsi="仿宋_GB2312" w:eastAsia="仿宋_GB2312" w:cs="仿宋_GB2312"/>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_Toc2288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_Toc10068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十二、</w:t>
          </w:r>
          <w:r>
            <w:rPr>
              <w:rFonts w:hint="eastAsia" w:ascii="仿宋_GB2312" w:hAnsi="仿宋_GB2312" w:eastAsia="仿宋_GB2312" w:cs="仿宋_GB2312"/>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_Toc10068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_Toc7196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十三、</w:t>
          </w:r>
          <w:r>
            <w:rPr>
              <w:rFonts w:hint="eastAsia" w:ascii="仿宋_GB2312" w:hAnsi="仿宋_GB2312" w:eastAsia="仿宋_GB2312" w:cs="仿宋_GB2312"/>
              <w:bCs w:val="0"/>
              <w:color w:val="auto"/>
              <w:highlight w:val="none"/>
              <w:lang w:eastAsia="zh-CN"/>
            </w:rPr>
            <w:t>财政拨款“三公”经费支出决算表</w:t>
          </w:r>
          <w:r>
            <w:rPr>
              <w:color w:val="auto"/>
              <w:highlight w:val="none"/>
            </w:rPr>
            <w:tab/>
          </w:r>
          <w:r>
            <w:rPr>
              <w:color w:val="auto"/>
              <w:highlight w:val="none"/>
            </w:rPr>
            <w:fldChar w:fldCharType="begin"/>
          </w:r>
          <w:r>
            <w:rPr>
              <w:color w:val="auto"/>
              <w:highlight w:val="none"/>
            </w:rPr>
            <w:instrText xml:space="preserve"> PAGEREF _Toc7196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b/>
              <w:color w:val="auto"/>
              <w:highlight w:val="none"/>
            </w:rPr>
            <w:fldChar w:fldCharType="end"/>
          </w:r>
        </w:p>
      </w:sdtContent>
    </w:sdt>
    <w:p>
      <w:pPr>
        <w:widowControl/>
        <w:shd w:val="clear"/>
        <w:spacing w:line="440" w:lineRule="exact"/>
        <w:jc w:val="left"/>
        <w:rPr>
          <w:rFonts w:ascii="仿宋" w:hAnsi="仿宋" w:eastAsia="仿宋"/>
          <w:bCs/>
          <w:color w:val="auto"/>
          <w:kern w:val="44"/>
          <w:sz w:val="24"/>
          <w:highlight w:val="none"/>
        </w:rPr>
      </w:pPr>
      <w:r>
        <w:rPr>
          <w:rFonts w:ascii="方正小标宋简体" w:hAnsi="宋体" w:eastAsia="方正小标宋简体"/>
          <w:color w:val="auto"/>
          <w:sz w:val="36"/>
          <w:szCs w:val="36"/>
          <w:highlight w:val="none"/>
        </w:rPr>
        <w:br w:type="page"/>
      </w:r>
    </w:p>
    <w:p>
      <w:pPr>
        <w:pStyle w:val="3"/>
        <w:shd w:val="clear"/>
        <w:jc w:val="center"/>
        <w:rPr>
          <w:rStyle w:val="19"/>
          <w:rFonts w:ascii="黑体" w:hAnsi="黑体" w:eastAsia="黑体"/>
          <w:b/>
          <w:bCs w:val="0"/>
          <w:color w:val="auto"/>
          <w:highlight w:val="none"/>
        </w:rPr>
      </w:pPr>
      <w:bookmarkStart w:id="14" w:name="_Toc21761"/>
      <w:r>
        <w:rPr>
          <w:rFonts w:hint="eastAsia" w:ascii="黑体" w:hAnsi="黑体" w:eastAsia="黑体"/>
          <w:b w:val="0"/>
          <w:color w:val="auto"/>
          <w:highlight w:val="none"/>
        </w:rPr>
        <w:t>第一部分</w:t>
      </w:r>
      <w:r>
        <w:rPr>
          <w:rStyle w:val="19"/>
          <w:rFonts w:hint="eastAsia" w:ascii="黑体" w:hAnsi="黑体" w:eastAsia="黑体"/>
          <w:b w:val="0"/>
          <w:bCs w:val="0"/>
          <w:color w:val="auto"/>
          <w:highlight w:val="none"/>
        </w:rPr>
        <w:t>部门概况</w:t>
      </w:r>
      <w:bookmarkEnd w:id="14"/>
    </w:p>
    <w:p>
      <w:pPr>
        <w:widowControl/>
        <w:shd w:val="clear"/>
        <w:jc w:val="left"/>
        <w:rPr>
          <w:rFonts w:ascii="黑体" w:eastAsia="黑体"/>
          <w:color w:val="auto"/>
          <w:sz w:val="32"/>
          <w:szCs w:val="32"/>
          <w:highlight w:val="none"/>
        </w:rPr>
      </w:pPr>
    </w:p>
    <w:p>
      <w:pPr>
        <w:pStyle w:val="4"/>
        <w:shd w:val="clear"/>
        <w:spacing w:before="0" w:after="0" w:line="240" w:lineRule="auto"/>
        <w:rPr>
          <w:rStyle w:val="20"/>
          <w:rFonts w:hint="eastAsia" w:ascii="仿宋" w:hAnsi="仿宋" w:eastAsia="黑体"/>
          <w:b w:val="0"/>
          <w:bCs w:val="0"/>
          <w:color w:val="auto"/>
          <w:highlight w:val="none"/>
          <w:lang w:eastAsia="zh-CN"/>
        </w:rPr>
      </w:pPr>
      <w:bookmarkStart w:id="15" w:name="_Toc15377197"/>
      <w:bookmarkStart w:id="16" w:name="_Toc15396600"/>
      <w:bookmarkStart w:id="17" w:name="_Toc22"/>
      <w:r>
        <w:rPr>
          <w:rFonts w:hint="eastAsia" w:ascii="黑体" w:hAnsi="黑体" w:eastAsia="黑体"/>
          <w:b w:val="0"/>
          <w:color w:val="auto"/>
          <w:highlight w:val="none"/>
        </w:rPr>
        <w:t>一、</w:t>
      </w:r>
      <w:bookmarkEnd w:id="15"/>
      <w:bookmarkEnd w:id="16"/>
      <w:r>
        <w:rPr>
          <w:rFonts w:hint="eastAsia" w:ascii="黑体" w:hAnsi="黑体" w:eastAsia="黑体"/>
          <w:b w:val="0"/>
          <w:color w:val="auto"/>
          <w:highlight w:val="none"/>
          <w:lang w:eastAsia="zh-CN"/>
        </w:rPr>
        <w:t>部门职责</w:t>
      </w:r>
      <w:bookmarkEnd w:id="17"/>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bookmarkStart w:id="18" w:name="_Toc15396601"/>
      <w:bookmarkStart w:id="19" w:name="_Toc15377200"/>
      <w:r>
        <w:rPr>
          <w:rFonts w:hint="eastAsia" w:ascii="仿宋_GB2312" w:hAnsi="仿宋_GB2312" w:eastAsia="仿宋_GB2312" w:cs="仿宋_GB2312"/>
          <w:b w:val="0"/>
          <w:bCs/>
          <w:color w:val="auto"/>
          <w:kern w:val="0"/>
          <w:sz w:val="32"/>
          <w:szCs w:val="32"/>
          <w:highlight w:val="none"/>
          <w:u w:val="none"/>
          <w:lang w:val="en-US" w:eastAsia="zh-CN" w:bidi="ar-SA"/>
        </w:rPr>
        <w:t>1.</w:t>
      </w:r>
      <w:r>
        <w:rPr>
          <w:rFonts w:hint="default" w:ascii="仿宋_GB2312" w:hAnsi="仿宋_GB2312" w:eastAsia="仿宋_GB2312" w:cs="仿宋_GB2312"/>
          <w:b w:val="0"/>
          <w:bCs/>
          <w:color w:val="auto"/>
          <w:kern w:val="0"/>
          <w:sz w:val="32"/>
          <w:szCs w:val="32"/>
          <w:highlight w:val="none"/>
          <w:u w:val="none"/>
          <w:lang w:val="en-US" w:eastAsia="zh-CN" w:bidi="ar-SA"/>
        </w:rPr>
        <w:t>贯彻执行国家住房和城乡建设的法律、法规和方针、政策。</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2.</w:t>
      </w:r>
      <w:r>
        <w:rPr>
          <w:rFonts w:hint="default" w:ascii="仿宋_GB2312" w:hAnsi="仿宋_GB2312" w:eastAsia="仿宋_GB2312" w:cs="仿宋_GB2312"/>
          <w:b w:val="0"/>
          <w:bCs/>
          <w:color w:val="auto"/>
          <w:kern w:val="0"/>
          <w:sz w:val="32"/>
          <w:szCs w:val="32"/>
          <w:highlight w:val="none"/>
          <w:u w:val="none"/>
          <w:lang w:val="en-US" w:eastAsia="zh-CN" w:bidi="ar-SA"/>
        </w:rPr>
        <w:t>负责城市道路、桥梁、燃气、城市防洪设施、城市供排水设施、城市照明设施的建设和运行维护管理工作。</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3.</w:t>
      </w:r>
      <w:r>
        <w:rPr>
          <w:rFonts w:hint="default" w:ascii="仿宋_GB2312" w:hAnsi="仿宋_GB2312" w:eastAsia="仿宋_GB2312" w:cs="仿宋_GB2312"/>
          <w:b w:val="0"/>
          <w:bCs/>
          <w:color w:val="auto"/>
          <w:kern w:val="0"/>
          <w:sz w:val="32"/>
          <w:szCs w:val="32"/>
          <w:highlight w:val="none"/>
          <w:u w:val="none"/>
          <w:lang w:val="en-US" w:eastAsia="zh-CN" w:bidi="ar-SA"/>
        </w:rPr>
        <w:t>负责全市建筑行业管理。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4.</w:t>
      </w:r>
      <w:r>
        <w:rPr>
          <w:rFonts w:hint="default" w:ascii="仿宋_GB2312" w:hAnsi="仿宋_GB2312" w:eastAsia="仿宋_GB2312" w:cs="仿宋_GB2312"/>
          <w:b w:val="0"/>
          <w:bCs/>
          <w:color w:val="auto"/>
          <w:kern w:val="0"/>
          <w:sz w:val="32"/>
          <w:szCs w:val="32"/>
          <w:highlight w:val="none"/>
          <w:u w:val="none"/>
          <w:lang w:val="en-US" w:eastAsia="zh-CN" w:bidi="ar-SA"/>
        </w:rPr>
        <w:t>指导和管理全市镇</w:t>
      </w:r>
      <w:r>
        <w:rPr>
          <w:rFonts w:hint="eastAsia" w:ascii="仿宋_GB2312" w:hAnsi="仿宋_GB2312" w:eastAsia="仿宋_GB2312" w:cs="仿宋_GB2312"/>
          <w:b w:val="0"/>
          <w:bCs/>
          <w:color w:val="auto"/>
          <w:kern w:val="0"/>
          <w:sz w:val="32"/>
          <w:szCs w:val="32"/>
          <w:highlight w:val="none"/>
          <w:u w:val="none"/>
          <w:lang w:val="en-US" w:eastAsia="zh-CN" w:bidi="ar-SA"/>
        </w:rPr>
        <w:t>（</w:t>
      </w:r>
      <w:r>
        <w:rPr>
          <w:rFonts w:hint="default" w:ascii="仿宋_GB2312" w:hAnsi="仿宋_GB2312" w:eastAsia="仿宋_GB2312" w:cs="仿宋_GB2312"/>
          <w:b w:val="0"/>
          <w:bCs/>
          <w:color w:val="auto"/>
          <w:kern w:val="0"/>
          <w:sz w:val="32"/>
          <w:szCs w:val="32"/>
          <w:highlight w:val="none"/>
          <w:u w:val="none"/>
          <w:lang w:val="en-US" w:eastAsia="zh-CN" w:bidi="ar-SA"/>
        </w:rPr>
        <w:t>乡</w:t>
      </w:r>
      <w:r>
        <w:rPr>
          <w:rFonts w:hint="eastAsia" w:ascii="仿宋_GB2312" w:hAnsi="仿宋_GB2312" w:eastAsia="仿宋_GB2312" w:cs="仿宋_GB2312"/>
          <w:b w:val="0"/>
          <w:bCs/>
          <w:color w:val="auto"/>
          <w:kern w:val="0"/>
          <w:sz w:val="32"/>
          <w:szCs w:val="32"/>
          <w:highlight w:val="none"/>
          <w:u w:val="none"/>
          <w:lang w:val="en-US" w:eastAsia="zh-CN" w:bidi="ar-SA"/>
        </w:rPr>
        <w:t>）</w:t>
      </w:r>
      <w:r>
        <w:rPr>
          <w:rFonts w:hint="default" w:ascii="仿宋_GB2312" w:hAnsi="仿宋_GB2312" w:eastAsia="仿宋_GB2312" w:cs="仿宋_GB2312"/>
          <w:b w:val="0"/>
          <w:bCs/>
          <w:color w:val="auto"/>
          <w:kern w:val="0"/>
          <w:sz w:val="32"/>
          <w:szCs w:val="32"/>
          <w:highlight w:val="none"/>
          <w:u w:val="none"/>
          <w:lang w:val="en-US" w:eastAsia="zh-CN" w:bidi="ar-SA"/>
        </w:rPr>
        <w:t>和村的建设工作。</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5.</w:t>
      </w:r>
      <w:r>
        <w:rPr>
          <w:rFonts w:hint="default" w:ascii="仿宋_GB2312" w:hAnsi="仿宋_GB2312" w:eastAsia="仿宋_GB2312" w:cs="仿宋_GB2312"/>
          <w:b w:val="0"/>
          <w:bCs/>
          <w:color w:val="auto"/>
          <w:kern w:val="0"/>
          <w:sz w:val="32"/>
          <w:szCs w:val="32"/>
          <w:highlight w:val="none"/>
          <w:u w:val="none"/>
          <w:lang w:val="en-US" w:eastAsia="zh-CN" w:bidi="ar-SA"/>
        </w:rPr>
        <w:t>研究拟订全市住房制度改革、保障性住房、棚户区改造相关政策。</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6.</w:t>
      </w:r>
      <w:r>
        <w:rPr>
          <w:rFonts w:hint="default" w:ascii="仿宋_GB2312" w:hAnsi="仿宋_GB2312" w:eastAsia="仿宋_GB2312" w:cs="仿宋_GB2312"/>
          <w:b w:val="0"/>
          <w:bCs/>
          <w:color w:val="auto"/>
          <w:kern w:val="0"/>
          <w:sz w:val="32"/>
          <w:szCs w:val="32"/>
          <w:highlight w:val="none"/>
          <w:u w:val="none"/>
          <w:lang w:val="en-US" w:eastAsia="zh-CN" w:bidi="ar-SA"/>
        </w:rPr>
        <w:t>负责勘察设计市场和行业管理。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7.</w:t>
      </w:r>
      <w:r>
        <w:rPr>
          <w:rFonts w:hint="default" w:ascii="仿宋_GB2312" w:hAnsi="仿宋_GB2312" w:eastAsia="仿宋_GB2312" w:cs="仿宋_GB2312"/>
          <w:b w:val="0"/>
          <w:bCs/>
          <w:color w:val="auto"/>
          <w:kern w:val="0"/>
          <w:sz w:val="32"/>
          <w:szCs w:val="32"/>
          <w:highlight w:val="none"/>
          <w:u w:val="none"/>
          <w:lang w:val="en-US" w:eastAsia="zh-CN" w:bidi="ar-SA"/>
        </w:rPr>
        <w:t>负责组织实施房屋建筑、园林绿化和市政工程建设实施阶段的国家和省标准、全国统一定额和行业标准定额。</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8.</w:t>
      </w:r>
      <w:r>
        <w:rPr>
          <w:rFonts w:hint="default" w:ascii="仿宋_GB2312" w:hAnsi="仿宋_GB2312" w:eastAsia="仿宋_GB2312" w:cs="仿宋_GB2312"/>
          <w:b w:val="0"/>
          <w:bCs/>
          <w:color w:val="auto"/>
          <w:kern w:val="0"/>
          <w:sz w:val="32"/>
          <w:szCs w:val="32"/>
          <w:highlight w:val="none"/>
          <w:u w:val="none"/>
          <w:lang w:val="en-US" w:eastAsia="zh-CN" w:bidi="ar-SA"/>
        </w:rPr>
        <w:t>研究编制行业项目年度建设计划并监督实施，参与行业各类规划编制工作；拟订行业发展战略、投融资政策；承担市政基础设施重点建设项目的前期工作和后期评价工作；指导行业招商引资和对外经济技术合作及各类资金争取工作；统筹行业统计及预测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9.</w:t>
      </w:r>
      <w:r>
        <w:rPr>
          <w:rFonts w:hint="default" w:ascii="仿宋_GB2312" w:hAnsi="仿宋_GB2312" w:eastAsia="仿宋_GB2312" w:cs="仿宋_GB2312"/>
          <w:b w:val="0"/>
          <w:bCs/>
          <w:color w:val="auto"/>
          <w:kern w:val="0"/>
          <w:sz w:val="32"/>
          <w:szCs w:val="32"/>
          <w:highlight w:val="none"/>
          <w:u w:val="none"/>
          <w:lang w:val="en-US" w:eastAsia="zh-CN" w:bidi="ar-SA"/>
        </w:rPr>
        <w:t>负责研究拟订全市房屋建筑、园林绿化和市政工程施工质量、安全生产、扬尘防治、建设工程监理、工程质量检测和鉴定行业的政策法规和规章制度并指导实施和监督执行。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10.</w:t>
      </w:r>
      <w:r>
        <w:rPr>
          <w:rFonts w:hint="default" w:ascii="仿宋_GB2312" w:hAnsi="仿宋_GB2312" w:eastAsia="仿宋_GB2312" w:cs="仿宋_GB2312"/>
          <w:b w:val="0"/>
          <w:bCs/>
          <w:color w:val="auto"/>
          <w:kern w:val="0"/>
          <w:sz w:val="32"/>
          <w:szCs w:val="32"/>
          <w:highlight w:val="none"/>
          <w:u w:val="none"/>
          <w:lang w:val="en-US" w:eastAsia="zh-CN" w:bidi="ar-SA"/>
        </w:rPr>
        <w:t>负责全市城乡园林绿化工作。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11.</w:t>
      </w:r>
      <w:r>
        <w:rPr>
          <w:rFonts w:hint="default" w:ascii="仿宋_GB2312" w:hAnsi="仿宋_GB2312" w:eastAsia="仿宋_GB2312" w:cs="仿宋_GB2312"/>
          <w:b w:val="0"/>
          <w:bCs/>
          <w:color w:val="auto"/>
          <w:kern w:val="0"/>
          <w:sz w:val="32"/>
          <w:szCs w:val="32"/>
          <w:highlight w:val="none"/>
          <w:u w:val="none"/>
          <w:lang w:val="en-US" w:eastAsia="zh-CN" w:bidi="ar-SA"/>
        </w:rPr>
        <w:t>组织指导公园城市建设和园林城市系列创建工作。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12.</w:t>
      </w:r>
      <w:r>
        <w:rPr>
          <w:rFonts w:hint="default" w:ascii="仿宋_GB2312" w:hAnsi="仿宋_GB2312" w:eastAsia="仿宋_GB2312" w:cs="仿宋_GB2312"/>
          <w:b w:val="0"/>
          <w:bCs/>
          <w:color w:val="auto"/>
          <w:kern w:val="0"/>
          <w:sz w:val="32"/>
          <w:szCs w:val="32"/>
          <w:highlight w:val="none"/>
          <w:u w:val="none"/>
          <w:lang w:val="en-US" w:eastAsia="zh-CN" w:bidi="ar-SA"/>
        </w:rPr>
        <w:t>负责拟订有关行政审批规程细则。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13.</w:t>
      </w:r>
      <w:r>
        <w:rPr>
          <w:rFonts w:hint="default" w:ascii="仿宋_GB2312" w:hAnsi="仿宋_GB2312" w:eastAsia="仿宋_GB2312" w:cs="仿宋_GB2312"/>
          <w:b w:val="0"/>
          <w:bCs/>
          <w:color w:val="auto"/>
          <w:kern w:val="0"/>
          <w:sz w:val="32"/>
          <w:szCs w:val="32"/>
          <w:highlight w:val="none"/>
          <w:u w:val="none"/>
          <w:lang w:val="en-US" w:eastAsia="zh-CN" w:bidi="ar-SA"/>
        </w:rPr>
        <w:t>承担市政府公布的有关行政审批事项。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 w:hAnsi="仿宋" w:eastAsia="仿宋"/>
          <w:bCs/>
          <w:color w:val="auto"/>
          <w:sz w:val="32"/>
          <w:szCs w:val="32"/>
          <w:highlight w:val="none"/>
        </w:rPr>
      </w:pPr>
      <w:r>
        <w:rPr>
          <w:rFonts w:hint="eastAsia" w:ascii="仿宋_GB2312" w:hAnsi="仿宋_GB2312" w:eastAsia="仿宋_GB2312" w:cs="仿宋_GB2312"/>
          <w:b w:val="0"/>
          <w:bCs/>
          <w:color w:val="auto"/>
          <w:kern w:val="0"/>
          <w:sz w:val="32"/>
          <w:szCs w:val="32"/>
          <w:highlight w:val="none"/>
          <w:u w:val="none"/>
          <w:lang w:val="en-US" w:eastAsia="zh-CN" w:bidi="ar-SA"/>
        </w:rPr>
        <w:t>14.</w:t>
      </w:r>
      <w:r>
        <w:rPr>
          <w:rFonts w:hint="default" w:ascii="仿宋_GB2312" w:hAnsi="仿宋_GB2312" w:eastAsia="仿宋_GB2312" w:cs="仿宋_GB2312"/>
          <w:b w:val="0"/>
          <w:bCs/>
          <w:color w:val="auto"/>
          <w:kern w:val="0"/>
          <w:sz w:val="32"/>
          <w:szCs w:val="32"/>
          <w:highlight w:val="none"/>
          <w:u w:val="none"/>
          <w:lang w:val="en-US" w:eastAsia="zh-CN" w:bidi="ar-SA"/>
        </w:rPr>
        <w:t>承办市政府交办的其他事项。</w:t>
      </w:r>
    </w:p>
    <w:p>
      <w:pPr>
        <w:pStyle w:val="4"/>
        <w:shd w:val="clear"/>
        <w:spacing w:before="0" w:after="0" w:line="240" w:lineRule="auto"/>
        <w:rPr>
          <w:rStyle w:val="20"/>
          <w:b w:val="0"/>
          <w:bCs w:val="0"/>
          <w:color w:val="auto"/>
          <w:highlight w:val="none"/>
        </w:rPr>
      </w:pPr>
      <w:bookmarkStart w:id="20" w:name="_Toc31751"/>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18"/>
      <w:bookmarkEnd w:id="19"/>
      <w:bookmarkEnd w:id="2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市住房城乡建设局部门下属二级单位7个，其中行政单位1个，其他事业单位6个。</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纳入市住房城乡建设局部门2022年度部门决算编制范围的二级预算单位包括：</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bookmarkStart w:id="21" w:name="_Toc15377433"/>
      <w:bookmarkStart w:id="22" w:name="_Toc15306276"/>
      <w:bookmarkStart w:id="23" w:name="_Toc15378449"/>
      <w:bookmarkStart w:id="24" w:name="_Toc15377202"/>
      <w:r>
        <w:rPr>
          <w:rFonts w:hint="eastAsia" w:ascii="仿宋_GB2312" w:hAnsi="仿宋_GB2312" w:eastAsia="仿宋_GB2312" w:cs="仿宋_GB2312"/>
          <w:b w:val="0"/>
          <w:bCs/>
          <w:color w:val="auto"/>
          <w:sz w:val="32"/>
          <w:szCs w:val="32"/>
          <w:highlight w:val="none"/>
          <w:lang w:val="en-US" w:eastAsia="zh-CN"/>
        </w:rPr>
        <w:t>1.广元市住房和城乡建设局（本级）</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2.广元市住房保障和房地产事务中心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3.广元市城市照明事务中心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4.广元市建筑业发展事务中心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5.广元市城市建设事务中心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6广元市建设工程质量安全站</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ascii="仿宋" w:hAnsi="仿宋" w:eastAsia="仿宋"/>
          <w:color w:val="auto"/>
          <w:kern w:val="0"/>
          <w:sz w:val="32"/>
          <w:szCs w:val="32"/>
          <w:highlight w:val="none"/>
        </w:rPr>
      </w:pPr>
      <w:r>
        <w:rPr>
          <w:rFonts w:hint="eastAsia" w:ascii="仿宋_GB2312" w:hAnsi="仿宋_GB2312" w:eastAsia="仿宋_GB2312" w:cs="仿宋_GB2312"/>
          <w:b w:val="0"/>
          <w:bCs/>
          <w:color w:val="auto"/>
          <w:sz w:val="32"/>
          <w:szCs w:val="32"/>
          <w:highlight w:val="none"/>
          <w:lang w:val="en-US" w:eastAsia="zh-CN"/>
        </w:rPr>
        <w:t>7.广元市园林绿化事务中心</w:t>
      </w:r>
      <w:bookmarkEnd w:id="21"/>
      <w:bookmarkEnd w:id="22"/>
      <w:bookmarkEnd w:id="23"/>
      <w:bookmarkEnd w:id="24"/>
      <w:r>
        <w:rPr>
          <w:rFonts w:ascii="仿宋" w:hAnsi="仿宋" w:eastAsia="仿宋"/>
          <w:color w:val="auto"/>
          <w:sz w:val="32"/>
          <w:szCs w:val="32"/>
          <w:highlight w:val="none"/>
        </w:rPr>
        <w:br w:type="page"/>
      </w:r>
    </w:p>
    <w:p>
      <w:pPr>
        <w:pStyle w:val="3"/>
        <w:shd w:val="clear"/>
        <w:ind w:right="440"/>
        <w:jc w:val="center"/>
        <w:rPr>
          <w:rStyle w:val="19"/>
          <w:rFonts w:ascii="黑体" w:hAnsi="黑体" w:eastAsia="黑体"/>
          <w:b w:val="0"/>
          <w:bCs/>
          <w:color w:val="auto"/>
          <w:highlight w:val="none"/>
        </w:rPr>
      </w:pPr>
      <w:bookmarkStart w:id="25" w:name="_Toc15377204"/>
      <w:bookmarkStart w:id="26" w:name="_Toc15396602"/>
      <w:bookmarkStart w:id="27" w:name="_Toc20630"/>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rPr>
        <w:t>部门决算情况说明</w:t>
      </w:r>
      <w:bookmarkEnd w:id="25"/>
      <w:bookmarkEnd w:id="26"/>
      <w:bookmarkEnd w:id="27"/>
    </w:p>
    <w:p>
      <w:pPr>
        <w:shd w:val="clear"/>
        <w:rPr>
          <w:color w:val="auto"/>
          <w:highlight w:val="none"/>
        </w:rPr>
      </w:pPr>
    </w:p>
    <w:p>
      <w:pPr>
        <w:pStyle w:val="30"/>
        <w:numPr>
          <w:ilvl w:val="0"/>
          <w:numId w:val="1"/>
        </w:numPr>
        <w:shd w:val="clear"/>
        <w:spacing w:line="600" w:lineRule="exact"/>
        <w:ind w:firstLineChars="0"/>
        <w:outlineLvl w:val="1"/>
        <w:rPr>
          <w:rStyle w:val="20"/>
          <w:rFonts w:ascii="黑体" w:hAnsi="黑体" w:eastAsia="黑体"/>
          <w:b w:val="0"/>
          <w:color w:val="auto"/>
          <w:highlight w:val="none"/>
        </w:rPr>
      </w:pPr>
      <w:bookmarkStart w:id="28" w:name="_Toc31219"/>
      <w:bookmarkStart w:id="29" w:name="_Toc15377205"/>
      <w:bookmarkStart w:id="30" w:name="_Toc15396603"/>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28"/>
      <w:bookmarkEnd w:id="29"/>
      <w:bookmarkEnd w:id="30"/>
    </w:p>
    <w:p>
      <w:pPr>
        <w:shd w:val="clear"/>
        <w:spacing w:line="600" w:lineRule="exact"/>
        <w:ind w:firstLine="640" w:firstLineChars="200"/>
        <w:rPr>
          <w:rFonts w:hint="eastAsia" w:ascii="黑体" w:hAnsi="黑体" w:eastAsia="黑体"/>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2022年度收、支总计68482.84万元。与2021年相比，收、支总计各增加2057.97万元，增长3.1%。主要变动原因是2022年项目资金增加。</w:t>
      </w:r>
      <w:bookmarkStart w:id="31" w:name="_Toc15396604"/>
      <w:bookmarkStart w:id="32" w:name="_Toc15377206"/>
    </w:p>
    <w:p>
      <w:pPr>
        <w:pStyle w:val="30"/>
        <w:numPr>
          <w:ilvl w:val="0"/>
          <w:numId w:val="0"/>
        </w:numPr>
        <w:shd w:val="clear"/>
        <w:spacing w:line="240" w:lineRule="auto"/>
        <w:ind w:left="0" w:leftChars="0"/>
        <w:outlineLvl w:val="9"/>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820420</wp:posOffset>
            </wp:positionH>
            <wp:positionV relativeFrom="paragraph">
              <wp:posOffset>55880</wp:posOffset>
            </wp:positionV>
            <wp:extent cx="4112895" cy="2682240"/>
            <wp:effectExtent l="4445" t="4445" r="16510" b="1841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jc w:val="center"/>
        <w:outlineLvl w:val="1"/>
        <w:rPr>
          <w:rFonts w:hint="eastAsia" w:ascii="仿宋_GB2312" w:hAnsi="仿宋_GB2312" w:eastAsia="仿宋_GB2312" w:cs="仿宋_GB2312"/>
          <w:color w:val="auto"/>
          <w:sz w:val="32"/>
          <w:szCs w:val="32"/>
          <w:highlight w:val="none"/>
          <w:lang w:eastAsia="zh-CN"/>
        </w:rPr>
      </w:pPr>
      <w:bookmarkStart w:id="33" w:name="_Toc18480"/>
      <w:r>
        <w:rPr>
          <w:rFonts w:hint="eastAsia" w:ascii="仿宋_GB2312" w:hAnsi="仿宋_GB2312" w:eastAsia="仿宋_GB2312" w:cs="仿宋_GB2312"/>
          <w:color w:val="auto"/>
          <w:sz w:val="32"/>
          <w:szCs w:val="32"/>
          <w:highlight w:val="none"/>
        </w:rPr>
        <w:t>（图1：收、支决算总计变动情况图）</w:t>
      </w:r>
      <w:bookmarkEnd w:id="33"/>
    </w:p>
    <w:p>
      <w:pPr>
        <w:pStyle w:val="30"/>
        <w:numPr>
          <w:ilvl w:val="0"/>
          <w:numId w:val="0"/>
        </w:numPr>
        <w:shd w:val="clear"/>
        <w:spacing w:line="600" w:lineRule="exact"/>
        <w:ind w:left="640" w:leftChars="0"/>
        <w:outlineLvl w:val="1"/>
        <w:rPr>
          <w:rStyle w:val="20"/>
          <w:rFonts w:ascii="黑体" w:hAnsi="黑体" w:eastAsia="黑体"/>
          <w:b w:val="0"/>
          <w:color w:val="auto"/>
          <w:highlight w:val="none"/>
        </w:rPr>
      </w:pPr>
      <w:bookmarkStart w:id="34" w:name="_Toc4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1"/>
      <w:bookmarkEnd w:id="32"/>
      <w:bookmarkEnd w:id="34"/>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2022年本年收入合计60173.80万元，其中：一般公共预算财政拨款收入39575.27万元，占65.77%；政府性基金预算财政拨款收入20588.25万元，占34.21%；其他收入10.28万元，占0.02%。</w:t>
      </w:r>
    </w:p>
    <w:p>
      <w:pPr>
        <w:shd w:val="clear"/>
        <w:spacing w:line="600" w:lineRule="exact"/>
        <w:ind w:firstLine="640" w:firstLineChars="200"/>
        <w:outlineLvl w:val="9"/>
        <w:rPr>
          <w:rFonts w:hint="eastAsia" w:ascii="仿宋" w:hAnsi="仿宋" w:eastAsia="仿宋"/>
          <w:color w:val="auto"/>
          <w:sz w:val="32"/>
          <w:szCs w:val="32"/>
          <w:highlight w:val="none"/>
          <w:lang w:eastAsia="zh-CN"/>
        </w:rPr>
      </w:pPr>
    </w:p>
    <w:p>
      <w:pPr>
        <w:pStyle w:val="2"/>
        <w:shd w:val="clear"/>
        <w:rPr>
          <w:rFonts w:hint="eastAsia" w:ascii="仿宋" w:hAnsi="仿宋" w:eastAsia="仿宋"/>
          <w:color w:val="auto"/>
          <w:sz w:val="32"/>
          <w:szCs w:val="32"/>
          <w:highlight w:val="none"/>
          <w:lang w:eastAsia="zh-CN"/>
        </w:rPr>
      </w:pPr>
    </w:p>
    <w:p>
      <w:pPr>
        <w:pStyle w:val="11"/>
        <w:shd w:val="clear"/>
        <w:rPr>
          <w:rFonts w:hint="eastAsia" w:ascii="仿宋" w:hAnsi="仿宋" w:eastAsia="仿宋"/>
          <w:color w:val="auto"/>
          <w:sz w:val="32"/>
          <w:szCs w:val="32"/>
          <w:highlight w:val="none"/>
          <w:lang w:eastAsia="zh-CN"/>
        </w:rPr>
      </w:pPr>
    </w:p>
    <w:p>
      <w:pPr>
        <w:shd w:val="clear"/>
        <w:rPr>
          <w:rFonts w:hint="eastAsia" w:ascii="仿宋" w:hAnsi="仿宋" w:eastAsia="仿宋"/>
          <w:color w:val="auto"/>
          <w:sz w:val="32"/>
          <w:szCs w:val="32"/>
          <w:highlight w:val="none"/>
          <w:lang w:eastAsia="zh-CN"/>
        </w:rPr>
      </w:pPr>
      <w:r>
        <w:rPr>
          <w:rFonts w:hint="eastAsia"/>
          <w:color w:val="auto"/>
          <w:highlight w:val="none"/>
          <w:lang w:eastAsia="zh-CN"/>
        </w:rPr>
        <w:drawing>
          <wp:anchor distT="0" distB="0" distL="114300" distR="114300" simplePos="0" relativeHeight="251660288" behindDoc="0" locked="0" layoutInCell="1" allowOverlap="1">
            <wp:simplePos x="0" y="0"/>
            <wp:positionH relativeFrom="column">
              <wp:posOffset>431800</wp:posOffset>
            </wp:positionH>
            <wp:positionV relativeFrom="paragraph">
              <wp:posOffset>205105</wp:posOffset>
            </wp:positionV>
            <wp:extent cx="4582160" cy="2704465"/>
            <wp:effectExtent l="4445" t="4445" r="23495" b="1524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shd w:val="clear"/>
        <w:rPr>
          <w:rFonts w:hint="eastAsia" w:ascii="仿宋" w:hAnsi="仿宋" w:eastAsia="仿宋"/>
          <w:color w:val="auto"/>
          <w:sz w:val="32"/>
          <w:szCs w:val="32"/>
          <w:highlight w:val="none"/>
          <w:lang w:eastAsia="zh-CN"/>
        </w:rPr>
      </w:pPr>
    </w:p>
    <w:p>
      <w:pPr>
        <w:pStyle w:val="11"/>
        <w:shd w:val="clear"/>
        <w:rPr>
          <w:rFonts w:hint="eastAsia" w:ascii="仿宋" w:hAnsi="仿宋" w:eastAsia="仿宋"/>
          <w:color w:val="auto"/>
          <w:sz w:val="32"/>
          <w:szCs w:val="32"/>
          <w:highlight w:val="none"/>
          <w:lang w:eastAsia="zh-CN"/>
        </w:rPr>
      </w:pPr>
    </w:p>
    <w:p>
      <w:pPr>
        <w:shd w:val="clear"/>
        <w:rPr>
          <w:rFonts w:hint="eastAsia"/>
          <w:color w:val="auto"/>
          <w:highlight w:val="none"/>
          <w:lang w:eastAsia="zh-CN"/>
        </w:rPr>
      </w:pPr>
    </w:p>
    <w:p>
      <w:pPr>
        <w:pStyle w:val="2"/>
        <w:shd w:val="clear"/>
        <w:rPr>
          <w:rFonts w:hint="eastAsia"/>
          <w:color w:val="auto"/>
          <w:highlight w:val="none"/>
          <w:lang w:eastAsia="zh-CN"/>
        </w:rPr>
      </w:pPr>
    </w:p>
    <w:p>
      <w:pPr>
        <w:pStyle w:val="11"/>
        <w:shd w:val="clear"/>
        <w:rPr>
          <w:rFonts w:hint="eastAsia"/>
          <w:color w:val="auto"/>
          <w:highlight w:val="none"/>
          <w:lang w:eastAsia="zh-CN"/>
        </w:rPr>
      </w:pPr>
    </w:p>
    <w:p>
      <w:pPr>
        <w:shd w:val="clear"/>
        <w:rPr>
          <w:rFonts w:hint="eastAsia"/>
          <w:color w:val="auto"/>
          <w:highlight w:val="none"/>
          <w:lang w:eastAsia="zh-CN"/>
        </w:rPr>
      </w:pPr>
    </w:p>
    <w:p>
      <w:pPr>
        <w:pStyle w:val="2"/>
        <w:shd w:val="clear"/>
        <w:rPr>
          <w:rFonts w:hint="eastAsia"/>
          <w:color w:val="auto"/>
          <w:highlight w:val="none"/>
          <w:lang w:eastAsia="zh-CN"/>
        </w:rPr>
      </w:pPr>
    </w:p>
    <w:p>
      <w:pPr>
        <w:shd w:val="clear"/>
        <w:spacing w:line="60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30"/>
        <w:numPr>
          <w:ilvl w:val="0"/>
          <w:numId w:val="0"/>
        </w:numPr>
        <w:shd w:val="clear"/>
        <w:spacing w:line="600" w:lineRule="exact"/>
        <w:ind w:left="640" w:leftChars="0"/>
        <w:outlineLvl w:val="1"/>
        <w:rPr>
          <w:rStyle w:val="20"/>
          <w:rFonts w:ascii="黑体" w:hAnsi="黑体" w:eastAsia="黑体"/>
          <w:b w:val="0"/>
          <w:color w:val="auto"/>
          <w:highlight w:val="none"/>
        </w:rPr>
      </w:pPr>
      <w:bookmarkStart w:id="35" w:name="_Toc15377207"/>
      <w:bookmarkStart w:id="36" w:name="_Toc15396605"/>
      <w:bookmarkStart w:id="37" w:name="_Toc11026"/>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35"/>
      <w:bookmarkEnd w:id="36"/>
      <w:bookmarkEnd w:id="37"/>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2022年本年支出合计50085.07万元，其中：基本支出4934.12万元，占9.85%；项目支出45150.95万元，占90.15%。</w:t>
      </w:r>
    </w:p>
    <w:p>
      <w:pPr>
        <w:shd w:val="clea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791845</wp:posOffset>
            </wp:positionH>
            <wp:positionV relativeFrom="paragraph">
              <wp:posOffset>130175</wp:posOffset>
            </wp:positionV>
            <wp:extent cx="4069080" cy="2535555"/>
            <wp:effectExtent l="4445" t="4445" r="22225" b="1270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hint="eastAsia" w:ascii="仿宋" w:hAnsi="仿宋" w:eastAsia="仿宋"/>
          <w:color w:val="auto"/>
          <w:sz w:val="32"/>
          <w:szCs w:val="32"/>
          <w:highlight w:val="none"/>
          <w:lang w:eastAsia="zh-CN"/>
        </w:rPr>
      </w:pP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rPr>
          <w:rFonts w:hint="eastAsia" w:ascii="仿宋" w:hAnsi="仿宋" w:eastAsia="仿宋"/>
          <w:color w:val="auto"/>
          <w:sz w:val="32"/>
          <w:szCs w:val="32"/>
          <w:highlight w:val="none"/>
        </w:rPr>
      </w:pPr>
    </w:p>
    <w:p>
      <w:pPr>
        <w:shd w:val="clea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hd w:val="clear"/>
        <w:spacing w:line="600" w:lineRule="exact"/>
        <w:ind w:firstLine="640" w:firstLineChars="200"/>
        <w:outlineLvl w:val="1"/>
        <w:rPr>
          <w:rStyle w:val="20"/>
          <w:rFonts w:ascii="黑体" w:hAnsi="黑体" w:eastAsia="黑体"/>
          <w:b w:val="0"/>
          <w:color w:val="auto"/>
          <w:highlight w:val="none"/>
        </w:rPr>
      </w:pPr>
      <w:bookmarkStart w:id="38" w:name="_Toc16641"/>
      <w:bookmarkStart w:id="39" w:name="_Toc15377208"/>
      <w:bookmarkStart w:id="40" w:name="_Toc15396606"/>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38"/>
      <w:bookmarkEnd w:id="39"/>
      <w:bookmarkEnd w:id="40"/>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2022年财政拨款收、支总计68092.65万元。与2021年相比，财政拨款收、支总计各增加2790.72万元，增长4.27%。主要变动原因是2022年海绵城市建设等项目资金增加。</w:t>
      </w:r>
    </w:p>
    <w:p>
      <w:pPr>
        <w:pStyle w:val="11"/>
        <w:shd w:val="clear"/>
        <w:rPr>
          <w:rFonts w:hint="eastAsia" w:ascii="仿宋" w:hAnsi="仿宋" w:eastAsia="仿宋"/>
          <w:color w:val="auto"/>
          <w:sz w:val="32"/>
          <w:szCs w:val="32"/>
          <w:highlight w:val="none"/>
          <w:lang w:eastAsia="zh-CN"/>
        </w:rPr>
      </w:pPr>
    </w:p>
    <w:p>
      <w:pPr>
        <w:pStyle w:val="11"/>
        <w:shd w:val="clear"/>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610100" cy="3180080"/>
            <wp:effectExtent l="4445" t="4445" r="14605" b="1587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hd w:val="clear"/>
        <w:spacing w:line="600" w:lineRule="exact"/>
        <w:ind w:firstLine="640" w:firstLineChars="200"/>
        <w:jc w:val="center"/>
        <w:rPr>
          <w:rFonts w:hint="eastAsia" w:ascii="仿宋_GB2312" w:hAnsi="仿宋_GB2312" w:eastAsia="仿宋_GB2312" w:cs="仿宋_GB2312"/>
          <w:color w:val="auto"/>
          <w:sz w:val="32"/>
          <w:szCs w:val="32"/>
          <w:highlight w:val="none"/>
          <w:lang w:val="en-US" w:eastAsia="zh-CN"/>
        </w:rPr>
      </w:pPr>
    </w:p>
    <w:p>
      <w:pPr>
        <w:shd w:val="clear"/>
        <w:spacing w:line="600" w:lineRule="exact"/>
        <w:ind w:firstLine="640" w:firstLineChars="20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（图4：财政拨款收、支决算总计变动情况）</w:t>
      </w:r>
    </w:p>
    <w:p>
      <w:pPr>
        <w:shd w:val="clear"/>
        <w:spacing w:line="600" w:lineRule="exact"/>
        <w:ind w:firstLine="640" w:firstLineChars="200"/>
        <w:outlineLvl w:val="1"/>
        <w:rPr>
          <w:rStyle w:val="20"/>
          <w:rFonts w:ascii="黑体" w:hAnsi="黑体" w:eastAsia="黑体"/>
          <w:b w:val="0"/>
          <w:color w:val="auto"/>
          <w:highlight w:val="none"/>
        </w:rPr>
      </w:pPr>
      <w:bookmarkStart w:id="41" w:name="_Toc19902"/>
      <w:bookmarkStart w:id="42" w:name="_Toc15396607"/>
      <w:bookmarkStart w:id="4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41"/>
      <w:bookmarkEnd w:id="42"/>
      <w:bookmarkEnd w:id="43"/>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44" w:name="_Toc15377210"/>
      <w:r>
        <w:rPr>
          <w:rFonts w:hint="eastAsia" w:ascii="楷体_GB2312" w:hAnsi="宋体" w:eastAsia="楷体_GB2312"/>
          <w:b/>
          <w:bCs/>
          <w:color w:val="auto"/>
          <w:sz w:val="32"/>
          <w:szCs w:val="32"/>
          <w:highlight w:val="none"/>
          <w:u w:val="none"/>
          <w:lang w:val="zh-CN"/>
        </w:rPr>
        <w:t>（一）一般公共预算财政拨款支出决算总体情况</w:t>
      </w:r>
      <w:bookmarkEnd w:id="44"/>
    </w:p>
    <w:p>
      <w:pPr>
        <w:shd w:val="clear"/>
        <w:spacing w:line="60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2022年一般公共预算财政拨款支出21641.80万元，占本年支出合计的43.21%。与2021年相比，一般公共预算财政拨款支出增加2649.53万元，增长13.95%。主要变动原因</w:t>
      </w:r>
      <w:r>
        <w:rPr>
          <w:rFonts w:hint="eastAsia" w:ascii="仿宋_GB2312" w:hAnsi="仿宋_GB2312" w:eastAsia="仿宋_GB2312" w:cs="仿宋_GB2312"/>
          <w:color w:val="auto"/>
          <w:sz w:val="32"/>
          <w:szCs w:val="32"/>
          <w:highlight w:val="none"/>
        </w:rPr>
        <w:t>是一般公共预算财政拨款</w:t>
      </w:r>
      <w:r>
        <w:rPr>
          <w:rFonts w:hint="eastAsia" w:ascii="仿宋_GB2312" w:hAnsi="仿宋_GB2312" w:eastAsia="仿宋_GB2312" w:cs="仿宋_GB2312"/>
          <w:color w:val="auto"/>
          <w:sz w:val="32"/>
          <w:szCs w:val="32"/>
          <w:highlight w:val="none"/>
          <w:lang w:eastAsia="zh-CN"/>
        </w:rPr>
        <w:t>安排</w:t>
      </w:r>
      <w:r>
        <w:rPr>
          <w:rFonts w:hint="eastAsia" w:ascii="仿宋_GB2312" w:hAnsi="仿宋_GB2312" w:eastAsia="仿宋_GB2312" w:cs="仿宋_GB2312"/>
          <w:color w:val="auto"/>
          <w:sz w:val="32"/>
          <w:szCs w:val="32"/>
          <w:highlight w:val="none"/>
        </w:rPr>
        <w:t>的项目</w:t>
      </w:r>
      <w:r>
        <w:rPr>
          <w:rFonts w:hint="eastAsia" w:ascii="仿宋_GB2312" w:hAnsi="仿宋_GB2312" w:eastAsia="仿宋_GB2312" w:cs="仿宋_GB2312"/>
          <w:color w:val="auto"/>
          <w:sz w:val="32"/>
          <w:szCs w:val="32"/>
          <w:highlight w:val="none"/>
          <w:lang w:eastAsia="zh-CN"/>
        </w:rPr>
        <w:t>增加。</w:t>
      </w:r>
    </w:p>
    <w:p>
      <w:pPr>
        <w:shd w:val="clear"/>
        <w:spacing w:line="600" w:lineRule="exact"/>
        <w:ind w:firstLine="640" w:firstLineChars="200"/>
        <w:rPr>
          <w:rFonts w:hint="eastAsia" w:ascii="仿宋" w:hAnsi="仿宋" w:eastAsia="仿宋"/>
          <w:color w:val="auto"/>
          <w:sz w:val="32"/>
          <w:szCs w:val="32"/>
          <w:highlight w:val="none"/>
        </w:rPr>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pPr>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2336" behindDoc="0" locked="0" layoutInCell="1" allowOverlap="1">
            <wp:simplePos x="0" y="0"/>
            <wp:positionH relativeFrom="column">
              <wp:posOffset>254000</wp:posOffset>
            </wp:positionH>
            <wp:positionV relativeFrom="paragraph">
              <wp:posOffset>257810</wp:posOffset>
            </wp:positionV>
            <wp:extent cx="4874260" cy="3195320"/>
            <wp:effectExtent l="5080" t="5080" r="16510" b="1905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p>
    <w:p>
      <w:pPr>
        <w:pStyle w:val="2"/>
        <w:shd w:val="clear"/>
        <w:rPr>
          <w:rFonts w:hint="eastAsia" w:ascii="仿宋_GB2312" w:hAnsi="仿宋_GB2312" w:eastAsia="仿宋_GB2312" w:cs="仿宋_GB2312"/>
          <w:color w:val="auto"/>
          <w:sz w:val="32"/>
          <w:szCs w:val="32"/>
          <w:highlight w:val="none"/>
          <w:lang w:val="en-US" w:eastAsia="zh-CN"/>
        </w:rPr>
      </w:pPr>
    </w:p>
    <w:p>
      <w:pPr>
        <w:pStyle w:val="11"/>
        <w:shd w:val="clear"/>
        <w:rPr>
          <w:rFonts w:hint="eastAsia" w:ascii="仿宋_GB2312" w:hAnsi="仿宋_GB2312" w:eastAsia="仿宋_GB2312" w:cs="仿宋_GB2312"/>
          <w:color w:val="auto"/>
          <w:sz w:val="32"/>
          <w:szCs w:val="32"/>
          <w:highlight w:val="none"/>
          <w:lang w:val="en-US" w:eastAsia="zh-CN"/>
        </w:rPr>
      </w:pPr>
    </w:p>
    <w:p>
      <w:pPr>
        <w:shd w:val="clear"/>
        <w:rPr>
          <w:rFonts w:hint="eastAsia" w:ascii="仿宋_GB2312" w:hAnsi="仿宋_GB2312" w:eastAsia="仿宋_GB2312" w:cs="仿宋_GB2312"/>
          <w:color w:val="auto"/>
          <w:sz w:val="32"/>
          <w:szCs w:val="32"/>
          <w:highlight w:val="none"/>
          <w:lang w:val="en-US" w:eastAsia="zh-CN"/>
        </w:rPr>
      </w:pPr>
    </w:p>
    <w:p>
      <w:pPr>
        <w:pStyle w:val="2"/>
        <w:shd w:val="clear"/>
        <w:rPr>
          <w:rFonts w:hint="eastAsia" w:ascii="仿宋_GB2312" w:hAnsi="仿宋_GB2312" w:eastAsia="仿宋_GB2312" w:cs="仿宋_GB2312"/>
          <w:color w:val="auto"/>
          <w:sz w:val="32"/>
          <w:szCs w:val="32"/>
          <w:highlight w:val="none"/>
          <w:lang w:val="en-US" w:eastAsia="zh-CN"/>
        </w:rPr>
      </w:pPr>
    </w:p>
    <w:p>
      <w:pPr>
        <w:pStyle w:val="11"/>
        <w:shd w:val="clear"/>
        <w:rPr>
          <w:rFonts w:hint="eastAsia" w:ascii="仿宋_GB2312" w:hAnsi="仿宋_GB2312" w:eastAsia="仿宋_GB2312" w:cs="仿宋_GB2312"/>
          <w:color w:val="auto"/>
          <w:sz w:val="32"/>
          <w:szCs w:val="32"/>
          <w:highlight w:val="none"/>
          <w:lang w:val="en-US" w:eastAsia="zh-CN"/>
        </w:rPr>
      </w:pPr>
    </w:p>
    <w:p>
      <w:pPr>
        <w:shd w:val="clear"/>
        <w:rPr>
          <w:rFonts w:hint="eastAsia"/>
          <w:color w:val="auto"/>
          <w:highlight w:val="none"/>
          <w:lang w:val="en-US" w:eastAsia="zh-CN"/>
        </w:rPr>
      </w:pPr>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p>
    <w:p>
      <w:pPr>
        <w:shd w:val="clear"/>
        <w:spacing w:line="60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（图5：一般公共预算财政拨款支出决算变动情况）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45" w:name="_Toc15377211"/>
      <w:r>
        <w:rPr>
          <w:rFonts w:hint="eastAsia" w:ascii="楷体_GB2312" w:hAnsi="宋体" w:eastAsia="楷体_GB2312"/>
          <w:b/>
          <w:bCs/>
          <w:color w:val="auto"/>
          <w:sz w:val="32"/>
          <w:szCs w:val="32"/>
          <w:highlight w:val="none"/>
          <w:u w:val="none"/>
          <w:lang w:val="zh-CN"/>
        </w:rPr>
        <w:t>（二）一般公共预算财政拨款支出决算结构情况</w:t>
      </w:r>
      <w:bookmarkEnd w:id="45"/>
    </w:p>
    <w:p>
      <w:pPr>
        <w:shd w:val="clear"/>
        <w:spacing w:line="600" w:lineRule="exact"/>
        <w:ind w:firstLine="640"/>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2022年一般公共预算财政拨款支出21641.80万元，主要用于以下方面：</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color w:val="auto"/>
          <w:sz w:val="32"/>
          <w:szCs w:val="32"/>
          <w:highlight w:val="none"/>
          <w:lang w:val="en-US" w:eastAsia="zh-CN"/>
        </w:rPr>
        <w:t>9.88万元，占0.04%；</w:t>
      </w:r>
      <w:r>
        <w:rPr>
          <w:rFonts w:hint="eastAsia" w:ascii="仿宋" w:hAnsi="仿宋" w:eastAsia="仿宋"/>
          <w:b/>
          <w:color w:val="auto"/>
          <w:sz w:val="32"/>
          <w:szCs w:val="32"/>
          <w:highlight w:val="none"/>
        </w:rPr>
        <w:t>教育支出</w:t>
      </w:r>
      <w:r>
        <w:rPr>
          <w:rFonts w:hint="eastAsia" w:ascii="仿宋_GB2312" w:hAnsi="仿宋_GB2312" w:eastAsia="仿宋_GB2312" w:cs="仿宋_GB2312"/>
          <w:color w:val="auto"/>
          <w:sz w:val="32"/>
          <w:szCs w:val="32"/>
          <w:highlight w:val="none"/>
          <w:lang w:val="en-US" w:eastAsia="zh-CN"/>
        </w:rPr>
        <w:t>14.5万元，占0.07%；</w:t>
      </w:r>
      <w:r>
        <w:rPr>
          <w:rFonts w:hint="eastAsia" w:ascii="仿宋_GB2312" w:hAnsi="仿宋_GB2312" w:eastAsia="仿宋_GB2312" w:cs="仿宋_GB2312"/>
          <w:b/>
          <w:bCs/>
          <w:color w:val="auto"/>
          <w:sz w:val="32"/>
          <w:szCs w:val="32"/>
          <w:highlight w:val="none"/>
          <w:lang w:val="en-US" w:eastAsia="zh-CN"/>
        </w:rPr>
        <w:t>科学技术支出</w:t>
      </w:r>
      <w:r>
        <w:rPr>
          <w:rFonts w:hint="eastAsia" w:ascii="仿宋_GB2312" w:hAnsi="仿宋_GB2312" w:eastAsia="仿宋_GB2312" w:cs="仿宋_GB2312"/>
          <w:color w:val="auto"/>
          <w:sz w:val="32"/>
          <w:szCs w:val="32"/>
          <w:highlight w:val="none"/>
          <w:lang w:val="en-US" w:eastAsia="zh-CN"/>
        </w:rPr>
        <w:t>0.39万元，占0%；</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color w:val="auto"/>
          <w:sz w:val="32"/>
          <w:szCs w:val="32"/>
          <w:highlight w:val="none"/>
          <w:lang w:val="en-US" w:eastAsia="zh-CN"/>
        </w:rPr>
        <w:t>343.17万元，占1.59%；</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color w:val="auto"/>
          <w:sz w:val="32"/>
          <w:szCs w:val="32"/>
          <w:highlight w:val="none"/>
          <w:lang w:val="en-US" w:eastAsia="zh-CN"/>
        </w:rPr>
        <w:t>154.34万元，占0.71%；</w:t>
      </w:r>
      <w:r>
        <w:rPr>
          <w:rFonts w:hint="eastAsia" w:ascii="仿宋_GB2312" w:hAnsi="仿宋_GB2312" w:eastAsia="仿宋_GB2312" w:cs="仿宋_GB2312"/>
          <w:b/>
          <w:bCs/>
          <w:color w:val="auto"/>
          <w:sz w:val="32"/>
          <w:szCs w:val="32"/>
          <w:highlight w:val="none"/>
          <w:lang w:val="en-US" w:eastAsia="zh-CN"/>
        </w:rPr>
        <w:t>节能环保支出</w:t>
      </w:r>
      <w:r>
        <w:rPr>
          <w:rFonts w:hint="eastAsia" w:ascii="仿宋_GB2312" w:hAnsi="仿宋_GB2312" w:eastAsia="仿宋_GB2312" w:cs="仿宋_GB2312"/>
          <w:color w:val="auto"/>
          <w:sz w:val="32"/>
          <w:szCs w:val="32"/>
          <w:highlight w:val="none"/>
          <w:lang w:val="en-US" w:eastAsia="zh-CN"/>
        </w:rPr>
        <w:t>11000万元，占50.83%；</w:t>
      </w:r>
      <w:r>
        <w:rPr>
          <w:rFonts w:hint="eastAsia" w:ascii="仿宋_GB2312" w:hAnsi="仿宋_GB2312" w:eastAsia="仿宋_GB2312" w:cs="仿宋_GB2312"/>
          <w:b/>
          <w:bCs/>
          <w:color w:val="auto"/>
          <w:sz w:val="32"/>
          <w:szCs w:val="32"/>
          <w:highlight w:val="none"/>
          <w:lang w:val="en-US" w:eastAsia="zh-CN"/>
        </w:rPr>
        <w:t>城乡社区支出</w:t>
      </w:r>
      <w:r>
        <w:rPr>
          <w:rFonts w:hint="eastAsia" w:ascii="仿宋_GB2312" w:hAnsi="仿宋_GB2312" w:eastAsia="仿宋_GB2312" w:cs="仿宋_GB2312"/>
          <w:color w:val="auto"/>
          <w:sz w:val="32"/>
          <w:szCs w:val="32"/>
          <w:highlight w:val="none"/>
          <w:lang w:val="en-US" w:eastAsia="zh-CN"/>
        </w:rPr>
        <w:t>5873.93万元，占27.14%；</w:t>
      </w:r>
      <w:r>
        <w:rPr>
          <w:rFonts w:hint="eastAsia" w:ascii="仿宋_GB2312" w:hAnsi="仿宋_GB2312" w:eastAsia="仿宋_GB2312" w:cs="仿宋_GB2312"/>
          <w:b/>
          <w:bCs/>
          <w:color w:val="auto"/>
          <w:sz w:val="32"/>
          <w:szCs w:val="32"/>
          <w:highlight w:val="none"/>
          <w:lang w:val="en-US" w:eastAsia="zh-CN"/>
        </w:rPr>
        <w:t>住房保障支出</w:t>
      </w:r>
      <w:r>
        <w:rPr>
          <w:rFonts w:hint="eastAsia" w:ascii="仿宋_GB2312" w:hAnsi="仿宋_GB2312" w:eastAsia="仿宋_GB2312" w:cs="仿宋_GB2312"/>
          <w:color w:val="auto"/>
          <w:sz w:val="32"/>
          <w:szCs w:val="32"/>
          <w:highlight w:val="none"/>
          <w:lang w:val="en-US" w:eastAsia="zh-CN"/>
        </w:rPr>
        <w:t>4185.71万元，占19.34%；</w:t>
      </w:r>
      <w:r>
        <w:rPr>
          <w:rFonts w:hint="eastAsia" w:ascii="仿宋_GB2312" w:hAnsi="仿宋_GB2312" w:eastAsia="仿宋_GB2312" w:cs="仿宋_GB2312"/>
          <w:b/>
          <w:bCs/>
          <w:color w:val="auto"/>
          <w:sz w:val="32"/>
          <w:szCs w:val="32"/>
          <w:highlight w:val="none"/>
          <w:lang w:val="en-US" w:eastAsia="zh-CN"/>
        </w:rPr>
        <w:t>灾害防治及应急管理支出</w:t>
      </w:r>
      <w:r>
        <w:rPr>
          <w:rFonts w:hint="eastAsia" w:ascii="仿宋_GB2312" w:hAnsi="仿宋_GB2312" w:eastAsia="仿宋_GB2312" w:cs="仿宋_GB2312"/>
          <w:color w:val="auto"/>
          <w:sz w:val="32"/>
          <w:szCs w:val="32"/>
          <w:highlight w:val="none"/>
          <w:lang w:val="en-US" w:eastAsia="zh-CN"/>
        </w:rPr>
        <w:t>29.88万元，占0.14%；</w:t>
      </w:r>
      <w:r>
        <w:rPr>
          <w:rFonts w:hint="eastAsia" w:ascii="仿宋_GB2312" w:hAnsi="仿宋_GB2312" w:eastAsia="仿宋_GB2312" w:cs="仿宋_GB2312"/>
          <w:b/>
          <w:bCs/>
          <w:color w:val="auto"/>
          <w:sz w:val="32"/>
          <w:szCs w:val="32"/>
          <w:highlight w:val="none"/>
          <w:lang w:val="en-US" w:eastAsia="zh-CN"/>
        </w:rPr>
        <w:t>其他支出</w:t>
      </w:r>
      <w:r>
        <w:rPr>
          <w:rFonts w:hint="eastAsia" w:ascii="仿宋_GB2312" w:hAnsi="仿宋_GB2312" w:eastAsia="仿宋_GB2312" w:cs="仿宋_GB2312"/>
          <w:color w:val="auto"/>
          <w:sz w:val="32"/>
          <w:szCs w:val="32"/>
          <w:highlight w:val="none"/>
          <w:lang w:val="en-US" w:eastAsia="zh-CN"/>
        </w:rPr>
        <w:t>30万元，占0.14%。</w:t>
      </w: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695325</wp:posOffset>
            </wp:positionH>
            <wp:positionV relativeFrom="paragraph">
              <wp:posOffset>290830</wp:posOffset>
            </wp:positionV>
            <wp:extent cx="4253230" cy="2915920"/>
            <wp:effectExtent l="4445" t="4445" r="9525" b="13335"/>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lang w:eastAsia="zh-CN"/>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（图6：一般公共预算财政拨款支出决算结构）</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46" w:name="_Toc15377212"/>
      <w:r>
        <w:rPr>
          <w:rFonts w:hint="eastAsia" w:ascii="楷体_GB2312" w:hAnsi="宋体" w:eastAsia="楷体_GB2312"/>
          <w:b/>
          <w:bCs/>
          <w:color w:val="auto"/>
          <w:sz w:val="32"/>
          <w:szCs w:val="32"/>
          <w:highlight w:val="none"/>
          <w:u w:val="none"/>
          <w:lang w:val="zh-CN"/>
        </w:rPr>
        <w:t>（三）一般公共预算财政拨款支出决算具体情况</w:t>
      </w:r>
      <w:bookmarkEnd w:id="46"/>
    </w:p>
    <w:p>
      <w:pPr>
        <w:numPr>
          <w:ilvl w:val="0"/>
          <w:numId w:val="0"/>
        </w:num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bookmarkStart w:id="47" w:name="_Toc15377444"/>
      <w:bookmarkStart w:id="48" w:name="_Toc15377213"/>
      <w:bookmarkStart w:id="49" w:name="_Toc15378460"/>
      <w:r>
        <w:rPr>
          <w:rFonts w:hint="eastAsia" w:ascii="仿宋_GB2312" w:hAnsi="仿宋_GB2312" w:eastAsia="仿宋_GB2312" w:cs="仿宋_GB2312"/>
          <w:color w:val="auto"/>
          <w:sz w:val="32"/>
          <w:szCs w:val="32"/>
          <w:highlight w:val="none"/>
          <w:lang w:val="en-US" w:eastAsia="zh-CN"/>
        </w:rPr>
        <w:t>2022年一般公共预算支出决算数为21641.8万元，完成预算54.53%。其中：</w:t>
      </w:r>
      <w:bookmarkEnd w:id="47"/>
      <w:bookmarkEnd w:id="48"/>
      <w:bookmarkEnd w:id="49"/>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ascii="仿宋" w:hAnsi="仿宋" w:eastAsia="仿宋"/>
          <w:bCs/>
          <w:color w:val="auto"/>
          <w:sz w:val="32"/>
          <w:szCs w:val="32"/>
          <w:highlight w:val="none"/>
        </w:rPr>
        <w:t>1.</w:t>
      </w:r>
      <w:r>
        <w:rPr>
          <w:rStyle w:val="17"/>
          <w:rFonts w:hint="eastAsia" w:ascii="仿宋_GB2312" w:hAnsi="仿宋_GB2312" w:eastAsia="仿宋_GB2312" w:cs="仿宋_GB2312"/>
          <w:bCs/>
          <w:color w:val="auto"/>
          <w:sz w:val="32"/>
          <w:szCs w:val="32"/>
          <w:highlight w:val="none"/>
        </w:rPr>
        <w:t>一般公共服务（类）</w:t>
      </w:r>
      <w:r>
        <w:rPr>
          <w:rStyle w:val="17"/>
          <w:rFonts w:hint="eastAsia" w:ascii="仿宋_GB2312" w:hAnsi="仿宋_GB2312" w:eastAsia="仿宋_GB2312" w:cs="仿宋_GB2312"/>
          <w:bCs/>
          <w:color w:val="auto"/>
          <w:sz w:val="32"/>
          <w:szCs w:val="32"/>
          <w:highlight w:val="none"/>
          <w:lang w:eastAsia="zh-CN"/>
        </w:rPr>
        <w:t>商贸事务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招商引资</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支出决算为9.88万元，完成预算100%，决算数等于预算数。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ascii="仿宋" w:hAnsi="仿宋" w:eastAsia="仿宋"/>
          <w:bCs/>
          <w:color w:val="auto"/>
          <w:sz w:val="32"/>
          <w:szCs w:val="32"/>
          <w:highlight w:val="none"/>
        </w:rPr>
        <w:t>2.</w:t>
      </w:r>
      <w:r>
        <w:rPr>
          <w:rStyle w:val="17"/>
          <w:rFonts w:hint="eastAsia" w:ascii="仿宋_GB2312" w:hAnsi="仿宋_GB2312" w:eastAsia="仿宋_GB2312" w:cs="仿宋_GB2312"/>
          <w:bCs/>
          <w:color w:val="auto"/>
          <w:sz w:val="32"/>
          <w:szCs w:val="32"/>
          <w:highlight w:val="none"/>
        </w:rPr>
        <w:t>教育（类）</w:t>
      </w:r>
      <w:r>
        <w:rPr>
          <w:rStyle w:val="17"/>
          <w:rFonts w:hint="eastAsia" w:ascii="仿宋_GB2312" w:hAnsi="仿宋_GB2312" w:eastAsia="仿宋_GB2312" w:cs="仿宋_GB2312"/>
          <w:bCs/>
          <w:color w:val="auto"/>
          <w:sz w:val="32"/>
          <w:szCs w:val="32"/>
          <w:highlight w:val="none"/>
          <w:lang w:eastAsia="zh-CN"/>
        </w:rPr>
        <w:t>进修及培训</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培训支出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支出决算为14.5万元，完成预算100%，决算数等于预算数。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ascii="仿宋" w:hAnsi="仿宋" w:eastAsia="仿宋"/>
          <w:bCs/>
          <w:color w:val="auto"/>
          <w:sz w:val="32"/>
          <w:szCs w:val="32"/>
          <w:highlight w:val="none"/>
        </w:rPr>
        <w:t>3.</w:t>
      </w:r>
      <w:r>
        <w:rPr>
          <w:rStyle w:val="17"/>
          <w:rFonts w:hint="eastAsia" w:ascii="仿宋_GB2312" w:hAnsi="仿宋_GB2312" w:eastAsia="仿宋_GB2312" w:cs="仿宋_GB2312"/>
          <w:bCs/>
          <w:color w:val="auto"/>
          <w:sz w:val="32"/>
          <w:szCs w:val="32"/>
          <w:highlight w:val="none"/>
        </w:rPr>
        <w:t>科学技术（类）</w:t>
      </w:r>
      <w:r>
        <w:rPr>
          <w:rStyle w:val="17"/>
          <w:rFonts w:hint="eastAsia" w:ascii="仿宋_GB2312" w:hAnsi="仿宋_GB2312" w:eastAsia="仿宋_GB2312" w:cs="仿宋_GB2312"/>
          <w:bCs/>
          <w:color w:val="auto"/>
          <w:sz w:val="32"/>
          <w:szCs w:val="32"/>
          <w:highlight w:val="none"/>
          <w:lang w:eastAsia="zh-CN"/>
        </w:rPr>
        <w:t>技术研究与开发</w:t>
      </w:r>
      <w:r>
        <w:rPr>
          <w:rStyle w:val="17"/>
          <w:rFonts w:hint="eastAsia" w:ascii="仿宋_GB2312" w:hAnsi="仿宋_GB2312" w:eastAsia="仿宋_GB2312" w:cs="仿宋_GB2312"/>
          <w:bCs/>
          <w:color w:val="auto"/>
          <w:sz w:val="32"/>
          <w:szCs w:val="32"/>
          <w:highlight w:val="none"/>
        </w:rPr>
        <w:t>（款）科技成果转化与扩散（项）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支出决算为0.39万元，完成预算100%，决算数等于预算数。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ascii="仿宋" w:hAnsi="仿宋" w:eastAsia="仿宋"/>
          <w:bCs/>
          <w:color w:val="auto"/>
          <w:sz w:val="32"/>
          <w:szCs w:val="32"/>
          <w:highlight w:val="none"/>
        </w:rPr>
        <w:t>4.</w:t>
      </w:r>
      <w:r>
        <w:rPr>
          <w:rStyle w:val="17"/>
          <w:rFonts w:hint="eastAsia" w:ascii="仿宋_GB2312" w:hAnsi="仿宋_GB2312" w:eastAsia="仿宋_GB2312" w:cs="仿宋_GB2312"/>
          <w:bCs/>
          <w:color w:val="auto"/>
          <w:sz w:val="32"/>
          <w:szCs w:val="32"/>
          <w:highlight w:val="none"/>
        </w:rPr>
        <w:t>社会保障和就业（类）行政事业单位养老支出（款）机关事业单位基本养老保险缴费支出（项）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支出决算为285.99万元，完成预算100%，决算数等于预算数。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5</w:t>
      </w:r>
      <w:r>
        <w:rPr>
          <w:rStyle w:val="17"/>
          <w:rFonts w:ascii="仿宋" w:hAnsi="仿宋" w:eastAsia="仿宋"/>
          <w:bCs/>
          <w:color w:val="auto"/>
          <w:sz w:val="32"/>
          <w:szCs w:val="32"/>
          <w:highlight w:val="none"/>
        </w:rPr>
        <w:t>.</w:t>
      </w:r>
      <w:r>
        <w:rPr>
          <w:rStyle w:val="17"/>
          <w:rFonts w:hint="eastAsia" w:ascii="仿宋_GB2312" w:hAnsi="仿宋_GB2312" w:eastAsia="仿宋_GB2312" w:cs="仿宋_GB2312"/>
          <w:bCs/>
          <w:color w:val="auto"/>
          <w:sz w:val="32"/>
          <w:szCs w:val="32"/>
          <w:highlight w:val="none"/>
        </w:rPr>
        <w:t>社会保障和就业（类）行政事业单位养老支出（款）机关事业单位职业年金缴费支出（项）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支出决算为30.66万元，完成预算100%，决算数等于预算数。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_GB2312" w:hAnsi="仿宋_GB2312" w:eastAsia="仿宋_GB2312" w:cs="仿宋_GB2312"/>
          <w:bCs/>
          <w:color w:val="auto"/>
          <w:sz w:val="32"/>
          <w:szCs w:val="32"/>
          <w:highlight w:val="none"/>
        </w:rPr>
        <w:t>社会保障和就业（类）抚恤（款）死亡抚恤（项）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支出决算为21.46万元，完成预算100%，决算数等于预算数。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_GB2312" w:hAnsi="仿宋_GB2312" w:eastAsia="仿宋_GB2312" w:cs="仿宋_GB2312"/>
          <w:bCs/>
          <w:color w:val="auto"/>
          <w:sz w:val="32"/>
          <w:szCs w:val="32"/>
          <w:highlight w:val="none"/>
        </w:rPr>
        <w:t>社会保障和就业（类）</w:t>
      </w:r>
      <w:r>
        <w:rPr>
          <w:rStyle w:val="17"/>
          <w:rFonts w:hint="eastAsia" w:ascii="仿宋_GB2312" w:hAnsi="仿宋_GB2312" w:eastAsia="仿宋_GB2312" w:cs="仿宋_GB2312"/>
          <w:bCs/>
          <w:color w:val="auto"/>
          <w:sz w:val="32"/>
          <w:szCs w:val="32"/>
          <w:highlight w:val="none"/>
          <w:lang w:eastAsia="zh-CN"/>
        </w:rPr>
        <w:t>其他社会保障和就业支出</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其他社会保障和就业支出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支出决算为5.06万元，完成预算100%，决算数等于预算数。</w:t>
      </w:r>
    </w:p>
    <w:p>
      <w:pPr>
        <w:numPr>
          <w:ilvl w:val="0"/>
          <w:numId w:val="0"/>
        </w:numPr>
        <w:shd w:val="clear"/>
        <w:spacing w:line="600" w:lineRule="exact"/>
        <w:ind w:firstLine="642"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（类）行政事业单位医疗（款）行政单位医疗（项）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50.98</w:t>
      </w:r>
      <w:r>
        <w:rPr>
          <w:rStyle w:val="17"/>
          <w:rFonts w:hint="eastAsia" w:ascii="仿宋" w:hAnsi="仿宋" w:eastAsia="仿宋"/>
          <w:b w:val="0"/>
          <w:bCs/>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完成预算100%，决算数等于预算数。</w:t>
      </w:r>
    </w:p>
    <w:p>
      <w:pPr>
        <w:shd w:val="clear"/>
        <w:spacing w:line="600" w:lineRule="exact"/>
        <w:ind w:firstLine="642"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9</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（类）行政事业单位医疗（款）</w:t>
      </w:r>
      <w:r>
        <w:rPr>
          <w:rStyle w:val="17"/>
          <w:rFonts w:hint="eastAsia" w:ascii="仿宋_GB2312" w:hAnsi="仿宋_GB2312" w:eastAsia="仿宋_GB2312" w:cs="仿宋_GB2312"/>
          <w:bCs/>
          <w:color w:val="auto"/>
          <w:sz w:val="32"/>
          <w:szCs w:val="32"/>
          <w:highlight w:val="none"/>
          <w:lang w:eastAsia="zh-CN"/>
        </w:rPr>
        <w:t>事业</w:t>
      </w:r>
      <w:r>
        <w:rPr>
          <w:rStyle w:val="17"/>
          <w:rFonts w:hint="eastAsia" w:ascii="仿宋_GB2312" w:hAnsi="仿宋_GB2312" w:eastAsia="仿宋_GB2312" w:cs="仿宋_GB2312"/>
          <w:bCs/>
          <w:color w:val="auto"/>
          <w:sz w:val="32"/>
          <w:szCs w:val="32"/>
          <w:highlight w:val="none"/>
        </w:rPr>
        <w:t>单位医疗（项）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103.36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决算数等于预算数。</w:t>
      </w:r>
    </w:p>
    <w:p>
      <w:pPr>
        <w:shd w:val="clear"/>
        <w:spacing w:line="600" w:lineRule="exact"/>
        <w:ind w:firstLine="642" w:firstLineChars="200"/>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10</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节能环保</w:t>
      </w:r>
      <w:r>
        <w:rPr>
          <w:rStyle w:val="17"/>
          <w:rFonts w:hint="eastAsia" w:ascii="仿宋_GB2312" w:hAnsi="仿宋_GB2312" w:eastAsia="仿宋_GB2312" w:cs="仿宋_GB2312"/>
          <w:bCs/>
          <w:color w:val="auto"/>
          <w:sz w:val="32"/>
          <w:szCs w:val="32"/>
          <w:highlight w:val="none"/>
        </w:rPr>
        <w:t>（类）</w:t>
      </w:r>
      <w:r>
        <w:rPr>
          <w:rStyle w:val="17"/>
          <w:rFonts w:hint="eastAsia" w:ascii="仿宋_GB2312" w:hAnsi="仿宋_GB2312" w:eastAsia="仿宋_GB2312" w:cs="仿宋_GB2312"/>
          <w:bCs/>
          <w:color w:val="auto"/>
          <w:sz w:val="32"/>
          <w:szCs w:val="32"/>
          <w:highlight w:val="none"/>
          <w:lang w:eastAsia="zh-CN"/>
        </w:rPr>
        <w:t>污染防治</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水体</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11000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37.93</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auto"/>
          <w:sz w:val="32"/>
          <w:szCs w:val="32"/>
          <w:highlight w:val="none"/>
          <w:lang w:val="en-US" w:eastAsia="zh-CN"/>
        </w:rPr>
        <w:t>2022年中央城市管网及污水处理补助资金18000万元尚未达到支付条件，结转下年支付。</w:t>
      </w:r>
    </w:p>
    <w:p>
      <w:p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val="en" w:eastAsia="zh-CN"/>
        </w:rPr>
      </w:pPr>
      <w:r>
        <w:rPr>
          <w:rStyle w:val="17"/>
          <w:rFonts w:hint="eastAsia" w:ascii="仿宋_GB2312" w:hAnsi="仿宋_GB2312" w:eastAsia="仿宋_GB2312" w:cs="仿宋_GB2312"/>
          <w:bCs/>
          <w:color w:val="auto"/>
          <w:sz w:val="32"/>
          <w:szCs w:val="32"/>
          <w:highlight w:val="none"/>
          <w:lang w:val="en-US" w:eastAsia="zh-CN"/>
        </w:rPr>
        <w:t>11</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（类）城乡社区管理事务（款）行政运行（项）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1296.69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99.96</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auto"/>
          <w:sz w:val="32"/>
          <w:szCs w:val="32"/>
          <w:highlight w:val="none"/>
          <w:lang w:eastAsia="zh-CN"/>
        </w:rPr>
        <w:t>年底代职工支付五险一金</w:t>
      </w:r>
      <w:r>
        <w:rPr>
          <w:rStyle w:val="17"/>
          <w:rFonts w:hint="eastAsia" w:ascii="仿宋_GB2312" w:hAnsi="仿宋_GB2312" w:eastAsia="仿宋_GB2312" w:cs="仿宋_GB2312"/>
          <w:b w:val="0"/>
          <w:bCs/>
          <w:color w:val="auto"/>
          <w:sz w:val="32"/>
          <w:szCs w:val="32"/>
          <w:highlight w:val="none"/>
          <w:lang w:val="en-US" w:eastAsia="zh-CN"/>
        </w:rPr>
        <w:t>0.55万元。</w:t>
      </w:r>
    </w:p>
    <w:p>
      <w:pPr>
        <w:shd w:val="clear"/>
        <w:spacing w:line="600" w:lineRule="exact"/>
        <w:ind w:firstLine="642" w:firstLineChars="200"/>
        <w:rPr>
          <w:rFonts w:ascii="仿宋" w:hAnsi="仿宋" w:eastAsia="仿宋"/>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12</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（类）城乡社区管理事务（款）一般行政管理事务（项）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149.72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shd w:val="clear"/>
        <w:spacing w:line="600" w:lineRule="exact"/>
        <w:ind w:firstLine="642" w:firstLineChars="200"/>
        <w:rPr>
          <w:rStyle w:val="17"/>
          <w:rFonts w:hint="eastAsia" w:ascii="仿宋_GB2312" w:hAnsi="仿宋_GB2312" w:eastAsia="仿宋_GB2312" w:cs="仿宋_GB2312"/>
          <w:bCs/>
          <w:color w:val="auto"/>
          <w:sz w:val="32"/>
          <w:szCs w:val="32"/>
          <w:highlight w:val="none"/>
          <w:lang w:val="en-US" w:eastAsia="zh-CN"/>
        </w:rPr>
      </w:pPr>
      <w:r>
        <w:rPr>
          <w:rStyle w:val="17"/>
          <w:rFonts w:hint="eastAsia" w:ascii="仿宋_GB2312" w:hAnsi="仿宋_GB2312" w:eastAsia="仿宋_GB2312" w:cs="仿宋_GB2312"/>
          <w:bCs/>
          <w:color w:val="auto"/>
          <w:sz w:val="32"/>
          <w:szCs w:val="32"/>
          <w:highlight w:val="none"/>
          <w:lang w:val="en-US" w:eastAsia="zh-CN"/>
        </w:rPr>
        <w:t>13</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（类）城乡社区管理事务（款）工程建设标准规范编制与</w:t>
      </w:r>
      <w:r>
        <w:rPr>
          <w:rStyle w:val="17"/>
          <w:rFonts w:hint="eastAsia" w:ascii="仿宋_GB2312" w:hAnsi="仿宋_GB2312" w:eastAsia="仿宋_GB2312" w:cs="仿宋_GB2312"/>
          <w:bCs/>
          <w:color w:val="auto"/>
          <w:sz w:val="32"/>
          <w:szCs w:val="32"/>
          <w:highlight w:val="none"/>
          <w:lang w:eastAsia="zh-CN"/>
        </w:rPr>
        <w:t>市场</w:t>
      </w:r>
      <w:r>
        <w:rPr>
          <w:rStyle w:val="17"/>
          <w:rFonts w:hint="eastAsia" w:ascii="仿宋_GB2312" w:hAnsi="仿宋_GB2312" w:eastAsia="仿宋_GB2312" w:cs="仿宋_GB2312"/>
          <w:bCs/>
          <w:color w:val="auto"/>
          <w:sz w:val="32"/>
          <w:szCs w:val="32"/>
          <w:highlight w:val="none"/>
        </w:rPr>
        <w:t>监管（项）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317.22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（类）城乡社区管理事务（款）工程建设管理（项）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506.01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（类）城乡社区管理事务（款）住宅建设与房地产市场监管（项）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551.92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99.79</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auto"/>
          <w:sz w:val="32"/>
          <w:szCs w:val="32"/>
          <w:highlight w:val="none"/>
          <w:lang w:eastAsia="zh-CN"/>
        </w:rPr>
        <w:t>购房契税补贴</w:t>
      </w:r>
      <w:r>
        <w:rPr>
          <w:rStyle w:val="17"/>
          <w:rFonts w:hint="eastAsia" w:ascii="仿宋_GB2312" w:hAnsi="仿宋_GB2312" w:eastAsia="仿宋_GB2312" w:cs="仿宋_GB2312"/>
          <w:b w:val="0"/>
          <w:bCs/>
          <w:color w:val="auto"/>
          <w:sz w:val="32"/>
          <w:szCs w:val="32"/>
          <w:highlight w:val="none"/>
          <w:lang w:val="en-US" w:eastAsia="zh-CN"/>
        </w:rPr>
        <w:t>41.94万元转入财政局代管资金，用于支付以后年度购房契税补贴。</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16.</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（类）城乡社区管理事务（款）其他城乡社区管理事务支出（项）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394.28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17.</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（类）城乡社区公共设施（款）其他城乡社区公共设施支出（项）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1493.9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18.</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（类）城乡社区环境卫生（款）城乡社区环境卫生（项）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700.22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19.</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（类）其他城乡社区支出（款）其他城乡社区支出（项）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455.20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20.</w:t>
      </w:r>
      <w:r>
        <w:rPr>
          <w:rFonts w:hint="eastAsia" w:ascii="仿宋_GB2312" w:hAnsi="仿宋_GB2312" w:eastAsia="仿宋_GB2312" w:cs="仿宋_GB2312"/>
          <w:b/>
          <w:bCs/>
          <w:color w:val="auto"/>
          <w:sz w:val="32"/>
          <w:szCs w:val="32"/>
          <w:highlight w:val="none"/>
        </w:rPr>
        <w:t>住房保障支出</w:t>
      </w:r>
      <w:r>
        <w:rPr>
          <w:rStyle w:val="17"/>
          <w:rFonts w:hint="eastAsia" w:ascii="仿宋_GB2312" w:hAnsi="仿宋_GB2312" w:eastAsia="仿宋_GB2312" w:cs="仿宋_GB2312"/>
          <w:bCs/>
          <w:color w:val="auto"/>
          <w:sz w:val="32"/>
          <w:szCs w:val="32"/>
          <w:highlight w:val="none"/>
        </w:rPr>
        <w:t>（类）保障性安居工程支出（款）棚户区改造（项）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3392.62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21.</w:t>
      </w:r>
      <w:r>
        <w:rPr>
          <w:rFonts w:hint="eastAsia" w:ascii="仿宋_GB2312" w:hAnsi="仿宋_GB2312" w:eastAsia="仿宋_GB2312" w:cs="仿宋_GB2312"/>
          <w:b/>
          <w:bCs/>
          <w:color w:val="auto"/>
          <w:sz w:val="32"/>
          <w:szCs w:val="32"/>
          <w:highlight w:val="none"/>
        </w:rPr>
        <w:t>住房保障支出</w:t>
      </w:r>
      <w:r>
        <w:rPr>
          <w:rStyle w:val="17"/>
          <w:rFonts w:hint="eastAsia" w:ascii="仿宋_GB2312" w:hAnsi="仿宋_GB2312" w:eastAsia="仿宋_GB2312" w:cs="仿宋_GB2312"/>
          <w:bCs/>
          <w:color w:val="auto"/>
          <w:sz w:val="32"/>
          <w:szCs w:val="32"/>
          <w:highlight w:val="none"/>
        </w:rPr>
        <w:t>（类）保障性安居工程支出（款）</w:t>
      </w:r>
      <w:r>
        <w:rPr>
          <w:rStyle w:val="17"/>
          <w:rFonts w:hint="eastAsia" w:ascii="仿宋_GB2312" w:hAnsi="仿宋_GB2312" w:eastAsia="仿宋_GB2312" w:cs="仿宋_GB2312"/>
          <w:bCs/>
          <w:color w:val="auto"/>
          <w:sz w:val="32"/>
          <w:szCs w:val="32"/>
          <w:highlight w:val="none"/>
          <w:lang w:eastAsia="zh-CN"/>
        </w:rPr>
        <w:t>公共</w:t>
      </w:r>
      <w:r>
        <w:rPr>
          <w:rStyle w:val="17"/>
          <w:rFonts w:hint="eastAsia" w:ascii="仿宋_GB2312" w:hAnsi="仿宋_GB2312" w:eastAsia="仿宋_GB2312" w:cs="仿宋_GB2312"/>
          <w:bCs/>
          <w:color w:val="auto"/>
          <w:sz w:val="32"/>
          <w:szCs w:val="32"/>
          <w:highlight w:val="none"/>
        </w:rPr>
        <w:t>租赁</w:t>
      </w:r>
      <w:r>
        <w:rPr>
          <w:rStyle w:val="17"/>
          <w:rFonts w:hint="eastAsia" w:ascii="仿宋_GB2312" w:hAnsi="仿宋_GB2312" w:eastAsia="仿宋_GB2312" w:cs="仿宋_GB2312"/>
          <w:bCs/>
          <w:color w:val="auto"/>
          <w:sz w:val="32"/>
          <w:szCs w:val="32"/>
          <w:highlight w:val="none"/>
          <w:lang w:eastAsia="zh-CN"/>
        </w:rPr>
        <w:t>住房</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353.78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22.</w:t>
      </w:r>
      <w:r>
        <w:rPr>
          <w:rFonts w:hint="eastAsia" w:ascii="仿宋_GB2312" w:hAnsi="仿宋_GB2312" w:eastAsia="仿宋_GB2312" w:cs="仿宋_GB2312"/>
          <w:b/>
          <w:bCs/>
          <w:color w:val="auto"/>
          <w:sz w:val="32"/>
          <w:szCs w:val="32"/>
          <w:highlight w:val="none"/>
        </w:rPr>
        <w:t>住房保障支出</w:t>
      </w:r>
      <w:r>
        <w:rPr>
          <w:rStyle w:val="17"/>
          <w:rFonts w:hint="eastAsia" w:ascii="仿宋_GB2312" w:hAnsi="仿宋_GB2312" w:eastAsia="仿宋_GB2312" w:cs="仿宋_GB2312"/>
          <w:bCs/>
          <w:color w:val="auto"/>
          <w:sz w:val="32"/>
          <w:szCs w:val="32"/>
          <w:highlight w:val="none"/>
        </w:rPr>
        <w:t>（类）住房改革支出（款）住房公积金（项）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439.31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Fonts w:hint="eastAsia" w:ascii="仿宋_GB2312" w:hAnsi="仿宋_GB2312" w:eastAsia="仿宋_GB2312" w:cs="仿宋_GB2312"/>
          <w:b/>
          <w:color w:val="auto"/>
          <w:sz w:val="32"/>
          <w:szCs w:val="32"/>
          <w:highlight w:val="none"/>
          <w:lang w:eastAsia="zh-CN"/>
        </w:rPr>
      </w:pPr>
      <w:r>
        <w:rPr>
          <w:rStyle w:val="17"/>
          <w:rFonts w:hint="eastAsia" w:ascii="仿宋_GB2312" w:hAnsi="仿宋_GB2312" w:eastAsia="仿宋_GB2312" w:cs="仿宋_GB2312"/>
          <w:bCs/>
          <w:color w:val="auto"/>
          <w:sz w:val="32"/>
          <w:szCs w:val="32"/>
          <w:highlight w:val="none"/>
          <w:lang w:val="en-US" w:eastAsia="zh-CN"/>
        </w:rPr>
        <w:t>23.</w:t>
      </w:r>
      <w:r>
        <w:rPr>
          <w:rFonts w:hint="eastAsia" w:ascii="仿宋_GB2312" w:hAnsi="仿宋_GB2312" w:eastAsia="仿宋_GB2312" w:cs="仿宋_GB2312"/>
          <w:b/>
          <w:bCs/>
          <w:color w:val="auto"/>
          <w:sz w:val="32"/>
          <w:szCs w:val="32"/>
          <w:highlight w:val="none"/>
        </w:rPr>
        <w:t>灾害防治及应急管理</w:t>
      </w:r>
      <w:r>
        <w:rPr>
          <w:rStyle w:val="17"/>
          <w:rFonts w:hint="eastAsia" w:ascii="仿宋_GB2312" w:hAnsi="仿宋_GB2312" w:eastAsia="仿宋_GB2312" w:cs="仿宋_GB2312"/>
          <w:bCs/>
          <w:color w:val="auto"/>
          <w:sz w:val="32"/>
          <w:szCs w:val="32"/>
          <w:highlight w:val="none"/>
        </w:rPr>
        <w:t>（类）</w:t>
      </w:r>
      <w:r>
        <w:rPr>
          <w:rStyle w:val="17"/>
          <w:rFonts w:hint="eastAsia" w:ascii="仿宋_GB2312" w:hAnsi="仿宋_GB2312" w:eastAsia="仿宋_GB2312" w:cs="仿宋_GB2312"/>
          <w:bCs/>
          <w:color w:val="auto"/>
          <w:sz w:val="32"/>
          <w:szCs w:val="32"/>
          <w:highlight w:val="none"/>
          <w:lang w:eastAsia="zh-CN"/>
        </w:rPr>
        <w:t>自然</w:t>
      </w:r>
      <w:r>
        <w:rPr>
          <w:rFonts w:hint="eastAsia" w:ascii="仿宋_GB2312" w:hAnsi="仿宋_GB2312" w:eastAsia="仿宋_GB2312" w:cs="仿宋_GB2312"/>
          <w:b/>
          <w:bCs/>
          <w:color w:val="auto"/>
          <w:sz w:val="32"/>
          <w:szCs w:val="32"/>
          <w:highlight w:val="none"/>
        </w:rPr>
        <w:t>灾害防治</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其他自然灾害防治支出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lang w:eastAsia="zh-CN"/>
        </w:rPr>
        <w:t>支出决算为</w:t>
      </w:r>
      <w:r>
        <w:rPr>
          <w:rStyle w:val="17"/>
          <w:rFonts w:hint="eastAsia" w:ascii="仿宋_GB2312" w:hAnsi="仿宋_GB2312" w:eastAsia="仿宋_GB2312" w:cs="仿宋_GB2312"/>
          <w:b w:val="0"/>
          <w:bCs w:val="0"/>
          <w:color w:val="auto"/>
          <w:sz w:val="32"/>
          <w:szCs w:val="32"/>
          <w:highlight w:val="none"/>
          <w:lang w:val="en-US" w:eastAsia="zh-CN"/>
        </w:rPr>
        <w:t>25万元，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Fonts w:hint="eastAsia" w:ascii="仿宋_GB2312" w:hAnsi="仿宋_GB2312" w:eastAsia="仿宋_GB2312" w:cs="仿宋_GB2312"/>
          <w:b/>
          <w:color w:val="auto"/>
          <w:sz w:val="32"/>
          <w:szCs w:val="32"/>
          <w:highlight w:val="none"/>
          <w:lang w:eastAsia="zh-CN"/>
        </w:rPr>
      </w:pPr>
      <w:r>
        <w:rPr>
          <w:rStyle w:val="17"/>
          <w:rFonts w:hint="eastAsia" w:ascii="仿宋_GB2312" w:hAnsi="仿宋_GB2312" w:eastAsia="仿宋_GB2312" w:cs="仿宋_GB2312"/>
          <w:bCs/>
          <w:color w:val="auto"/>
          <w:sz w:val="32"/>
          <w:szCs w:val="32"/>
          <w:highlight w:val="none"/>
          <w:lang w:val="en-US" w:eastAsia="zh-CN"/>
        </w:rPr>
        <w:t>24.</w:t>
      </w:r>
      <w:r>
        <w:rPr>
          <w:rFonts w:hint="eastAsia" w:ascii="仿宋_GB2312" w:hAnsi="仿宋_GB2312" w:eastAsia="仿宋_GB2312" w:cs="仿宋_GB2312"/>
          <w:b/>
          <w:bCs/>
          <w:color w:val="auto"/>
          <w:sz w:val="32"/>
          <w:szCs w:val="32"/>
          <w:highlight w:val="none"/>
        </w:rPr>
        <w:t>灾害防治及应急管理</w:t>
      </w:r>
      <w:r>
        <w:rPr>
          <w:rStyle w:val="17"/>
          <w:rFonts w:hint="eastAsia" w:ascii="仿宋_GB2312" w:hAnsi="仿宋_GB2312" w:eastAsia="仿宋_GB2312" w:cs="仿宋_GB2312"/>
          <w:bCs/>
          <w:color w:val="auto"/>
          <w:sz w:val="32"/>
          <w:szCs w:val="32"/>
          <w:highlight w:val="none"/>
        </w:rPr>
        <w:t>（类）自然灾害救灾及恢复重建支出（款）自然灾害灾后重建补助（项）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4.88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hint="eastAsia" w:ascii="仿宋_GB2312" w:hAnsi="仿宋_GB2312" w:eastAsia="仿宋_GB2312" w:cs="仿宋_GB2312"/>
          <w:bCs/>
          <w:color w:val="auto"/>
          <w:sz w:val="32"/>
          <w:szCs w:val="32"/>
          <w:highlight w:val="none"/>
          <w:lang w:val="en-US" w:eastAsia="zh-CN"/>
        </w:rPr>
        <w:t>25.</w:t>
      </w:r>
      <w:r>
        <w:rPr>
          <w:rFonts w:hint="eastAsia" w:ascii="仿宋_GB2312" w:hAnsi="仿宋_GB2312" w:eastAsia="仿宋_GB2312" w:cs="仿宋_GB2312"/>
          <w:b/>
          <w:bCs/>
          <w:color w:val="auto"/>
          <w:sz w:val="32"/>
          <w:szCs w:val="32"/>
          <w:highlight w:val="none"/>
          <w:lang w:eastAsia="zh-CN"/>
        </w:rPr>
        <w:t>其他支出</w:t>
      </w:r>
      <w:r>
        <w:rPr>
          <w:rStyle w:val="17"/>
          <w:rFonts w:hint="eastAsia" w:ascii="仿宋_GB2312" w:hAnsi="仿宋_GB2312" w:eastAsia="仿宋_GB2312" w:cs="仿宋_GB2312"/>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其他支出</w:t>
      </w:r>
      <w:r>
        <w:rPr>
          <w:rStyle w:val="17"/>
          <w:rFonts w:hint="eastAsia" w:ascii="仿宋_GB2312" w:hAnsi="仿宋_GB2312" w:eastAsia="仿宋_GB2312" w:cs="仿宋_GB2312"/>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shd w:val="clear"/>
        <w:tabs>
          <w:tab w:val="right" w:pos="8306"/>
        </w:tabs>
        <w:spacing w:line="600" w:lineRule="exact"/>
        <w:ind w:firstLine="640"/>
        <w:outlineLvl w:val="1"/>
        <w:rPr>
          <w:rStyle w:val="20"/>
          <w:color w:val="auto"/>
          <w:highlight w:val="none"/>
        </w:rPr>
      </w:pPr>
      <w:bookmarkStart w:id="50" w:name="_Toc15377214"/>
      <w:bookmarkStart w:id="51" w:name="_Toc17562"/>
      <w:bookmarkStart w:id="52"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50"/>
      <w:bookmarkEnd w:id="51"/>
      <w:bookmarkEnd w:id="52"/>
      <w:r>
        <w:rPr>
          <w:rStyle w:val="20"/>
          <w:rFonts w:ascii="黑体" w:hAnsi="黑体" w:eastAsia="黑体"/>
          <w:b w:val="0"/>
          <w:color w:val="auto"/>
          <w:highlight w:val="none"/>
        </w:rPr>
        <w:tab/>
      </w: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20</w:t>
      </w:r>
      <w:r>
        <w:rPr>
          <w:rStyle w:val="17"/>
          <w:rFonts w:hint="eastAsia" w:ascii="仿宋_GB2312" w:hAnsi="仿宋_GB2312" w:eastAsia="仿宋_GB2312" w:cs="仿宋_GB2312"/>
          <w:b w:val="0"/>
          <w:bCs/>
          <w:color w:val="auto"/>
          <w:sz w:val="32"/>
          <w:szCs w:val="32"/>
          <w:highlight w:val="none"/>
          <w:lang w:val="en-US" w:eastAsia="zh-CN"/>
        </w:rPr>
        <w:t>22</w:t>
      </w:r>
      <w:r>
        <w:rPr>
          <w:rStyle w:val="17"/>
          <w:rFonts w:hint="eastAsia" w:ascii="仿宋_GB2312" w:hAnsi="仿宋_GB2312" w:eastAsia="仿宋_GB2312" w:cs="仿宋_GB2312"/>
          <w:b w:val="0"/>
          <w:bCs/>
          <w:color w:val="auto"/>
          <w:sz w:val="32"/>
          <w:szCs w:val="32"/>
          <w:highlight w:val="none"/>
        </w:rPr>
        <w:t>年一般公共预算财政拨款基本支出</w:t>
      </w:r>
      <w:r>
        <w:rPr>
          <w:rStyle w:val="17"/>
          <w:rFonts w:hint="eastAsia" w:ascii="仿宋_GB2312" w:hAnsi="仿宋_GB2312" w:eastAsia="仿宋_GB2312" w:cs="仿宋_GB2312"/>
          <w:b w:val="0"/>
          <w:bCs/>
          <w:color w:val="auto"/>
          <w:sz w:val="32"/>
          <w:szCs w:val="32"/>
          <w:highlight w:val="none"/>
          <w:lang w:val="en-US" w:eastAsia="zh-CN"/>
        </w:rPr>
        <w:t>4906.6</w:t>
      </w:r>
      <w:r>
        <w:rPr>
          <w:rStyle w:val="17"/>
          <w:rFonts w:hint="eastAsia" w:ascii="仿宋_GB2312" w:hAnsi="仿宋_GB2312" w:eastAsia="仿宋_GB2312" w:cs="仿宋_GB2312"/>
          <w:b w:val="0"/>
          <w:bCs/>
          <w:color w:val="auto"/>
          <w:sz w:val="32"/>
          <w:szCs w:val="32"/>
          <w:highlight w:val="none"/>
        </w:rPr>
        <w:t>万元，其中：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人员经费</w:t>
      </w:r>
      <w:r>
        <w:rPr>
          <w:rStyle w:val="17"/>
          <w:rFonts w:hint="eastAsia" w:ascii="仿宋_GB2312" w:hAnsi="仿宋_GB2312" w:eastAsia="仿宋_GB2312" w:cs="仿宋_GB2312"/>
          <w:b w:val="0"/>
          <w:bCs/>
          <w:color w:val="auto"/>
          <w:sz w:val="32"/>
          <w:szCs w:val="32"/>
          <w:highlight w:val="none"/>
          <w:lang w:val="en-US" w:eastAsia="zh-CN"/>
        </w:rPr>
        <w:t>4454.75</w:t>
      </w:r>
      <w:r>
        <w:rPr>
          <w:rStyle w:val="17"/>
          <w:rFonts w:hint="eastAsia" w:ascii="仿宋_GB2312" w:hAnsi="仿宋_GB2312" w:eastAsia="仿宋_GB2312" w:cs="仿宋_GB2312"/>
          <w:b w:val="0"/>
          <w:bCs/>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rPr>
        <w:t>职工基本医疗保险缴费</w:t>
      </w:r>
      <w:r>
        <w:rPr>
          <w:rFonts w:hint="eastAsia" w:ascii="仿宋_GB2312" w:hAnsi="仿宋_GB2312" w:eastAsia="仿宋_GB2312" w:cs="仿宋_GB2312"/>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其他社会保障缴费、住房公积金、其他工资福利支出、抚恤金、生活补助、奖励金、其他对个人和家庭的补助支出等。</w:t>
      </w:r>
      <w:r>
        <w:rPr>
          <w:rStyle w:val="17"/>
          <w:rFonts w:hint="eastAsia" w:ascii="仿宋_GB2312" w:hAnsi="仿宋_GB2312" w:eastAsia="仿宋_GB2312" w:cs="仿宋_GB2312"/>
          <w:b w:val="0"/>
          <w:bCs/>
          <w:color w:val="auto"/>
          <w:sz w:val="32"/>
          <w:szCs w:val="32"/>
          <w:highlight w:val="none"/>
        </w:rPr>
        <w:br w:type="textWrapping"/>
      </w:r>
      <w:r>
        <w:rPr>
          <w:rStyle w:val="17"/>
          <w:rFonts w:hint="eastAsia" w:ascii="仿宋_GB2312" w:hAnsi="仿宋_GB2312" w:eastAsia="仿宋_GB2312" w:cs="仿宋_GB2312"/>
          <w:b w:val="0"/>
          <w:bCs/>
          <w:color w:val="auto"/>
          <w:sz w:val="32"/>
          <w:szCs w:val="32"/>
          <w:highlight w:val="none"/>
        </w:rPr>
        <w:t>　　公用经费</w:t>
      </w:r>
      <w:r>
        <w:rPr>
          <w:rStyle w:val="17"/>
          <w:rFonts w:hint="eastAsia" w:ascii="仿宋_GB2312" w:hAnsi="仿宋_GB2312" w:eastAsia="仿宋_GB2312" w:cs="仿宋_GB2312"/>
          <w:b w:val="0"/>
          <w:bCs/>
          <w:color w:val="auto"/>
          <w:sz w:val="32"/>
          <w:szCs w:val="32"/>
          <w:highlight w:val="none"/>
          <w:lang w:val="en-US" w:eastAsia="zh-CN"/>
        </w:rPr>
        <w:t>451.85</w:t>
      </w:r>
      <w:r>
        <w:rPr>
          <w:rStyle w:val="17"/>
          <w:rFonts w:hint="eastAsia" w:ascii="仿宋_GB2312" w:hAnsi="仿宋_GB2312" w:eastAsia="仿宋_GB2312" w:cs="仿宋_GB2312"/>
          <w:b w:val="0"/>
          <w:bCs/>
          <w:color w:val="auto"/>
          <w:sz w:val="32"/>
          <w:szCs w:val="32"/>
          <w:highlight w:val="none"/>
        </w:rPr>
        <w:t>万元，主要包括：办公费、印刷费、咨询费、手续费、水费、电费、邮电费、物业管理费、差旅费、维修（护）费、租赁费、会议费、培训费、公务接待费、劳务费、工会经费、福利费、公务用车运行维护费、其他交通费</w:t>
      </w:r>
      <w:r>
        <w:rPr>
          <w:rStyle w:val="17"/>
          <w:rFonts w:hint="eastAsia" w:ascii="仿宋_GB2312" w:hAnsi="仿宋_GB2312" w:eastAsia="仿宋_GB2312" w:cs="仿宋_GB2312"/>
          <w:b w:val="0"/>
          <w:bCs/>
          <w:color w:val="auto"/>
          <w:sz w:val="32"/>
          <w:szCs w:val="32"/>
          <w:highlight w:val="none"/>
          <w:lang w:val="en-US" w:eastAsia="zh-CN"/>
        </w:rPr>
        <w:t>用</w:t>
      </w:r>
      <w:r>
        <w:rPr>
          <w:rStyle w:val="17"/>
          <w:rFonts w:hint="eastAsia" w:ascii="仿宋_GB2312" w:hAnsi="仿宋_GB2312" w:eastAsia="仿宋_GB2312" w:cs="仿宋_GB2312"/>
          <w:b w:val="0"/>
          <w:bCs/>
          <w:color w:val="auto"/>
          <w:sz w:val="32"/>
          <w:szCs w:val="32"/>
          <w:highlight w:val="none"/>
        </w:rPr>
        <w:t>、其他商品和服务支出、办公设备购置等。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textAlignment w:val="auto"/>
        <w:outlineLvl w:val="1"/>
        <w:rPr>
          <w:rStyle w:val="20"/>
          <w:rFonts w:ascii="黑体" w:hAnsi="黑体" w:eastAsia="黑体"/>
          <w:b w:val="0"/>
          <w:color w:val="auto"/>
          <w:highlight w:val="none"/>
        </w:rPr>
      </w:pPr>
      <w:bookmarkStart w:id="53" w:name="_Toc15396609"/>
      <w:bookmarkStart w:id="54" w:name="_Toc11971"/>
      <w:bookmarkStart w:id="55" w:name="_Toc15377215"/>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53"/>
      <w:bookmarkEnd w:id="54"/>
      <w:bookmarkEnd w:id="55"/>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56" w:name="_Toc15377216"/>
      <w:r>
        <w:rPr>
          <w:rFonts w:hint="eastAsia" w:ascii="楷体_GB2312" w:hAnsi="宋体" w:eastAsia="楷体_GB2312"/>
          <w:b/>
          <w:bCs/>
          <w:color w:val="auto"/>
          <w:sz w:val="32"/>
          <w:szCs w:val="32"/>
          <w:highlight w:val="none"/>
          <w:u w:val="none"/>
          <w:lang w:val="zh-CN"/>
        </w:rPr>
        <w:t>（一）“三公”经费财政拨款支出决算总体情况说明</w:t>
      </w:r>
      <w:bookmarkEnd w:id="56"/>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20</w:t>
      </w:r>
      <w:r>
        <w:rPr>
          <w:rStyle w:val="17"/>
          <w:rFonts w:hint="eastAsia" w:ascii="仿宋_GB2312" w:hAnsi="仿宋_GB2312" w:eastAsia="仿宋_GB2312" w:cs="仿宋_GB2312"/>
          <w:b w:val="0"/>
          <w:bCs/>
          <w:color w:val="auto"/>
          <w:sz w:val="32"/>
          <w:szCs w:val="32"/>
          <w:highlight w:val="none"/>
          <w:lang w:val="en-US" w:eastAsia="zh-CN"/>
        </w:rPr>
        <w:t>22</w:t>
      </w:r>
      <w:r>
        <w:rPr>
          <w:rStyle w:val="17"/>
          <w:rFonts w:hint="eastAsia" w:ascii="仿宋_GB2312" w:hAnsi="仿宋_GB2312" w:eastAsia="仿宋_GB2312" w:cs="仿宋_GB2312"/>
          <w:b w:val="0"/>
          <w:bCs/>
          <w:color w:val="auto"/>
          <w:sz w:val="32"/>
          <w:szCs w:val="32"/>
          <w:highlight w:val="none"/>
        </w:rPr>
        <w:t>年“三公”经费财政拨款支出决算为</w:t>
      </w:r>
      <w:r>
        <w:rPr>
          <w:rStyle w:val="17"/>
          <w:rFonts w:hint="eastAsia" w:ascii="仿宋_GB2312" w:hAnsi="仿宋_GB2312" w:eastAsia="仿宋_GB2312" w:cs="仿宋_GB2312"/>
          <w:b w:val="0"/>
          <w:bCs/>
          <w:color w:val="auto"/>
          <w:sz w:val="32"/>
          <w:szCs w:val="32"/>
          <w:highlight w:val="none"/>
          <w:lang w:val="en-US" w:eastAsia="zh-CN"/>
        </w:rPr>
        <w:t>15.71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较上年增加</w:t>
      </w:r>
      <w:r>
        <w:rPr>
          <w:rStyle w:val="17"/>
          <w:rFonts w:hint="eastAsia" w:ascii="仿宋_GB2312" w:hAnsi="仿宋_GB2312" w:eastAsia="仿宋_GB2312" w:cs="仿宋_GB2312"/>
          <w:b w:val="0"/>
          <w:bCs/>
          <w:color w:val="auto"/>
          <w:sz w:val="32"/>
          <w:szCs w:val="32"/>
          <w:highlight w:val="none"/>
          <w:lang w:val="en-US" w:eastAsia="zh-CN"/>
        </w:rPr>
        <w:t>1.8万元，增长12.94%。</w:t>
      </w:r>
      <w:r>
        <w:rPr>
          <w:rFonts w:hint="eastAsia" w:ascii="仿宋_GB2312" w:hAnsi="仿宋_GB2312" w:eastAsia="仿宋_GB2312" w:cs="仿宋_GB2312"/>
          <w:color w:val="auto"/>
          <w:sz w:val="32"/>
          <w:szCs w:val="32"/>
          <w:highlight w:val="none"/>
        </w:rPr>
        <w:t>决算数与预算数持平。</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57" w:name="_Toc15377217"/>
      <w:r>
        <w:rPr>
          <w:rFonts w:hint="eastAsia" w:ascii="楷体_GB2312" w:hAnsi="宋体" w:eastAsia="楷体_GB2312"/>
          <w:b/>
          <w:bCs/>
          <w:color w:val="auto"/>
          <w:sz w:val="32"/>
          <w:szCs w:val="32"/>
          <w:highlight w:val="none"/>
          <w:u w:val="none"/>
          <w:lang w:val="zh-CN"/>
        </w:rPr>
        <w:t>（二）“三公”经费财政拨款支出决算具体情况说明</w:t>
      </w:r>
      <w:bookmarkEnd w:id="57"/>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20</w:t>
      </w:r>
      <w:r>
        <w:rPr>
          <w:rStyle w:val="17"/>
          <w:rFonts w:hint="eastAsia" w:ascii="仿宋_GB2312" w:hAnsi="仿宋_GB2312" w:eastAsia="仿宋_GB2312" w:cs="仿宋_GB2312"/>
          <w:b w:val="0"/>
          <w:bCs/>
          <w:color w:val="auto"/>
          <w:sz w:val="32"/>
          <w:szCs w:val="32"/>
          <w:highlight w:val="none"/>
          <w:lang w:val="en-US" w:eastAsia="zh-CN"/>
        </w:rPr>
        <w:t>22</w:t>
      </w:r>
      <w:r>
        <w:rPr>
          <w:rStyle w:val="17"/>
          <w:rFonts w:hint="eastAsia" w:ascii="仿宋_GB2312" w:hAnsi="仿宋_GB2312" w:eastAsia="仿宋_GB2312" w:cs="仿宋_GB2312"/>
          <w:b w:val="0"/>
          <w:bCs/>
          <w:color w:val="auto"/>
          <w:sz w:val="32"/>
          <w:szCs w:val="32"/>
          <w:highlight w:val="none"/>
        </w:rPr>
        <w:t>年“三公”经费财政拨款支出决算中，因公出国（境）费支出决算</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万元，占</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%；公务用车购置及运行维护费支出决算</w:t>
      </w:r>
      <w:r>
        <w:rPr>
          <w:rStyle w:val="17"/>
          <w:rFonts w:hint="eastAsia" w:ascii="仿宋_GB2312" w:hAnsi="仿宋_GB2312" w:eastAsia="仿宋_GB2312" w:cs="仿宋_GB2312"/>
          <w:b w:val="0"/>
          <w:bCs/>
          <w:color w:val="auto"/>
          <w:sz w:val="32"/>
          <w:szCs w:val="32"/>
          <w:highlight w:val="none"/>
          <w:lang w:val="en-US" w:eastAsia="zh-CN"/>
        </w:rPr>
        <w:t>11.15</w:t>
      </w:r>
      <w:r>
        <w:rPr>
          <w:rStyle w:val="17"/>
          <w:rFonts w:hint="eastAsia" w:ascii="仿宋_GB2312" w:hAnsi="仿宋_GB2312" w:eastAsia="仿宋_GB2312" w:cs="仿宋_GB2312"/>
          <w:b w:val="0"/>
          <w:bCs/>
          <w:color w:val="auto"/>
          <w:sz w:val="32"/>
          <w:szCs w:val="32"/>
          <w:highlight w:val="none"/>
        </w:rPr>
        <w:t>万元，占</w:t>
      </w:r>
      <w:r>
        <w:rPr>
          <w:rStyle w:val="17"/>
          <w:rFonts w:hint="eastAsia" w:ascii="仿宋_GB2312" w:hAnsi="仿宋_GB2312" w:eastAsia="仿宋_GB2312" w:cs="仿宋_GB2312"/>
          <w:b w:val="0"/>
          <w:bCs/>
          <w:color w:val="auto"/>
          <w:sz w:val="32"/>
          <w:szCs w:val="32"/>
          <w:highlight w:val="none"/>
          <w:lang w:val="en-US" w:eastAsia="zh-CN"/>
        </w:rPr>
        <w:t>70.97</w:t>
      </w:r>
      <w:r>
        <w:rPr>
          <w:rStyle w:val="17"/>
          <w:rFonts w:hint="eastAsia" w:ascii="仿宋_GB2312" w:hAnsi="仿宋_GB2312" w:eastAsia="仿宋_GB2312" w:cs="仿宋_GB2312"/>
          <w:b w:val="0"/>
          <w:bCs/>
          <w:color w:val="auto"/>
          <w:sz w:val="32"/>
          <w:szCs w:val="32"/>
          <w:highlight w:val="none"/>
        </w:rPr>
        <w:t>%；公务接待费支出决算</w:t>
      </w:r>
      <w:r>
        <w:rPr>
          <w:rStyle w:val="17"/>
          <w:rFonts w:hint="eastAsia" w:ascii="仿宋_GB2312" w:hAnsi="仿宋_GB2312" w:eastAsia="仿宋_GB2312" w:cs="仿宋_GB2312"/>
          <w:b w:val="0"/>
          <w:bCs/>
          <w:color w:val="auto"/>
          <w:sz w:val="32"/>
          <w:szCs w:val="32"/>
          <w:highlight w:val="none"/>
          <w:lang w:val="en-US" w:eastAsia="zh-CN"/>
        </w:rPr>
        <w:t>4.56</w:t>
      </w:r>
      <w:r>
        <w:rPr>
          <w:rStyle w:val="17"/>
          <w:rFonts w:hint="eastAsia" w:ascii="仿宋_GB2312" w:hAnsi="仿宋_GB2312" w:eastAsia="仿宋_GB2312" w:cs="仿宋_GB2312"/>
          <w:b w:val="0"/>
          <w:bCs/>
          <w:color w:val="auto"/>
          <w:sz w:val="32"/>
          <w:szCs w:val="32"/>
          <w:highlight w:val="none"/>
        </w:rPr>
        <w:t>万元，占</w:t>
      </w:r>
      <w:r>
        <w:rPr>
          <w:rStyle w:val="17"/>
          <w:rFonts w:hint="eastAsia" w:ascii="仿宋_GB2312" w:hAnsi="仿宋_GB2312" w:eastAsia="仿宋_GB2312" w:cs="仿宋_GB2312"/>
          <w:b w:val="0"/>
          <w:bCs/>
          <w:color w:val="auto"/>
          <w:sz w:val="32"/>
          <w:szCs w:val="32"/>
          <w:highlight w:val="none"/>
          <w:lang w:val="en-US" w:eastAsia="zh-CN"/>
        </w:rPr>
        <w:t>29.03</w:t>
      </w:r>
      <w:r>
        <w:rPr>
          <w:rStyle w:val="17"/>
          <w:rFonts w:hint="eastAsia" w:ascii="仿宋_GB2312" w:hAnsi="仿宋_GB2312" w:eastAsia="仿宋_GB2312" w:cs="仿宋_GB2312"/>
          <w:b w:val="0"/>
          <w:bCs/>
          <w:color w:val="auto"/>
          <w:sz w:val="32"/>
          <w:szCs w:val="32"/>
          <w:highlight w:val="none"/>
        </w:rPr>
        <w:t>%。具体情况如下：</w:t>
      </w: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835025</wp:posOffset>
            </wp:positionH>
            <wp:positionV relativeFrom="paragraph">
              <wp:posOffset>172085</wp:posOffset>
            </wp:positionV>
            <wp:extent cx="3893185" cy="1978025"/>
            <wp:effectExtent l="4445" t="4445" r="7620" b="177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p>
    <w:p>
      <w:pPr>
        <w:numPr>
          <w:ilvl w:val="0"/>
          <w:numId w:val="0"/>
        </w:numPr>
        <w:shd w:val="clear"/>
        <w:spacing w:line="600" w:lineRule="exact"/>
        <w:ind w:firstLine="640" w:firstLineChars="200"/>
        <w:jc w:val="center"/>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（图7：“三公”经费财政拨款支出结构）</w:t>
      </w:r>
    </w:p>
    <w:p>
      <w:pPr>
        <w:shd w:val="clear"/>
        <w:spacing w:line="600" w:lineRule="exact"/>
        <w:ind w:firstLine="640"/>
        <w:rPr>
          <w:color w:val="auto"/>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lang w:eastAsia="zh-CN"/>
        </w:rPr>
        <w:t>年初未安排预算，因公出国（境）经费支出决算较</w:t>
      </w:r>
      <w:r>
        <w:rPr>
          <w:rStyle w:val="17"/>
          <w:rFonts w:hint="eastAsia" w:ascii="仿宋_GB2312" w:hAnsi="仿宋_GB2312" w:eastAsia="仿宋_GB2312" w:cs="仿宋_GB2312"/>
          <w:b w:val="0"/>
          <w:bCs/>
          <w:color w:val="auto"/>
          <w:sz w:val="32"/>
          <w:szCs w:val="32"/>
          <w:highlight w:val="none"/>
          <w:lang w:val="en-US" w:eastAsia="zh-CN"/>
        </w:rPr>
        <w:t>2021年无变化</w:t>
      </w:r>
      <w:r>
        <w:rPr>
          <w:rStyle w:val="17"/>
          <w:rFonts w:hint="eastAsia" w:ascii="仿宋_GB2312" w:hAnsi="仿宋_GB2312" w:eastAsia="仿宋_GB2312" w:cs="仿宋_GB2312"/>
          <w:b w:val="0"/>
          <w:bCs/>
          <w:color w:val="auto"/>
          <w:sz w:val="32"/>
          <w:szCs w:val="32"/>
          <w:highlight w:val="none"/>
        </w:rPr>
        <w:t>。</w:t>
      </w:r>
    </w:p>
    <w:p>
      <w:pPr>
        <w:shd w:val="clea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11.15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完成预算100%。公务用车购置及运行维护费支出决算比2</w:t>
      </w:r>
      <w:r>
        <w:rPr>
          <w:rFonts w:ascii="仿宋_GB2312" w:eastAsia="仿宋_GB2312"/>
          <w:color w:val="auto"/>
          <w:sz w:val="32"/>
          <w:szCs w:val="32"/>
          <w:highlight w:val="none"/>
        </w:rPr>
        <w:t>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0.4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根据“过紧日子”要求，</w:t>
      </w:r>
      <w:r>
        <w:rPr>
          <w:rFonts w:hint="eastAsia" w:ascii="仿宋_GB2312" w:eastAsia="仿宋_GB2312"/>
          <w:color w:val="auto"/>
          <w:sz w:val="32"/>
          <w:szCs w:val="32"/>
          <w:highlight w:val="none"/>
          <w:lang w:val="en-US" w:eastAsia="zh-CN"/>
        </w:rPr>
        <w:t>2022年</w:t>
      </w:r>
      <w:r>
        <w:rPr>
          <w:rFonts w:hint="eastAsia" w:ascii="仿宋_GB2312" w:eastAsia="仿宋_GB2312"/>
          <w:color w:val="auto"/>
          <w:sz w:val="32"/>
          <w:szCs w:val="32"/>
          <w:highlight w:val="none"/>
          <w:lang w:eastAsia="zh-CN"/>
        </w:rPr>
        <w:t>有效压缩了开支</w:t>
      </w:r>
      <w:r>
        <w:rPr>
          <w:rFonts w:hint="eastAsia" w:ascii="仿宋_GB2312" w:eastAsia="仿宋_GB2312"/>
          <w:color w:val="auto"/>
          <w:sz w:val="32"/>
          <w:szCs w:val="32"/>
          <w:highlight w:val="none"/>
        </w:rPr>
        <w:t>。</w:t>
      </w:r>
    </w:p>
    <w:p>
      <w:pPr>
        <w:shd w:val="clea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其他用车</w:t>
      </w:r>
      <w:r>
        <w:rPr>
          <w:rFonts w:hint="eastAsia" w:ascii="仿宋_GB2312" w:eastAsia="仿宋_GB2312"/>
          <w:color w:val="auto"/>
          <w:sz w:val="32"/>
          <w:szCs w:val="32"/>
          <w:highlight w:val="none"/>
          <w:lang w:val="en-US" w:eastAsia="zh-CN"/>
        </w:rPr>
        <w:t>12辆</w:t>
      </w:r>
      <w:r>
        <w:rPr>
          <w:rFonts w:hint="eastAsia" w:ascii="仿宋_GB2312" w:eastAsia="仿宋_GB2312"/>
          <w:color w:val="auto"/>
          <w:sz w:val="32"/>
          <w:szCs w:val="32"/>
          <w:highlight w:val="none"/>
        </w:rPr>
        <w:t>。</w:t>
      </w:r>
    </w:p>
    <w:p>
      <w:pPr>
        <w:keepNext w:val="0"/>
        <w:keepLines w:val="0"/>
        <w:pageBreakBefore w:val="0"/>
        <w:shd w:val="clear"/>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11.15</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rPr>
        <w:t>主要用于城市建设及维护、建筑行业管理等所需的公务用车燃料费、维修费、过路过桥费、保险费等支出。</w:t>
      </w:r>
    </w:p>
    <w:p>
      <w:pPr>
        <w:shd w:val="clea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.56万元，完成预算100%。公务接待费支出决算比2021年增加1.84万元，增长67.6%。主要原因是局机关工作需要接待业务增加。其中：</w:t>
      </w:r>
    </w:p>
    <w:p>
      <w:pPr>
        <w:keepNext w:val="0"/>
        <w:keepLines w:val="0"/>
        <w:pageBreakBefore w:val="0"/>
        <w:shd w:val="clear"/>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_GB2312" w:hAnsi="Times New Roman" w:eastAsia="仿宋_GB2312" w:cs="Times New Roman"/>
          <w:b/>
          <w:color w:val="auto"/>
          <w:sz w:val="32"/>
          <w:szCs w:val="32"/>
          <w:highlight w:val="none"/>
        </w:rPr>
        <w:t>国内公务接待支出</w:t>
      </w:r>
      <w:r>
        <w:rPr>
          <w:rFonts w:hint="eastAsia" w:ascii="仿宋_GB2312" w:hAnsi="Times New Roman" w:eastAsia="仿宋_GB2312" w:cs="Times New Roman"/>
          <w:color w:val="auto"/>
          <w:sz w:val="32"/>
          <w:szCs w:val="32"/>
          <w:highlight w:val="none"/>
          <w:lang w:val="en-US" w:eastAsia="zh-CN"/>
        </w:rPr>
        <w:t>4.56万元，主要用于执行公务开支的用餐费。国内公务接待28批次</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254</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4.56</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rPr>
        <w:t>具体内容包括：</w:t>
      </w:r>
      <w:r>
        <w:rPr>
          <w:rFonts w:hint="eastAsia" w:ascii="仿宋_GB2312" w:hAnsi="仿宋_GB2312" w:eastAsia="仿宋_GB2312" w:cs="仿宋_GB2312"/>
          <w:color w:val="auto"/>
          <w:sz w:val="32"/>
          <w:szCs w:val="32"/>
          <w:highlight w:val="none"/>
          <w:lang w:eastAsia="zh-CN"/>
        </w:rPr>
        <w:t>省住建厅来广检查工作、调研；各市（州）住建局来广考察等共计支出</w:t>
      </w:r>
      <w:r>
        <w:rPr>
          <w:rFonts w:hint="eastAsia" w:ascii="仿宋_GB2312" w:hAnsi="仿宋_GB2312" w:eastAsia="仿宋_GB2312" w:cs="仿宋_GB2312"/>
          <w:color w:val="auto"/>
          <w:sz w:val="32"/>
          <w:szCs w:val="32"/>
          <w:highlight w:val="none"/>
          <w:lang w:val="en-US" w:eastAsia="zh-CN"/>
        </w:rPr>
        <w:t>4.56万元</w:t>
      </w:r>
      <w:r>
        <w:rPr>
          <w:rFonts w:hint="eastAsia" w:ascii="仿宋_GB2312" w:hAnsi="仿宋_GB2312" w:eastAsia="仿宋_GB2312" w:cs="仿宋_GB2312"/>
          <w:color w:val="auto"/>
          <w:sz w:val="32"/>
          <w:szCs w:val="32"/>
          <w:highlight w:val="none"/>
        </w:rPr>
        <w:t>。</w:t>
      </w:r>
    </w:p>
    <w:p>
      <w:pPr>
        <w:shd w:val="clear"/>
        <w:spacing w:line="600" w:lineRule="exact"/>
        <w:ind w:firstLine="642" w:firstLineChars="200"/>
        <w:rPr>
          <w:rFonts w:ascii="黑体" w:eastAsia="黑体"/>
          <w:color w:val="auto"/>
          <w:sz w:val="32"/>
          <w:szCs w:val="32"/>
          <w:highlight w:val="none"/>
        </w:rPr>
      </w:pPr>
      <w:r>
        <w:rPr>
          <w:rFonts w:hint="eastAsia" w:ascii="仿宋_GB2312" w:hAnsi="Times New Roman" w:eastAsia="仿宋_GB2312" w:cs="Times New Roman"/>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bookmarkStart w:id="58" w:name="_Toc15396610"/>
      <w:bookmarkStart w:id="59" w:name="_Toc15377218"/>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lang w:val="en-US" w:eastAsia="zh-CN"/>
        </w:rPr>
        <w:t>2022年</w:t>
      </w:r>
      <w:r>
        <w:rPr>
          <w:rStyle w:val="17"/>
          <w:rFonts w:hint="eastAsia" w:ascii="仿宋_GB2312" w:hAnsi="仿宋_GB2312" w:eastAsia="仿宋_GB2312" w:cs="仿宋_GB2312"/>
          <w:b w:val="0"/>
          <w:bCs/>
          <w:color w:val="auto"/>
          <w:sz w:val="32"/>
          <w:szCs w:val="32"/>
          <w:highlight w:val="none"/>
          <w:lang w:eastAsia="zh-CN"/>
        </w:rPr>
        <w:t>支出决算较</w:t>
      </w:r>
      <w:r>
        <w:rPr>
          <w:rStyle w:val="17"/>
          <w:rFonts w:hint="eastAsia" w:ascii="仿宋_GB2312" w:hAnsi="仿宋_GB2312" w:eastAsia="仿宋_GB2312" w:cs="仿宋_GB2312"/>
          <w:b w:val="0"/>
          <w:bCs/>
          <w:color w:val="auto"/>
          <w:sz w:val="32"/>
          <w:szCs w:val="32"/>
          <w:highlight w:val="none"/>
          <w:lang w:val="en-US" w:eastAsia="zh-CN"/>
        </w:rPr>
        <w:t>2021年无变化</w:t>
      </w:r>
      <w:r>
        <w:rPr>
          <w:rStyle w:val="17"/>
          <w:rFonts w:hint="eastAsia" w:ascii="仿宋_GB2312" w:hAnsi="仿宋_GB2312" w:eastAsia="仿宋_GB2312" w:cs="仿宋_GB2312"/>
          <w:b w:val="0"/>
          <w:bCs/>
          <w:color w:val="auto"/>
          <w:sz w:val="32"/>
          <w:szCs w:val="32"/>
          <w:highlight w:val="none"/>
        </w:rPr>
        <w:t>。</w:t>
      </w:r>
    </w:p>
    <w:p>
      <w:pPr>
        <w:shd w:val="clear"/>
        <w:spacing w:line="600" w:lineRule="exact"/>
        <w:ind w:firstLine="640"/>
        <w:outlineLvl w:val="1"/>
        <w:rPr>
          <w:rStyle w:val="20"/>
          <w:rFonts w:ascii="黑体" w:hAnsi="黑体" w:eastAsia="黑体"/>
          <w:color w:val="auto"/>
          <w:highlight w:val="none"/>
        </w:rPr>
      </w:pPr>
      <w:bookmarkStart w:id="60" w:name="_Toc21053"/>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58"/>
      <w:bookmarkEnd w:id="59"/>
      <w:bookmarkEnd w:id="60"/>
    </w:p>
    <w:p>
      <w:pPr>
        <w:shd w:val="clea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28408.36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2022年未在政府性基金预算中安排“三公”经费。</w:t>
      </w:r>
    </w:p>
    <w:p>
      <w:pPr>
        <w:numPr>
          <w:ilvl w:val="0"/>
          <w:numId w:val="2"/>
        </w:numPr>
        <w:shd w:val="clear"/>
        <w:spacing w:line="600" w:lineRule="exact"/>
        <w:ind w:firstLine="640"/>
        <w:outlineLvl w:val="1"/>
        <w:rPr>
          <w:rStyle w:val="20"/>
          <w:rFonts w:ascii="黑体" w:hAnsi="黑体" w:eastAsia="黑体"/>
          <w:b w:val="0"/>
          <w:color w:val="auto"/>
          <w:highlight w:val="none"/>
        </w:rPr>
      </w:pPr>
      <w:bookmarkStart w:id="61" w:name="_Toc15396611"/>
      <w:bookmarkStart w:id="62" w:name="_Toc5979"/>
      <w:bookmarkStart w:id="63" w:name="_Toc15377219"/>
      <w:r>
        <w:rPr>
          <w:rStyle w:val="20"/>
          <w:rFonts w:hint="eastAsia" w:ascii="黑体" w:hAnsi="黑体" w:eastAsia="黑体"/>
          <w:b w:val="0"/>
          <w:color w:val="auto"/>
          <w:highlight w:val="none"/>
        </w:rPr>
        <w:t>国有资本经营预算支出决算情况说明</w:t>
      </w:r>
      <w:bookmarkEnd w:id="61"/>
      <w:bookmarkEnd w:id="62"/>
      <w:bookmarkEnd w:id="63"/>
    </w:p>
    <w:p>
      <w:pPr>
        <w:shd w:val="clea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hd w:val="clear"/>
        <w:spacing w:line="600" w:lineRule="exact"/>
        <w:ind w:firstLine="640"/>
        <w:outlineLvl w:val="1"/>
        <w:rPr>
          <w:rStyle w:val="20"/>
          <w:rFonts w:hint="eastAsia" w:ascii="黑体" w:hAnsi="黑体" w:eastAsia="黑体"/>
          <w:b w:val="0"/>
          <w:color w:val="auto"/>
          <w:highlight w:val="none"/>
        </w:rPr>
      </w:pPr>
      <w:bookmarkStart w:id="64" w:name="_Toc15377221"/>
      <w:bookmarkStart w:id="65" w:name="_Toc30990"/>
      <w:bookmarkStart w:id="66" w:name="_Toc15396612"/>
      <w:r>
        <w:rPr>
          <w:rStyle w:val="20"/>
          <w:rFonts w:hint="eastAsia" w:ascii="黑体" w:hAnsi="黑体" w:eastAsia="黑体"/>
          <w:b w:val="0"/>
          <w:color w:val="auto"/>
          <w:highlight w:val="none"/>
        </w:rPr>
        <w:t>其他重要事项的情况说明</w:t>
      </w:r>
      <w:bookmarkEnd w:id="64"/>
      <w:bookmarkEnd w:id="65"/>
      <w:bookmarkEnd w:id="66"/>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67" w:name="_Toc15377222"/>
      <w:r>
        <w:rPr>
          <w:rFonts w:hint="eastAsia" w:ascii="楷体_GB2312" w:hAnsi="宋体" w:eastAsia="楷体_GB2312"/>
          <w:b/>
          <w:bCs/>
          <w:color w:val="auto"/>
          <w:sz w:val="32"/>
          <w:szCs w:val="32"/>
          <w:highlight w:val="none"/>
          <w:u w:val="none"/>
          <w:lang w:val="zh-CN"/>
        </w:rPr>
        <w:t>（一）机关运行经费支出情况</w:t>
      </w:r>
      <w:bookmarkEnd w:id="67"/>
    </w:p>
    <w:p>
      <w:pPr>
        <w:shd w:val="clea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广元市住房和城乡建设局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225.63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10.47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4.4</w:t>
      </w:r>
      <w:r>
        <w:rPr>
          <w:rFonts w:hint="eastAsia" w:ascii="仿宋_GB2312" w:eastAsia="仿宋_GB2312"/>
          <w:color w:val="auto"/>
          <w:sz w:val="32"/>
          <w:szCs w:val="32"/>
          <w:highlight w:val="none"/>
          <w:lang w:eastAsia="zh-CN"/>
        </w:rPr>
        <w:t>%。主要原因是</w:t>
      </w:r>
      <w:r>
        <w:rPr>
          <w:rFonts w:hint="eastAsia" w:ascii="仿宋_GB2312" w:eastAsia="仿宋_GB2312"/>
          <w:color w:val="auto"/>
          <w:sz w:val="32"/>
          <w:szCs w:val="32"/>
          <w:highlight w:val="none"/>
          <w:lang w:val="en-US" w:eastAsia="zh-CN"/>
        </w:rPr>
        <w:t>按照“过紧日子”要求节约机关运行成本。</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68" w:name="_Toc15377223"/>
      <w:r>
        <w:rPr>
          <w:rFonts w:hint="eastAsia" w:ascii="楷体_GB2312" w:hAnsi="宋体" w:eastAsia="楷体_GB2312"/>
          <w:b/>
          <w:bCs/>
          <w:color w:val="auto"/>
          <w:sz w:val="32"/>
          <w:szCs w:val="32"/>
          <w:highlight w:val="none"/>
          <w:u w:val="none"/>
          <w:lang w:val="zh-CN"/>
        </w:rPr>
        <w:t>（二）政府采购支出情况</w:t>
      </w:r>
      <w:bookmarkEnd w:id="68"/>
    </w:p>
    <w:p>
      <w:pPr>
        <w:shd w:val="clea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广元市住房和城乡建设局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1307.03</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12.01</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1295.02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照明设施维修材料苗木花卉采购、桥梁安全检测服务采购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9.05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0.69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9.05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0.69</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69" w:name="_Toc15377224"/>
      <w:r>
        <w:rPr>
          <w:rFonts w:hint="eastAsia" w:ascii="楷体_GB2312" w:hAnsi="宋体" w:eastAsia="楷体_GB2312"/>
          <w:b/>
          <w:bCs/>
          <w:color w:val="auto"/>
          <w:sz w:val="32"/>
          <w:szCs w:val="32"/>
          <w:highlight w:val="none"/>
          <w:u w:val="none"/>
          <w:lang w:val="zh-CN"/>
        </w:rPr>
        <w:t>（三）国有资产占有使用情况</w:t>
      </w:r>
      <w:bookmarkEnd w:id="69"/>
    </w:p>
    <w:p>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广元市住房和城乡建设局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36</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（其中公务用车</w:t>
      </w:r>
      <w:r>
        <w:rPr>
          <w:rFonts w:hint="eastAsia" w:ascii="仿宋_GB2312" w:eastAsia="仿宋_GB2312"/>
          <w:color w:val="auto"/>
          <w:sz w:val="32"/>
          <w:szCs w:val="32"/>
          <w:highlight w:val="none"/>
          <w:lang w:val="en-US" w:eastAsia="zh-CN"/>
        </w:rPr>
        <w:t>15辆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，其中：其他用车</w:t>
      </w:r>
      <w:r>
        <w:rPr>
          <w:rFonts w:hint="eastAsia" w:ascii="仿宋_GB2312" w:eastAsia="仿宋_GB2312"/>
          <w:color w:val="auto"/>
          <w:sz w:val="32"/>
          <w:szCs w:val="32"/>
          <w:highlight w:val="none"/>
          <w:lang w:val="en-US" w:eastAsia="zh-CN"/>
        </w:rPr>
        <w:t>36</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主要是用于</w:t>
      </w:r>
      <w:r>
        <w:rPr>
          <w:rFonts w:hint="eastAsia" w:ascii="仿宋_GB2312" w:eastAsia="仿宋_GB2312"/>
          <w:color w:val="auto"/>
          <w:sz w:val="32"/>
          <w:szCs w:val="32"/>
          <w:highlight w:val="none"/>
          <w:lang w:eastAsia="zh-CN"/>
        </w:rPr>
        <w:t>城</w:t>
      </w:r>
      <w:r>
        <w:rPr>
          <w:rFonts w:hint="eastAsia" w:ascii="仿宋_GB2312" w:eastAsia="仿宋_GB2312" w:cs="仿宋_GB2312"/>
          <w:color w:val="auto"/>
          <w:sz w:val="32"/>
          <w:szCs w:val="32"/>
          <w:highlight w:val="none"/>
        </w:rPr>
        <w:t>市建设及维护、建筑行业管理</w:t>
      </w:r>
      <w:r>
        <w:rPr>
          <w:rFonts w:hint="eastAsia" w:asci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（四）预算绩效管理情况</w:t>
      </w:r>
    </w:p>
    <w:p>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Times New Roman" w:eastAsia="仿宋_GB2312" w:cs="Times New Roman"/>
          <w:color w:val="auto"/>
          <w:kern w:val="2"/>
          <w:sz w:val="32"/>
          <w:szCs w:val="32"/>
          <w:highlight w:val="none"/>
          <w:lang w:val="en-US" w:eastAsia="zh-CN" w:bidi="ar-SA"/>
        </w:rPr>
        <w:t>图审中心购买社会服务</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个项目开展绩效监控。</w:t>
      </w:r>
    </w:p>
    <w:p>
      <w:pPr>
        <w:widowControl/>
        <w:shd w:val="clear"/>
        <w:ind w:firstLine="640" w:firstLineChars="200"/>
        <w:jc w:val="left"/>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组织对2022年度一般公共预算、政府性基金预算等全面开展绩效自评，形成2023年度市级部门整体绩效自评报告、市本级公租房委托管理费项目等专项预算项目绩效自评报告，其中，市住房城乡建设局2022年部门整体绩效自评得分为98.61分，其中部门预算项目绩效管理得分48.61分、专项预算项目绩效管理得分30分、绩效结果应用得分10分、自评质量得分10分。绩效自评报告详见附件。</w:t>
      </w: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keepNext w:val="0"/>
        <w:keepLines w:val="0"/>
        <w:pageBreakBefore w:val="0"/>
        <w:widowControl w:val="0"/>
        <w:numPr>
          <w:ilvl w:val="0"/>
          <w:numId w:val="3"/>
        </w:numPr>
        <w:shd w:val="clear"/>
        <w:kinsoku/>
        <w:wordWrap/>
        <w:overflowPunct/>
        <w:topLinePunct w:val="0"/>
        <w:bidi w:val="0"/>
        <w:snapToGrid/>
        <w:spacing w:line="590" w:lineRule="exact"/>
        <w:ind w:firstLine="660" w:firstLineChars="150"/>
        <w:jc w:val="center"/>
        <w:textAlignment w:val="auto"/>
        <w:outlineLvl w:val="0"/>
        <w:rPr>
          <w:rStyle w:val="19"/>
          <w:rFonts w:ascii="黑体" w:hAnsi="黑体" w:eastAsia="黑体"/>
          <w:b w:val="0"/>
          <w:color w:val="auto"/>
          <w:highlight w:val="none"/>
        </w:rPr>
      </w:pPr>
      <w:bookmarkStart w:id="70" w:name="_Toc15377225"/>
      <w:bookmarkStart w:id="71" w:name="_Toc16834"/>
      <w:bookmarkStart w:id="72" w:name="_Toc15396613"/>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70"/>
      <w:bookmarkEnd w:id="71"/>
      <w:bookmarkEnd w:id="72"/>
    </w:p>
    <w:p>
      <w:pPr>
        <w:keepNext w:val="0"/>
        <w:keepLines w:val="0"/>
        <w:pageBreakBefore w:val="0"/>
        <w:widowControl w:val="0"/>
        <w:shd w:val="clear"/>
        <w:kinsoku/>
        <w:wordWrap/>
        <w:overflowPunct/>
        <w:topLinePunct w:val="0"/>
        <w:bidi w:val="0"/>
        <w:snapToGrid/>
        <w:spacing w:line="590" w:lineRule="exact"/>
        <w:jc w:val="left"/>
        <w:textAlignment w:val="auto"/>
        <w:rPr>
          <w:rFonts w:ascii="宋体"/>
          <w:b/>
          <w:color w:val="auto"/>
          <w:sz w:val="44"/>
          <w:szCs w:val="44"/>
          <w:highlight w:val="none"/>
        </w:rPr>
      </w:pP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outlineLvl w:val="1"/>
        <w:rPr>
          <w:rFonts w:ascii="仿宋_GB2312" w:eastAsia="仿宋_GB2312"/>
          <w:color w:val="auto"/>
          <w:sz w:val="32"/>
          <w:szCs w:val="32"/>
          <w:highlight w:val="none"/>
        </w:rPr>
      </w:pPr>
      <w:bookmarkStart w:id="73" w:name="_Toc23405"/>
      <w:r>
        <w:rPr>
          <w:rFonts w:hint="eastAsia" w:ascii="仿宋_GB2312" w:eastAsia="仿宋_GB2312"/>
          <w:color w:val="auto"/>
          <w:sz w:val="32"/>
          <w:szCs w:val="32"/>
          <w:highlight w:val="none"/>
        </w:rPr>
        <w:t>财政拨款收入：指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从同级财政部门取得的财政预算资金。</w:t>
      </w:r>
      <w:bookmarkEnd w:id="73"/>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取得的除上述收入以外的各项收入。主要是</w:t>
      </w:r>
      <w:r>
        <w:rPr>
          <w:rFonts w:hint="eastAsia" w:ascii="仿宋_GB2312" w:eastAsia="仿宋_GB2312"/>
          <w:color w:val="auto"/>
          <w:sz w:val="32"/>
          <w:szCs w:val="32"/>
          <w:highlight w:val="none"/>
          <w:lang w:eastAsia="zh-CN"/>
        </w:rPr>
        <w:t>土地房屋征收拆迁中心转来棚改经费、市直机关工委转来党建阵地建设经费</w:t>
      </w:r>
      <w:r>
        <w:rPr>
          <w:rFonts w:hint="eastAsia" w:ascii="仿宋_GB2312" w:eastAsia="仿宋_GB2312"/>
          <w:color w:val="auto"/>
          <w:sz w:val="32"/>
          <w:szCs w:val="32"/>
          <w:highlight w:val="none"/>
        </w:rPr>
        <w:t>等。</w:t>
      </w: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使用非财政拨款结余</w:t>
      </w:r>
      <w:r>
        <w:rPr>
          <w:rFonts w:hint="eastAsia" w:ascii="仿宋_GB2312" w:eastAsia="仿宋_GB2312"/>
          <w:color w:val="auto"/>
          <w:sz w:val="32"/>
          <w:szCs w:val="32"/>
          <w:highlight w:val="none"/>
          <w:lang w:eastAsia="zh-CN"/>
        </w:rPr>
        <w:t>：指事业单位使用以前年度积累的非财政拨款结余弥补当年收支差额的金额。</w:t>
      </w: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按有关规定结转到下年或以后年度继续使用的资金。</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一般公共服务（类）商贸事务（款）招商引资（项）：反映用于招商引资、优化经济环境等方面的支出。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hAnsi="仿宋_GB2312" w:eastAsia="仿宋_GB2312" w:cs="仿宋_GB2312"/>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rPr>
        <w:t>教育（类）</w:t>
      </w:r>
      <w:r>
        <w:rPr>
          <w:rStyle w:val="17"/>
          <w:rFonts w:hint="eastAsia" w:ascii="仿宋_GB2312" w:hAnsi="仿宋_GB2312" w:eastAsia="仿宋_GB2312" w:cs="仿宋_GB2312"/>
          <w:b w:val="0"/>
          <w:bCs w:val="0"/>
          <w:color w:val="auto"/>
          <w:sz w:val="32"/>
          <w:szCs w:val="32"/>
          <w:highlight w:val="none"/>
          <w:lang w:eastAsia="zh-CN"/>
        </w:rPr>
        <w:t>进修及培训</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培训支出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反映各部门安排的用于培训的支出。教育部门的师资培训，党校、行政学院等专业干部教育机构的支出，以及退役士兵、转业军官的培训支出，不在本科目反映。</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s="仿宋_GB2312"/>
          <w:color w:val="auto"/>
          <w:sz w:val="32"/>
          <w:szCs w:val="32"/>
          <w:highlight w:val="none"/>
        </w:rPr>
        <w:t>科学技术（类）技术研究与开发（款）科技成果转化与扩散（项）：反映</w:t>
      </w:r>
      <w:r>
        <w:rPr>
          <w:rFonts w:hint="eastAsia" w:ascii="仿宋_GB2312" w:eastAsia="仿宋_GB2312" w:cs="仿宋_GB2312"/>
          <w:color w:val="auto"/>
          <w:sz w:val="32"/>
          <w:szCs w:val="32"/>
          <w:highlight w:val="none"/>
          <w:lang w:eastAsia="zh-CN"/>
        </w:rPr>
        <w:t>促进科技成果转化为现实生产力的应用、推广和引导性</w:t>
      </w:r>
      <w:r>
        <w:rPr>
          <w:rFonts w:hint="eastAsia" w:ascii="仿宋_GB2312" w:eastAsia="仿宋_GB2312" w:cs="仿宋_GB2312"/>
          <w:color w:val="auto"/>
          <w:sz w:val="32"/>
          <w:szCs w:val="32"/>
          <w:highlight w:val="none"/>
        </w:rPr>
        <w:t>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Style w:val="17"/>
          <w:rFonts w:hint="eastAsia" w:ascii="仿宋_GB2312" w:eastAsia="仿宋_GB2312" w:cs="仿宋_GB2312"/>
          <w:b w:val="0"/>
          <w:bCs w:val="0"/>
          <w:color w:val="auto"/>
          <w:sz w:val="32"/>
          <w:szCs w:val="32"/>
          <w:highlight w:val="none"/>
        </w:rPr>
        <w:t>社会保障和就业（类）行政事业单位养老支出（款）机关事业单位基本养老保险缴费支出（项）</w:t>
      </w:r>
      <w:r>
        <w:rPr>
          <w:rFonts w:hint="eastAsia" w:ascii="仿宋_GB2312" w:eastAsia="仿宋_GB2312" w:cs="仿宋_GB2312"/>
          <w:color w:val="auto"/>
          <w:sz w:val="32"/>
          <w:szCs w:val="32"/>
          <w:highlight w:val="none"/>
        </w:rPr>
        <w:t>：指反映机关事业单位实施养老保险制度由单位缴纳的基本养老保险支出。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社会保障和就业（类）行政事业单位养老支出（款）机关事业单位职业年金缴费支出（项）</w:t>
      </w:r>
      <w:r>
        <w:rPr>
          <w:rFonts w:hint="eastAsia" w:ascii="仿宋_GB2312" w:eastAsia="仿宋_GB2312" w:cs="仿宋_GB2312"/>
          <w:color w:val="auto"/>
          <w:sz w:val="32"/>
          <w:szCs w:val="32"/>
          <w:highlight w:val="none"/>
        </w:rPr>
        <w:t>：指反映机关事业单位实施养老保险制度由单位缴纳的</w:t>
      </w:r>
      <w:r>
        <w:rPr>
          <w:rFonts w:hint="eastAsia" w:ascii="仿宋_GB2312" w:eastAsia="仿宋_GB2312" w:cs="仿宋_GB2312"/>
          <w:color w:val="auto"/>
          <w:sz w:val="32"/>
          <w:szCs w:val="32"/>
          <w:highlight w:val="none"/>
          <w:lang w:eastAsia="zh-CN"/>
        </w:rPr>
        <w:t>职业年金</w:t>
      </w:r>
      <w:r>
        <w:rPr>
          <w:rFonts w:hint="eastAsia" w:ascii="仿宋_GB2312" w:eastAsia="仿宋_GB2312" w:cs="仿宋_GB2312"/>
          <w:color w:val="auto"/>
          <w:sz w:val="32"/>
          <w:szCs w:val="32"/>
          <w:highlight w:val="none"/>
        </w:rPr>
        <w:t>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社会保障和就业（类）抚恤（款）死亡抚恤（项）</w:t>
      </w:r>
      <w:r>
        <w:rPr>
          <w:rFonts w:hint="eastAsia" w:ascii="仿宋_GB2312" w:eastAsia="仿宋_GB2312" w:cs="仿宋_GB2312"/>
          <w:color w:val="auto"/>
          <w:sz w:val="32"/>
          <w:szCs w:val="32"/>
          <w:highlight w:val="none"/>
        </w:rPr>
        <w:t>：反映</w:t>
      </w:r>
      <w:r>
        <w:rPr>
          <w:rFonts w:hint="eastAsia" w:ascii="仿宋_GB2312" w:eastAsia="仿宋_GB2312" w:cs="仿宋_GB2312"/>
          <w:color w:val="auto"/>
          <w:sz w:val="32"/>
          <w:szCs w:val="32"/>
          <w:highlight w:val="none"/>
          <w:lang w:eastAsia="zh-CN"/>
        </w:rPr>
        <w:t>按规定用于烈士和牺牲、病故人员家属的一次性和定期抚恤金以及丧葬补助费</w:t>
      </w:r>
      <w:r>
        <w:rPr>
          <w:rFonts w:hint="eastAsia" w:ascii="仿宋_GB2312" w:eastAsia="仿宋_GB2312" w:cs="仿宋_GB2312"/>
          <w:color w:val="auto"/>
          <w:sz w:val="32"/>
          <w:szCs w:val="32"/>
          <w:highlight w:val="none"/>
        </w:rPr>
        <w:t>。</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社会保障和就业（类）其他社会保障和就业支出（款）其他社会保障和就业支出（项）：反映除上述项目以外其他用于社会保障和就业方面的支出。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s="仿宋_GB2312"/>
          <w:color w:val="auto"/>
          <w:sz w:val="32"/>
          <w:szCs w:val="32"/>
          <w:highlight w:val="none"/>
        </w:rPr>
      </w:pPr>
      <w:r>
        <w:rPr>
          <w:rStyle w:val="17"/>
          <w:rFonts w:hint="eastAsia" w:ascii="仿宋_GB2312" w:eastAsia="仿宋_GB2312" w:cs="仿宋_GB2312"/>
          <w:b w:val="0"/>
          <w:bCs w:val="0"/>
          <w:color w:val="auto"/>
          <w:sz w:val="32"/>
          <w:szCs w:val="32"/>
          <w:highlight w:val="none"/>
        </w:rPr>
        <w:t>卫生健康（类）行政事业单位医疗（款）</w:t>
      </w:r>
      <w:r>
        <w:rPr>
          <w:rStyle w:val="17"/>
          <w:rFonts w:hint="eastAsia" w:ascii="仿宋_GB2312" w:eastAsia="仿宋_GB2312" w:cs="仿宋_GB2312"/>
          <w:b w:val="0"/>
          <w:bCs w:val="0"/>
          <w:color w:val="auto"/>
          <w:sz w:val="32"/>
          <w:szCs w:val="32"/>
          <w:highlight w:val="none"/>
          <w:lang w:eastAsia="zh-CN"/>
        </w:rPr>
        <w:t>行政</w:t>
      </w:r>
      <w:r>
        <w:rPr>
          <w:rStyle w:val="17"/>
          <w:rFonts w:hint="eastAsia" w:ascii="仿宋_GB2312" w:eastAsia="仿宋_GB2312" w:cs="仿宋_GB2312"/>
          <w:b w:val="0"/>
          <w:bCs w:val="0"/>
          <w:color w:val="auto"/>
          <w:sz w:val="32"/>
          <w:szCs w:val="32"/>
          <w:highlight w:val="none"/>
        </w:rPr>
        <w:t>单位医疗（项）</w:t>
      </w:r>
      <w:r>
        <w:rPr>
          <w:rFonts w:hint="eastAsia" w:ascii="仿宋_GB2312" w:eastAsia="仿宋_GB2312" w:cs="仿宋_GB2312"/>
          <w:color w:val="auto"/>
          <w:sz w:val="32"/>
          <w:szCs w:val="32"/>
          <w:highlight w:val="none"/>
        </w:rPr>
        <w:t>：指反映财政部门集中安排的</w:t>
      </w:r>
      <w:r>
        <w:rPr>
          <w:rFonts w:hint="eastAsia" w:ascii="仿宋_GB2312" w:eastAsia="仿宋_GB2312" w:cs="仿宋_GB2312"/>
          <w:color w:val="auto"/>
          <w:sz w:val="32"/>
          <w:szCs w:val="32"/>
          <w:highlight w:val="none"/>
          <w:lang w:eastAsia="zh-CN"/>
        </w:rPr>
        <w:t>行政</w:t>
      </w:r>
      <w:r>
        <w:rPr>
          <w:rFonts w:hint="eastAsia" w:ascii="仿宋_GB2312" w:eastAsia="仿宋_GB2312" w:cs="仿宋_GB2312"/>
          <w:color w:val="auto"/>
          <w:sz w:val="32"/>
          <w:szCs w:val="32"/>
          <w:highlight w:val="none"/>
        </w:rPr>
        <w:t>单位基本医疗保险缴费经费。</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Style w:val="17"/>
          <w:rFonts w:hint="eastAsia" w:ascii="仿宋_GB2312" w:eastAsia="仿宋_GB2312" w:cs="仿宋_GB2312"/>
          <w:b w:val="0"/>
          <w:bCs w:val="0"/>
          <w:color w:val="auto"/>
          <w:sz w:val="32"/>
          <w:szCs w:val="32"/>
          <w:highlight w:val="none"/>
        </w:rPr>
        <w:t>卫生健康（类）行政事业单位医疗（款）事业单位医疗（项）</w:t>
      </w:r>
      <w:r>
        <w:rPr>
          <w:rFonts w:hint="eastAsia" w:ascii="仿宋_GB2312" w:eastAsia="仿宋_GB2312" w:cs="仿宋_GB2312"/>
          <w:color w:val="auto"/>
          <w:sz w:val="32"/>
          <w:szCs w:val="32"/>
          <w:highlight w:val="none"/>
        </w:rPr>
        <w:t>：指反映财政部门集中安排的事业单位基本医疗保险缴费经费，未参加医疗保险的事业单位的公费医疗经费，按国家规定享受离休人员待遇的医疗经费。</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hint="eastAsia" w:ascii="仿宋_GB2312" w:eastAsia="仿宋_GB2312" w:cs="仿宋_GB2312"/>
          <w:b w:val="0"/>
          <w:bCs w:val="0"/>
          <w:color w:val="auto"/>
          <w:sz w:val="32"/>
          <w:szCs w:val="32"/>
          <w:highlight w:val="none"/>
          <w:lang w:eastAsia="zh-CN"/>
        </w:rPr>
      </w:pPr>
      <w:r>
        <w:rPr>
          <w:rStyle w:val="17"/>
          <w:rFonts w:hint="eastAsia" w:ascii="仿宋_GB2312" w:eastAsia="仿宋_GB2312" w:cs="仿宋_GB2312"/>
          <w:b w:val="0"/>
          <w:bCs w:val="0"/>
          <w:color w:val="auto"/>
          <w:sz w:val="32"/>
          <w:szCs w:val="32"/>
          <w:highlight w:val="none"/>
        </w:rPr>
        <w:t>节能环保（类）</w:t>
      </w:r>
      <w:r>
        <w:rPr>
          <w:rStyle w:val="17"/>
          <w:rFonts w:hint="eastAsia" w:ascii="仿宋_GB2312" w:eastAsia="仿宋_GB2312" w:cs="仿宋_GB2312"/>
          <w:b w:val="0"/>
          <w:bCs w:val="0"/>
          <w:color w:val="auto"/>
          <w:sz w:val="32"/>
          <w:szCs w:val="32"/>
          <w:highlight w:val="none"/>
          <w:lang w:eastAsia="zh-CN"/>
        </w:rPr>
        <w:t>污染防治</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水体</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反映政府在排水、污水处理、水污染防治、湖库生态环境保护、水源地保护、国土江河综合整治、河流治理与保护、地下水修复与保护等方面的支出。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城乡社区（类）城乡社区管理事务（款）行政运行（项）：指反映城乡社区管理</w:t>
      </w:r>
      <w:r>
        <w:rPr>
          <w:rStyle w:val="17"/>
          <w:rFonts w:hint="eastAsia" w:ascii="仿宋_GB2312" w:eastAsia="仿宋_GB2312" w:cs="仿宋_GB2312"/>
          <w:b w:val="0"/>
          <w:bCs w:val="0"/>
          <w:color w:val="auto"/>
          <w:sz w:val="32"/>
          <w:szCs w:val="32"/>
          <w:highlight w:val="none"/>
          <w:lang w:eastAsia="zh-CN"/>
        </w:rPr>
        <w:t>事务</w:t>
      </w:r>
      <w:r>
        <w:rPr>
          <w:rStyle w:val="17"/>
          <w:rFonts w:hint="eastAsia" w:ascii="仿宋_GB2312" w:eastAsia="仿宋_GB2312" w:cs="仿宋_GB2312"/>
          <w:b w:val="0"/>
          <w:bCs w:val="0"/>
          <w:color w:val="auto"/>
          <w:sz w:val="32"/>
          <w:szCs w:val="32"/>
          <w:highlight w:val="none"/>
        </w:rPr>
        <w:t>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cs="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w:t>
      </w:r>
      <w:r>
        <w:rPr>
          <w:rStyle w:val="17"/>
          <w:rFonts w:hint="eastAsia" w:ascii="仿宋_GB2312" w:eastAsia="仿宋_GB2312" w:cs="仿宋_GB2312"/>
          <w:b w:val="0"/>
          <w:bCs w:val="0"/>
          <w:color w:val="auto"/>
          <w:sz w:val="32"/>
          <w:szCs w:val="32"/>
          <w:highlight w:val="none"/>
          <w:lang w:eastAsia="zh-CN"/>
        </w:rPr>
        <w:t>一般行政管理事务</w:t>
      </w:r>
      <w:r>
        <w:rPr>
          <w:rStyle w:val="17"/>
          <w:rFonts w:hint="eastAsia" w:ascii="仿宋_GB2312" w:eastAsia="仿宋_GB2312" w:cs="仿宋_GB2312"/>
          <w:b w:val="0"/>
          <w:bCs w:val="0"/>
          <w:color w:val="auto"/>
          <w:sz w:val="32"/>
          <w:szCs w:val="32"/>
          <w:highlight w:val="none"/>
        </w:rPr>
        <w:t>（项）：指反映</w:t>
      </w:r>
      <w:r>
        <w:rPr>
          <w:rStyle w:val="17"/>
          <w:rFonts w:hint="eastAsia" w:ascii="仿宋_GB2312" w:eastAsia="仿宋_GB2312" w:cs="仿宋_GB2312"/>
          <w:b w:val="0"/>
          <w:bCs w:val="0"/>
          <w:color w:val="auto"/>
          <w:sz w:val="32"/>
          <w:szCs w:val="32"/>
          <w:highlight w:val="none"/>
          <w:lang w:eastAsia="zh-CN"/>
        </w:rPr>
        <w:t>行政单位未单独设置项级科目的其他项目支出</w:t>
      </w:r>
      <w:r>
        <w:rPr>
          <w:rStyle w:val="17"/>
          <w:rFonts w:hint="eastAsia" w:ascii="仿宋_GB2312" w:eastAsia="仿宋_GB2312" w:cs="仿宋_GB2312"/>
          <w:b w:val="0"/>
          <w:bCs w:val="0"/>
          <w:color w:val="auto"/>
          <w:sz w:val="32"/>
          <w:szCs w:val="32"/>
          <w:highlight w:val="none"/>
        </w:rPr>
        <w:t>。</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城乡社区（类）城乡社区管理事务（款）工程建设标准规范编制与监管（项）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w:t>
      </w:r>
      <w:r>
        <w:rPr>
          <w:rStyle w:val="17"/>
          <w:rFonts w:hint="eastAsia" w:ascii="仿宋_GB2312" w:eastAsia="仿宋_GB2312" w:cs="仿宋_GB2312"/>
          <w:b w:val="0"/>
          <w:bCs w:val="0"/>
          <w:color w:val="auto"/>
          <w:sz w:val="32"/>
          <w:szCs w:val="32"/>
          <w:highlight w:val="none"/>
          <w:lang w:eastAsia="zh-CN"/>
        </w:rPr>
        <w:t>拟定工程建设国家标准和部管行业标准、监督指导各类工程建设标准定额的实施、管理工程造价</w:t>
      </w:r>
      <w:r>
        <w:rPr>
          <w:rStyle w:val="17"/>
          <w:rFonts w:hint="eastAsia" w:ascii="仿宋_GB2312" w:eastAsia="仿宋_GB2312" w:cs="仿宋_GB2312"/>
          <w:b w:val="0"/>
          <w:bCs w:val="0"/>
          <w:color w:val="auto"/>
          <w:sz w:val="32"/>
          <w:szCs w:val="32"/>
          <w:highlight w:val="none"/>
        </w:rPr>
        <w:t>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工程建设管理（项）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指反映调控建设市场运行、拟定建设市场法规、实施建筑工程质量、安全、工程勘察设计监管等方面的支出。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住宅建设与房地产市场监管（项）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指反映调控房地产市场运行、研究拟定城镇住房制度改革法规、对住房公积金和其他房改资金进行政策指导并监督使用等方面的支出。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其他城乡社区管理事务支出（项）：指反映除上述项目以外的其他用于城乡社区管理</w:t>
      </w:r>
      <w:r>
        <w:rPr>
          <w:rStyle w:val="17"/>
          <w:rFonts w:hint="eastAsia" w:ascii="仿宋_GB2312" w:eastAsia="仿宋_GB2312" w:cs="仿宋_GB2312"/>
          <w:b w:val="0"/>
          <w:bCs w:val="0"/>
          <w:color w:val="auto"/>
          <w:sz w:val="32"/>
          <w:szCs w:val="32"/>
          <w:highlight w:val="none"/>
          <w:lang w:eastAsia="zh-CN"/>
        </w:rPr>
        <w:t>事务</w:t>
      </w:r>
      <w:r>
        <w:rPr>
          <w:rStyle w:val="17"/>
          <w:rFonts w:hint="eastAsia" w:ascii="仿宋_GB2312" w:eastAsia="仿宋_GB2312" w:cs="仿宋_GB2312"/>
          <w:b w:val="0"/>
          <w:bCs w:val="0"/>
          <w:color w:val="auto"/>
          <w:sz w:val="32"/>
          <w:szCs w:val="32"/>
          <w:highlight w:val="none"/>
        </w:rPr>
        <w:t>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城乡社区（类）城乡社区公共设施（款</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其他城乡社区公共设施支出（项）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指反映除一般城乡社区公共设施支出以外的其他方面的支出。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s="仿宋_GB2312"/>
          <w:color w:val="auto"/>
          <w:sz w:val="32"/>
          <w:szCs w:val="32"/>
          <w:highlight w:val="none"/>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城乡社区环境卫生</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）城乡社区环境卫生</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w:t>
      </w:r>
      <w:r>
        <w:rPr>
          <w:rStyle w:val="17"/>
          <w:rFonts w:hint="eastAsia" w:ascii="仿宋_GB2312" w:eastAsia="仿宋_GB2312" w:cs="仿宋_GB2312"/>
          <w:b w:val="0"/>
          <w:bCs w:val="0"/>
          <w:color w:val="auto"/>
          <w:sz w:val="32"/>
          <w:szCs w:val="32"/>
          <w:highlight w:val="none"/>
          <w:lang w:eastAsia="zh-CN"/>
        </w:rPr>
        <w:t>城乡社区道路清扫、垃圾清运与处理、公厕建设与维护、园林绿化等方面的</w:t>
      </w:r>
      <w:r>
        <w:rPr>
          <w:rStyle w:val="17"/>
          <w:rFonts w:hint="eastAsia" w:ascii="仿宋_GB2312" w:eastAsia="仿宋_GB2312" w:cs="仿宋_GB2312"/>
          <w:b w:val="0"/>
          <w:bCs w:val="0"/>
          <w:color w:val="auto"/>
          <w:sz w:val="32"/>
          <w:szCs w:val="32"/>
          <w:highlight w:val="none"/>
        </w:rPr>
        <w:t>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hint="eastAsia" w:ascii="仿宋_GB2312" w:eastAsia="仿宋_GB2312" w:cs="仿宋_GB2312"/>
          <w:b w:val="0"/>
          <w:bCs w:val="0"/>
          <w:color w:val="auto"/>
          <w:sz w:val="32"/>
          <w:szCs w:val="32"/>
          <w:highlight w:val="none"/>
          <w:lang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国有土地使用权出让收入安排的支出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）城市建设支出</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：反映土地出让收入用于完善国有土地使用功能的配套设施建设和城市基础设施建设支出。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hint="default" w:ascii="仿宋_GB2312" w:eastAsia="仿宋_GB2312" w:cs="仿宋_GB2312"/>
          <w:b w:val="0"/>
          <w:bCs w:val="0"/>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国有土地使用权出让收入安排的支出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）农村基础设施建设支出</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：反映土地出让收入用于农村供水保障、村庄公共设施建设和管护以及农业农村直接相关的以工代赈等方面的支出。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国有土地使用权出让收入安排的支出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）其他国有土地使用权出让收入安排的支出</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：反映土地出让收入用于其他方面的支出。不包括市县级政府当年按规定用土地出让收入向中央和省级政府缴纳的新增建设用地土地有偿使用费的支出。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城市基础设施配套费安排的支出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）城市公共设施</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：反映城市基础设施配套费安排用于城市道路、桥涵、公共交通、道路照明、供排水、燃气、供热等公共设施维护、建设和管理方面的支出。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城市基础设施配套费安排的支出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）城市环境卫生</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：反映城市基础设施配套费安排用于道路清扫、垃圾清运与处理、污水处理、园林绿化等方面的支出。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其他城乡社区支出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）其他城乡社区支出</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：反映除上述项目以外的其他用于城乡社区方面的支出。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Style w:val="17"/>
          <w:rFonts w:hint="eastAsia" w:ascii="仿宋_GB2312" w:eastAsia="仿宋_GB2312" w:cs="仿宋_GB2312"/>
          <w:b w:val="0"/>
          <w:bCs w:val="0"/>
          <w:color w:val="auto"/>
          <w:sz w:val="32"/>
          <w:szCs w:val="32"/>
          <w:highlight w:val="none"/>
        </w:rPr>
        <w:t>住房保障（类）保障性安居工程支出（款）棚户区改造（项）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指反映用于棚户区改造方面的支出。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s="仿宋_GB2312"/>
          <w:color w:val="auto"/>
          <w:sz w:val="32"/>
          <w:szCs w:val="32"/>
          <w:highlight w:val="none"/>
        </w:rPr>
      </w:pPr>
      <w:r>
        <w:rPr>
          <w:rStyle w:val="17"/>
          <w:rFonts w:hint="eastAsia" w:ascii="仿宋_GB2312" w:eastAsia="仿宋_GB2312" w:cs="仿宋_GB2312"/>
          <w:b w:val="0"/>
          <w:bCs w:val="0"/>
          <w:color w:val="auto"/>
          <w:sz w:val="32"/>
          <w:szCs w:val="32"/>
          <w:highlight w:val="none"/>
        </w:rPr>
        <w:t>住房保障（类）</w:t>
      </w:r>
      <w:r>
        <w:rPr>
          <w:rStyle w:val="17"/>
          <w:rFonts w:hint="eastAsia" w:ascii="仿宋_GB2312" w:eastAsia="仿宋_GB2312" w:cs="仿宋_GB2312"/>
          <w:b w:val="0"/>
          <w:bCs w:val="0"/>
          <w:color w:val="auto"/>
          <w:sz w:val="32"/>
          <w:szCs w:val="32"/>
          <w:highlight w:val="none"/>
          <w:lang w:eastAsia="zh-CN"/>
        </w:rPr>
        <w:t>保障性安居工程支出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公共租赁住房</w:t>
      </w:r>
      <w:r>
        <w:rPr>
          <w:rStyle w:val="17"/>
          <w:rFonts w:hint="eastAsia" w:ascii="仿宋_GB2312" w:eastAsia="仿宋_GB2312" w:cs="仿宋_GB2312"/>
          <w:b w:val="0"/>
          <w:bCs w:val="0"/>
          <w:color w:val="auto"/>
          <w:sz w:val="32"/>
          <w:szCs w:val="32"/>
          <w:highlight w:val="none"/>
        </w:rPr>
        <w:t>（项）</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反映用于新建、改建、购买、租赁、维护和管理公共租赁住房支出。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 w:hAnsi="仿宋" w:eastAsia="仿宋_GB2312" w:cs="仿宋"/>
          <w:color w:val="auto"/>
          <w:sz w:val="32"/>
          <w:szCs w:val="32"/>
          <w:highlight w:val="none"/>
          <w:lang w:eastAsia="zh-CN"/>
        </w:rPr>
      </w:pPr>
      <w:r>
        <w:rPr>
          <w:rStyle w:val="17"/>
          <w:rFonts w:hint="eastAsia" w:ascii="仿宋_GB2312" w:eastAsia="仿宋_GB2312" w:cs="仿宋_GB2312"/>
          <w:b w:val="0"/>
          <w:bCs w:val="0"/>
          <w:color w:val="auto"/>
          <w:sz w:val="32"/>
          <w:szCs w:val="32"/>
          <w:highlight w:val="none"/>
        </w:rPr>
        <w:t>住房保障（类）住房改革支出（款）住房公积金（项）</w:t>
      </w:r>
      <w:r>
        <w:rPr>
          <w:rFonts w:hint="eastAsia" w:ascii="仿宋_GB2312" w:eastAsia="仿宋_GB2312" w:cs="仿宋_GB2312"/>
          <w:color w:val="auto"/>
          <w:sz w:val="32"/>
          <w:szCs w:val="32"/>
          <w:highlight w:val="none"/>
        </w:rPr>
        <w:t>：反映行政事业单位按人力资源和社会保障部、财政部规定的基本工资和津贴补贴以及规定比例为职工缴纳住房公积金。</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灾害防治及应急管理（类）自然灾害防治（款）其他自然灾害防治支出（项）：反映其他用于自然灾害防治的支出。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灾害防治及应急管理（类）自然灾害救灾及恢复重建（款）自然灾害灾后重建补助（项）：反映政府预算安排用于自然灾害恢复重建的补助支出。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（类）</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（款）</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：反映除上述项目以外其他不能划分到具体功能科目中的支出项目。</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p>
    <w:p>
      <w:pPr>
        <w:pStyle w:val="29"/>
        <w:keepNext w:val="0"/>
        <w:keepLines w:val="0"/>
        <w:pageBreakBefore w:val="0"/>
        <w:widowControl w:val="0"/>
        <w:numPr>
          <w:ilvl w:val="0"/>
          <w:numId w:val="4"/>
        </w:numPr>
        <w:shd w:val="clear"/>
        <w:kinsoku/>
        <w:wordWrap/>
        <w:overflowPunct/>
        <w:topLinePunct w:val="0"/>
        <w:autoSpaceDE w:val="0"/>
        <w:autoSpaceDN w:val="0"/>
        <w:bidi w:val="0"/>
        <w:adjustRightInd w:val="0"/>
        <w:snapToGrid/>
        <w:spacing w:line="590" w:lineRule="exact"/>
        <w:ind w:left="0" w:leftChars="0" w:firstLine="686" w:firstLineChars="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jc w:val="both"/>
        <w:textAlignment w:val="auto"/>
        <w:rPr>
          <w:rFonts w:ascii="仿宋_GB2312" w:eastAsia="仿宋_GB2312" w:cs="黑体"/>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spacing w:line="600" w:lineRule="exact"/>
        <w:jc w:val="center"/>
        <w:outlineLvl w:val="9"/>
        <w:rPr>
          <w:rFonts w:hint="eastAsia" w:ascii="黑体" w:hAnsi="黑体" w:eastAsia="黑体"/>
          <w:color w:val="auto"/>
          <w:sz w:val="44"/>
          <w:szCs w:val="44"/>
          <w:highlight w:val="none"/>
        </w:rPr>
      </w:pPr>
      <w:bookmarkStart w:id="74" w:name="_Toc15396614"/>
      <w:bookmarkStart w:id="75" w:name="_Toc15377226"/>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color w:val="auto"/>
          <w:highlight w:val="none"/>
        </w:rPr>
      </w:pPr>
    </w:p>
    <w:p>
      <w:pPr>
        <w:pStyle w:val="9"/>
        <w:shd w:val="clear"/>
        <w:rPr>
          <w:rFonts w:hint="eastAsia" w:ascii="黑体" w:hAnsi="黑体" w:eastAsia="黑体"/>
          <w:color w:val="auto"/>
          <w:sz w:val="44"/>
          <w:szCs w:val="44"/>
          <w:highlight w:val="none"/>
        </w:rPr>
      </w:pPr>
    </w:p>
    <w:p>
      <w:pPr>
        <w:shd w:val="clear"/>
        <w:spacing w:line="600" w:lineRule="exact"/>
        <w:jc w:val="center"/>
        <w:outlineLvl w:val="0"/>
        <w:rPr>
          <w:rStyle w:val="19"/>
          <w:rFonts w:hint="eastAsia" w:ascii="黑体" w:hAnsi="黑体" w:eastAsia="黑体"/>
          <w:b w:val="0"/>
          <w:color w:val="auto"/>
          <w:highlight w:val="none"/>
          <w:lang w:eastAsia="zh-CN"/>
        </w:rPr>
      </w:pPr>
      <w:bookmarkStart w:id="76" w:name="_Toc15239"/>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四部分附件</w:t>
      </w:r>
      <w:bookmarkEnd w:id="74"/>
      <w:bookmarkEnd w:id="76"/>
    </w:p>
    <w:p>
      <w:pPr>
        <w:keepNext w:val="0"/>
        <w:keepLines w:val="0"/>
        <w:pageBreakBefore w:val="0"/>
        <w:widowControl/>
        <w:shd w:val="clear"/>
        <w:kinsoku/>
        <w:wordWrap/>
        <w:overflowPunct/>
        <w:topLinePunct w:val="0"/>
        <w:autoSpaceDE/>
        <w:autoSpaceDN/>
        <w:bidi w:val="0"/>
        <w:adjustRightInd w:val="0"/>
        <w:snapToGrid w:val="0"/>
        <w:spacing w:line="576" w:lineRule="exact"/>
        <w:contextualSpacing/>
        <w:jc w:val="left"/>
        <w:textAlignment w:val="auto"/>
        <w:outlineLvl w:val="1"/>
        <w:rPr>
          <w:rFonts w:hint="default" w:ascii="楷体_GB2312" w:hAnsi="楷体_GB2312" w:eastAsia="楷体_GB2312" w:cs="楷体_GB2312"/>
          <w:b w:val="0"/>
          <w:bCs w:val="0"/>
          <w:color w:val="auto"/>
          <w:kern w:val="0"/>
          <w:sz w:val="32"/>
          <w:szCs w:val="32"/>
          <w:highlight w:val="none"/>
          <w:shd w:val="clear" w:color="auto" w:fill="FFFFFF"/>
          <w:lang w:val="en-US" w:eastAsia="zh-CN"/>
        </w:rPr>
      </w:pPr>
      <w:bookmarkStart w:id="77" w:name="_Toc15004"/>
      <w:r>
        <w:rPr>
          <w:rFonts w:hint="eastAsia" w:ascii="楷体_GB2312" w:hAnsi="楷体_GB2312" w:eastAsia="楷体_GB2312" w:cs="楷体_GB2312"/>
          <w:b w:val="0"/>
          <w:bCs w:val="0"/>
          <w:color w:val="auto"/>
          <w:kern w:val="0"/>
          <w:sz w:val="32"/>
          <w:szCs w:val="32"/>
          <w:highlight w:val="none"/>
          <w:shd w:val="clear" w:color="auto" w:fill="FFFFFF"/>
          <w:lang w:val="zh-CN" w:eastAsia="zh-CN"/>
        </w:rPr>
        <w:t>附件</w:t>
      </w:r>
      <w:bookmarkEnd w:id="77"/>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lang w:eastAsia="zh-CN"/>
        </w:rPr>
      </w:pPr>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lang w:eastAsia="zh-CN"/>
        </w:rPr>
      </w:pPr>
      <w:bookmarkStart w:id="78" w:name="_Toc1239405358_WPSOffice_Level2"/>
      <w:bookmarkStart w:id="79" w:name="_Toc2044320350_WPSOffice_Level2"/>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广元市住房和城乡建设局</w:t>
      </w:r>
      <w:bookmarkEnd w:id="78"/>
      <w:bookmarkEnd w:id="79"/>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rPr>
      </w:pPr>
      <w:bookmarkStart w:id="80" w:name="_Toc204866950_WPSOffice_Level2"/>
      <w:bookmarkStart w:id="81" w:name="_Toc1952518833_WPSOffice_Level2"/>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关于报送</w:t>
      </w:r>
      <w:r>
        <w:rPr>
          <w:rFonts w:hint="eastAsia" w:ascii="方正小标宋简体" w:hAnsi="方正小标宋简体" w:eastAsia="方正小标宋简体" w:cs="方正小标宋简体"/>
          <w:b w:val="0"/>
          <w:bCs/>
          <w:color w:val="auto"/>
          <w:sz w:val="44"/>
          <w:szCs w:val="44"/>
          <w:highlight w:val="none"/>
          <w:shd w:val="clear" w:color="auto" w:fill="FFFFFF"/>
        </w:rPr>
        <w:t>20</w:t>
      </w: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color w:val="auto"/>
          <w:sz w:val="44"/>
          <w:szCs w:val="44"/>
          <w:highlight w:val="none"/>
          <w:shd w:val="clear" w:color="auto" w:fill="FFFFFF"/>
        </w:rPr>
        <w:t>年</w:t>
      </w: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市</w:t>
      </w:r>
      <w:r>
        <w:rPr>
          <w:rFonts w:hint="eastAsia" w:ascii="方正小标宋简体" w:hAnsi="方正小标宋简体" w:eastAsia="方正小标宋简体" w:cs="方正小标宋简体"/>
          <w:b w:val="0"/>
          <w:bCs/>
          <w:color w:val="auto"/>
          <w:sz w:val="44"/>
          <w:szCs w:val="44"/>
          <w:highlight w:val="none"/>
          <w:shd w:val="clear" w:color="auto" w:fill="FFFFFF"/>
        </w:rPr>
        <w:t>级部门整体支出绩效</w:t>
      </w:r>
      <w:bookmarkEnd w:id="80"/>
      <w:bookmarkEnd w:id="81"/>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ascii="宋体" w:hAnsi="宋体" w:eastAsia="宋体"/>
          <w:b/>
          <w:color w:val="auto"/>
          <w:sz w:val="32"/>
          <w:szCs w:val="32"/>
          <w:highlight w:val="none"/>
          <w:shd w:val="clear" w:color="auto" w:fill="FFFFFF"/>
        </w:rPr>
      </w:pPr>
      <w:bookmarkStart w:id="82" w:name="_Toc965086675_WPSOffice_Level2"/>
      <w:bookmarkStart w:id="83" w:name="_Toc861493894_WPSOffice_Level2"/>
      <w:r>
        <w:rPr>
          <w:rFonts w:hint="eastAsia" w:ascii="方正小标宋简体" w:hAnsi="方正小标宋简体" w:eastAsia="方正小标宋简体" w:cs="方正小标宋简体"/>
          <w:b w:val="0"/>
          <w:bCs/>
          <w:color w:val="auto"/>
          <w:sz w:val="44"/>
          <w:szCs w:val="44"/>
          <w:highlight w:val="none"/>
          <w:shd w:val="clear" w:color="auto" w:fill="FFFFFF"/>
        </w:rPr>
        <w:t>评价</w:t>
      </w:r>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报告</w:t>
      </w:r>
      <w:bookmarkEnd w:id="82"/>
      <w:bookmarkEnd w:id="83"/>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5"/>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84" w:name="_Toc832890894_WPSOffice_Level2"/>
      <w:bookmarkStart w:id="85" w:name="_Toc1248926605_WPSOffice_Level2"/>
      <w:bookmarkStart w:id="86" w:name="_Toc11045"/>
      <w:r>
        <w:rPr>
          <w:rFonts w:hint="eastAsia" w:ascii="黑体" w:hAnsi="宋体" w:eastAsia="黑体" w:cs="宋体"/>
          <w:color w:val="auto"/>
          <w:kern w:val="0"/>
          <w:sz w:val="32"/>
          <w:szCs w:val="32"/>
          <w:highlight w:val="none"/>
          <w:shd w:val="clear" w:color="auto" w:fill="FFFFFF"/>
          <w:lang w:val="zh-CN"/>
        </w:rPr>
        <w:t>部门基本情况</w:t>
      </w:r>
      <w:bookmarkEnd w:id="84"/>
      <w:bookmarkEnd w:id="85"/>
      <w:bookmarkEnd w:id="86"/>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（一）机构组成</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lang w:val="zh-CN"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市住房城乡建设局部门包括：局本级，内设18个科室，纳入局机关财务统管的非独立预算单位7个，包括市建设行业安全生产事务中心、市散装水泥事务中心、市城乡建设档案馆、市住房和城乡建设宣传信息中心、市建设工程造价与招投标事务中心、市城市供排水事务中心、市消防中心。6个局属独立预算事业单位，包括市住房中心、市城建中心、市建筑业中心、市照明中心、市绿化中心、市质安站。</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rPr>
        <w:t>（二）机构职能和人员概况</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4" w:firstLineChars="210"/>
        <w:jc w:val="both"/>
        <w:textAlignment w:val="auto"/>
        <w:outlineLvl w:val="2"/>
        <w:rPr>
          <w:rFonts w:hint="eastAsia" w:ascii="仿宋_GB2312" w:hAnsi="仿宋_GB2312" w:eastAsia="仿宋_GB2312" w:cs="仿宋_GB2312"/>
          <w:b/>
          <w:bCs/>
          <w:color w:val="auto"/>
          <w:sz w:val="32"/>
          <w:szCs w:val="32"/>
          <w:highlight w:val="none"/>
          <w:lang w:eastAsia="zh-CN"/>
        </w:rPr>
      </w:pPr>
      <w:bookmarkStart w:id="87" w:name="_Toc3784"/>
      <w:r>
        <w:rPr>
          <w:rFonts w:hint="eastAsia" w:hAnsi="仿宋_GB2312" w:cs="仿宋_GB2312"/>
          <w:b/>
          <w:bCs/>
          <w:color w:val="auto"/>
          <w:sz w:val="32"/>
          <w:szCs w:val="32"/>
          <w:highlight w:val="none"/>
          <w:lang w:val="en-US" w:eastAsia="zh-CN"/>
        </w:rPr>
        <w:t>1.</w:t>
      </w:r>
      <w:r>
        <w:rPr>
          <w:rFonts w:hint="eastAsia" w:hAnsi="仿宋_GB2312" w:cs="仿宋_GB2312"/>
          <w:b/>
          <w:bCs/>
          <w:color w:val="auto"/>
          <w:sz w:val="32"/>
          <w:szCs w:val="32"/>
          <w:highlight w:val="none"/>
          <w:lang w:eastAsia="zh-CN"/>
        </w:rPr>
        <w:t>机构职能</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贯彻执行国家住房和城乡建设的法律、法规和方针、政策。</w:t>
      </w:r>
      <w:bookmarkEnd w:id="87"/>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负责城市道路、桥梁、燃气、城市防洪设施、城市供排水设施、城市照明设施的建设和运行维护管理工作。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负责全市建筑行业管理。</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4</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指导和管理全市镇</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乡</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和村的建设工作。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研究拟订全市住房制度改革、保障性住房、棚户区改造相关政策。</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6</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负责勘察设计市场和行业管理。</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7</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负责组织实施房屋建筑、园林绿化和市政工程建设实施阶段的国家和省标准、全国统一定额和行业标准定额。</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8</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研究编制行业项目年度建设计划并监督实施，参与行业各类规划编制工作；拟订行业发展战略、投融资政策；承担市政基础设施重点建设项目的前期工作和后期评价工作；指导行业招商引资和对外经济技术合作及各类资金争取工作；统筹行业统计及预测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负责研究拟订全市房屋建筑、园林绿化和市政工程施工质量、安全生产、扬尘防治、建设工程监理、工程质量检测和鉴定行业的政策法规和规章制度并指导实施和监督执行。</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10</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负责全市城乡园林绿化工作。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11</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组织指导公园城市建设和园林城市系列创建工作。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12</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负责拟订有关行政审批规程细则。</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13</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承担市政府公布的有关行政审批事项。</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14</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承办市政府交办的其他事项。</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w:t>
      </w:r>
      <w:r>
        <w:rPr>
          <w:rFonts w:hint="eastAsia" w:ascii="仿宋_GB2312" w:hAnsi="仿宋_GB2312" w:eastAsia="仿宋_GB2312" w:cs="仿宋_GB2312"/>
          <w:b/>
          <w:bCs/>
          <w:color w:val="auto"/>
          <w:kern w:val="0"/>
          <w:sz w:val="32"/>
          <w:szCs w:val="32"/>
          <w:highlight w:val="none"/>
          <w:lang w:val="zh-CN" w:eastAsia="zh-CN" w:bidi="ar-SA"/>
        </w:rPr>
        <w:t>人员概况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Times New Roman" w:eastAsia="仿宋_GB2312" w:cs="仿宋_GB2312"/>
          <w:color w:val="auto"/>
          <w:kern w:val="0"/>
          <w:sz w:val="32"/>
          <w:szCs w:val="32"/>
          <w:highlight w:val="none"/>
          <w:lang w:val="zh-CN" w:bidi="ar-SA"/>
        </w:rPr>
      </w:pPr>
      <w:r>
        <w:rPr>
          <w:rFonts w:hint="eastAsia" w:ascii="仿宋_GB2312" w:hAnsi="Times New Roman" w:eastAsia="仿宋_GB2312" w:cs="仿宋_GB2312"/>
          <w:color w:val="auto"/>
          <w:kern w:val="0"/>
          <w:sz w:val="32"/>
          <w:szCs w:val="32"/>
          <w:highlight w:val="none"/>
          <w:lang w:bidi="ar-SA"/>
        </w:rPr>
        <w:t>截</w:t>
      </w:r>
      <w:r>
        <w:rPr>
          <w:rFonts w:hint="eastAsia" w:ascii="仿宋_GB2312" w:hAnsi="Times New Roman" w:eastAsia="仿宋_GB2312" w:cs="仿宋_GB2312"/>
          <w:color w:val="auto"/>
          <w:kern w:val="0"/>
          <w:sz w:val="32"/>
          <w:szCs w:val="32"/>
          <w:highlight w:val="none"/>
          <w:lang w:eastAsia="zh-CN" w:bidi="ar-SA"/>
        </w:rPr>
        <w:t>至</w:t>
      </w:r>
      <w:r>
        <w:rPr>
          <w:rFonts w:hint="eastAsia" w:ascii="仿宋_GB2312" w:hAnsi="Times New Roman" w:eastAsia="仿宋_GB2312" w:cs="仿宋_GB2312"/>
          <w:color w:val="auto"/>
          <w:kern w:val="0"/>
          <w:sz w:val="32"/>
          <w:szCs w:val="32"/>
          <w:highlight w:val="none"/>
          <w:lang w:val="en-US" w:eastAsia="zh-CN" w:bidi="ar-SA"/>
        </w:rPr>
        <w:t>2022</w:t>
      </w:r>
      <w:r>
        <w:rPr>
          <w:rFonts w:hint="eastAsia" w:ascii="仿宋_GB2312" w:hAnsi="Times New Roman" w:eastAsia="仿宋_GB2312" w:cs="仿宋_GB2312"/>
          <w:color w:val="auto"/>
          <w:kern w:val="0"/>
          <w:sz w:val="32"/>
          <w:szCs w:val="32"/>
          <w:highlight w:val="none"/>
          <w:lang w:bidi="ar-SA"/>
        </w:rPr>
        <w:t>年末，市住房城乡建设局部门编制人数</w:t>
      </w:r>
      <w:r>
        <w:rPr>
          <w:rFonts w:hint="eastAsia" w:ascii="仿宋_GB2312" w:hAnsi="Times New Roman" w:eastAsia="仿宋_GB2312" w:cs="仿宋_GB2312"/>
          <w:color w:val="auto"/>
          <w:kern w:val="0"/>
          <w:sz w:val="32"/>
          <w:szCs w:val="32"/>
          <w:highlight w:val="none"/>
          <w:lang w:val="en-US" w:eastAsia="zh-CN" w:bidi="ar-SA"/>
        </w:rPr>
        <w:t>271</w:t>
      </w:r>
      <w:r>
        <w:rPr>
          <w:rFonts w:hint="eastAsia" w:ascii="仿宋_GB2312" w:hAnsi="Times New Roman" w:eastAsia="仿宋_GB2312" w:cs="仿宋_GB2312"/>
          <w:color w:val="auto"/>
          <w:kern w:val="0"/>
          <w:sz w:val="32"/>
          <w:szCs w:val="32"/>
          <w:highlight w:val="none"/>
          <w:lang w:bidi="ar-SA"/>
        </w:rPr>
        <w:t>人，</w:t>
      </w:r>
      <w:r>
        <w:rPr>
          <w:rFonts w:hint="eastAsia" w:ascii="仿宋_GB2312" w:hAnsi="Times New Roman" w:eastAsia="仿宋_GB2312" w:cs="仿宋_GB2312"/>
          <w:color w:val="auto"/>
          <w:kern w:val="0"/>
          <w:sz w:val="32"/>
          <w:szCs w:val="32"/>
          <w:highlight w:val="none"/>
          <w:lang w:eastAsia="zh-CN" w:bidi="ar-SA"/>
        </w:rPr>
        <w:t>其中行政编</w:t>
      </w:r>
      <w:r>
        <w:rPr>
          <w:rFonts w:hint="eastAsia" w:ascii="仿宋_GB2312" w:hAnsi="Times New Roman" w:eastAsia="仿宋_GB2312" w:cs="仿宋_GB2312"/>
          <w:color w:val="auto"/>
          <w:kern w:val="0"/>
          <w:sz w:val="32"/>
          <w:szCs w:val="32"/>
          <w:highlight w:val="none"/>
          <w:lang w:val="en-US" w:eastAsia="zh-CN" w:bidi="ar-SA"/>
        </w:rPr>
        <w:t>38个，参公编8个，工勤编5个，其他事业编220个。年末</w:t>
      </w:r>
      <w:r>
        <w:rPr>
          <w:rFonts w:hint="eastAsia" w:ascii="仿宋_GB2312" w:hAnsi="Times New Roman" w:eastAsia="仿宋_GB2312" w:cs="仿宋_GB2312"/>
          <w:color w:val="auto"/>
          <w:kern w:val="0"/>
          <w:sz w:val="32"/>
          <w:szCs w:val="32"/>
          <w:highlight w:val="none"/>
          <w:lang w:bidi="ar-SA"/>
        </w:rPr>
        <w:t>实际在职人数</w:t>
      </w:r>
      <w:r>
        <w:rPr>
          <w:rFonts w:hint="eastAsia" w:ascii="仿宋_GB2312" w:hAnsi="Times New Roman" w:eastAsia="仿宋_GB2312" w:cs="仿宋_GB2312"/>
          <w:color w:val="auto"/>
          <w:kern w:val="0"/>
          <w:sz w:val="32"/>
          <w:szCs w:val="32"/>
          <w:highlight w:val="none"/>
          <w:lang w:val="en-US" w:eastAsia="zh-CN" w:bidi="ar-SA"/>
        </w:rPr>
        <w:t>253</w:t>
      </w:r>
      <w:r>
        <w:rPr>
          <w:rFonts w:hint="eastAsia" w:ascii="仿宋_GB2312" w:hAnsi="Times New Roman" w:eastAsia="仿宋_GB2312" w:cs="仿宋_GB2312"/>
          <w:color w:val="auto"/>
          <w:kern w:val="0"/>
          <w:sz w:val="32"/>
          <w:szCs w:val="32"/>
          <w:highlight w:val="none"/>
          <w:lang w:bidi="ar-SA"/>
        </w:rPr>
        <w:t>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rPr>
        <w:t>（三）年度主要工作任务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Times New Roman" w:eastAsia="仿宋_GB2312" w:cs="仿宋_GB2312"/>
          <w:color w:val="auto"/>
          <w:kern w:val="0"/>
          <w:sz w:val="32"/>
          <w:szCs w:val="32"/>
          <w:highlight w:val="none"/>
          <w:lang w:val="en-US" w:eastAsia="zh-CN" w:bidi="ar-SA"/>
        </w:rPr>
      </w:pPr>
      <w:r>
        <w:rPr>
          <w:rFonts w:hint="eastAsia" w:ascii="仿宋_GB2312" w:hAnsi="Times New Roman" w:eastAsia="仿宋_GB2312" w:cs="仿宋_GB2312"/>
          <w:color w:val="auto"/>
          <w:kern w:val="0"/>
          <w:sz w:val="32"/>
          <w:szCs w:val="32"/>
          <w:highlight w:val="none"/>
          <w:lang w:val="en-US" w:eastAsia="zh-CN" w:bidi="ar-SA"/>
        </w:rPr>
        <w:t>一年来，全市住建系统坚持以“项目攻坚年”为抓手，深入实施“旧城改造城市更新、城市园林美化提升、市政设施完善改进”三大行动，加快推进“十大重点工作”“十件民生实事”，住房城乡建设事业实现高质量发展。</w:t>
      </w:r>
      <w:r>
        <w:rPr>
          <w:rFonts w:hint="eastAsia" w:ascii="仿宋_GB2312" w:hAnsi="Times New Roman" w:eastAsia="仿宋_GB2312" w:cs="仿宋_GB2312"/>
          <w:b/>
          <w:bCs/>
          <w:color w:val="auto"/>
          <w:kern w:val="0"/>
          <w:sz w:val="32"/>
          <w:szCs w:val="32"/>
          <w:highlight w:val="none"/>
          <w:lang w:val="en-US" w:eastAsia="zh-CN" w:bidi="ar-SA"/>
        </w:rPr>
        <w:t>一是</w:t>
      </w:r>
      <w:r>
        <w:rPr>
          <w:rFonts w:hint="eastAsia" w:ascii="仿宋_GB2312" w:hAnsi="Times New Roman" w:eastAsia="仿宋_GB2312" w:cs="仿宋_GB2312"/>
          <w:color w:val="auto"/>
          <w:kern w:val="0"/>
          <w:sz w:val="32"/>
          <w:szCs w:val="32"/>
          <w:highlight w:val="none"/>
          <w:lang w:eastAsia="zh-CN" w:bidi="ar-SA"/>
        </w:rPr>
        <w:t>建立健全多层次住房供应体系。</w:t>
      </w:r>
      <w:r>
        <w:rPr>
          <w:rFonts w:hint="eastAsia" w:ascii="仿宋_GB2312" w:hAnsi="Times New Roman" w:eastAsia="仿宋_GB2312" w:cs="仿宋_GB2312"/>
          <w:color w:val="auto"/>
          <w:kern w:val="0"/>
          <w:sz w:val="32"/>
          <w:szCs w:val="32"/>
          <w:highlight w:val="none"/>
          <w:lang w:val="en-US" w:eastAsia="zh-CN" w:bidi="ar-SA"/>
        </w:rPr>
        <w:t>加快完善住房保障体系和住房市场体系，加强房地产市场监管，大力提升物业服务水平。</w:t>
      </w:r>
      <w:r>
        <w:rPr>
          <w:rFonts w:hint="eastAsia" w:ascii="仿宋_GB2312" w:hAnsi="Times New Roman" w:eastAsia="仿宋_GB2312" w:cs="仿宋_GB2312"/>
          <w:b/>
          <w:bCs/>
          <w:color w:val="auto"/>
          <w:kern w:val="0"/>
          <w:sz w:val="32"/>
          <w:szCs w:val="32"/>
          <w:highlight w:val="none"/>
          <w:lang w:val="en-US" w:eastAsia="zh-CN" w:bidi="ar-SA"/>
        </w:rPr>
        <w:t>二是</w:t>
      </w:r>
      <w:r>
        <w:rPr>
          <w:rFonts w:hint="eastAsia" w:ascii="仿宋_GB2312" w:hAnsi="Times New Roman" w:eastAsia="仿宋_GB2312" w:cs="仿宋_GB2312"/>
          <w:color w:val="auto"/>
          <w:kern w:val="0"/>
          <w:sz w:val="32"/>
          <w:szCs w:val="32"/>
          <w:highlight w:val="none"/>
          <w:lang w:val="en-US" w:eastAsia="zh-CN" w:bidi="ar-SA"/>
        </w:rPr>
        <w:t>深入实施旧城改造城市更新行动。</w:t>
      </w:r>
      <w:r>
        <w:rPr>
          <w:rFonts w:hint="eastAsia" w:ascii="仿宋_GB2312" w:hAnsi="Times New Roman" w:eastAsia="仿宋_GB2312" w:cs="仿宋_GB2312"/>
          <w:color w:val="auto"/>
          <w:kern w:val="0"/>
          <w:sz w:val="32"/>
          <w:szCs w:val="32"/>
          <w:highlight w:val="none"/>
          <w:lang w:eastAsia="zh-CN" w:bidi="ar-SA"/>
        </w:rPr>
        <w:t>加快推进</w:t>
      </w:r>
      <w:r>
        <w:rPr>
          <w:rFonts w:hint="eastAsia" w:ascii="仿宋_GB2312" w:hAnsi="Times New Roman" w:eastAsia="仿宋_GB2312" w:cs="仿宋_GB2312"/>
          <w:color w:val="auto"/>
          <w:kern w:val="0"/>
          <w:sz w:val="32"/>
          <w:szCs w:val="32"/>
          <w:highlight w:val="none"/>
          <w:lang w:val="en-US" w:eastAsia="zh-CN" w:bidi="ar-SA"/>
        </w:rPr>
        <w:t>“两江四岸”</w:t>
      </w:r>
      <w:r>
        <w:rPr>
          <w:rFonts w:hint="eastAsia" w:ascii="仿宋_GB2312" w:hAnsi="Times New Roman" w:eastAsia="仿宋_GB2312" w:cs="仿宋_GB2312"/>
          <w:color w:val="auto"/>
          <w:kern w:val="0"/>
          <w:sz w:val="32"/>
          <w:szCs w:val="32"/>
          <w:highlight w:val="none"/>
          <w:lang w:eastAsia="zh-CN" w:bidi="ar-SA"/>
        </w:rPr>
        <w:t>、利州区嘉陵片区老旧小区改造（旺旺公寓片区）、下西王家营片区城市有机更新、</w:t>
      </w:r>
      <w:r>
        <w:rPr>
          <w:rFonts w:hint="eastAsia" w:ascii="仿宋_GB2312" w:hAnsi="Times New Roman" w:eastAsia="仿宋_GB2312" w:cs="仿宋_GB2312"/>
          <w:color w:val="auto"/>
          <w:kern w:val="0"/>
          <w:sz w:val="32"/>
          <w:szCs w:val="32"/>
          <w:highlight w:val="none"/>
          <w:lang w:val="en-US" w:eastAsia="zh-CN" w:bidi="ar-SA"/>
        </w:rPr>
        <w:t>4个城市口袋公园改造升级等城市更新项目建设；高质量推进老旧小区改造、既有住宅增设电梯。</w:t>
      </w:r>
      <w:r>
        <w:rPr>
          <w:rFonts w:hint="eastAsia" w:ascii="仿宋_GB2312" w:hAnsi="Times New Roman" w:eastAsia="仿宋_GB2312" w:cs="仿宋_GB2312"/>
          <w:b/>
          <w:bCs/>
          <w:color w:val="auto"/>
          <w:kern w:val="0"/>
          <w:sz w:val="32"/>
          <w:szCs w:val="32"/>
          <w:highlight w:val="none"/>
          <w:lang w:val="en-US" w:eastAsia="zh-CN" w:bidi="ar-SA"/>
        </w:rPr>
        <w:t>三是</w:t>
      </w:r>
      <w:r>
        <w:rPr>
          <w:rFonts w:hint="eastAsia" w:ascii="仿宋_GB2312" w:hAnsi="Times New Roman" w:eastAsia="仿宋_GB2312" w:cs="仿宋_GB2312"/>
          <w:color w:val="auto"/>
          <w:kern w:val="0"/>
          <w:sz w:val="32"/>
          <w:szCs w:val="32"/>
          <w:highlight w:val="none"/>
          <w:lang w:val="en-US" w:eastAsia="zh-CN" w:bidi="ar-SA"/>
        </w:rPr>
        <w:t>深入实施市政设施完善改进行动，全面推进城市体检试点，加快建设海绵城市，不断提升市政基础设施服务水平。</w:t>
      </w:r>
      <w:r>
        <w:rPr>
          <w:rFonts w:hint="eastAsia" w:ascii="仿宋_GB2312" w:hAnsi="Times New Roman" w:eastAsia="仿宋_GB2312" w:cs="仿宋_GB2312"/>
          <w:b/>
          <w:bCs/>
          <w:color w:val="auto"/>
          <w:kern w:val="0"/>
          <w:sz w:val="32"/>
          <w:szCs w:val="32"/>
          <w:highlight w:val="none"/>
          <w:lang w:val="en-US" w:eastAsia="zh-CN" w:bidi="ar-SA"/>
        </w:rPr>
        <w:t>四是</w:t>
      </w:r>
      <w:r>
        <w:rPr>
          <w:rFonts w:hint="eastAsia" w:ascii="仿宋_GB2312" w:hAnsi="Times New Roman" w:eastAsia="仿宋_GB2312" w:cs="仿宋_GB2312"/>
          <w:color w:val="auto"/>
          <w:kern w:val="0"/>
          <w:sz w:val="32"/>
          <w:szCs w:val="32"/>
          <w:highlight w:val="none"/>
          <w:lang w:val="en-US" w:eastAsia="zh-CN" w:bidi="ar-SA"/>
        </w:rPr>
        <w:t>深入实施城市园林美化提升行动，完成城市高速出入口、雪峰樵歌公园等32个重要节点绿化改造，城市绿化品质不断提升。</w:t>
      </w:r>
      <w:r>
        <w:rPr>
          <w:rFonts w:hint="eastAsia" w:ascii="仿宋_GB2312" w:hAnsi="Times New Roman" w:eastAsia="仿宋_GB2312" w:cs="仿宋_GB2312"/>
          <w:b/>
          <w:bCs/>
          <w:color w:val="auto"/>
          <w:kern w:val="0"/>
          <w:sz w:val="32"/>
          <w:szCs w:val="32"/>
          <w:highlight w:val="none"/>
          <w:lang w:val="en-US" w:eastAsia="zh-CN" w:bidi="ar-SA"/>
        </w:rPr>
        <w:t>五是</w:t>
      </w:r>
      <w:r>
        <w:rPr>
          <w:rFonts w:hint="eastAsia" w:ascii="仿宋_GB2312" w:hAnsi="Times New Roman" w:eastAsia="仿宋_GB2312" w:cs="仿宋_GB2312"/>
          <w:color w:val="auto"/>
          <w:kern w:val="0"/>
          <w:sz w:val="32"/>
          <w:szCs w:val="32"/>
          <w:highlight w:val="none"/>
          <w:lang w:val="en-US" w:eastAsia="zh-CN" w:bidi="ar-SA"/>
        </w:rPr>
        <w:t>加快推进以人为核心的新型城镇化。</w:t>
      </w:r>
      <w:r>
        <w:rPr>
          <w:rFonts w:hint="eastAsia" w:ascii="仿宋_GB2312" w:hAnsi="Times New Roman" w:eastAsia="仿宋_GB2312" w:cs="仿宋_GB2312"/>
          <w:color w:val="auto"/>
          <w:kern w:val="0"/>
          <w:sz w:val="32"/>
          <w:szCs w:val="32"/>
          <w:highlight w:val="none"/>
          <w:lang w:eastAsia="zh-CN" w:bidi="ar-SA"/>
        </w:rPr>
        <w:t>提高县城综合承载能力，</w:t>
      </w:r>
      <w:r>
        <w:rPr>
          <w:rFonts w:hint="eastAsia" w:ascii="仿宋_GB2312" w:hAnsi="Times New Roman" w:eastAsia="仿宋_GB2312" w:cs="仿宋_GB2312"/>
          <w:color w:val="auto"/>
          <w:kern w:val="0"/>
          <w:sz w:val="32"/>
          <w:szCs w:val="32"/>
          <w:highlight w:val="none"/>
          <w:lang w:val="en-US" w:eastAsia="zh-CN" w:bidi="ar-SA"/>
        </w:rPr>
        <w:t>加快推动中心镇改革发展，持续巩固农村住房安全保障成效，加强历史乡土建筑和传统村落保护。</w:t>
      </w:r>
      <w:r>
        <w:rPr>
          <w:rFonts w:hint="eastAsia" w:ascii="仿宋_GB2312" w:hAnsi="Times New Roman" w:eastAsia="仿宋_GB2312" w:cs="仿宋_GB2312"/>
          <w:b/>
          <w:bCs/>
          <w:color w:val="auto"/>
          <w:kern w:val="0"/>
          <w:sz w:val="32"/>
          <w:szCs w:val="32"/>
          <w:highlight w:val="none"/>
          <w:lang w:val="en-US" w:eastAsia="zh-CN" w:bidi="ar-SA"/>
        </w:rPr>
        <w:t>六是</w:t>
      </w:r>
      <w:r>
        <w:rPr>
          <w:rFonts w:hint="eastAsia" w:ascii="仿宋_GB2312" w:hAnsi="Times New Roman" w:eastAsia="仿宋_GB2312" w:cs="仿宋_GB2312"/>
          <w:color w:val="auto"/>
          <w:kern w:val="0"/>
          <w:sz w:val="32"/>
          <w:szCs w:val="32"/>
          <w:highlight w:val="none"/>
          <w:lang w:val="en-US" w:eastAsia="zh-CN" w:bidi="ar-SA"/>
        </w:rPr>
        <w:t>持续推动建筑业转型发展。大力培育资质建筑业企业，认真落实装配式建筑三年行动计划，加强建筑市场管理，不断提高建筑工程质量水平。</w:t>
      </w:r>
      <w:r>
        <w:rPr>
          <w:rFonts w:hint="eastAsia" w:ascii="仿宋_GB2312" w:hAnsi="Times New Roman" w:eastAsia="仿宋_GB2312" w:cs="仿宋_GB2312"/>
          <w:b/>
          <w:bCs/>
          <w:color w:val="auto"/>
          <w:kern w:val="0"/>
          <w:sz w:val="32"/>
          <w:szCs w:val="32"/>
          <w:highlight w:val="none"/>
          <w:lang w:val="en-US" w:eastAsia="zh-CN" w:bidi="ar-SA"/>
        </w:rPr>
        <w:t>七是</w:t>
      </w:r>
      <w:r>
        <w:rPr>
          <w:rFonts w:hint="eastAsia" w:ascii="仿宋_GB2312" w:hAnsi="Times New Roman" w:eastAsia="仿宋_GB2312" w:cs="仿宋_GB2312"/>
          <w:color w:val="auto"/>
          <w:kern w:val="0"/>
          <w:sz w:val="32"/>
          <w:szCs w:val="32"/>
          <w:highlight w:val="none"/>
          <w:lang w:val="en-US" w:eastAsia="zh-CN" w:bidi="ar-SA"/>
        </w:rPr>
        <w:t>持续优化营商环境。深化工程项目审批制度改革，持续深化获得用水用气“三标一网”等指标，加强招投标领域监管，全面推进依法行政。</w:t>
      </w:r>
      <w:r>
        <w:rPr>
          <w:rFonts w:hint="eastAsia" w:ascii="仿宋_GB2312" w:hAnsi="Times New Roman" w:eastAsia="仿宋_GB2312" w:cs="仿宋_GB2312"/>
          <w:b/>
          <w:bCs/>
          <w:color w:val="auto"/>
          <w:kern w:val="0"/>
          <w:sz w:val="32"/>
          <w:szCs w:val="32"/>
          <w:highlight w:val="none"/>
          <w:lang w:val="en-US" w:eastAsia="zh-CN" w:bidi="ar-SA"/>
        </w:rPr>
        <w:t>八是</w:t>
      </w:r>
      <w:r>
        <w:rPr>
          <w:rFonts w:hint="eastAsia" w:ascii="仿宋_GB2312" w:hAnsi="Times New Roman" w:eastAsia="仿宋_GB2312" w:cs="仿宋_GB2312"/>
          <w:color w:val="auto"/>
          <w:kern w:val="0"/>
          <w:sz w:val="32"/>
          <w:szCs w:val="32"/>
          <w:highlight w:val="none"/>
          <w:lang w:val="en-US" w:eastAsia="zh-CN" w:bidi="ar-SA"/>
        </w:rPr>
        <w:t>持续深化行业生态环境保护。加快推动绿色低碳发展，推进城镇生活污水处理提质增效，强化建筑施工扬尘治理。</w:t>
      </w:r>
      <w:r>
        <w:rPr>
          <w:rFonts w:hint="eastAsia" w:ascii="仿宋_GB2312" w:hAnsi="Times New Roman" w:eastAsia="仿宋_GB2312" w:cs="仿宋_GB2312"/>
          <w:b/>
          <w:bCs/>
          <w:color w:val="auto"/>
          <w:kern w:val="0"/>
          <w:sz w:val="32"/>
          <w:szCs w:val="32"/>
          <w:highlight w:val="none"/>
          <w:lang w:val="en-US" w:eastAsia="zh-CN" w:bidi="ar-SA"/>
        </w:rPr>
        <w:t>九是</w:t>
      </w:r>
      <w:r>
        <w:rPr>
          <w:rFonts w:hint="eastAsia" w:ascii="仿宋_GB2312" w:hAnsi="Times New Roman" w:eastAsia="仿宋_GB2312" w:cs="仿宋_GB2312"/>
          <w:color w:val="auto"/>
          <w:kern w:val="0"/>
          <w:sz w:val="32"/>
          <w:szCs w:val="32"/>
          <w:highlight w:val="none"/>
          <w:lang w:val="en-US" w:eastAsia="zh-CN" w:bidi="ar-SA"/>
        </w:rPr>
        <w:t>全面提升安全生产工作水平。切实加强建筑施工安全管理，深入推进城镇燃气安全排查整治提升，全面完成自然灾害综合风险普查。</w:t>
      </w:r>
      <w:r>
        <w:rPr>
          <w:rFonts w:hint="eastAsia" w:ascii="仿宋_GB2312" w:hAnsi="Times New Roman" w:eastAsia="仿宋_GB2312" w:cs="仿宋_GB2312"/>
          <w:b/>
          <w:bCs/>
          <w:color w:val="auto"/>
          <w:kern w:val="0"/>
          <w:sz w:val="32"/>
          <w:szCs w:val="32"/>
          <w:highlight w:val="none"/>
          <w:lang w:val="en-US" w:eastAsia="zh-CN" w:bidi="ar-SA"/>
        </w:rPr>
        <w:t>十是</w:t>
      </w:r>
      <w:r>
        <w:rPr>
          <w:rFonts w:hint="eastAsia" w:ascii="仿宋_GB2312" w:hAnsi="Times New Roman" w:eastAsia="仿宋_GB2312" w:cs="仿宋_GB2312"/>
          <w:color w:val="auto"/>
          <w:kern w:val="0"/>
          <w:sz w:val="32"/>
          <w:szCs w:val="32"/>
          <w:highlight w:val="none"/>
          <w:lang w:val="en-US" w:eastAsia="zh-CN" w:bidi="ar-SA"/>
        </w:rPr>
        <w:t>扎实推进全面从严治党。全面加强政治建设，不断夯实机关党建基层基础，常态化提升干部队伍能力水平，持续加强党风廉政建设。</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rPr>
        <w:t>（四）部门整体支出绩效目标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eastAsia="仿宋_GB2312" w:cs="仿宋_GB2312"/>
          <w:color w:val="auto"/>
          <w:kern w:val="0"/>
          <w:sz w:val="32"/>
          <w:szCs w:val="32"/>
          <w:highlight w:val="none"/>
          <w:lang w:bidi="ar-SA"/>
        </w:rPr>
        <w:t>按照市委、市政府及省住建厅工作要求，坚持稳中求进工作总基调，扎实推动城市更新、</w:t>
      </w:r>
      <w:r>
        <w:rPr>
          <w:rFonts w:hint="eastAsia" w:ascii="仿宋_GB2312" w:cs="仿宋_GB2312"/>
          <w:color w:val="auto"/>
          <w:kern w:val="0"/>
          <w:sz w:val="32"/>
          <w:szCs w:val="32"/>
          <w:highlight w:val="none"/>
          <w:lang w:eastAsia="zh-CN" w:bidi="ar-SA"/>
        </w:rPr>
        <w:t>海绵城市建设</w:t>
      </w:r>
      <w:r>
        <w:rPr>
          <w:rFonts w:hint="eastAsia" w:ascii="仿宋_GB2312" w:eastAsia="仿宋_GB2312" w:cs="仿宋_GB2312"/>
          <w:color w:val="auto"/>
          <w:kern w:val="0"/>
          <w:sz w:val="32"/>
          <w:szCs w:val="32"/>
          <w:highlight w:val="none"/>
          <w:lang w:bidi="ar-SA"/>
        </w:rPr>
        <w:t>、行业重点领域改革不断深化、行业治理能力全面提升、安全生产和行业稳定持续向好、党的建设和精神文明建设巩固深化等重点工作，完成民生实事年度目标任务，做大做强建筑业。</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8" w:name="_Toc76279018_WPSOffice_Level2"/>
      <w:bookmarkStart w:id="89" w:name="_Toc27742"/>
      <w:bookmarkStart w:id="90" w:name="_Toc1883942263_WPSOffice_Level2"/>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88"/>
      <w:bookmarkEnd w:id="89"/>
      <w:bookmarkEnd w:id="90"/>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1.部门总体收入情况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2022年年初预算13519.07万元，其中当年预算收入5247.29万元，上年结转和结余8271.78万元；年中追加调整预算56935.8万元；本年</w:t>
      </w:r>
      <w:r>
        <w:rPr>
          <w:rFonts w:hint="eastAsia" w:ascii="仿宋_GB2312" w:eastAsia="仿宋_GB2312" w:cs="仿宋_GB2312"/>
          <w:color w:val="auto"/>
          <w:kern w:val="0"/>
          <w:sz w:val="32"/>
          <w:szCs w:val="32"/>
          <w:highlight w:val="none"/>
          <w:lang w:val="zh-CN" w:eastAsia="zh-CN" w:bidi="ar-SA"/>
        </w:rPr>
        <w:t>收入</w:t>
      </w:r>
      <w:r>
        <w:rPr>
          <w:rFonts w:hint="eastAsia" w:ascii="仿宋_GB2312" w:eastAsia="仿宋_GB2312" w:cs="仿宋_GB2312"/>
          <w:color w:val="auto"/>
          <w:kern w:val="0"/>
          <w:sz w:val="32"/>
          <w:szCs w:val="32"/>
          <w:highlight w:val="none"/>
          <w:lang w:val="en-US" w:eastAsia="zh-CN" w:bidi="ar-SA"/>
        </w:rPr>
        <w:t>合计62183.09万元，其中：财政拨款收入61850.07万元，占99.46%；其他收入333.02万元，占0.54%。</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2.部门总体支出情况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eastAsia="仿宋_GB2312" w:cs="仿宋_GB2312"/>
          <w:color w:val="auto"/>
          <w:kern w:val="0"/>
          <w:sz w:val="32"/>
          <w:szCs w:val="32"/>
          <w:highlight w:val="none"/>
          <w:lang w:val="en-US" w:eastAsia="zh-CN" w:bidi="ar-SA"/>
        </w:rPr>
      </w:pPr>
      <w:bookmarkStart w:id="91" w:name="_Toc20307"/>
      <w:bookmarkStart w:id="92" w:name="_Toc19499"/>
      <w:r>
        <w:rPr>
          <w:rFonts w:hint="eastAsia" w:ascii="仿宋_GB2312" w:eastAsia="仿宋_GB2312" w:cs="仿宋_GB2312"/>
          <w:color w:val="auto"/>
          <w:kern w:val="0"/>
          <w:sz w:val="32"/>
          <w:szCs w:val="32"/>
          <w:highlight w:val="none"/>
          <w:lang w:val="en-US" w:eastAsia="zh-CN" w:bidi="ar-SA"/>
        </w:rPr>
        <w:t>2022年支出合计50354.91万元，其中：基本支出4905.18万元，占9.74%；项目支出45449.73万元，占90.26%</w:t>
      </w:r>
      <w:bookmarkEnd w:id="91"/>
      <w:bookmarkEnd w:id="92"/>
      <w:r>
        <w:rPr>
          <w:rFonts w:hint="eastAsia" w:ascii="仿宋_GB2312" w:eastAsia="仿宋_GB2312" w:cs="仿宋_GB2312"/>
          <w:color w:val="auto"/>
          <w:kern w:val="0"/>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3.部门总体结转结余情况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eastAsia="仿宋_GB2312" w:cs="仿宋_GB2312"/>
          <w:color w:val="auto"/>
          <w:kern w:val="0"/>
          <w:sz w:val="32"/>
          <w:szCs w:val="32"/>
          <w:highlight w:val="none"/>
          <w:lang w:val="zh-CN" w:eastAsia="zh-CN" w:bidi="ar-SA"/>
        </w:rPr>
      </w:pPr>
      <w:r>
        <w:rPr>
          <w:rFonts w:hint="eastAsia" w:ascii="仿宋_GB2312" w:eastAsia="仿宋_GB2312" w:cs="仿宋_GB2312"/>
          <w:color w:val="auto"/>
          <w:kern w:val="0"/>
          <w:sz w:val="32"/>
          <w:szCs w:val="32"/>
          <w:highlight w:val="none"/>
          <w:lang w:val="en-US" w:eastAsia="zh-CN" w:bidi="ar-SA"/>
        </w:rPr>
        <w:t>2022年年末结转20099.96万元，其中基本支出结转244.55万元，项目支出结转19855.41万元。</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1.部门财政拨款收入情况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eastAsia="仿宋_GB2312" w:cs="仿宋_GB2312"/>
          <w:color w:val="auto"/>
          <w:kern w:val="0"/>
          <w:sz w:val="32"/>
          <w:szCs w:val="32"/>
          <w:highlight w:val="none"/>
          <w:lang w:val="en-US" w:eastAsia="zh-CN" w:bidi="ar-SA"/>
        </w:rPr>
      </w:pPr>
      <w:bookmarkStart w:id="93" w:name="_Toc16323"/>
      <w:bookmarkStart w:id="94" w:name="_Toc20858"/>
      <w:r>
        <w:rPr>
          <w:rFonts w:hint="eastAsia" w:ascii="仿宋_GB2312" w:eastAsia="仿宋_GB2312" w:cs="仿宋_GB2312"/>
          <w:color w:val="auto"/>
          <w:kern w:val="0"/>
          <w:sz w:val="32"/>
          <w:szCs w:val="32"/>
          <w:highlight w:val="none"/>
          <w:lang w:val="en-US" w:eastAsia="zh-CN" w:bidi="ar-SA"/>
        </w:rPr>
        <w:t>2022年年初预算13379.07万元，其中当年财政拨款收入5107.29万元，上年结转和结余8271.78万元；年中追加调整预算56742.78万元；本年</w:t>
      </w:r>
      <w:r>
        <w:rPr>
          <w:rFonts w:hint="eastAsia" w:ascii="仿宋_GB2312" w:eastAsia="仿宋_GB2312" w:cs="仿宋_GB2312"/>
          <w:color w:val="auto"/>
          <w:kern w:val="0"/>
          <w:sz w:val="32"/>
          <w:szCs w:val="32"/>
          <w:highlight w:val="none"/>
          <w:lang w:val="zh-CN" w:eastAsia="zh-CN" w:bidi="ar-SA"/>
        </w:rPr>
        <w:t>财政资金收入</w:t>
      </w:r>
      <w:r>
        <w:rPr>
          <w:rFonts w:hint="eastAsia" w:ascii="仿宋_GB2312" w:eastAsia="仿宋_GB2312" w:cs="仿宋_GB2312"/>
          <w:color w:val="auto"/>
          <w:kern w:val="0"/>
          <w:sz w:val="32"/>
          <w:szCs w:val="32"/>
          <w:highlight w:val="none"/>
          <w:lang w:val="en-US" w:eastAsia="zh-CN" w:bidi="ar-SA"/>
        </w:rPr>
        <w:t>合计61850.07万元，其中：一般公共预算财政拨款收入39999.1万元，占64.67%；政府性基金预算财政拨款收入21850.97万元，占35.33%。</w:t>
      </w:r>
      <w:bookmarkEnd w:id="93"/>
      <w:bookmarkEnd w:id="94"/>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2.部门财政拨款支出情况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w:t>
      </w:r>
      <w:r>
        <w:rPr>
          <w:rFonts w:hint="eastAsia" w:ascii="仿宋_GB2312" w:eastAsia="仿宋_GB2312" w:cs="仿宋_GB2312"/>
          <w:color w:val="auto"/>
          <w:kern w:val="0"/>
          <w:sz w:val="32"/>
          <w:szCs w:val="32"/>
          <w:highlight w:val="none"/>
          <w:lang w:val="zh-CN" w:eastAsia="zh-CN" w:bidi="ar-SA"/>
        </w:rPr>
        <w:t>财政资金</w:t>
      </w:r>
      <w:r>
        <w:rPr>
          <w:rFonts w:hint="eastAsia" w:ascii="仿宋_GB2312" w:eastAsia="仿宋_GB2312" w:cs="仿宋_GB2312"/>
          <w:color w:val="auto"/>
          <w:kern w:val="0"/>
          <w:sz w:val="32"/>
          <w:szCs w:val="32"/>
          <w:highlight w:val="none"/>
          <w:lang w:val="en-US" w:eastAsia="zh-CN" w:bidi="ar-SA"/>
        </w:rPr>
        <w:t>支出合计50021.89万元，其中：基本支出4899.9万元，占9.80%；项目支出45121.99万元，占90.20%。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3.部门财政拨款结转结余情况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2022年年末财政拨款结转20099.96万元，其中基本支出结转244.55万元，项目支出结转19855.41万元。</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95" w:name="_Toc1752940587_WPSOffice_Level2"/>
      <w:bookmarkStart w:id="96" w:name="_Toc7079"/>
      <w:bookmarkStart w:id="97" w:name="_Toc1657627157_WPSOffice_Level2"/>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95"/>
      <w:bookmarkEnd w:id="96"/>
      <w:bookmarkEnd w:id="97"/>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1.人员类项目绩效分析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本部门预算人数384人（其中在职人员250人、退休人员134人），年初经市人大常委会批复人员经费预算3251.88万元，年中追加预算1395.81万元，调整后本年预算合计4647.69万元；本年支出4403.43万元，本年结转244.26万元，预算执行94.74%。本年结转中主要包括引进高层次人才补助32.4万元、抚恤金25.63万元及提标的养老保险135万元。因资金下达时间太晚无法及时实现支出，2023年继续执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2.运转类项目绩效分析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年初经市人大常委会批复公用经费预算497.44万元，年中追减三公经费0.68万元，调整后本年预算合计496.76万元。本年支出496.47万元；本年结转0.29万元，预算执行99.81%。本年结转中主要是部分局属单位因未发生接待业务而结余的公务接待费，2023年已被市财政局收回。</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3.特定目标类项目绩效分析</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2021年项目结转8271.78万元，2022年年初经市人大常委会批复特定目标类项目30个，预算金额1497.97万元；年中追加项目31个，预算金额55535.39万元；本年预算项目合计61个、预算金额合计57033.36万元。本年支出45449.73万元、本年结转19855.41万元（主要包括中央城市管网及污水处理补助18000万元、绿化养护政府购买服务915.02万元、西二环一期道路安全提升工程310万元等）。以上结转的项目中：财政收回城区道路恢复重建37.69万元、办公设备购置（局机关）3.45万元，其余项目按照合同要求，截至本年底均未到达支付条件，无法实现支付，2023年继续执行。我部门本年度项目中涉及中央对地方转移支付项目、省级城乡建设发展专项资金项目7个，按照相关要求另行评价报送报表。</w:t>
      </w:r>
    </w:p>
    <w:tbl>
      <w:tblPr>
        <w:tblStyle w:val="15"/>
        <w:tblpPr w:leftFromText="180" w:rightFromText="180" w:vertAnchor="text" w:horzAnchor="page" w:tblpX="1487" w:tblpY="732"/>
        <w:tblOverlap w:val="never"/>
        <w:tblW w:w="95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078"/>
        <w:gridCol w:w="1211"/>
        <w:gridCol w:w="3833"/>
        <w:gridCol w:w="960"/>
        <w:gridCol w:w="94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33" w:type="dxa"/>
            <w:gridSpan w:val="7"/>
            <w:tcBorders>
              <w:top w:val="nil"/>
              <w:left w:val="nil"/>
              <w:bottom w:val="nil"/>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30"/>
                <w:szCs w:val="30"/>
                <w:highlight w:val="none"/>
                <w:u w:val="none"/>
              </w:rPr>
            </w:pPr>
            <w:r>
              <w:rPr>
                <w:rFonts w:hint="eastAsia" w:ascii="宋体" w:hAnsi="宋体" w:eastAsia="宋体" w:cs="宋体"/>
                <w:b/>
                <w:i w:val="0"/>
                <w:color w:val="auto"/>
                <w:kern w:val="0"/>
                <w:sz w:val="30"/>
                <w:szCs w:val="30"/>
                <w:highlight w:val="none"/>
                <w:u w:val="none"/>
                <w:lang w:val="en-US" w:eastAsia="zh-CN" w:bidi="ar"/>
              </w:rPr>
              <w:t>部门预算项目绩效目标完成情况表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nil"/>
              <w:left w:val="nil"/>
              <w:bottom w:val="nil"/>
              <w:right w:val="nil"/>
            </w:tcBorders>
            <w:noWrap/>
            <w:vAlign w:val="center"/>
          </w:tcPr>
          <w:p>
            <w:pPr>
              <w:shd w:val="clear"/>
              <w:jc w:val="center"/>
              <w:rPr>
                <w:rFonts w:hint="eastAsia" w:ascii="宋体" w:hAnsi="宋体" w:eastAsia="宋体" w:cs="宋体"/>
                <w:i w:val="0"/>
                <w:color w:val="auto"/>
                <w:sz w:val="22"/>
                <w:szCs w:val="22"/>
                <w:highlight w:val="none"/>
                <w:u w:val="none"/>
              </w:rPr>
            </w:pPr>
          </w:p>
        </w:tc>
        <w:tc>
          <w:tcPr>
            <w:tcW w:w="1078" w:type="dxa"/>
            <w:tcBorders>
              <w:top w:val="nil"/>
              <w:left w:val="single" w:color="FFFFFF" w:sz="4" w:space="0"/>
              <w:bottom w:val="nil"/>
              <w:right w:val="single" w:color="FFFFFF" w:sz="4" w:space="0"/>
            </w:tcBorders>
            <w:noWrap w:val="0"/>
            <w:vAlign w:val="center"/>
          </w:tcPr>
          <w:p>
            <w:pPr>
              <w:shd w:val="clear"/>
              <w:jc w:val="center"/>
              <w:rPr>
                <w:rFonts w:hint="eastAsia" w:ascii="宋体" w:hAnsi="宋体" w:eastAsia="宋体" w:cs="宋体"/>
                <w:i w:val="0"/>
                <w:color w:val="auto"/>
                <w:sz w:val="22"/>
                <w:szCs w:val="22"/>
                <w:highlight w:val="none"/>
                <w:u w:val="none"/>
              </w:rPr>
            </w:pPr>
          </w:p>
        </w:tc>
        <w:tc>
          <w:tcPr>
            <w:tcW w:w="1211" w:type="dxa"/>
            <w:tcBorders>
              <w:top w:val="nil"/>
              <w:left w:val="single" w:color="FFFFFF" w:sz="4" w:space="0"/>
              <w:bottom w:val="nil"/>
              <w:right w:val="single" w:color="FFFFFF" w:sz="4" w:space="0"/>
            </w:tcBorders>
            <w:noWrap w:val="0"/>
            <w:vAlign w:val="center"/>
          </w:tcPr>
          <w:p>
            <w:pPr>
              <w:shd w:val="clear"/>
              <w:jc w:val="center"/>
              <w:rPr>
                <w:rFonts w:hint="eastAsia" w:ascii="宋体" w:hAnsi="宋体" w:eastAsia="宋体" w:cs="宋体"/>
                <w:i w:val="0"/>
                <w:color w:val="auto"/>
                <w:sz w:val="22"/>
                <w:szCs w:val="22"/>
                <w:highlight w:val="none"/>
                <w:u w:val="none"/>
              </w:rPr>
            </w:pPr>
          </w:p>
        </w:tc>
        <w:tc>
          <w:tcPr>
            <w:tcW w:w="3833" w:type="dxa"/>
            <w:tcBorders>
              <w:top w:val="nil"/>
              <w:left w:val="single" w:color="FFFFFF" w:sz="4" w:space="0"/>
              <w:bottom w:val="nil"/>
              <w:right w:val="single" w:color="FFFFFF" w:sz="4" w:space="0"/>
            </w:tcBorders>
            <w:noWrap w:val="0"/>
            <w:vAlign w:val="center"/>
          </w:tcPr>
          <w:p>
            <w:pPr>
              <w:shd w:val="clear"/>
              <w:jc w:val="center"/>
              <w:rPr>
                <w:rFonts w:hint="eastAsia" w:ascii="宋体" w:hAnsi="宋体" w:eastAsia="宋体" w:cs="宋体"/>
                <w:i w:val="0"/>
                <w:color w:val="auto"/>
                <w:sz w:val="22"/>
                <w:szCs w:val="22"/>
                <w:highlight w:val="none"/>
                <w:u w:val="none"/>
              </w:rPr>
            </w:pPr>
          </w:p>
        </w:tc>
        <w:tc>
          <w:tcPr>
            <w:tcW w:w="960" w:type="dxa"/>
            <w:tcBorders>
              <w:top w:val="nil"/>
              <w:left w:val="single" w:color="FFFFFF" w:sz="4" w:space="0"/>
              <w:bottom w:val="nil"/>
              <w:right w:val="single" w:color="FFFFFF" w:sz="4" w:space="0"/>
            </w:tcBorders>
            <w:noWrap w:val="0"/>
            <w:vAlign w:val="center"/>
          </w:tcPr>
          <w:p>
            <w:pPr>
              <w:shd w:val="clear"/>
              <w:jc w:val="center"/>
              <w:rPr>
                <w:rFonts w:hint="eastAsia" w:ascii="宋体" w:hAnsi="宋体" w:eastAsia="宋体" w:cs="宋体"/>
                <w:i w:val="0"/>
                <w:color w:val="auto"/>
                <w:sz w:val="22"/>
                <w:szCs w:val="22"/>
                <w:highlight w:val="none"/>
                <w:u w:val="none"/>
              </w:rPr>
            </w:pPr>
          </w:p>
        </w:tc>
        <w:tc>
          <w:tcPr>
            <w:tcW w:w="945" w:type="dxa"/>
            <w:tcBorders>
              <w:top w:val="nil"/>
              <w:left w:val="nil"/>
              <w:bottom w:val="nil"/>
              <w:right w:val="nil"/>
            </w:tcBorders>
            <w:noWrap/>
            <w:vAlign w:val="center"/>
          </w:tcPr>
          <w:p>
            <w:pPr>
              <w:shd w:val="clear"/>
              <w:jc w:val="center"/>
              <w:rPr>
                <w:rFonts w:hint="eastAsia" w:ascii="宋体" w:hAnsi="宋体" w:eastAsia="宋体" w:cs="宋体"/>
                <w:i w:val="0"/>
                <w:color w:val="auto"/>
                <w:sz w:val="18"/>
                <w:szCs w:val="18"/>
                <w:highlight w:val="none"/>
                <w:u w:val="none"/>
              </w:rPr>
            </w:pPr>
          </w:p>
        </w:tc>
        <w:tc>
          <w:tcPr>
            <w:tcW w:w="930" w:type="dxa"/>
            <w:tcBorders>
              <w:top w:val="nil"/>
              <w:left w:val="nil"/>
              <w:bottom w:val="nil"/>
              <w:right w:val="nil"/>
            </w:tcBorders>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序号</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单位名称</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项目名称</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年度目标</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预算数（万元）</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执行数（万元）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0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市住房城乡建设局</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图审中心购买社会服务</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通过购买社会服务，聘请2人对2022年建设工程勘察文件及施工图设计文件审查备案、特殊建设工程消防设计审查。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乡村振兴工作经费（局机关）</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根据市委、市政府要求，结合乡村振兴责任清单，住建局派出5名驻村第一书记及队员到苍溪县漓江镇从事乡村振兴帮扶工作。</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项目工作推进经费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通过努力向上争取更多资金4.05亿元、招商引资6亿元，各项目的推进，保障全市经济社会发展。</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办公设备购置（局机关）</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通过购置办公设备，满足办公相应条件，提高办公效率。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12.50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法律顾问费（局机关）</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通过聘请3名法律顾问，依法依规处理涉诉事务来化解涉诉纠纷，需顾问及诉讼代理费7万元。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6.93</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网络及信息维护费（局机关）</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通过与电信公司合作，对单位办公区域的安防系统及网络进行维护，确保网络安全。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人才引进、招录经费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通过招录、引进人才12名，为住建系统增加新鲜血液，确保各项工作顺利开展。</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内控制度建设咨询费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通过建设全面、系统的内部控制制度，合理保证单位经济活动合法合规、资产安全和使用，有效防范舞弊，提高公共服务的效率和效果。</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信息宣传、信访维稳经费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通过与省、市相关媒体合作等，加强住房城乡建设重点、热点、亮点和相关政策宣传、维护所需经费7万元。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6.97</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消防设计审查咨询费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通过聘请专家对2022年的消防设计进行审查，保证建设工程的消防设计质量及人民生命财产安全。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党风廉政建设及内审咨询</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据八届市委第一轮常规巡察反馈问题，对局系统内部经济业务真实性、合法性进行监督检查，聘请中介机构对内部进行专项审计；加强党风廉政建设宣传，促进单位的党风廉政建设持续向好发展。需审计及宣传费2万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村镇建设项目</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开展农村危房改造巡查、做好现有96个传统村落保护，申报省级传统村落5个、争创5个左右省级百强中心镇，以进一步做好农村住房安全保障、促进小城镇建设。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两新组织党建工作经费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4个两新组织党建工作经费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2.26</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1.26</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科技拔尖人才补助</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根据《中共广元市组织部关于开展广元市第十届科技拔尖人才评选活动的通知》精神，管理期内发放2人岗位补贴</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1.44</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color w:val="auto"/>
                <w:sz w:val="18"/>
                <w:szCs w:val="18"/>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市建筑产业招商推进工作经费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组织洽谈招商项目不低于10个、赴外地考察不低于20次、签约项目不少于4个</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10.69</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9.88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0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市住房保障和房地产事务中心</w:t>
            </w:r>
          </w:p>
        </w:tc>
        <w:tc>
          <w:tcPr>
            <w:tcW w:w="121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资料印刷及业务培训</w:t>
            </w:r>
          </w:p>
        </w:tc>
        <w:tc>
          <w:tcPr>
            <w:tcW w:w="3833" w:type="dxa"/>
            <w:tcBorders>
              <w:top w:val="nil"/>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完成全年资料印刷及相关业务培训指导工作</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078" w:type="dxa"/>
            <w:vMerge w:val="continue"/>
            <w:tcBorders>
              <w:top w:val="nil"/>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乡村振兴工作经费1</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完成2020年帮扶工作任务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1.82</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078" w:type="dxa"/>
            <w:vMerge w:val="continue"/>
            <w:tcBorders>
              <w:top w:val="nil"/>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城市房屋白蚁防治费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为加强城市房屋的白蚁管理，控制白蚁危害，保证城市房屋的使用安全。对广元市新建、改建、扩建等房屋的白蚁预防和对原有房屋的白蚁检查与灭治管理，切实保障人民生命财产安全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078" w:type="dxa"/>
            <w:vMerge w:val="continue"/>
            <w:tcBorders>
              <w:top w:val="nil"/>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数字化档案建设经费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拟聘请专业从事档案实物全面整理及档案数字化服务公司对档案进行数字扫描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9.89</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0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市照明事务中心</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城市照明电费及维护费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保障城区照明设施用电。（亮灯率、完好率95%以上）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1,007.00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1006.86</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临聘人员工资及福利费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按月发放照明中心聘用人员工资及福利费。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105.00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乡村振兴经费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完成2022年乡村振兴帮扶工作</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1.82</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0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市建筑业发展事务中心</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建筑业企业产值统计业务培训</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提高建筑产值统计人员的业务水平，确保统计数据真实、全面、及时、有效。</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0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市城市建设事务中心</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081道口工作人员经费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8人员负责081铁路道口相关工作，确保过往行人、车辆安全通行</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市政巡查工作经费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1.完成全年市政巡查工作。2.在汛期，对市城区20余处易涝点进行值守，确保汛期安全。3.购买巡查所需物资和防汛物资。</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0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市建设工程质量安全站</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广元市智慧工地建设（视频监控系统）</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加强智慧工地建设，建立完善视频监控系统，提升我市建筑施工管理水平，保障安全生产。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7.11</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6.98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078" w:type="dxa"/>
            <w:vMerge w:val="restart"/>
            <w:tcBorders>
              <w:top w:val="single" w:color="000000" w:sz="4" w:space="0"/>
              <w:left w:val="nil"/>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市园林绿化事务中心</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乡村振兴工作经费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完成20200年乡村振兴帮扶工作。1.提升完善村民饮水设施。2.采取以奖代扶方式鼓励村民。</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3.64</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3.64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078" w:type="dxa"/>
            <w:vMerge w:val="continue"/>
            <w:tcBorders>
              <w:top w:val="single" w:color="000000" w:sz="4" w:space="0"/>
              <w:left w:val="nil"/>
              <w:bottom w:val="nil"/>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办公设备采购</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因机构改革，绿化管理面积增大，人员增加，办公室整体调整，办公设备不足。完成2022年办公设备采购</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2.96</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078" w:type="dxa"/>
            <w:vMerge w:val="continue"/>
            <w:tcBorders>
              <w:top w:val="single" w:color="000000" w:sz="4" w:space="0"/>
              <w:left w:val="nil"/>
              <w:bottom w:val="nil"/>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法律顾问费2</w:t>
            </w:r>
          </w:p>
        </w:tc>
        <w:tc>
          <w:tcPr>
            <w:tcW w:w="3833" w:type="dxa"/>
            <w:tcBorders>
              <w:top w:val="single" w:color="000000" w:sz="4" w:space="0"/>
              <w:left w:val="single" w:color="000000" w:sz="4" w:space="0"/>
              <w:bottom w:val="nil"/>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聘请法律顾问参与中心内重大决策，处理行政诉讼及行政复议事项，出具法律意见书；参加纠纷处理、协商、谈判和其他重大复杂的非诉讼活动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合计</w:t>
            </w:r>
          </w:p>
        </w:tc>
        <w:tc>
          <w:tcPr>
            <w:tcW w:w="1078" w:type="dxa"/>
            <w:tcBorders>
              <w:top w:val="single" w:color="000000" w:sz="4" w:space="0"/>
              <w:left w:val="nil"/>
              <w:bottom w:val="single" w:color="000000" w:sz="4" w:space="0"/>
              <w:right w:val="single" w:color="000000" w:sz="4" w:space="0"/>
            </w:tcBorders>
            <w:noWrap/>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color w:val="auto"/>
                <w:sz w:val="18"/>
                <w:szCs w:val="18"/>
                <w:highlight w:val="none"/>
                <w:u w:val="none"/>
              </w:rPr>
            </w:pPr>
          </w:p>
        </w:tc>
        <w:tc>
          <w:tcPr>
            <w:tcW w:w="3833" w:type="dxa"/>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1367.36</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1359.44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99.42</w:t>
            </w:r>
          </w:p>
        </w:tc>
      </w:tr>
    </w:tbl>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shd w:val="clear" w:color="auto" w:fill="FFFFFF"/>
          <w:lang w:val="zh-CN"/>
        </w:rPr>
        <w:t>部门绩效目标制定。</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2022年部门整体绩效目标：</w:t>
      </w:r>
      <w:r>
        <w:rPr>
          <w:rFonts w:hint="eastAsia" w:ascii="仿宋_GB2312" w:eastAsia="仿宋_GB2312" w:cs="仿宋_GB2312"/>
          <w:color w:val="auto"/>
          <w:kern w:val="0"/>
          <w:sz w:val="32"/>
          <w:szCs w:val="32"/>
          <w:highlight w:val="none"/>
          <w:lang w:bidi="ar-SA"/>
        </w:rPr>
        <w:t>按照市委、市政府及省住建厅工作要求，坚持稳中求进工作总基调，扎实推动城市更新、</w:t>
      </w:r>
      <w:r>
        <w:rPr>
          <w:rFonts w:hint="eastAsia" w:ascii="仿宋_GB2312" w:cs="仿宋_GB2312"/>
          <w:color w:val="auto"/>
          <w:kern w:val="0"/>
          <w:sz w:val="32"/>
          <w:szCs w:val="32"/>
          <w:highlight w:val="none"/>
          <w:lang w:eastAsia="zh-CN" w:bidi="ar-SA"/>
        </w:rPr>
        <w:t>海绵城市建设</w:t>
      </w:r>
      <w:r>
        <w:rPr>
          <w:rFonts w:hint="eastAsia" w:ascii="仿宋_GB2312" w:eastAsia="仿宋_GB2312" w:cs="仿宋_GB2312"/>
          <w:color w:val="auto"/>
          <w:kern w:val="0"/>
          <w:sz w:val="32"/>
          <w:szCs w:val="32"/>
          <w:highlight w:val="none"/>
          <w:lang w:bidi="ar-SA"/>
        </w:rPr>
        <w:t>、行业重点领域改革不断深化、行业治理能力全面提升、安全生产和行业稳定持续向好、党的建设和精神文明建设巩固深化等重点工作，完成民生实事年度目标任务，做大做强建筑业。</w:t>
      </w:r>
      <w:r>
        <w:rPr>
          <w:rFonts w:hint="eastAsia" w:ascii="仿宋_GB2312" w:hAnsi="宋体" w:eastAsia="仿宋_GB2312" w:cs="宋体"/>
          <w:b w:val="0"/>
          <w:bCs w:val="0"/>
          <w:color w:val="auto"/>
          <w:kern w:val="0"/>
          <w:sz w:val="32"/>
          <w:szCs w:val="32"/>
          <w:highlight w:val="none"/>
          <w:shd w:val="clear" w:color="auto" w:fill="FFFFFF"/>
          <w:lang w:val="en-US" w:eastAsia="zh-CN" w:bidi="ar-SA"/>
        </w:rPr>
        <w:t>年度总体目标和主要任务明确，年度绩效指标细化量化、合理可行，绩效目标的设定能切实反映部门年度职责履行情况。</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val="0"/>
        <w:spacing w:line="576" w:lineRule="exact"/>
        <w:ind w:left="0" w:leftChars="0" w:firstLine="642" w:firstLineChars="200"/>
        <w:jc w:val="both"/>
        <w:textAlignment w:val="auto"/>
        <w:rPr>
          <w:rFonts w:hint="eastAsia" w:ascii="仿宋_GB2312" w:hAnsi="宋体" w:eastAsia="仿宋_GB2312" w:cs="宋体"/>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2.目标实现情况。</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我部门已全部完成部门绩效目标。主要包括：一是保障了250人在职职工的工资福利及134人退休人员的生活补助。二是确保了整个部门的正常工作运转。三是全年完成固定资产投资72.4亿元、房地产投资126.7亿元、同比增长0.6，商品房销售133.9万平米，建筑业总产值274.7亿元、同比增长3.9%，全系统争取到位资金13.4亿元，位居市级部门第一名。成功争取系统化全域推进海绵城市建设国家级示范城市、省级城市更新试点市，其中海绵城市建设示范期三年将获得中央财政补助资金11亿元，是建市以来获得最大规模资金的单体项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3.</w:t>
      </w:r>
      <w:r>
        <w:rPr>
          <w:rFonts w:hint="eastAsia" w:ascii="仿宋_GB2312" w:hAnsi="仿宋_GB2312" w:eastAsia="仿宋_GB2312" w:cs="仿宋_GB2312"/>
          <w:b/>
          <w:bCs/>
          <w:color w:val="auto"/>
          <w:kern w:val="0"/>
          <w:sz w:val="32"/>
          <w:szCs w:val="32"/>
          <w:highlight w:val="none"/>
          <w:shd w:val="clear" w:color="auto" w:fill="FFFFFF"/>
          <w:lang w:val="en" w:eastAsia="zh-CN" w:bidi="ar-SA"/>
        </w:rPr>
        <w:t>支出控制情况。</w:t>
      </w:r>
      <w:r>
        <w:rPr>
          <w:rFonts w:hint="eastAsia" w:ascii="仿宋_GB2312" w:hAnsi="宋体" w:eastAsia="仿宋_GB2312" w:cs="宋体"/>
          <w:b w:val="0"/>
          <w:bCs w:val="0"/>
          <w:color w:val="auto"/>
          <w:kern w:val="0"/>
          <w:sz w:val="32"/>
          <w:szCs w:val="32"/>
          <w:highlight w:val="none"/>
          <w:shd w:val="clear" w:color="auto" w:fill="FFFFFF"/>
          <w:lang w:val="en-US" w:eastAsia="zh-CN" w:bidi="ar-SA"/>
        </w:rPr>
        <w:t>我局严格执行《机关公用经费核定包干使用管理办法》，机关运行成本得到有效控制。全系统本年公用经费及非定额公用支出中的个别科目的决算与年初预算有偏差，剔除年中因临时任务而追加的预算因素外（如经批准临时安排海绵城市建设培训而增加的培训费），预决算偏离度控制在10%。</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4.及时处置情况。</w:t>
      </w:r>
      <w:r>
        <w:rPr>
          <w:rFonts w:hint="eastAsia" w:ascii="仿宋_GB2312" w:hAnsi="宋体" w:eastAsia="仿宋_GB2312" w:cs="宋体"/>
          <w:b w:val="0"/>
          <w:bCs w:val="0"/>
          <w:color w:val="auto"/>
          <w:kern w:val="0"/>
          <w:sz w:val="32"/>
          <w:szCs w:val="32"/>
          <w:highlight w:val="none"/>
          <w:shd w:val="clear" w:color="auto" w:fill="FFFFFF"/>
          <w:lang w:val="en-US" w:eastAsia="zh-CN" w:bidi="ar-SA"/>
        </w:rPr>
        <w:t>我部门于10月对1-9月项目绩效运行情况进行了监控，各项目运行正常、未发现偏离情况。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5.执行进度情况。</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部门预算严格按序时或项目合同约定进度执行。6、9月份实际支出进度均在财政部门规定范围内。10月份市财政局拨付的中央城市管网及污水处理补助29000万元，还未达到支付条件，导致11月份预算执行进度低于规定范围。</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cs="仿宋_GB2312"/>
          <w:b/>
          <w:bCs/>
          <w:color w:val="auto"/>
          <w:kern w:val="0"/>
          <w:sz w:val="32"/>
          <w:szCs w:val="32"/>
          <w:highlight w:val="none"/>
          <w:shd w:val="clear" w:color="auto" w:fill="FFFFFF"/>
          <w:lang w:val="en-US" w:eastAsia="zh-CN" w:bidi="ar-SA"/>
        </w:rPr>
        <w:t>6.</w:t>
      </w:r>
      <w:r>
        <w:rPr>
          <w:rFonts w:hint="eastAsia" w:ascii="仿宋_GB2312" w:hAnsi="仿宋_GB2312" w:eastAsia="仿宋_GB2312" w:cs="仿宋_GB2312"/>
          <w:b/>
          <w:bCs/>
          <w:color w:val="auto"/>
          <w:kern w:val="0"/>
          <w:sz w:val="32"/>
          <w:szCs w:val="32"/>
          <w:highlight w:val="none"/>
          <w:shd w:val="clear" w:color="auto" w:fill="FFFFFF"/>
          <w:lang w:val="en-US" w:eastAsia="zh-CN" w:bidi="ar-SA"/>
        </w:rPr>
        <w:t>资金结余率。</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2022年部门预算项目中中心城区市政道路恢复重建、照明中心城区高压代维、照明设施维修维护材料采购项目结转资金86.07万元超两个预算年度，已被市财政局收回。</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zh-CN" w:eastAsia="zh-CN" w:bidi="ar-SA"/>
        </w:rPr>
      </w:pPr>
      <w:r>
        <w:rPr>
          <w:rFonts w:hint="eastAsia" w:ascii="仿宋_GB2312" w:hAnsi="仿宋_GB2312" w:cs="仿宋_GB2312"/>
          <w:b/>
          <w:bCs/>
          <w:color w:val="auto"/>
          <w:kern w:val="0"/>
          <w:sz w:val="32"/>
          <w:szCs w:val="32"/>
          <w:highlight w:val="none"/>
          <w:shd w:val="clear" w:color="auto" w:fill="FFFFFF"/>
          <w:lang w:val="en-US" w:eastAsia="zh-CN" w:bidi="ar-SA"/>
        </w:rPr>
        <w:t>7</w:t>
      </w:r>
      <w:r>
        <w:rPr>
          <w:rFonts w:hint="eastAsia" w:ascii="仿宋_GB2312" w:hAnsi="仿宋_GB2312" w:eastAsia="仿宋_GB2312" w:cs="仿宋_GB2312"/>
          <w:b/>
          <w:bCs/>
          <w:color w:val="auto"/>
          <w:kern w:val="0"/>
          <w:sz w:val="32"/>
          <w:szCs w:val="32"/>
          <w:highlight w:val="none"/>
          <w:shd w:val="clear" w:color="auto" w:fill="FFFFFF"/>
          <w:lang w:val="en-US" w:eastAsia="zh-CN" w:bidi="ar-SA"/>
        </w:rPr>
        <w:t>.违规记录。</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2022年市审计局对我部门2021年度预算执行和其他财务收支进行了审计，审计中发现“未按规定征收非税收入”问题。2022年12月底之前已全面整改。</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1.内部应用。一是</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2021年我局制定了《广元市住房和城乡建设局目标绩效管理办法（试行）》，目标绩效考核结果与评先评优、部门（个人）绩效奖励挂钩。</w:t>
      </w:r>
      <w:r>
        <w:rPr>
          <w:rFonts w:hint="eastAsia" w:ascii="仿宋_GB2312" w:hAnsi="仿宋_GB2312" w:eastAsia="仿宋_GB2312" w:cs="仿宋_GB2312"/>
          <w:b/>
          <w:bCs/>
          <w:color w:val="auto"/>
          <w:kern w:val="0"/>
          <w:sz w:val="32"/>
          <w:szCs w:val="32"/>
          <w:highlight w:val="none"/>
          <w:shd w:val="clear" w:color="auto" w:fill="FFFFFF"/>
          <w:lang w:val="en-US" w:eastAsia="zh-CN" w:bidi="ar-SA"/>
        </w:rPr>
        <w:t>二是</w:t>
      </w:r>
      <w:r>
        <w:rPr>
          <w:rFonts w:hint="eastAsia" w:ascii="仿宋_GB2312" w:hAnsi="宋体" w:eastAsia="仿宋_GB2312" w:cs="宋体"/>
          <w:b w:val="0"/>
          <w:bCs w:val="0"/>
          <w:color w:val="auto"/>
          <w:kern w:val="0"/>
          <w:sz w:val="32"/>
          <w:szCs w:val="32"/>
          <w:highlight w:val="none"/>
          <w:shd w:val="clear" w:color="auto" w:fill="FFFFFF"/>
          <w:lang w:val="en-US" w:eastAsia="zh-CN" w:bidi="ar-SA"/>
        </w:rPr>
        <w:t>针对2022年部分经费预算执行偏离度较大的，在2023年预算编制时已做调整。如市照明事务中心2022年预算的公务接待经费预算执行为0，而在2023年预算时已压减该经费。</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2.信息公开。</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2022年我部门严格按照财政局要求将部门整体绩效自评情况和自行组织的评价情况及时向社会予以公开。</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3.整改反馈。</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市财政局对我部门“西二环一期道路工程可用性服务费”进行了项目支出绩效评价，对“城镇保障性安居工程”进行了政策支出绩效评价。然后我部门对评价中提出的问题，及时提出整改措施，并按要求及时向财政部门报送了2022年度项目支出绩效评价结果整改情况的函，反馈了应用绩效结果报告。</w:t>
      </w:r>
    </w:p>
    <w:p>
      <w:pPr>
        <w:keepNext w:val="0"/>
        <w:keepLines w:val="0"/>
        <w:pageBreakBefore w:val="0"/>
        <w:widowControl/>
        <w:numPr>
          <w:ilvl w:val="0"/>
          <w:numId w:val="6"/>
        </w:numPr>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val="0"/>
          <w:bCs w:val="0"/>
          <w:color w:val="auto"/>
          <w:kern w:val="0"/>
          <w:sz w:val="32"/>
          <w:szCs w:val="32"/>
          <w:highlight w:val="none"/>
          <w:shd w:val="clear" w:color="auto" w:fill="FFFFFF"/>
          <w:lang w:val="en-US" w:eastAsia="zh-CN" w:bidi="ar-SA"/>
        </w:rPr>
        <w:t>我部门严格按照市财政局《关于开展2022年市级部门绩效自评工作的通知》要求，根据2022年市级部门各支出绩效评价指标体系，认真对本部门所有项目支出绩效进行自评并撰写自评报告，评价准确率较高。</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98" w:name="_Toc103808259_WPSOffice_Level2"/>
      <w:bookmarkStart w:id="99" w:name="_Toc29345"/>
      <w:bookmarkStart w:id="100" w:name="_Toc1109522426_WPSOffice_Level2"/>
      <w:r>
        <w:rPr>
          <w:rFonts w:hint="eastAsia" w:ascii="黑体" w:hAnsi="宋体" w:eastAsia="黑体" w:cs="宋体"/>
          <w:color w:val="auto"/>
          <w:kern w:val="0"/>
          <w:sz w:val="32"/>
          <w:szCs w:val="32"/>
          <w:highlight w:val="none"/>
          <w:shd w:val="clear" w:color="auto" w:fill="FFFFFF"/>
        </w:rPr>
        <w:t>四、评价结论及建议</w:t>
      </w:r>
      <w:bookmarkEnd w:id="98"/>
      <w:bookmarkEnd w:id="99"/>
      <w:bookmarkEnd w:id="100"/>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val="0"/>
          <w:bCs w:val="0"/>
          <w:color w:val="auto"/>
          <w:kern w:val="0"/>
          <w:sz w:val="32"/>
          <w:szCs w:val="32"/>
          <w:highlight w:val="none"/>
          <w:shd w:val="clear" w:color="auto" w:fill="FFFFFF"/>
          <w:lang w:val="en-US" w:eastAsia="zh-CN" w:bidi="ar-SA"/>
        </w:rPr>
        <w:t>我部门2022年绩效目标设置明确、预算编制较准确、项目预算执行较好</w:t>
      </w:r>
      <w:r>
        <w:rPr>
          <w:rFonts w:hint="eastAsia" w:ascii="仿宋_GB2312" w:hAnsi="宋体" w:eastAsia="仿宋_GB2312" w:cs="宋体"/>
          <w:b w:val="0"/>
          <w:bCs w:val="0"/>
          <w:color w:val="auto"/>
          <w:kern w:val="0"/>
          <w:sz w:val="32"/>
          <w:szCs w:val="32"/>
          <w:highlight w:val="none"/>
          <w:shd w:val="clear" w:color="auto" w:fill="FFFFFF"/>
          <w:lang w:val="zh-CN" w:eastAsia="zh-CN" w:bidi="ar-SA"/>
        </w:rPr>
        <w:t>，基本按照计划完成年度工作任务，实现了年度绩效目标。按照202</w:t>
      </w:r>
      <w:r>
        <w:rPr>
          <w:rFonts w:hint="eastAsia" w:ascii="仿宋_GB2312" w:hAnsi="宋体" w:eastAsia="仿宋_GB2312" w:cs="宋体"/>
          <w:b w:val="0"/>
          <w:bCs w:val="0"/>
          <w:color w:val="auto"/>
          <w:kern w:val="0"/>
          <w:sz w:val="32"/>
          <w:szCs w:val="32"/>
          <w:highlight w:val="none"/>
          <w:shd w:val="clear" w:color="auto" w:fill="FFFFFF"/>
          <w:lang w:val="en-US" w:eastAsia="zh-CN" w:bidi="ar-SA"/>
        </w:rPr>
        <w:t>3</w:t>
      </w:r>
      <w:r>
        <w:rPr>
          <w:rFonts w:hint="eastAsia" w:ascii="仿宋_GB2312" w:hAnsi="宋体" w:eastAsia="仿宋_GB2312" w:cs="宋体"/>
          <w:b w:val="0"/>
          <w:bCs w:val="0"/>
          <w:color w:val="auto"/>
          <w:kern w:val="0"/>
          <w:sz w:val="32"/>
          <w:szCs w:val="32"/>
          <w:highlight w:val="none"/>
          <w:shd w:val="clear" w:color="auto" w:fill="FFFFFF"/>
          <w:lang w:val="zh-CN" w:eastAsia="zh-CN" w:bidi="ar-SA"/>
        </w:rPr>
        <w:t>年市级部门整体支出绩效评价指标和计分标准，</w:t>
      </w:r>
      <w:r>
        <w:rPr>
          <w:rFonts w:hint="eastAsia" w:ascii="仿宋_GB2312" w:hAnsi="宋体" w:eastAsia="仿宋_GB2312" w:cs="宋体"/>
          <w:b w:val="0"/>
          <w:bCs w:val="0"/>
          <w:color w:val="auto"/>
          <w:kern w:val="0"/>
          <w:sz w:val="32"/>
          <w:szCs w:val="32"/>
          <w:highlight w:val="none"/>
          <w:shd w:val="clear" w:color="auto" w:fill="FFFFFF"/>
          <w:lang w:val="en-US" w:eastAsia="zh-CN" w:bidi="ar-SA"/>
        </w:rPr>
        <w:t>市住房城乡建设局2022年部门支出整体绩效评价得分98.61分（详见附件1），其中部门预算项目绩效管理得分48.61分、专项预算项目绩效管理得分30分、绩效结果应用得分10分、自评质量得分10分。</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bCs/>
          <w:color w:val="auto"/>
          <w:kern w:val="0"/>
          <w:sz w:val="32"/>
          <w:szCs w:val="32"/>
          <w:highlight w:val="none"/>
          <w:shd w:val="clear" w:color="auto" w:fill="FFFFFF"/>
          <w:lang w:val="en-US" w:eastAsia="zh-CN" w:bidi="ar-SA"/>
        </w:rPr>
        <w:t>1.预算绩效管理观念不强</w:t>
      </w:r>
      <w:r>
        <w:rPr>
          <w:rFonts w:hint="eastAsia" w:ascii="仿宋_GB2312" w:hAnsi="宋体" w:eastAsia="仿宋_GB2312" w:cs="宋体"/>
          <w:b w:val="0"/>
          <w:bCs w:val="0"/>
          <w:color w:val="auto"/>
          <w:kern w:val="0"/>
          <w:sz w:val="32"/>
          <w:szCs w:val="32"/>
          <w:highlight w:val="none"/>
          <w:shd w:val="clear" w:color="auto" w:fill="FFFFFF"/>
          <w:lang w:val="en-US" w:eastAsia="zh-CN" w:bidi="ar-SA"/>
        </w:rPr>
        <w:t>。部分项目实施单位只重视资金预算，不重视绩效管理。对预算绩效管理了解甚少、绩效评价工作难以开展，容易造成预算失效。</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bCs/>
          <w:color w:val="auto"/>
          <w:kern w:val="0"/>
          <w:sz w:val="32"/>
          <w:szCs w:val="32"/>
          <w:highlight w:val="none"/>
          <w:shd w:val="clear" w:color="auto" w:fill="FFFFFF"/>
          <w:lang w:val="en-US" w:eastAsia="zh-CN" w:bidi="ar-SA"/>
        </w:rPr>
        <w:t>2.“三公”经费超预算。</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w:t>
      </w:r>
      <w:r>
        <w:rPr>
          <w:rFonts w:hint="eastAsia" w:ascii="仿宋_GB2312" w:hAnsi="宋体" w:eastAsia="仿宋_GB2312" w:cs="宋体"/>
          <w:b w:val="0"/>
          <w:bCs w:val="0"/>
          <w:color w:val="auto"/>
          <w:kern w:val="0"/>
          <w:sz w:val="32"/>
          <w:szCs w:val="32"/>
          <w:highlight w:val="none"/>
          <w:shd w:val="clear" w:color="auto" w:fill="FFFFFF"/>
          <w:lang w:val="zh-CN" w:eastAsia="zh-CN" w:bidi="ar-SA"/>
        </w:rPr>
        <w:t>市住房城乡建设局公务用车运行维护费年初预算</w:t>
      </w:r>
      <w:r>
        <w:rPr>
          <w:rFonts w:hint="eastAsia" w:ascii="仿宋_GB2312" w:hAnsi="宋体" w:eastAsia="仿宋_GB2312" w:cs="宋体"/>
          <w:b w:val="0"/>
          <w:bCs w:val="0"/>
          <w:color w:val="auto"/>
          <w:kern w:val="0"/>
          <w:sz w:val="32"/>
          <w:szCs w:val="32"/>
          <w:highlight w:val="none"/>
          <w:shd w:val="clear" w:color="auto" w:fill="FFFFFF"/>
          <w:lang w:val="en-US" w:eastAsia="zh-CN" w:bidi="ar-SA"/>
        </w:rPr>
        <w:t>7.75万元，实际支出11.15万元，预算执行率143.87%。主要原因</w:t>
      </w:r>
      <w:r>
        <w:rPr>
          <w:rFonts w:hint="eastAsia" w:ascii="仿宋_GB2312" w:hAnsi="宋体" w:eastAsia="仿宋_GB2312" w:cs="宋体"/>
          <w:b w:val="0"/>
          <w:bCs w:val="0"/>
          <w:color w:val="auto"/>
          <w:kern w:val="0"/>
          <w:sz w:val="32"/>
          <w:szCs w:val="32"/>
          <w:highlight w:val="none"/>
          <w:shd w:val="clear" w:color="auto" w:fill="FFFFFF"/>
          <w:lang w:val="zh-CN" w:eastAsia="zh-CN" w:bidi="ar-SA"/>
        </w:rPr>
        <w:t>我部门“三公’经费年初预算较低，局机关公务用车运行维护费用年初预算仅为3万元。</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宋体" w:eastAsia="仿宋_GB2312" w:cs="宋体"/>
          <w:b/>
          <w:bCs/>
          <w:color w:val="auto"/>
          <w:kern w:val="0"/>
          <w:sz w:val="32"/>
          <w:szCs w:val="32"/>
          <w:highlight w:val="none"/>
          <w:shd w:val="clear" w:color="auto" w:fill="FFFFFF"/>
          <w:lang w:val="en-US" w:eastAsia="zh-CN" w:bidi="ar-SA"/>
        </w:rPr>
        <w:t>3.个别项目实施进度较慢。</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2021市城区排水排污日常维护及应急抢险工程、市政基础设施维修维护项目于2021年1月开工，当年12月竣工，但截至目前没有完成工程审计及财务决算。</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bCs/>
          <w:color w:val="auto"/>
          <w:kern w:val="0"/>
          <w:sz w:val="32"/>
          <w:szCs w:val="32"/>
          <w:highlight w:val="none"/>
          <w:shd w:val="clear" w:color="auto" w:fill="FFFFFF"/>
          <w:lang w:val="en-US" w:eastAsia="zh-CN" w:bidi="ar-SA"/>
        </w:rPr>
        <w:t>1.加强预算绩效管理。</w:t>
      </w:r>
      <w:r>
        <w:rPr>
          <w:rFonts w:hint="eastAsia" w:ascii="仿宋_GB2312" w:hAnsi="宋体" w:eastAsia="仿宋_GB2312" w:cs="宋体"/>
          <w:b w:val="0"/>
          <w:bCs w:val="0"/>
          <w:color w:val="auto"/>
          <w:kern w:val="0"/>
          <w:sz w:val="32"/>
          <w:szCs w:val="32"/>
          <w:highlight w:val="none"/>
          <w:shd w:val="clear" w:color="auto" w:fill="FFFFFF"/>
          <w:lang w:val="en-US" w:eastAsia="zh-CN" w:bidi="ar-SA"/>
        </w:rPr>
        <w:t>各单位要通过培训、学习、宣传，提高全体职工对预算绩效管理的认识。进一步加强各单位的预算资金管理，减少预算资金使用的随意性，对预算的事前、事中、事后进行全过程控制，加大对预算编制与执行的监督管理力度，提高预算资金使用效率。</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zh-CN" w:eastAsia="zh-CN" w:bidi="ar-SA"/>
        </w:rPr>
      </w:pPr>
      <w:r>
        <w:rPr>
          <w:rFonts w:hint="eastAsia" w:ascii="仿宋_GB2312" w:hAnsi="宋体" w:eastAsia="仿宋_GB2312" w:cs="宋体"/>
          <w:b/>
          <w:bCs/>
          <w:color w:val="auto"/>
          <w:kern w:val="0"/>
          <w:sz w:val="32"/>
          <w:szCs w:val="32"/>
          <w:highlight w:val="none"/>
          <w:shd w:val="clear" w:color="auto" w:fill="FFFFFF"/>
          <w:lang w:val="en-US" w:eastAsia="zh-CN" w:bidi="ar-SA"/>
        </w:rPr>
        <w:t>2.加强项目实施管理。</w:t>
      </w:r>
      <w:r>
        <w:rPr>
          <w:rFonts w:hint="eastAsia" w:ascii="仿宋_GB2312" w:hAnsi="宋体" w:eastAsia="仿宋_GB2312" w:cs="宋体"/>
          <w:b w:val="0"/>
          <w:bCs w:val="0"/>
          <w:color w:val="auto"/>
          <w:kern w:val="0"/>
          <w:sz w:val="32"/>
          <w:szCs w:val="32"/>
          <w:highlight w:val="none"/>
          <w:shd w:val="clear" w:color="auto" w:fill="FFFFFF"/>
          <w:lang w:val="en-US" w:eastAsia="zh-CN" w:bidi="ar-SA"/>
        </w:rPr>
        <w:t>各项目主管科室（单位）要加强对项目实施进度进行实时监控，对项目实施过程中的进度异常情况做出及时处理，从而加快项目实施进度。</w:t>
      </w:r>
    </w:p>
    <w:p>
      <w:pPr>
        <w:pStyle w:val="14"/>
        <w:keepNext w:val="0"/>
        <w:keepLines w:val="0"/>
        <w:pageBreakBefore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kern w:val="2"/>
          <w:sz w:val="32"/>
          <w:szCs w:val="32"/>
          <w:highlight w:val="none"/>
          <w:u w:val="none"/>
          <w:lang w:val="en-US" w:eastAsia="zh-CN" w:bidi="ar-SA"/>
        </w:rPr>
        <w:t>附件：部门预算项目支出绩效自评表（2022年度）</w:t>
      </w:r>
    </w:p>
    <w:tbl>
      <w:tblPr>
        <w:tblStyle w:val="15"/>
        <w:tblpPr w:leftFromText="180" w:rightFromText="180" w:vertAnchor="text" w:horzAnchor="page" w:tblpX="668" w:tblpY="744"/>
        <w:tblOverlap w:val="never"/>
        <w:tblW w:w="62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692"/>
        <w:gridCol w:w="116"/>
        <w:gridCol w:w="1015"/>
        <w:gridCol w:w="1269"/>
        <w:gridCol w:w="1893"/>
        <w:gridCol w:w="1130"/>
        <w:gridCol w:w="866"/>
        <w:gridCol w:w="1119"/>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部门名称</w:t>
            </w:r>
          </w:p>
        </w:tc>
        <w:tc>
          <w:tcPr>
            <w:tcW w:w="41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年度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主要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任务</w:t>
            </w:r>
          </w:p>
        </w:tc>
        <w:tc>
          <w:tcPr>
            <w:tcW w:w="3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任务名称</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主要内容</w:t>
            </w:r>
          </w:p>
        </w:tc>
        <w:tc>
          <w:tcPr>
            <w:tcW w:w="20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预算金额（万元）</w:t>
            </w:r>
          </w:p>
        </w:tc>
        <w:tc>
          <w:tcPr>
            <w:tcW w:w="16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总额</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财政拨款</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总额</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财政拨款</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人员类项目</w:t>
            </w:r>
          </w:p>
        </w:tc>
        <w:tc>
          <w:tcPr>
            <w:tcW w:w="47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保障250人在职人人工资福利及退休人员生活补助</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4647.69</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4647.69</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4403.43</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4403.43</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运转类项目</w:t>
            </w:r>
          </w:p>
        </w:tc>
        <w:tc>
          <w:tcPr>
            <w:tcW w:w="47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保障部门各单位正常运行</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496.76</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496.76</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496.47</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496.47</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特定目标类项目</w:t>
            </w:r>
          </w:p>
        </w:tc>
        <w:tc>
          <w:tcPr>
            <w:tcW w:w="47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保障部门各重点工作任务完成</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56705.62</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56705.62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333.02</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37264.69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37264.69</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73" w:type="pct"/>
            <w:tcBorders>
              <w:top w:val="single" w:color="000000" w:sz="4" w:space="0"/>
              <w:left w:val="single" w:color="000000" w:sz="4" w:space="0"/>
              <w:bottom w:val="single" w:color="000000" w:sz="4" w:space="0"/>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73" w:type="pct"/>
            <w:tcBorders>
              <w:top w:val="single" w:color="000000" w:sz="4" w:space="0"/>
              <w:left w:val="single" w:color="000000" w:sz="4" w:space="0"/>
              <w:bottom w:val="single" w:color="000000" w:sz="4" w:space="0"/>
              <w:right w:val="nil"/>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50"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金额合计</w:t>
            </w:r>
          </w:p>
        </w:tc>
        <w:tc>
          <w:tcPr>
            <w:tcW w:w="592" w:type="pct"/>
            <w:tcBorders>
              <w:top w:val="nil"/>
              <w:left w:val="nil"/>
              <w:bottom w:val="nil"/>
              <w:right w:val="nil"/>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61850.07</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61850.07</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333.02</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42164.59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42164.59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年度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总体</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目标</w:t>
            </w:r>
          </w:p>
        </w:tc>
        <w:tc>
          <w:tcPr>
            <w:tcW w:w="1443"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预期目标</w:t>
            </w:r>
          </w:p>
        </w:tc>
        <w:tc>
          <w:tcPr>
            <w:tcW w:w="30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57" w:type="pct"/>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按照市委、市政府及省住建厅工作要求，坚持稳中求进工作总基调，扎实推动城市更新、海绵城市建设、安居扶贫再创佳绩、行业重点领域改革不断深化、行业治理能力全面提升、安全生产和行业稳定持续向好、党的建设和精神文明建设巩固深化等重点工作，完成民生实事年度目标任务，做大做强建筑业。</w:t>
            </w:r>
          </w:p>
        </w:tc>
        <w:tc>
          <w:tcPr>
            <w:tcW w:w="309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2022年度，对照年初目标任务，确保本部门人员工资福利足额发放及日常工作运行；按照市委、市政府及省住建厅工作要求，全年完成固定资产投资72.4亿元、房地产投资126.7亿元、同比增长0.6，商品房销售133.9万平米，建筑业总产值274.7亿元、同比增长3.9%，全系统争取到位资金13.4亿元，位居市级部门第一名。成功争取系统化全域推进海绵城市建设国家级示范城市、省级城市更新试点市，其中海绵城市建设示范期三年将获得中央财政补助资金11亿元，是建市以来获得最大规模资金的单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绩</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一级指标</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二级指标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三级指标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指标值（包含数字及文字描述）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实际完成指标值（包含数字及文字描述）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部门自评得分</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财政部门科室复评得分</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预算在职人数</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250人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253人</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特定目标项目数量</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60个</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完成任务时间</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2022年12月31日前</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人员经费</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3251.88万元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4403.43万元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公用经费</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497.44万元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496.47万元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特定目标项目经费</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1497.97万元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42164.59万元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提供就业岗位，增加群众收入</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房地产项目建设、市政基础设施维修维护为群众提供了直接的、持续的就业岗位，增加了群众的直接收入。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促进其他产业发展</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房地产行业带动各地区其他产业发展。</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市政、园林基础设施维修维护</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为广大市民创造一个优美、舒适、安全、和协的工作环境和生活环境。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安居扶贫攻坚</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确保农村人口有安全住</w:t>
            </w:r>
            <w:r>
              <w:rPr>
                <w:rFonts w:hint="eastAsia" w:ascii="宋体" w:hAnsi="宋体" w:cs="宋体"/>
                <w:i w:val="0"/>
                <w:color w:val="auto"/>
                <w:kern w:val="0"/>
                <w:sz w:val="15"/>
                <w:szCs w:val="15"/>
                <w:highlight w:val="none"/>
                <w:u w:val="none"/>
                <w:lang w:val="en-US" w:eastAsia="zh-CN" w:bidi="ar"/>
              </w:rPr>
              <w:t>房。</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绿色住建</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将绿色发展要求贯穿行业管理，着力建设资源节约、生态环保、节能高效、服务提升的绿色住建。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指标1：公众满意度</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预算执行</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3"/>
                <w:szCs w:val="13"/>
                <w:highlight w:val="none"/>
                <w:u w:val="none"/>
                <w:lang w:val="en-US" w:eastAsia="zh-CN" w:bidi="ar"/>
              </w:rPr>
              <w:t>一是结存的养老保险因主管部门未明确缴费口径无法缴纳；二是项目经费未达到支付条件；三是12月底下达的指标未来得及支付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合计得分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部门（单位）自评结论</w:t>
            </w:r>
          </w:p>
        </w:tc>
        <w:tc>
          <w:tcPr>
            <w:tcW w:w="45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部门绩效目标设置明确、预算编制较准确、项目预算执行较好，基本按照计划完成年度工作任务，实现了年度绩效目标。自评得分98分。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部门（单位）自评存在问题</w:t>
            </w:r>
          </w:p>
        </w:tc>
        <w:tc>
          <w:tcPr>
            <w:tcW w:w="45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部分项目实施单位只重视资金预算，不重视绩效管理；个别项目实施进度较缓慢。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部门（单位自评改进措施</w:t>
            </w:r>
          </w:p>
        </w:tc>
        <w:tc>
          <w:tcPr>
            <w:tcW w:w="45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各通过培训、学习、宣传，提高全体职工及项目实施单位对预算绩效管理的认识，加强预算绩效管理。</w:t>
            </w:r>
          </w:p>
        </w:tc>
      </w:tr>
    </w:tbl>
    <w:p>
      <w:pPr>
        <w:pStyle w:val="14"/>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W w:w="6206" w:type="pct"/>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429"/>
        <w:gridCol w:w="1017"/>
        <w:gridCol w:w="1062"/>
        <w:gridCol w:w="531"/>
        <w:gridCol w:w="1361"/>
        <w:gridCol w:w="554"/>
        <w:gridCol w:w="646"/>
        <w:gridCol w:w="473"/>
        <w:gridCol w:w="692"/>
        <w:gridCol w:w="843"/>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北二环三段、四段道路工程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完成项目建设，提升城市形象，改善人居环境。</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2015年12月完成建设，达到提升城市形象、改善人居环境的目标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新建道路长3240米，标准断面宽30米，建设内容包括人行道、路基、路面、边坡防护与支挡、立交桥梁、出入口及配套雨污水管道、综合管道、交通安全与管理设施监控、照明及供配电、景观及绿化等附属工程。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改造面积</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3240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验收合格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达到国家现行验收标准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按时完成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4122.48</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提升城市形象</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提升城市品位，树立良好的城市形象，促进广元市的社会和谐发展。</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拉动城市经济发展</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间接促进广元市经济发展与社会进步，为广元市招商引资创造极好条件。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改善周边人居环境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提升广元市城乡环境和城市品质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提升城市交通的出行的便利性。</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提高项目周边区域居民的生活环境，提升城市品位，树立良好的城市形象，促进广元市的社会和谐发展。使项目区及周边成为环境的理想场所，提高了广元市城市形象，产生了良好的环境效益。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项目单位预算绩效意识不强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加强项目单位预算绩效管理，提高绩效管理水平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12"/>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p>
            <w:pPr>
              <w:shd w:val="clear"/>
              <w:jc w:val="left"/>
              <w:rPr>
                <w:rFonts w:hint="eastAsia" w:ascii="宋体" w:hAnsi="宋体" w:eastAsia="宋体" w:cs="宋体"/>
                <w:i w:val="0"/>
                <w:color w:val="auto"/>
                <w:sz w:val="15"/>
                <w:szCs w:val="15"/>
                <w:highlight w:val="none"/>
                <w:u w:val="none"/>
              </w:rPr>
            </w:pPr>
          </w:p>
          <w:p>
            <w:pPr>
              <w:shd w:val="clear"/>
              <w:jc w:val="left"/>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城市体检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选取我市中心城区（范围涵盖利州区、昭化区、朝天区和经开区），围绕生态宜居、城市特色、交通便捷、生活舒适、多元包容、安全韧性、城市活力、城市人居环境满意度等8个方面88项基本指标进行评估，完成自评估并形成城市体检报告，找准广元“城市病”病因，坚持问题导向，制定有效到位的“体检+治病”系统性改进措施形成城市整治提升方案，为有序实施城市更新，全面提升城市综合承载力奠定坚实基础。</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年度目标。完成了采相关数据采集、数据分析工作，形成“必检指标+特色指标+自选指标”的105项三元指标体系，编制完成《广元市2022年度城市体检报告（送审稿）》，并针对发现的城市问题，提出了相应提升措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我局通过政府采购竞争性磋商方式，选取四川省城乡建设研究院作为2022年广元市城市体检项目编制单位，经现场踏勘、访谈等方式采集城市基础数据和资料5000余份，2022年12月，省城建院综合体检指标分析结果和社会调查结果，按照定性和定量、主观和客观相结合的原则分析论证，综合评价城市人居环境质量，总结了城市发展的短板弱项，提出了相应“城市病”治理对策建议，编制完成了《广元市2022年度城市体检报告（初稿）》。后经组织相关部门、局属单位科室研究并修改完善，形成了《广元市2022年度城市体检报告（征求意见稿）》。2023年1月9日，我局书面征求各相关部门意见并修改完善，形成了《广元市2022年度城市体检报告（送审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62.30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合同金额89万元，按合同约定进度已完成70%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62.30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体检范围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Arial" w:hAnsi="Arial" w:eastAsia="宋体" w:cs="Arial"/>
                <w:i w:val="0"/>
                <w:color w:val="auto"/>
                <w:sz w:val="15"/>
                <w:szCs w:val="15"/>
                <w:highlight w:val="none"/>
                <w:u w:val="none"/>
              </w:rPr>
            </w:pPr>
            <w:r>
              <w:rPr>
                <w:rFonts w:hint="default" w:ascii="Arial" w:hAnsi="Arial" w:eastAsia="宋体" w:cs="Arial"/>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8</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城市体检报告符合城市实际</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按标准完成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已完成《广元市2022年度城市体检报告（送审稿）》</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委托业务服务费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62.3</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合同金额89万元，按合同约定进度已完成70%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全面提升城市综合承载力奠定坚实基础</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为有序实施城市更新，全面提升城市综合承载力奠定坚实基础</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改善生态环境，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不断改善生态环境，持续提升城市品质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社会公众满意度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自评总分100分。城市体检报告分析我市城市建设突出成效、城市发展潜力优势和城市建设问题短板，提出了治理措施建议，并列出《城市人居环境质量提升行动方案建议》。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广元市房产交易服务平台链路租赁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租赁市住房城乡建设局机房到四县三区、市不动产登记中心及万缘政务中心共计9条专用电路网络（线路类型MSTP、网络带宽为100M/条），保障广元市房产交易服务平台稳定运行，提升管理效率和水平。</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通过租赁9条专用电路网络（线路类型MSTP、网络带宽为100M/条），已保障广元市房产交易服务平台稳定运行，提升了管理效率和水平。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租赁市住房城乡建设局机房到四县三区、市不动产登记中心及万缘政务中心共计9条专用电路网络（线路类型MSTP、网络带宽为100M/条），保障广元市房产交易服务平台稳定运行，提升管理效率和水平。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49.58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99.16%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根据合同金额已执行完毕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专网链路租赁</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连通率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年</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租赁费用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促进房地产发展</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服务对象满意度</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房地产开发企业、群众</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99.92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目标设置合理、预算执行较好，全面完成目标任务</w:t>
            </w:r>
            <w:r>
              <w:rPr>
                <w:rFonts w:hint="eastAsia" w:ascii="宋体" w:hAnsi="宋体" w:cs="宋体"/>
                <w:i w:val="0"/>
                <w:color w:val="auto"/>
                <w:kern w:val="0"/>
                <w:sz w:val="15"/>
                <w:szCs w:val="15"/>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r>
              <w:rPr>
                <w:rFonts w:hint="eastAsia" w:ascii="宋体" w:hAnsi="宋体" w:cs="宋体"/>
                <w:i w:val="0"/>
                <w:color w:val="auto"/>
                <w:kern w:val="0"/>
                <w:sz w:val="15"/>
                <w:szCs w:val="15"/>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r>
              <w:rPr>
                <w:rFonts w:hint="eastAsia" w:ascii="宋体" w:hAnsi="宋体" w:cs="宋体"/>
                <w:i w:val="0"/>
                <w:color w:val="auto"/>
                <w:kern w:val="0"/>
                <w:sz w:val="15"/>
                <w:szCs w:val="15"/>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凤凰山城市棚户区配套基础设施建设二期工程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完成项目建设，改善人居环境，完善交通网络。</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2022年1月完成建设并投入使用。已达到改善人居环境，完善交通网络目标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完成550米道路建设（其中隧道工程全长345米）宽12米。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6,650.00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6,650.00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6,650.00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4,650.00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4,650.00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4,650.00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隧道长</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345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4900万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隧道宽</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4900万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总投资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6650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6590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改善城市交通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优良中低差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98%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项目建成后，满足了周边居民的交通出行需求，改善该片区内路网结构，增强嘉陵、东坝片区东西两侧用地的紧密联系，进一步带动该片区的经济高速发展，综合评价为100分。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市本级保障性住房委托管理项目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广元市房地产经营有限公司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根据《广元市本级公共租赁住房委托管理合同》对市本级14个公共租赁住房小区进行日常管理，保障公租房小区日常管理服务及小区居民居住环境稳步提升。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照《广元市本级公共租赁住房委托管理合同》中相关约定，以不定期的形式对所管辖的14个公共租赁住房小区进行日常管护巡查，针对巡查情况，立即进行整改。截止2022年12月31日，已全面完成对14个小区的日常管理，工人工资发放以及小区内小型的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2020年1月至2021年12月按照委托管理合同以及考核办法落实对合同内小区的维护与管理。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354.00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353.78</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353.78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354.00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353.78</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353.78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管理公租房小区数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公租房套数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4494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4494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管理面积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279713.44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平方米</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287431.56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公租房日常管理服务水平</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高</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2022年12月31日前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2020年委托费尾款</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94.00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已全额支付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2021年委托费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260.00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已全额支付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项目效果指标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小区居住环境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保障小区居民居住环境稳步提升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长期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小区住户满意度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截止评估时点，我公司对所管辖小区的管理做到居民满意度达到95%以上，对各小区的绿化、人文关怀等也做到井井有条，在做到上述管理标准的同时，每年年底也会组织公司工作人员对困难承租户进行新年慰问。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1、按照公共租赁住房小区《委托管理合同》，合同中明确约定以0.8元/平方米/月的管护费，但该项资金仅仅作为人工工资以及小区小型的维修维护，并未包含中、大型的更换及维修设施设备费用。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2、关于对不符合继续承租保障性住房的承租户清退问题，由于我公司属于国有企业，并无清退承租户的</w:t>
            </w:r>
            <w:r>
              <w:rPr>
                <w:rFonts w:hint="eastAsia" w:ascii="宋体" w:hAnsi="宋体" w:cs="宋体"/>
                <w:i w:val="0"/>
                <w:color w:val="auto"/>
                <w:kern w:val="0"/>
                <w:sz w:val="15"/>
                <w:szCs w:val="15"/>
                <w:highlight w:val="none"/>
                <w:u w:val="none"/>
                <w:lang w:val="en-US" w:eastAsia="zh-CN" w:bidi="ar"/>
              </w:rPr>
              <w:t>行政权力</w:t>
            </w:r>
            <w:r>
              <w:rPr>
                <w:rFonts w:hint="eastAsia" w:ascii="宋体" w:hAnsi="宋体" w:eastAsia="宋体" w:cs="宋体"/>
                <w:i w:val="0"/>
                <w:color w:val="auto"/>
                <w:kern w:val="0"/>
                <w:sz w:val="15"/>
                <w:szCs w:val="15"/>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1.是能否帮助我公司在市财政申请专项中、大修基金；2.是能否组织相关行政部门对现有的承租户进行一次全面的清查，对不符合居住条件以及恶意欠租的承租户进行清退。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2021年度广元市城区排水排污日常维护及应急抢险工程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广元市城市供排水事务中心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完成市城区管网清淤，破损井盖更换，破损管网修复，新建排水排污管网，泵站维护管理值守等确保市城区排水排污设施正常运行。</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破损井盖、雨篦约1680套，管网修复更换约4.2公里，泵站维护值守14座，对市城区约900公里排水设施运行汛前清淤。管道、检查井完好率达100%。按照轻重缓急的原则依次时行整治，快修快补，确保管网设施完好，保障市城区排水排污畅通，群众出行无安全隐患，无内涝灾害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完成市城区管网清淤</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公里</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更换井盖</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1680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守护泵站</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座</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管网修复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公里</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2021年12月31日前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前期费用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32.01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9</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工程费用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9</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对工作的促进作用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保障市城区排水排污畅通，群众安全出行，无内涝灾害发生。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对环境的促进作用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确保无污水溢流入河，保障南河及嘉陵江水质，提高市城区人居生活环境。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可持续影响时间</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长期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群众满意度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color w:val="auto"/>
                <w:sz w:val="15"/>
                <w:szCs w:val="15"/>
                <w:highlight w:val="none"/>
                <w:u w:val="none"/>
              </w:rPr>
            </w:pPr>
            <w:r>
              <w:rPr>
                <w:rFonts w:hint="default" w:ascii="Arial" w:hAnsi="Arial" w:eastAsia="宋体" w:cs="Arial"/>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98</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绩效目标设置合理、预算执行较好，较好完成目标任务，自评良好。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项目后期工作进度较缓慢、绩效管理意识不强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今后进一步加强项目管理，提高财政投资效益。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2018年度广元市城区排水排污日常维护及应急抢险工程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广元市城市供排水事务中心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破损井盖、雨篦约1800套，管网修复更换约5公里，泵站维护值守10座，对市城区约680公里排水设施运行汛前清淤。管道、检查井完好率达100%。按照轻重缓急的原则依次时行整治，快修快补，确保管网设施完好，保障市城区排水排污畅通，群众出行无安全隐患，无内涝灾害发生。</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已完成市城区管网清淤，破损井盖更换，破损管网修复，新建排水排污管网，泵站维护管理值守等确保市城区排水排污设施正常运行。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更换破损井盖、雨篦约1800套，管网修复更换约5公里，泵站维护值守10座，对市城区约680公里排水设施运行汛前清淤。管道、检查井完好率达100%。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管网清淤</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公里</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管网修复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千米</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泵站守护</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更换井盖</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前期费用（监理费、设计费、审计费等）</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118.21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工程费用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2015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对工作的促进作用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保障市城区排水排污畅通，群众安全出行，无内涝灾害发生。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对环境的促进作用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确保无污水溢流入河，保障南河及嘉陵江水质，提高市城区人居生活环境。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可持续影响时间</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长期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群众满意度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绩效目标设置合理、预算执行较好，较好完成目标任务，自评良好。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项目后期工作进度较缓慢、绩效管理意识不强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今后进一步加强项目管理，提高财政投资效益。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海绵城市建设示范申报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开展系统化全域推进海绵城市建设示范城市申报工作，完善海绵城市建设相关技术标准，做好海绵城市建设领导小组办公室日常工作。</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功申报为系统化全域推进海绵城市建设国家级示范城市，并编制完成《广元市海绵城市规划设计建设技术导则（试行）》《广元市海绵城市专项设计编制规定及审查要点试行》等规范性文件，圆满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科学编制海绵城市申报方案，先后成功申报省级和国家级系统化全域推进海绵城市建设示范城市；编制完成《广元市海绵城市规划设计建设技术导则》《广元市海绵城市专项设计编制规定及审查要点》等规范性文件，完成市领导交办的相关工作，做好海绵城市建设领导小组办公室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编制实施方案</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编制规范性文件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技术咨询服务费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规范性文件编制费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资料印制、宣传等费用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内涝防治标准、内涝积水区段消除比例、天然水域面积比例、可透水地面面积比例、城市生活污水集中收集率等指标达到2022年度海绵城市建设要求。</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优良中低差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级</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服务对象满意度指标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市民</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报费用使用合理合规，效益突出，编制海绵城市申报方案，成功申报为系统化全域推进海绵城市建设国家级示范城市；编制完成《广元市海绵城市规划设计建设技术导则（试行）》《广元市海绵城市专项设计编制规定及审查要点试行》等规范性文件，为我市海绵城市建设提供技术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p>
            <w:pPr>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2021年市政公用设施维护维修项目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对市城区125条主次道路（道路总长度189km、总面积约479万㎡，其中车行道面积约303万㎡、人行道面积约176万㎡）、62座各类桥梁、14万㎡广场、60km绿道进行维护维修，确保道路完好率95%以上。</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2022年，完成道路维修2.8万平方米、人行道维修5万平方米及防汛应急抢险工作，道路完好率达96%。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照工作安排，对上西火车站接送旅客通道、石器路等进行了提升改造，改造面积约2.8万平方米；对嘉陵路、人民南路、东苑路、成都路等破损严重的人行道进行了提升改造，改造人行道面积约5万平方米；出动应急抢险人员2000余人次、机械200余台班，顺利完成应急抢险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城区主次道路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符合国家验收标准</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各项检测值符合国家相关验收标准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维修费用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color w:val="auto"/>
                <w:sz w:val="15"/>
                <w:szCs w:val="15"/>
                <w:highlight w:val="none"/>
                <w:u w:val="none"/>
              </w:rPr>
            </w:pPr>
            <w:r>
              <w:rPr>
                <w:rFonts w:hint="default" w:ascii="Arial" w:hAnsi="Arial" w:eastAsia="宋体" w:cs="Arial"/>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满足群众出行需求</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道路通畅，能够满足群众出行需求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海绵化城市建设</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海绵化面积增加5000㎡以上</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群众满意度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color w:val="auto"/>
                <w:sz w:val="15"/>
                <w:szCs w:val="15"/>
                <w:highlight w:val="none"/>
                <w:u w:val="none"/>
              </w:rPr>
            </w:pPr>
            <w:r>
              <w:rPr>
                <w:rFonts w:hint="default" w:ascii="Arial" w:hAnsi="Arial" w:eastAsia="宋体" w:cs="Arial"/>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照工作安排，针对市城区市政设施破损现状，积极采取维修或提升改造方式解决问题，尤其是对市长信箱、12345热线等反映的问题，做到了有问必答、有破损必整治，确保问题整治及时、质量合格、群众满意，结合文明城市创建工作，市政设施完好率达96%。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2021年以前背街小巷长期由利州区各街道办管辖，由于缺失专项资金及专业力量，存在基础设施不完善的情况。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下一步将加强背街小巷的维修整治工作，进一步提高城市形象和群众幸福感。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西二环延伸段道路工程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完成1000米路基回填，完成上跨京昆高速大桥下部结构，完成桥梁梁预制场建设。从而提高区域通行能力、拉动经济增长，极大的方便周边居民的生产和生活。</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2022年12月完成建设。提高了区域通行能力、极大的方便了周边居民的生产和生活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新建长11.349千米，宽5-38米的道路及匝道，建设内容包括道路工程、桥涵工程、排水、照明、交安及附属设施建设。该项目于2020年9月启动实施，目前正在建设中。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改造面积</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验收合格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达到国家现行验收标准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按时完成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提升城市形象</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提升城市品位，树立良好的城市形象，促进广元市的社会和谐发展。</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拉动城市经济发展</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间接促进广元市经济发展与社会进步，为广元市招商引资创造极好条件。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改善周边人居环境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提升广元市城区河道岸线整治，极大的缓解水质污染。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通过植绿、添彩，美化生活环境，提升城市形象和品位。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进一步提升了城市品位，有利于改善周边居民的出行条件，提高了广元市城市形象，间接促进广元市经济发展与社会进步，有利于周边产业园区的发展为广元市招商引资创造极好条件，拉动城市经济发展，同时带动周边地价上涨。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项目单位预算绩效意识不强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加强项目单位预算绩效管理，提高绩效管理水平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p>
            <w:pPr>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西入口绿化提升改造工程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广元市文化旅游投资集团有限公司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项目提升改造绿地以及林地10.5万平方米；计划2022年2月开始实施，2022年12月前完成实施。改善周边环境，美化城市、提升城市品质</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2022年11月完成建设。已改善周边环境，美化城市、提升城市品质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主要对陵江高速出入口及周边绿地、袁家坝路口绿地、马踏飞燕节点及山体、孟家沟河岸、108国道南侧挡墙及北侧山体、宝成铁路北侧山体等近12万平方米绿地进行提升改造</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包括绿化景观提升</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挡墙</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桥墩</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绿化美化、陵宝路下穿隧道栏杆更换、河道及山体生态修复、宣传标语设置等。该项目于2022年2月启动实施，2022年11月完成建设。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改造面积</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验收合格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达到国家现行验收标准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按时完成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提升城市形象</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提升城市品位，树立良好的城市形象，促进广元市的社会和谐发展。</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拉动城市经济发展</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间接促进广元市经济发展与社会进步，为广元市招商引资创造极好条件。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改善周边人居环境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提升广元市城区河道岸线整治，极大的缓解水质污染。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通过植绿、添彩，美化生活环境，提升城市形象和品位。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提高项目周边区域居民的生活环境，提升城市品位，树立良好的城市形象，促进广元市的社会和谐发展。使项目区及周边成为环境的理想场所，提高了广元市城市形象，产生了良好的环境效益。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2"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p>
            <w:pPr>
              <w:shd w:val="clear"/>
              <w:jc w:val="left"/>
              <w:rPr>
                <w:rFonts w:hint="eastAsia" w:ascii="宋体" w:hAnsi="宋体" w:eastAsia="宋体" w:cs="宋体"/>
                <w:i w:val="0"/>
                <w:color w:val="auto"/>
                <w:sz w:val="15"/>
                <w:szCs w:val="15"/>
                <w:highlight w:val="none"/>
                <w:u w:val="none"/>
              </w:rPr>
            </w:pPr>
          </w:p>
          <w:p>
            <w:pPr>
              <w:shd w:val="clear"/>
              <w:jc w:val="left"/>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利州区龙潭乡元山弃土场及配套工程项目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广元市自然资源局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广元国成投资有限公司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钢波纹管排水管道施工；完成进出场道路施工，并配套安装照明、监控、喷淋系统、照明系统等设施；四季度完成该项目竣工验收；完成投资1000万元。通过收纳弃土，进行土地一级开发整理，达到一定年限的沉降期后，可以作为城市建设用地。</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完成钢波纹管排水管道施工；完成进出场道路施工；完成该项目阶段性竣工验收；完成投资1000万元。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主要建设内容为弃土填埋场、拦渣坝、排水沟、盲沟、截洪沟及管理用房、照明、监控等配套设施。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项目完成</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1.钢波纹管排水管道施工2.弃土场进出场道路施工</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1.完成临万龙路长约1200米钢波纹管排水管道安装，并按设计要求进行土方回填夯实。2.完成弃土场长约120米进出场道路施工，同步完成照明、监控、喷淋系统、照明系统等设施</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验收合格率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≥98%</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10个月</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完成年度投资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1000万元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完善配套设施，为市城区工程建设项目弃土提供条件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完善配套设施，为市城区工程建设项目弃土提供条件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创造收入</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本年度收纳弃土297342立方米，资金90万元。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喷播植草，生态修复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对通村村道及截水沟开挖的边坡进行喷播植草，对收纳弃土表面采取植树、种草、覆盖防尘网进行生态修复。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形成建设用地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长期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300" w:firstLineChars="200"/>
              <w:textAlignment w:val="auto"/>
              <w:rPr>
                <w:rFonts w:hint="eastAsia" w:ascii="宋体" w:hAnsi="宋体" w:eastAsia="宋体" w:cs="宋体"/>
                <w:i w:val="0"/>
                <w:color w:val="auto"/>
                <w:kern w:val="0"/>
                <w:sz w:val="15"/>
                <w:szCs w:val="15"/>
                <w:highlight w:val="none"/>
                <w:u w:val="none"/>
                <w:lang w:val="zh-CN" w:eastAsia="zh-CN" w:bidi="ar"/>
              </w:rPr>
            </w:pPr>
            <w:r>
              <w:rPr>
                <w:rFonts w:hint="eastAsia" w:ascii="宋体" w:hAnsi="宋体" w:eastAsia="宋体" w:cs="宋体"/>
                <w:i w:val="0"/>
                <w:color w:val="auto"/>
                <w:kern w:val="0"/>
                <w:sz w:val="15"/>
                <w:szCs w:val="15"/>
                <w:highlight w:val="none"/>
                <w:u w:val="none"/>
                <w:lang w:val="zh-CN" w:eastAsia="zh-CN" w:bidi="ar"/>
              </w:rPr>
              <w:t>新建弃土填埋场，为市城区工程建设项目提供了弃土场地，对开挖边坡及弃土表面采取植树、种草、覆盖防尘网进行生态修复，通过收纳弃土进行土地整治，形成了国有建设用地</w:t>
            </w:r>
            <w:r>
              <w:rPr>
                <w:rFonts w:hint="eastAsia" w:ascii="宋体" w:hAnsi="宋体" w:cs="宋体"/>
                <w:i w:val="0"/>
                <w:color w:val="auto"/>
                <w:kern w:val="0"/>
                <w:sz w:val="15"/>
                <w:szCs w:val="15"/>
                <w:highlight w:val="none"/>
                <w:u w:val="none"/>
                <w:lang w:val="zh-CN" w:eastAsia="zh-CN" w:bidi="ar"/>
              </w:rPr>
              <w:t>，</w:t>
            </w:r>
            <w:r>
              <w:rPr>
                <w:rFonts w:hint="eastAsia" w:ascii="宋体" w:hAnsi="宋体" w:eastAsia="宋体" w:cs="宋体"/>
                <w:i w:val="0"/>
                <w:color w:val="auto"/>
                <w:kern w:val="0"/>
                <w:sz w:val="15"/>
                <w:szCs w:val="15"/>
                <w:highlight w:val="none"/>
                <w:u w:val="none"/>
                <w:lang w:val="zh-CN" w:eastAsia="zh-CN" w:bidi="ar"/>
              </w:rPr>
              <w:t>本年度收纳弃土约</w:t>
            </w:r>
            <w:r>
              <w:rPr>
                <w:rFonts w:hint="eastAsia" w:ascii="宋体" w:hAnsi="宋体" w:eastAsia="宋体" w:cs="宋体"/>
                <w:i w:val="0"/>
                <w:color w:val="auto"/>
                <w:kern w:val="0"/>
                <w:sz w:val="15"/>
                <w:szCs w:val="15"/>
                <w:highlight w:val="none"/>
                <w:u w:val="none"/>
                <w:lang w:val="en-US" w:eastAsia="zh-CN" w:bidi="ar"/>
              </w:rPr>
              <w:t>30万</w:t>
            </w:r>
            <w:r>
              <w:rPr>
                <w:rFonts w:hint="eastAsia" w:ascii="宋体" w:hAnsi="宋体" w:eastAsia="宋体" w:cs="宋体"/>
                <w:i w:val="0"/>
                <w:color w:val="auto"/>
                <w:kern w:val="0"/>
                <w:sz w:val="15"/>
                <w:szCs w:val="15"/>
                <w:highlight w:val="none"/>
                <w:u w:val="none"/>
                <w:lang w:val="zh-CN" w:eastAsia="zh-CN" w:bidi="ar"/>
              </w:rPr>
              <w:t>立方米，弃土费用约90万元</w:t>
            </w:r>
            <w:r>
              <w:rPr>
                <w:rFonts w:hint="eastAsia" w:ascii="宋体" w:hAnsi="宋体" w:cs="宋体"/>
                <w:i w:val="0"/>
                <w:color w:val="auto"/>
                <w:kern w:val="0"/>
                <w:sz w:val="15"/>
                <w:szCs w:val="15"/>
                <w:highlight w:val="none"/>
                <w:u w:val="none"/>
                <w:lang w:val="zh-CN" w:eastAsia="zh-CN" w:bidi="ar"/>
              </w:rPr>
              <w:t>。</w:t>
            </w:r>
          </w:p>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cs="宋体"/>
                <w:i w:val="0"/>
                <w:color w:val="auto"/>
                <w:kern w:val="0"/>
                <w:sz w:val="15"/>
                <w:szCs w:val="15"/>
                <w:highlight w:val="none"/>
                <w:u w:val="none"/>
                <w:lang w:val="en-US" w:eastAsia="zh-CN" w:bidi="ar"/>
              </w:rPr>
              <w:t>无</w:t>
            </w:r>
            <w:r>
              <w:rPr>
                <w:rFonts w:hint="eastAsia" w:ascii="宋体" w:hAnsi="宋体" w:eastAsia="宋体" w:cs="宋体"/>
                <w:i w:val="0"/>
                <w:color w:val="auto"/>
                <w:kern w:val="0"/>
                <w:sz w:val="15"/>
                <w:szCs w:val="15"/>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lang w:eastAsia="zh-CN"/>
              </w:rPr>
            </w:pPr>
            <w:r>
              <w:rPr>
                <w:rFonts w:hint="eastAsia" w:ascii="宋体" w:hAnsi="宋体" w:cs="宋体"/>
                <w:i w:val="0"/>
                <w:color w:val="auto"/>
                <w:sz w:val="15"/>
                <w:szCs w:val="15"/>
                <w:highlight w:val="none"/>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p>
            <w:pPr>
              <w:shd w:val="clear"/>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海绵城市建设与城市更新工作培训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专题学习习近平总书记关于城市工作的重要论述、海绵城市建设理念、海绵城市规划建设管理全过程管控要求以及海绵城市建设典型案例等，提高对海绵城市建设理念认知水平。</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各县区、市级部门以及国有企业共60人参加。通过“理论培训+现场教学+研讨交流”相结合的方式，学习海绵城市建设与城市更新理念、方法和主要工作等内容。学员反响热烈，对海绵城市建设有了更深的认识，进一步凝聚工作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通过一周集中培训，深入学习习近平总书记关于城市工作的重要论述、海绵城市建设理念、海绵城市规划建设管理全过程管控要求以及海绵城市建设典型案例，学习城市更新理念、方法及主要工作等方面内容。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培训人数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60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学员参训率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培训完成时间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7</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提高海绵城市建设及城市更新工作质效</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优良中差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级</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服务对象满意度指标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学员对培训工作满意度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培训费用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此次培训学员参训率较高，培训费用合理且无超范围支出，采取“理论培训+现场教学+研讨交流”相结合的方式，遴选浙江大学校内外具有丰富教学和实践经验的优秀教师授课，培训效果较好，进一步夯实海绵城市建设和城市更新工作管理人员的理论基础，有力于提高我市海绵城市建设与城市更新工作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p>
            <w:pPr>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西湾水厂取水工程迁建项目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完成项目取水泵站、设施设备、输水管道及供电线路建设和联调联试，并实现项目投产运行，计划完成项目投资2.31亿元。</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2022年3月建成并顺利移交至后期运营单位，完成目标任务。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西湾水厂取水工程迁建项目位于利州区、朝天区，主要建设内容为：新增固定式取水泵站1座，规模为10万m3/d；新建DN1200输水管线12.3km，管线起于朝天区沙河镇飞仙关，途经G108国道、千佛崖输水隧洞，止于西湾水厂现状取水泵房；新建10KV双回路供电线路18km，估算总投资2.31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输水管道建设</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12.30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km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供电线路建设</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km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项目竣工验收合格率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264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投资额</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城区供水环境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提高了供水水质，保障了供水安全，促进了社会稳定</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环境影响环节</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工程建设须严格落实环境影响保护措施</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项目建成后有效可提高供水水质，改善生态环境，相应的提高人民健康水平。同时也将改善投资环境，吸引外资，带动其它产业的发展。综合评价为100分。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bl>
    <w:p>
      <w:pPr>
        <w:pStyle w:val="14"/>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shd w:val="clear"/>
        <w:rPr>
          <w:rFonts w:hint="eastAsia" w:hAnsi="Times New Roman" w:cs="Times New Roman"/>
          <w:color w:val="auto"/>
          <w:sz w:val="32"/>
          <w:szCs w:val="32"/>
          <w:highlight w:val="none"/>
          <w:lang w:val="zh-CN" w:eastAsia="zh-CN"/>
        </w:rPr>
      </w:pPr>
    </w:p>
    <w:p>
      <w:pPr>
        <w:pStyle w:val="2"/>
        <w:shd w:val="clear"/>
        <w:rPr>
          <w:rFonts w:hint="eastAsia" w:hAnsi="Times New Roman" w:cs="Times New Roman"/>
          <w:color w:val="auto"/>
          <w:sz w:val="32"/>
          <w:szCs w:val="32"/>
          <w:highlight w:val="none"/>
          <w:lang w:val="zh-CN" w:eastAsia="zh-CN"/>
        </w:rPr>
      </w:pPr>
    </w:p>
    <w:p>
      <w:pPr>
        <w:shd w:val="clear"/>
        <w:rPr>
          <w:rFonts w:hint="eastAsia" w:hAnsi="Times New Roman" w:cs="Times New Roman"/>
          <w:color w:val="auto"/>
          <w:sz w:val="32"/>
          <w:szCs w:val="32"/>
          <w:highlight w:val="none"/>
          <w:lang w:val="zh-CN" w:eastAsia="zh-CN"/>
        </w:rPr>
      </w:pPr>
    </w:p>
    <w:p>
      <w:pPr>
        <w:pStyle w:val="2"/>
        <w:shd w:val="clear"/>
        <w:rPr>
          <w:rFonts w:hint="eastAsia" w:hAnsi="Times New Roman" w:cs="Times New Roman"/>
          <w:color w:val="auto"/>
          <w:sz w:val="32"/>
          <w:szCs w:val="32"/>
          <w:highlight w:val="none"/>
          <w:lang w:val="zh-CN" w:eastAsia="zh-CN"/>
        </w:rPr>
      </w:pPr>
    </w:p>
    <w:p>
      <w:pPr>
        <w:shd w:val="clear"/>
        <w:rPr>
          <w:rFonts w:hint="eastAsia" w:hAnsi="Times New Roman" w:cs="Times New Roman"/>
          <w:color w:val="auto"/>
          <w:sz w:val="32"/>
          <w:szCs w:val="32"/>
          <w:highlight w:val="none"/>
          <w:lang w:val="zh-CN" w:eastAsia="zh-CN"/>
        </w:rPr>
      </w:pPr>
    </w:p>
    <w:p>
      <w:pPr>
        <w:pStyle w:val="2"/>
        <w:shd w:val="clear"/>
        <w:rPr>
          <w:rFonts w:hint="eastAsia"/>
          <w:color w:val="auto"/>
          <w:highlight w:val="none"/>
          <w:lang w:val="zh-CN" w:eastAsia="zh-CN"/>
        </w:rPr>
      </w:pPr>
    </w:p>
    <w:p>
      <w:pPr>
        <w:pStyle w:val="14"/>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2"/>
        <w:shd w:val="clear"/>
        <w:outlineLvl w:val="1"/>
        <w:rPr>
          <w:rFonts w:hint="eastAsia" w:eastAsia="仿宋_GB2312"/>
          <w:color w:val="auto"/>
          <w:sz w:val="32"/>
          <w:szCs w:val="32"/>
          <w:highlight w:val="none"/>
          <w:lang w:val="en-US" w:eastAsia="zh-CN"/>
        </w:rPr>
      </w:pPr>
      <w:bookmarkStart w:id="101" w:name="_Toc17955"/>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01"/>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spacing w:val="-20"/>
          <w:kern w:val="2"/>
          <w:sz w:val="44"/>
          <w:szCs w:val="44"/>
          <w:highlight w:val="none"/>
          <w:lang w:val="zh-CN" w:eastAsia="zh-CN" w:bidi="ar-SA"/>
        </w:rPr>
      </w:pPr>
      <w:bookmarkStart w:id="102" w:name="_Toc2132922657_WPSOffice_Level2"/>
      <w:bookmarkStart w:id="103" w:name="_Toc508131856_WPSOffice_Level2"/>
      <w:bookmarkStart w:id="104" w:name="_Toc15396618"/>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北二环三段、四段道路工程支出绩效自评报告</w:t>
      </w:r>
      <w:bookmarkEnd w:id="102"/>
      <w:bookmarkEnd w:id="103"/>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880" w:firstLineChars="200"/>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lang w:val="zh-CN"/>
        </w:rPr>
      </w:pPr>
      <w:bookmarkStart w:id="105" w:name="_Toc737087212_WPSOffice_Level2"/>
      <w:bookmarkStart w:id="106" w:name="_Toc80142720_WPSOffice_Level2"/>
      <w:bookmarkStart w:id="107" w:name="_Toc28027"/>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105"/>
      <w:bookmarkEnd w:id="106"/>
      <w:bookmarkEnd w:id="107"/>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1．项目主管部门（单位）在该项目管理中的职能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市城市发展集团有限公司</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具体实施、市住房城乡建设局</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监督指导。</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宋体" w:eastAsia="仿宋_GB2312" w:cs="Times New Roman"/>
          <w:b w:val="0"/>
          <w:bCs w:val="0"/>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color w:val="auto"/>
          <w:sz w:val="32"/>
          <w:szCs w:val="32"/>
          <w:highlight w:val="none"/>
          <w:lang w:val="zh-CN" w:eastAsia="zh-CN"/>
        </w:rPr>
        <w:t>该项目经市发改委批复</w:t>
      </w:r>
      <w:r>
        <w:rPr>
          <w:rFonts w:hint="eastAsia" w:ascii="仿宋_GB2312" w:hAnsi="宋体" w:eastAsia="仿宋_GB2312" w:cs="Times New Roman"/>
          <w:b w:val="0"/>
          <w:bCs w:val="0"/>
          <w:color w:val="auto"/>
          <w:sz w:val="32"/>
          <w:szCs w:val="32"/>
          <w:highlight w:val="none"/>
          <w:lang w:val="en-US" w:eastAsia="zh-CN"/>
        </w:rPr>
        <w:t>立项总投资31986万元（广发改投资</w:t>
      </w:r>
      <w:r>
        <w:rPr>
          <w:rFonts w:hint="eastAsia" w:ascii="方正隶书_GBK" w:hAnsi="方正隶书_GBK" w:eastAsia="方正隶书_GBK" w:cs="方正隶书_GBK"/>
          <w:b w:val="0"/>
          <w:bCs w:val="0"/>
          <w:color w:val="auto"/>
          <w:sz w:val="32"/>
          <w:szCs w:val="32"/>
          <w:highlight w:val="none"/>
          <w:lang w:val="en-US" w:eastAsia="zh-CN"/>
        </w:rPr>
        <w:t>〔</w:t>
      </w:r>
      <w:r>
        <w:rPr>
          <w:rFonts w:hint="eastAsia" w:ascii="仿宋_GB2312" w:hAnsi="宋体" w:eastAsia="仿宋_GB2312" w:cs="Times New Roman"/>
          <w:b w:val="0"/>
          <w:bCs w:val="0"/>
          <w:color w:val="auto"/>
          <w:sz w:val="32"/>
          <w:szCs w:val="32"/>
          <w:highlight w:val="none"/>
          <w:lang w:val="en-US" w:eastAsia="zh-CN"/>
        </w:rPr>
        <w:t>2012</w:t>
      </w:r>
      <w:r>
        <w:rPr>
          <w:rFonts w:hint="eastAsia" w:ascii="方正隶书_GBK" w:hAnsi="方正隶书_GBK" w:eastAsia="方正隶书_GBK" w:cs="方正隶书_GBK"/>
          <w:b w:val="0"/>
          <w:bCs w:val="0"/>
          <w:color w:val="auto"/>
          <w:sz w:val="32"/>
          <w:szCs w:val="32"/>
          <w:highlight w:val="none"/>
          <w:lang w:val="en-US" w:eastAsia="zh-CN"/>
        </w:rPr>
        <w:t>〕</w:t>
      </w:r>
      <w:r>
        <w:rPr>
          <w:rFonts w:hint="eastAsia" w:ascii="仿宋_GB2312" w:hAnsi="宋体" w:eastAsia="仿宋_GB2312" w:cs="Times New Roman"/>
          <w:b w:val="0"/>
          <w:bCs w:val="0"/>
          <w:color w:val="auto"/>
          <w:sz w:val="32"/>
          <w:szCs w:val="32"/>
          <w:highlight w:val="none"/>
          <w:lang w:val="en-US" w:eastAsia="zh-CN"/>
        </w:rPr>
        <w:t>57号、80号），资金来源于自筹和其他渠道。</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，对项目前期、施工、竣工验收、财务管理作了明确的规定。该项目严格按照预算申报、《广元市财政局关于下达基金指标的通知》（广财投（2022）162号）要求及单位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新建道路长3240米，标准断面宽30米，建设内容包括人行道、路基、路面、边坡防护与支挡、立交桥梁、出入口及配套雨污水管道、综合管道、交通安全与管理设施监控、照明及供配电、景观及绿化等附属工程。</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2．项目应实现的具体绩效目标。</w:t>
      </w:r>
      <w:r>
        <w:rPr>
          <w:rFonts w:hint="eastAsia" w:ascii="仿宋_GB2312" w:hAnsi="宋体" w:eastAsia="仿宋_GB2312" w:cs="Times New Roman"/>
          <w:b w:val="0"/>
          <w:bCs w:val="0"/>
          <w:color w:val="auto"/>
          <w:sz w:val="32"/>
          <w:szCs w:val="32"/>
          <w:highlight w:val="none"/>
          <w:lang w:val="en-US" w:eastAsia="zh-CN"/>
        </w:rPr>
        <w:t>项目新建道路3240米，宽30米；计划2012年12月开始实施，2015年12月前完成实施。</w:t>
      </w:r>
    </w:p>
    <w:p>
      <w:pPr>
        <w:widowControl w:val="0"/>
        <w:shd w:val="clear"/>
        <w:spacing w:line="360" w:lineRule="auto"/>
        <w:ind w:left="0" w:leftChars="0" w:right="97" w:rightChars="46" w:firstLine="674" w:firstLineChars="200"/>
        <w:jc w:val="both"/>
        <w:rPr>
          <w:rFonts w:hint="eastAsia" w:ascii="仿宋_GB2312" w:hAnsi="仿宋_GB2312" w:eastAsia="仿宋_GB2312" w:cs="仿宋_GB2312"/>
          <w:b w:val="0"/>
          <w:bCs w:val="0"/>
          <w:color w:val="auto"/>
          <w:spacing w:val="8"/>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3．申报目标合理</w:t>
      </w:r>
      <w:r>
        <w:rPr>
          <w:rFonts w:hint="eastAsia" w:ascii="仿宋_GB2312" w:hAnsi="仿宋_GB2312" w:eastAsia="仿宋_GB2312" w:cs="仿宋_GB2312"/>
          <w:b/>
          <w:bCs/>
          <w:color w:val="auto"/>
          <w:spacing w:val="8"/>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spacing w:val="8"/>
          <w:kern w:val="2"/>
          <w:sz w:val="32"/>
          <w:szCs w:val="32"/>
          <w:highlight w:val="none"/>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宋体" w:eastAsia="仿宋_GB2312" w:cs="Times New Roman"/>
          <w:b w:val="0"/>
          <w:bCs w:val="0"/>
          <w:color w:val="auto"/>
          <w:sz w:val="32"/>
          <w:szCs w:val="32"/>
          <w:highlight w:val="none"/>
          <w:lang w:val="zh-CN"/>
        </w:rPr>
      </w:pPr>
      <w:r>
        <w:rPr>
          <w:rFonts w:hint="eastAsia" w:ascii="仿宋_GB2312" w:hAnsi="宋体" w:eastAsia="仿宋_GB2312" w:cs="Times New Roman"/>
          <w:b w:val="0"/>
          <w:bCs w:val="0"/>
          <w:color w:val="auto"/>
          <w:sz w:val="32"/>
          <w:szCs w:val="32"/>
          <w:highlight w:val="none"/>
          <w:lang w:val="zh-CN"/>
        </w:rPr>
        <w:t>根据《广元市财政局关于开展</w:t>
      </w:r>
      <w:r>
        <w:rPr>
          <w:rFonts w:hint="eastAsia" w:ascii="仿宋_GB2312" w:hAnsi="宋体" w:eastAsia="仿宋_GB2312" w:cs="Times New Roman"/>
          <w:b w:val="0"/>
          <w:bCs w:val="0"/>
          <w:color w:val="auto"/>
          <w:sz w:val="32"/>
          <w:szCs w:val="32"/>
          <w:highlight w:val="none"/>
          <w:lang w:val="en-US" w:eastAsia="zh-CN"/>
        </w:rPr>
        <w:t>2022年度市级部门绩效自评工作的通知</w:t>
      </w:r>
      <w:r>
        <w:rPr>
          <w:rFonts w:hint="eastAsia" w:ascii="仿宋_GB2312" w:hAnsi="宋体" w:eastAsia="仿宋_GB2312" w:cs="Times New Roman"/>
          <w:b w:val="0"/>
          <w:bCs w:val="0"/>
          <w:color w:val="auto"/>
          <w:sz w:val="32"/>
          <w:szCs w:val="32"/>
          <w:highlight w:val="none"/>
          <w:lang w:val="zh-CN"/>
        </w:rPr>
        <w:t>》（广财绩</w:t>
      </w:r>
      <w:r>
        <w:rPr>
          <w:rFonts w:hint="eastAsia" w:ascii="方正隶书_GBK" w:hAnsi="方正隶书_GBK" w:eastAsia="方正隶书_GBK" w:cs="方正隶书_GBK"/>
          <w:b w:val="0"/>
          <w:bCs w:val="0"/>
          <w:color w:val="auto"/>
          <w:sz w:val="32"/>
          <w:szCs w:val="32"/>
          <w:highlight w:val="none"/>
          <w:lang w:val="zh-CN"/>
        </w:rPr>
        <w:t>〔</w:t>
      </w:r>
      <w:r>
        <w:rPr>
          <w:rFonts w:hint="eastAsia" w:ascii="仿宋_GB2312" w:hAnsi="宋体" w:eastAsia="仿宋_GB2312" w:cs="Times New Roman"/>
          <w:b w:val="0"/>
          <w:bCs w:val="0"/>
          <w:color w:val="auto"/>
          <w:sz w:val="32"/>
          <w:szCs w:val="32"/>
          <w:highlight w:val="none"/>
          <w:lang w:val="en-US" w:eastAsia="zh-CN"/>
        </w:rPr>
        <w:t>2023〕</w:t>
      </w:r>
      <w:r>
        <w:rPr>
          <w:rFonts w:hint="eastAsia" w:ascii="仿宋_GB2312" w:hAnsi="宋体" w:eastAsia="仿宋_GB2312" w:cs="Times New Roman"/>
          <w:b w:val="0"/>
          <w:bCs w:val="0"/>
          <w:color w:val="auto"/>
          <w:sz w:val="32"/>
          <w:szCs w:val="32"/>
          <w:highlight w:val="none"/>
          <w:lang w:val="zh-CN"/>
        </w:rPr>
        <w:t>）精神，按照项目支出绩效评价指标体系内容，采取</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项目实施单位会同我局开展</w:t>
      </w:r>
      <w:r>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t>评</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价。</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08" w:name="_Toc412263264_WPSOffice_Level2"/>
      <w:bookmarkStart w:id="109" w:name="_Toc20557"/>
      <w:bookmarkStart w:id="110" w:name="_Toc690482656_WPSOffice_Level2"/>
      <w:r>
        <w:rPr>
          <w:rFonts w:hint="eastAsia" w:ascii="黑体" w:hAnsi="宋体" w:eastAsia="黑体" w:cs="Times New Roman"/>
          <w:b w:val="0"/>
          <w:bCs w:val="0"/>
          <w:color w:val="auto"/>
          <w:sz w:val="32"/>
          <w:szCs w:val="32"/>
          <w:highlight w:val="none"/>
          <w:u w:val="none"/>
        </w:rPr>
        <w:t>二、项目资金申报及使用情况</w:t>
      </w:r>
      <w:bookmarkEnd w:id="108"/>
      <w:bookmarkEnd w:id="109"/>
      <w:bookmarkEnd w:id="110"/>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widowControl w:val="0"/>
        <w:shd w:val="clear"/>
        <w:spacing w:line="360" w:lineRule="auto"/>
        <w:ind w:left="0" w:leftChars="0" w:right="97" w:rightChars="46" w:firstLine="672" w:firstLineChars="200"/>
        <w:jc w:val="both"/>
        <w:rPr>
          <w:rFonts w:hint="eastAsia" w:ascii="Times New Roman" w:hAnsi="Times New Roman" w:eastAsia="仿宋_GB2312" w:cs="Times New Roman"/>
          <w:color w:val="auto"/>
          <w:spacing w:val="8"/>
          <w:kern w:val="2"/>
          <w:sz w:val="30"/>
          <w:szCs w:val="32"/>
          <w:highlight w:val="none"/>
          <w:lang w:val="zh-CN"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该项目经市发展发改委批复可行性研究报告，立项总投资31986万元，主要项目前期待摊费以及直接工程费等。资金来源为市本级财政资金。</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2022年市本级计划资金4122.48万元。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2022年财政资金到位4122.48万元。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2022年向建设单位拨付建设资金4122.48万元。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11" w:name="_Toc8698"/>
      <w:bookmarkStart w:id="112" w:name="_Toc942494181_WPSOffice_Level2"/>
      <w:bookmarkStart w:id="113" w:name="_Toc623339531_WPSOffice_Level2"/>
      <w:r>
        <w:rPr>
          <w:rFonts w:hint="eastAsia" w:ascii="黑体" w:hAnsi="宋体" w:eastAsia="黑体" w:cs="Times New Roman"/>
          <w:b w:val="0"/>
          <w:bCs w:val="0"/>
          <w:color w:val="auto"/>
          <w:sz w:val="32"/>
          <w:szCs w:val="32"/>
          <w:highlight w:val="none"/>
          <w:u w:val="none"/>
        </w:rPr>
        <w:t>三、项目实施及管理情况</w:t>
      </w:r>
      <w:bookmarkEnd w:id="111"/>
      <w:bookmarkEnd w:id="112"/>
      <w:bookmarkEnd w:id="113"/>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结合项目组织实施管理办法，重点围绕以下内容进行分析评价，并对自评发现的问题分析说明。</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项目主管部门对项目业主进行全程监督，</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项目业主单位按照相关规定确定各参建单位，</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在工程建设过程中接受财政、审计、建设等职能部门的监管；</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严格组织竣工验收、审计结算；</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b w:val="0"/>
          <w:bCs w:val="0"/>
          <w:color w:val="auto"/>
          <w:sz w:val="32"/>
          <w:szCs w:val="32"/>
          <w:highlight w:val="none"/>
          <w:lang w:val="en-US" w:eastAsia="zh-CN"/>
        </w:rPr>
        <w:t>工程交付使用。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（三）项目监管情况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宋体" w:eastAsia="楷体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cs="Times New Roman"/>
          <w:b w:val="0"/>
          <w:bCs w:val="0"/>
          <w:color w:val="auto"/>
          <w:sz w:val="32"/>
          <w:szCs w:val="32"/>
          <w:highlight w:val="none"/>
          <w:u w:val="none"/>
          <w:lang w:val="zh-CN"/>
        </w:rPr>
      </w:pPr>
      <w:bookmarkStart w:id="114" w:name="_Toc359924651_WPSOffice_Level2"/>
      <w:bookmarkStart w:id="115" w:name="_Toc1969246784_WPSOffice_Level2"/>
      <w:bookmarkStart w:id="116" w:name="_Toc28793"/>
      <w:r>
        <w:rPr>
          <w:rFonts w:hint="eastAsia" w:ascii="黑体" w:hAnsi="宋体" w:eastAsia="黑体" w:cs="Times New Roman"/>
          <w:b w:val="0"/>
          <w:bCs w:val="0"/>
          <w:color w:val="auto"/>
          <w:sz w:val="32"/>
          <w:szCs w:val="32"/>
          <w:highlight w:val="none"/>
          <w:u w:val="none"/>
        </w:rPr>
        <w:t>四、项目绩效情况</w:t>
      </w:r>
      <w:bookmarkEnd w:id="114"/>
      <w:bookmarkEnd w:id="115"/>
      <w:bookmarkEnd w:id="116"/>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cs="Times New Roman"/>
          <w:b w:val="0"/>
          <w:bCs w:val="0"/>
          <w:color w:val="auto"/>
          <w:sz w:val="32"/>
          <w:szCs w:val="32"/>
          <w:highlight w:val="none"/>
          <w:lang w:val="en-US" w:eastAsia="zh-CN"/>
        </w:rPr>
      </w:pPr>
      <w:r>
        <w:rPr>
          <w:rFonts w:hint="eastAsia" w:ascii="仿宋_GB2312" w:hAnsi="宋体" w:eastAsia="仿宋_GB2312" w:cs="Times New Roman"/>
          <w:b w:val="0"/>
          <w:bCs w:val="0"/>
          <w:color w:val="auto"/>
          <w:sz w:val="32"/>
          <w:szCs w:val="32"/>
          <w:highlight w:val="none"/>
          <w:lang w:val="en-US" w:eastAsia="zh-CN"/>
        </w:rPr>
        <w:t>项目新建道路3240米，宽30米；项目于2012年12月开工建设，2015年12月完成建设。该项目达到预定绩效目标，建设质量严格按照国家规范以及设计标准进行质量控制，分项工程质量达到规划和设计要求，无安全事故发生，施工场地干净整洁，做到文明施工。</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建成后，极大地缓解了主城区的交通压力，提升了城市的品位和城市形象，产生了良好的环境效益，间接促进广元市经济发展与社会进步，为广元市招商引资创造极好条件，拉动城市经济发展，同时带动周边地价上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17" w:name="_Toc895949027_WPSOffice_Level2"/>
      <w:bookmarkStart w:id="118" w:name="_Toc25757"/>
      <w:bookmarkStart w:id="119" w:name="_Toc52977764_WPSOffice_Level2"/>
      <w:r>
        <w:rPr>
          <w:rFonts w:hint="eastAsia" w:ascii="黑体" w:hAnsi="宋体" w:eastAsia="黑体" w:cs="Times New Roman"/>
          <w:b w:val="0"/>
          <w:bCs w:val="0"/>
          <w:color w:val="auto"/>
          <w:sz w:val="32"/>
          <w:szCs w:val="32"/>
          <w:highlight w:val="none"/>
          <w:u w:val="none"/>
        </w:rPr>
        <w:t>五、评价结论及建议</w:t>
      </w:r>
      <w:bookmarkEnd w:id="117"/>
      <w:bookmarkEnd w:id="118"/>
      <w:bookmarkEnd w:id="119"/>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cs="Times New Roman"/>
          <w:b w:val="0"/>
          <w:bCs w:val="0"/>
          <w:color w:val="auto"/>
          <w:sz w:val="32"/>
          <w:szCs w:val="32"/>
          <w:highlight w:val="none"/>
          <w:bdr w:val="single" w:color="auto" w:sz="4" w:space="0"/>
          <w:lang w:val="en-US" w:eastAsia="zh-CN"/>
        </w:rPr>
      </w:pPr>
      <w:r>
        <w:rPr>
          <w:rFonts w:hint="default" w:ascii="Times New Roman" w:hAnsi="Times New Roman" w:eastAsia="仿宋_GB2312" w:cs="Times New Roman"/>
          <w:color w:val="auto"/>
          <w:sz w:val="32"/>
          <w:szCs w:val="32"/>
          <w:highlight w:val="none"/>
          <w:lang w:val="en-US" w:eastAsia="zh-CN" w:bidi="ar-SA"/>
        </w:rPr>
        <w:t>项目决策合理，申报及时，严格按财务规定审批，专款专用，核算规范，及时兑现，项目绩效完成良好，经济效益较好，社会效益较好。</w:t>
      </w:r>
      <w:r>
        <w:rPr>
          <w:rFonts w:hint="eastAsia" w:ascii="仿宋_GB2312" w:hAnsi="宋体" w:eastAsia="仿宋_GB2312" w:cs="Times New Roman"/>
          <w:b w:val="0"/>
          <w:bCs w:val="0"/>
          <w:color w:val="auto"/>
          <w:sz w:val="32"/>
          <w:szCs w:val="32"/>
          <w:highlight w:val="none"/>
          <w:lang w:val="en-US" w:eastAsia="zh-CN"/>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val="0"/>
          <w:bCs w:val="0"/>
          <w:color w:val="auto"/>
          <w:sz w:val="32"/>
          <w:szCs w:val="32"/>
          <w:highlight w:val="none"/>
          <w:lang w:val="zh-CN"/>
        </w:rPr>
      </w:pPr>
      <w:r>
        <w:rPr>
          <w:rFonts w:hint="eastAsia" w:ascii="楷体_GB2312" w:hAnsi="宋体" w:eastAsia="楷体_GB2312" w:cs="Times New Roman"/>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项目单位预算绩效意识不强。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shd w:val="clear"/>
        <w:spacing w:line="600" w:lineRule="exact"/>
        <w:jc w:val="center"/>
        <w:outlineLvl w:val="1"/>
        <w:rPr>
          <w:rFonts w:hint="eastAsia" w:ascii="黑体" w:hAnsi="黑体" w:eastAsia="黑体"/>
          <w:color w:val="auto"/>
          <w:sz w:val="44"/>
          <w:szCs w:val="44"/>
          <w:highlight w:val="none"/>
        </w:rPr>
      </w:pPr>
      <w:bookmarkStart w:id="120" w:name="_Toc10938"/>
      <w:r>
        <w:rPr>
          <w:rFonts w:hint="eastAsia" w:ascii="仿宋_GB2312" w:hAnsi="宋体" w:eastAsia="仿宋_GB2312" w:cs="Times New Roman"/>
          <w:b w:val="0"/>
          <w:bCs w:val="0"/>
          <w:color w:val="auto"/>
          <w:sz w:val="32"/>
          <w:szCs w:val="32"/>
          <w:highlight w:val="none"/>
          <w:lang w:val="en-US" w:eastAsia="zh-CN"/>
        </w:rPr>
        <w:t>加强项目单位预算绩效管理，提高绩效管理水平。</w:t>
      </w:r>
      <w:bookmarkEnd w:id="120"/>
    </w:p>
    <w:p>
      <w:pPr>
        <w:shd w:val="clear"/>
        <w:spacing w:line="600" w:lineRule="exact"/>
        <w:jc w:val="center"/>
        <w:outlineLvl w:val="9"/>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bidi w:val="0"/>
        <w:spacing w:line="576"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bookmarkStart w:id="121" w:name="_Toc414069598_WPSOffice_Level2"/>
      <w:bookmarkStart w:id="122" w:name="_Toc1181269844_WPSOffice_Level2"/>
      <w:r>
        <w:rPr>
          <w:rFonts w:hint="eastAsia" w:ascii="方正小标宋简体" w:hAnsi="方正小标宋简体" w:eastAsia="方正小标宋简体" w:cs="方正小标宋简体"/>
          <w:b w:val="0"/>
          <w:bCs w:val="0"/>
          <w:color w:val="auto"/>
          <w:kern w:val="2"/>
          <w:sz w:val="44"/>
          <w:szCs w:val="44"/>
          <w:highlight w:val="none"/>
          <w:lang w:val="en-US" w:eastAsia="zh-CN"/>
        </w:rPr>
        <w:t>城市体检项目支出绩效自评报告</w:t>
      </w:r>
      <w:bookmarkEnd w:id="121"/>
      <w:bookmarkEnd w:id="122"/>
    </w:p>
    <w:p>
      <w:pPr>
        <w:pStyle w:val="34"/>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黑体" w:hAnsi="宋体" w:eastAsia="黑体" w:cs="Times New Roman"/>
          <w:b w:val="0"/>
          <w:bCs w:val="0"/>
          <w:color w:val="auto"/>
          <w:sz w:val="32"/>
          <w:szCs w:val="32"/>
          <w:highlight w:val="none"/>
          <w:u w:val="none"/>
          <w:lang w:val="zh-CN"/>
        </w:rPr>
      </w:pPr>
      <w:bookmarkStart w:id="123" w:name="_Toc1321184409_WPSOffice_Level2"/>
      <w:bookmarkStart w:id="124" w:name="_Toc27763"/>
      <w:bookmarkStart w:id="125" w:name="_Toc2004504373_WPSOffice_Level2"/>
      <w:r>
        <w:rPr>
          <w:rFonts w:hint="eastAsia" w:ascii="黑体" w:hAnsi="宋体" w:eastAsia="黑体" w:cs="Times New Roman"/>
          <w:b w:val="0"/>
          <w:bCs w:val="0"/>
          <w:color w:val="auto"/>
          <w:sz w:val="32"/>
          <w:szCs w:val="32"/>
          <w:highlight w:val="none"/>
          <w:u w:val="none"/>
        </w:rPr>
        <w:t>一、</w:t>
      </w:r>
      <w:r>
        <w:rPr>
          <w:rFonts w:hint="eastAsia" w:ascii="黑体" w:hAnsi="宋体" w:eastAsia="黑体" w:cs="Times New Roman"/>
          <w:b w:val="0"/>
          <w:bCs w:val="0"/>
          <w:color w:val="auto"/>
          <w:sz w:val="32"/>
          <w:szCs w:val="32"/>
          <w:highlight w:val="none"/>
          <w:u w:val="none"/>
          <w:lang w:val="zh-CN"/>
        </w:rPr>
        <w:t>项目概况</w:t>
      </w:r>
      <w:bookmarkEnd w:id="123"/>
      <w:bookmarkEnd w:id="124"/>
      <w:bookmarkEnd w:id="125"/>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1．项目主管部门（单位）在该项目管理中的职能。</w:t>
      </w:r>
      <w:r>
        <w:rPr>
          <w:rFonts w:hint="eastAsia" w:ascii="Times New Roman" w:hAnsi="Times New Roman" w:eastAsia="仿宋_GB2312" w:cs="Times New Roman"/>
          <w:color w:val="auto"/>
          <w:sz w:val="32"/>
          <w:szCs w:val="32"/>
          <w:highlight w:val="none"/>
          <w:lang w:val="en-US" w:eastAsia="zh-CN" w:bidi="ar-SA"/>
        </w:rPr>
        <w:t>牵头实施项目、编制实施方案、采购、项目监管。</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Times New Roman" w:hAnsi="Times New Roman" w:eastAsia="仿宋_GB2312" w:cs="Times New Roman"/>
          <w:color w:val="auto"/>
          <w:sz w:val="32"/>
          <w:szCs w:val="32"/>
          <w:highlight w:val="none"/>
          <w:lang w:val="zh-CN" w:eastAsia="zh-CN" w:bidi="ar-SA"/>
        </w:rPr>
      </w:pPr>
      <w:r>
        <w:rPr>
          <w:rFonts w:hint="eastAsia" w:ascii="仿宋_GB2312" w:hAnsi="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项目立项、资金申报的依据。</w:t>
      </w:r>
      <w:r>
        <w:rPr>
          <w:rFonts w:hint="eastAsia" w:ascii="Times New Roman" w:hAnsi="Times New Roman" w:eastAsia="仿宋_GB2312" w:cs="Times New Roman"/>
          <w:color w:val="auto"/>
          <w:sz w:val="32"/>
          <w:szCs w:val="32"/>
          <w:highlight w:val="none"/>
          <w:lang w:val="zh-CN" w:eastAsia="zh-CN" w:bidi="ar-SA"/>
        </w:rPr>
        <w:t>我局按照《关于开展2022年城市体检工作的通知》</w:t>
      </w:r>
      <w:r>
        <w:rPr>
          <w:rFonts w:hint="eastAsia" w:eastAsia="仿宋_GB2312" w:cs="Times New Roman"/>
          <w:color w:val="auto"/>
          <w:sz w:val="32"/>
          <w:szCs w:val="32"/>
          <w:highlight w:val="none"/>
          <w:lang w:val="zh-CN" w:eastAsia="zh-CN" w:bidi="ar-SA"/>
        </w:rPr>
        <w:t>（</w:t>
      </w:r>
      <w:r>
        <w:rPr>
          <w:rFonts w:hint="eastAsia" w:ascii="Times New Roman" w:hAnsi="Times New Roman" w:eastAsia="仿宋_GB2312" w:cs="Times New Roman"/>
          <w:color w:val="auto"/>
          <w:sz w:val="32"/>
          <w:szCs w:val="32"/>
          <w:highlight w:val="none"/>
          <w:lang w:val="zh-CN" w:eastAsia="zh-CN" w:bidi="ar-SA"/>
        </w:rPr>
        <w:t>川建景园函〔2022〕2184号</w:t>
      </w:r>
      <w:r>
        <w:rPr>
          <w:rFonts w:hint="eastAsia" w:eastAsia="仿宋_GB2312" w:cs="Times New Roman"/>
          <w:color w:val="auto"/>
          <w:sz w:val="32"/>
          <w:szCs w:val="32"/>
          <w:highlight w:val="none"/>
          <w:lang w:val="zh-CN" w:eastAsia="zh-CN" w:bidi="ar-SA"/>
        </w:rPr>
        <w:t>）</w:t>
      </w:r>
      <w:r>
        <w:rPr>
          <w:rFonts w:hint="eastAsia" w:ascii="Times New Roman" w:hAnsi="Times New Roman" w:eastAsia="仿宋_GB2312" w:cs="Times New Roman"/>
          <w:color w:val="auto"/>
          <w:sz w:val="32"/>
          <w:szCs w:val="32"/>
          <w:highlight w:val="none"/>
          <w:lang w:val="zh-CN" w:eastAsia="zh-CN" w:bidi="ar-SA"/>
        </w:rPr>
        <w:t>要求</w:t>
      </w:r>
      <w:r>
        <w:rPr>
          <w:rFonts w:hint="eastAsia" w:ascii="Times New Roman" w:hAnsi="Times New Roman" w:eastAsia="仿宋_GB2312" w:cs="Times New Roman"/>
          <w:color w:val="auto"/>
          <w:sz w:val="32"/>
          <w:szCs w:val="32"/>
          <w:highlight w:val="none"/>
          <w:lang w:val="en-US" w:eastAsia="zh-CN" w:bidi="ar-SA"/>
        </w:rPr>
        <w:t>和2022年7月23日蒙宇副市长在《关于开展2022年城市体检工作的通知》上批示“请市住建局阅办”的指示精神</w:t>
      </w:r>
      <w:r>
        <w:rPr>
          <w:rFonts w:hint="eastAsia" w:eastAsia="仿宋_GB2312" w:cs="Times New Roman"/>
          <w:color w:val="auto"/>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zh-CN" w:eastAsia="zh-CN" w:bidi="ar-SA"/>
        </w:rPr>
        <w:t>根据局党组会2022年第21次会议安排，开展我市</w:t>
      </w:r>
      <w:r>
        <w:rPr>
          <w:rFonts w:hint="eastAsia" w:ascii="Times New Roman" w:hAnsi="Times New Roman" w:eastAsia="仿宋_GB2312" w:cs="Times New Roman"/>
          <w:color w:val="auto"/>
          <w:sz w:val="32"/>
          <w:szCs w:val="32"/>
          <w:highlight w:val="none"/>
          <w:lang w:val="en-US" w:eastAsia="zh-CN" w:bidi="ar-SA"/>
        </w:rPr>
        <w:t>2022年度</w:t>
      </w:r>
      <w:r>
        <w:rPr>
          <w:rFonts w:hint="eastAsia" w:ascii="Times New Roman" w:hAnsi="Times New Roman" w:eastAsia="仿宋_GB2312" w:cs="Times New Roman"/>
          <w:color w:val="auto"/>
          <w:sz w:val="32"/>
          <w:szCs w:val="32"/>
          <w:highlight w:val="none"/>
          <w:lang w:val="zh-CN" w:eastAsia="zh-CN" w:bidi="ar-SA"/>
        </w:rPr>
        <w:t>城市体检工作。</w:t>
      </w:r>
      <w:r>
        <w:rPr>
          <w:rFonts w:hint="eastAsia" w:ascii="Times New Roman" w:hAnsi="Times New Roman" w:eastAsia="仿宋_GB2312" w:cs="Times New Roman"/>
          <w:color w:val="auto"/>
          <w:sz w:val="32"/>
          <w:szCs w:val="32"/>
          <w:highlight w:val="none"/>
          <w:lang w:val="en-US" w:eastAsia="zh-CN" w:bidi="ar-SA"/>
        </w:rPr>
        <w:t>按照2021年市政府主要领导对我局开展城市体检有关事项的批示要求，城市体检相关费用从2022年起纳入财政预算，按照每年100万元计划（2021年-2023年）。</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Times New Roman" w:hAnsi="Times New Roman" w:eastAsia="仿宋_GB2312" w:cs="Times New Roman"/>
          <w:color w:val="auto"/>
          <w:sz w:val="32"/>
          <w:szCs w:val="32"/>
          <w:highlight w:val="none"/>
          <w:lang w:val="zh-CN"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管理办法制定情况，资金支持具体项目的条件、范围与支持方式概况。</w:t>
      </w:r>
      <w:r>
        <w:rPr>
          <w:rFonts w:hint="eastAsia" w:ascii="Times New Roman" w:hAnsi="Times New Roman" w:eastAsia="仿宋_GB2312" w:cs="Times New Roman"/>
          <w:color w:val="auto"/>
          <w:sz w:val="32"/>
          <w:szCs w:val="32"/>
          <w:highlight w:val="none"/>
          <w:lang w:val="zh-CN" w:eastAsia="zh-CN" w:bidi="ar-SA"/>
        </w:rPr>
        <w:t>资金使用范围：主要支持项目实施单位省城建院技术服务费用。项目资金支持方式：采取政府采购</w:t>
      </w:r>
      <w:r>
        <w:rPr>
          <w:rFonts w:hint="eastAsia" w:ascii="Times New Roman" w:hAnsi="Times New Roman" w:eastAsia="仿宋_GB2312" w:cs="Times New Roman"/>
          <w:color w:val="auto"/>
          <w:sz w:val="32"/>
          <w:szCs w:val="32"/>
          <w:highlight w:val="none"/>
          <w:lang w:val="en-US" w:eastAsia="zh-CN" w:bidi="ar-SA"/>
        </w:rPr>
        <w:t>竞争性磋商</w:t>
      </w:r>
      <w:r>
        <w:rPr>
          <w:rFonts w:hint="eastAsia" w:ascii="Times New Roman" w:hAnsi="Times New Roman" w:eastAsia="仿宋_GB2312" w:cs="Times New Roman"/>
          <w:color w:val="auto"/>
          <w:sz w:val="32"/>
          <w:szCs w:val="32"/>
          <w:highlight w:val="none"/>
          <w:lang w:val="zh-CN" w:eastAsia="zh-CN" w:bidi="ar-SA"/>
        </w:rPr>
        <w:t>方式采购，严格按照与省城建院签订的《技术服务合同》约定条款执行。</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Times New Roman" w:hAnsi="Times New Roman" w:eastAsia="仿宋_GB2312" w:cs="Times New Roman"/>
          <w:color w:val="auto"/>
          <w:sz w:val="32"/>
          <w:szCs w:val="32"/>
          <w:highlight w:val="none"/>
          <w:lang w:val="zh-CN"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4.资金分配的原则及考虑因素。</w:t>
      </w:r>
      <w:r>
        <w:rPr>
          <w:rFonts w:hint="eastAsia" w:ascii="Times New Roman" w:hAnsi="Times New Roman" w:eastAsia="仿宋_GB2312" w:cs="Times New Roman"/>
          <w:color w:val="auto"/>
          <w:sz w:val="32"/>
          <w:szCs w:val="32"/>
          <w:highlight w:val="none"/>
          <w:lang w:val="en-US" w:eastAsia="zh-CN" w:bidi="ar-SA"/>
        </w:rPr>
        <w:t>科学合理安排资金预算支出，实现资金落到实处，强化执行过程监督，总成本控制在89万元以内</w:t>
      </w:r>
      <w:r>
        <w:rPr>
          <w:rFonts w:hint="eastAsia" w:ascii="Times New Roman" w:hAnsi="Times New Roman" w:eastAsia="仿宋_GB2312" w:cs="Times New Roman"/>
          <w:color w:val="auto"/>
          <w:sz w:val="32"/>
          <w:szCs w:val="32"/>
          <w:highlight w:val="none"/>
          <w:lang w:val="zh-CN"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1．项目主要内容</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zh-CN" w:eastAsia="zh-CN" w:bidi="ar-SA"/>
        </w:rPr>
        <w:t>该项目完成了采相关数据采集、数据分析工作，形成“必检指标+特色指标+自选指标”的105项三元指标体系，</w:t>
      </w:r>
      <w:r>
        <w:rPr>
          <w:rFonts w:hint="eastAsia" w:ascii="Times New Roman" w:hAnsi="Times New Roman" w:eastAsia="仿宋_GB2312" w:cs="Times New Roman"/>
          <w:color w:val="auto"/>
          <w:kern w:val="2"/>
          <w:sz w:val="32"/>
          <w:szCs w:val="32"/>
          <w:highlight w:val="none"/>
          <w:lang w:val="en-US" w:eastAsia="zh-CN" w:bidi="ar-SA"/>
        </w:rPr>
        <w:t>结合客观指标分析和问卷调查主观评价，分析我市城市建设突出成效、城市发展潜力优势、和城市建设问题短板，梳理得出《城市“病清单”》</w:t>
      </w:r>
      <w:r>
        <w:rPr>
          <w:rFonts w:hint="eastAsia" w:ascii="Times New Roman" w:hAnsi="Times New Roman" w:eastAsia="仿宋_GB2312" w:cs="Times New Roman"/>
          <w:color w:val="auto"/>
          <w:kern w:val="2"/>
          <w:sz w:val="32"/>
          <w:szCs w:val="32"/>
          <w:highlight w:val="none"/>
          <w:lang w:val="zh-CN" w:eastAsia="zh-CN" w:bidi="ar-SA"/>
        </w:rPr>
        <w:t>，共计确定“城市病”30个，其中Ⅰ级城市病5个，Ⅱ级城市病9个，Ⅲ级城市病16个</w:t>
      </w:r>
      <w:r>
        <w:rPr>
          <w:rFonts w:hint="eastAsia" w:ascii="Times New Roman" w:hAnsi="Times New Roman" w:eastAsia="仿宋_GB2312" w:cs="Times New Roman"/>
          <w:color w:val="auto"/>
          <w:kern w:val="2"/>
          <w:sz w:val="32"/>
          <w:szCs w:val="32"/>
          <w:highlight w:val="none"/>
          <w:lang w:val="en-US" w:eastAsia="zh-CN" w:bidi="ar-SA"/>
        </w:rPr>
        <w:t>。经梳理确定了城市治理基本原则，提出了治理措施建议，并列出《城市人居环境质量提升行动方案建议》。</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zh-CN" w:eastAsia="zh-CN" w:bidi="ar-SA"/>
        </w:rPr>
        <w:t>数量指标已完成，项目实现了105项数据指标的采集；质量指标已完成，编制的城市体检报告符合我市城市实际情况；时效指标已完成，于</w:t>
      </w:r>
      <w:r>
        <w:rPr>
          <w:rFonts w:hint="eastAsia" w:ascii="Times New Roman" w:hAnsi="Times New Roman" w:eastAsia="仿宋_GB2312" w:cs="Times New Roman"/>
          <w:color w:val="auto"/>
          <w:kern w:val="2"/>
          <w:sz w:val="32"/>
          <w:szCs w:val="32"/>
          <w:highlight w:val="none"/>
          <w:lang w:val="en-US" w:eastAsia="zh-CN" w:bidi="ar-SA"/>
        </w:rPr>
        <w:t>2023年1月编制完成了《广元市2022年度城市体检报告（送审稿）》，满足预期时限要求；成本指标已完成，项目最终成交价为89万元；社会效益指标已完成，城市体检报告能为有序实施城市更新，全面提升城市综合承载力奠定坚实基础；生态效益指标已完成，通过制定《城市人居环境质量提升行动方案建议》的能够不断改善生态环境，持续提升城市品质；可持续影响指标已完成，该项目的实施能够指导我市今后至少1年的发展；满意度指标已完成，该体检项目的实施使社会公众满意，得到政府部门的认可。项目进度满足预期，已编制完成了《广元市2022年度城市体检报告（送审稿）》，待市人民政府审定。分析评价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根据《广元市财政局关于开展</w:t>
      </w:r>
      <w:r>
        <w:rPr>
          <w:rFonts w:hint="eastAsia" w:ascii="Times New Roman" w:hAnsi="Times New Roman" w:eastAsia="仿宋_GB2312" w:cs="Times New Roman"/>
          <w:color w:val="auto"/>
          <w:kern w:val="2"/>
          <w:sz w:val="32"/>
          <w:szCs w:val="32"/>
          <w:highlight w:val="none"/>
          <w:lang w:val="en-US" w:eastAsia="zh-CN" w:bidi="ar-SA"/>
        </w:rPr>
        <w:t>2022年度市级部门绩效自评工作的通知</w:t>
      </w:r>
      <w:r>
        <w:rPr>
          <w:rFonts w:hint="eastAsia" w:ascii="Times New Roman" w:hAnsi="Times New Roman" w:eastAsia="仿宋_GB2312" w:cs="Times New Roman"/>
          <w:color w:val="auto"/>
          <w:kern w:val="2"/>
          <w:sz w:val="32"/>
          <w:szCs w:val="32"/>
          <w:highlight w:val="none"/>
          <w:lang w:val="zh-CN" w:eastAsia="zh-CN" w:bidi="ar-SA"/>
        </w:rPr>
        <w:t>》（广财绩〔</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Times New Roman"/>
          <w:color w:val="auto"/>
          <w:kern w:val="2"/>
          <w:sz w:val="32"/>
          <w:szCs w:val="32"/>
          <w:highlight w:val="none"/>
          <w:lang w:val="zh-CN" w:eastAsia="zh-CN" w:bidi="ar-SA"/>
        </w:rPr>
        <w:t>）精神，按照项目支出绩效评价指标体系内容，由业务科室草拟自评报告，分别报分管领导、主要领导审阅后再报送。</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26" w:name="_Toc1942633685_WPSOffice_Level2"/>
      <w:bookmarkStart w:id="127" w:name="_Toc14347"/>
      <w:bookmarkStart w:id="128" w:name="_Toc342310508_WPSOffice_Level2"/>
      <w:r>
        <w:rPr>
          <w:rFonts w:hint="eastAsia" w:ascii="黑体" w:hAnsi="宋体" w:eastAsia="黑体"/>
          <w:b w:val="0"/>
          <w:bCs w:val="0"/>
          <w:color w:val="auto"/>
          <w:sz w:val="32"/>
          <w:szCs w:val="32"/>
          <w:highlight w:val="none"/>
          <w:u w:val="none"/>
        </w:rPr>
        <w:t>二、项目资金申报及使用情况</w:t>
      </w:r>
      <w:bookmarkEnd w:id="126"/>
      <w:bookmarkEnd w:id="127"/>
      <w:bookmarkEnd w:id="128"/>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zh-CN" w:eastAsia="zh-CN" w:bidi="ar-SA"/>
        </w:rPr>
        <w:t>该项目经事前评估、预算申报经费</w:t>
      </w:r>
      <w:r>
        <w:rPr>
          <w:rFonts w:hint="eastAsia" w:ascii="Times New Roman" w:hAnsi="Times New Roman" w:eastAsia="仿宋_GB2312" w:cs="Times New Roman"/>
          <w:color w:val="auto"/>
          <w:kern w:val="2"/>
          <w:sz w:val="32"/>
          <w:szCs w:val="32"/>
          <w:highlight w:val="none"/>
          <w:lang w:val="en-US" w:eastAsia="zh-CN" w:bidi="ar-SA"/>
        </w:rPr>
        <w:t>100万元；2022年10月市财政局批复预算100万元。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2"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b/>
          <w:bCs/>
          <w:color w:val="auto"/>
          <w:kern w:val="2"/>
          <w:sz w:val="32"/>
          <w:szCs w:val="32"/>
          <w:highlight w:val="none"/>
          <w:lang w:val="en-US" w:eastAsia="zh-CN" w:bidi="ar-SA"/>
        </w:rPr>
        <w:t>1.</w:t>
      </w:r>
      <w:r>
        <w:rPr>
          <w:rFonts w:hint="eastAsia" w:ascii="Times New Roman" w:hAnsi="Times New Roman" w:eastAsia="仿宋_GB2312" w:cs="Times New Roman"/>
          <w:b/>
          <w:bCs/>
          <w:color w:val="auto"/>
          <w:kern w:val="2"/>
          <w:sz w:val="32"/>
          <w:szCs w:val="32"/>
          <w:highlight w:val="none"/>
          <w:lang w:val="zh-CN" w:eastAsia="zh-CN" w:bidi="ar-SA"/>
        </w:rPr>
        <w:t>资金计划。</w:t>
      </w:r>
      <w:r>
        <w:rPr>
          <w:rFonts w:hint="eastAsia" w:ascii="Times New Roman" w:hAnsi="Times New Roman" w:eastAsia="仿宋_GB2312" w:cs="Times New Roman"/>
          <w:color w:val="auto"/>
          <w:kern w:val="2"/>
          <w:sz w:val="32"/>
          <w:szCs w:val="32"/>
          <w:highlight w:val="none"/>
          <w:lang w:val="en-US" w:eastAsia="zh-CN" w:bidi="ar-SA"/>
        </w:rPr>
        <w:t>2022年项目计划资金100万元。</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2"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zh-CN" w:eastAsia="zh-CN" w:bidi="ar-SA"/>
        </w:rPr>
        <w:t>资金到位。</w:t>
      </w:r>
      <w:r>
        <w:rPr>
          <w:rFonts w:hint="eastAsia" w:ascii="Times New Roman" w:hAnsi="Times New Roman" w:eastAsia="仿宋_GB2312" w:cs="Times New Roman"/>
          <w:color w:val="auto"/>
          <w:kern w:val="2"/>
          <w:sz w:val="32"/>
          <w:szCs w:val="32"/>
          <w:highlight w:val="none"/>
          <w:lang w:val="en-US" w:eastAsia="zh-CN" w:bidi="ar-SA"/>
        </w:rPr>
        <w:t>2022年10月到位财政资金100万元。</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2"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b/>
          <w:bCs/>
          <w:color w:val="auto"/>
          <w:kern w:val="2"/>
          <w:sz w:val="32"/>
          <w:szCs w:val="32"/>
          <w:highlight w:val="none"/>
          <w:lang w:val="en-US" w:eastAsia="zh-CN" w:bidi="ar-SA"/>
        </w:rPr>
        <w:t>3.</w:t>
      </w:r>
      <w:r>
        <w:rPr>
          <w:rFonts w:hint="eastAsia" w:ascii="Times New Roman" w:hAnsi="Times New Roman" w:eastAsia="仿宋_GB2312" w:cs="Times New Roman"/>
          <w:b/>
          <w:bCs/>
          <w:color w:val="auto"/>
          <w:kern w:val="2"/>
          <w:sz w:val="32"/>
          <w:szCs w:val="32"/>
          <w:highlight w:val="none"/>
          <w:lang w:val="zh-CN" w:eastAsia="zh-CN" w:bidi="ar-SA"/>
        </w:rPr>
        <w:t>资金使用。</w:t>
      </w:r>
      <w:r>
        <w:rPr>
          <w:rFonts w:hint="eastAsia" w:ascii="Times New Roman" w:hAnsi="Times New Roman" w:eastAsia="仿宋_GB2312" w:cs="Times New Roman"/>
          <w:color w:val="auto"/>
          <w:kern w:val="2"/>
          <w:sz w:val="32"/>
          <w:szCs w:val="32"/>
          <w:highlight w:val="none"/>
          <w:lang w:val="zh-CN" w:eastAsia="zh-CN" w:bidi="ar-SA"/>
        </w:rPr>
        <w:t>严格按照与省城建院签订的《技术服务合同》约定条款执行，目前已按照项目进度拨付合同金额的</w:t>
      </w:r>
      <w:r>
        <w:rPr>
          <w:rFonts w:hint="eastAsia" w:ascii="Times New Roman" w:hAnsi="Times New Roman" w:eastAsia="仿宋_GB2312" w:cs="Times New Roman"/>
          <w:color w:val="auto"/>
          <w:kern w:val="2"/>
          <w:sz w:val="32"/>
          <w:szCs w:val="32"/>
          <w:highlight w:val="none"/>
          <w:lang w:val="en-US" w:eastAsia="zh-CN" w:bidi="ar-SA"/>
        </w:rPr>
        <w:t>70%，为62.3万元</w:t>
      </w:r>
      <w:r>
        <w:rPr>
          <w:rFonts w:hint="eastAsia" w:ascii="Times New Roman" w:hAnsi="Times New Roman" w:eastAsia="仿宋_GB2312" w:cs="Times New Roman"/>
          <w:color w:val="auto"/>
          <w:kern w:val="2"/>
          <w:sz w:val="32"/>
          <w:szCs w:val="32"/>
          <w:highlight w:val="none"/>
          <w:lang w:val="zh-CN" w:eastAsia="zh-CN" w:bidi="ar-SA"/>
        </w:rPr>
        <w:t>。资金支付范围、支付标准、支付进度、支付依据等合规合法、与预算相符。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在项目资金管理上，严格按照我局《内部控制制度》相关规定执行，做到了专款专用、财务处理准确、及时、规范。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outlineLvl w:val="1"/>
        <w:rPr>
          <w:rFonts w:ascii="黑体" w:hAnsi="宋体" w:eastAsia="黑体"/>
          <w:b w:val="0"/>
          <w:bCs w:val="0"/>
          <w:color w:val="auto"/>
          <w:sz w:val="32"/>
          <w:szCs w:val="32"/>
          <w:highlight w:val="none"/>
          <w:u w:val="none"/>
        </w:rPr>
      </w:pPr>
      <w:bookmarkStart w:id="129" w:name="_Toc211965597_WPSOffice_Level2"/>
      <w:bookmarkStart w:id="130" w:name="_Toc31781"/>
      <w:bookmarkStart w:id="131" w:name="_Toc787210522_WPSOffice_Level2"/>
      <w:r>
        <w:rPr>
          <w:rFonts w:hint="eastAsia" w:ascii="黑体" w:hAnsi="宋体" w:eastAsia="黑体"/>
          <w:b w:val="0"/>
          <w:bCs w:val="0"/>
          <w:color w:val="auto"/>
          <w:sz w:val="32"/>
          <w:szCs w:val="32"/>
          <w:highlight w:val="none"/>
          <w:u w:val="none"/>
        </w:rPr>
        <w:t>三、项目实施及管理情况</w:t>
      </w:r>
      <w:bookmarkEnd w:id="129"/>
      <w:bookmarkEnd w:id="130"/>
      <w:bookmarkEnd w:id="131"/>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1.项目承办业务科室编制项目实施方案；</w:t>
      </w:r>
      <w:r>
        <w:rPr>
          <w:rFonts w:hint="eastAsia"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zh-CN" w:eastAsia="zh-CN" w:bidi="ar-SA"/>
        </w:rPr>
        <w:t>我局与省城建院签订技术服务合同；</w:t>
      </w:r>
      <w:r>
        <w:rPr>
          <w:rFonts w:hint="eastAsia"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zh-CN" w:eastAsia="zh-CN" w:bidi="ar-SA"/>
        </w:rPr>
        <w:t>我局组织人员验收城市体检报告编制质量，验收合格后，根据合同约定条款按进度拨付资金。</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（二）项目管理情况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此项目为技术服务项目，属于政府采购项目，需对广元市城市发展情况进行调查分析。因此采取政府采购竞争性磋商方式公开招标，省城建院中标，我局与省城建院签订技术服务合同。</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（三）项目监管情况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业务科室组织人员不定期对城市体检报告进行审查、督促进度。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132" w:name="_Toc28577"/>
      <w:bookmarkStart w:id="133" w:name="_Toc211823802_WPSOffice_Level2"/>
      <w:bookmarkStart w:id="134" w:name="_Toc1963882614_WPSOffice_Level2"/>
      <w:r>
        <w:rPr>
          <w:rFonts w:hint="eastAsia" w:ascii="黑体" w:hAnsi="宋体" w:eastAsia="黑体"/>
          <w:b w:val="0"/>
          <w:bCs w:val="0"/>
          <w:color w:val="auto"/>
          <w:sz w:val="32"/>
          <w:szCs w:val="32"/>
          <w:highlight w:val="none"/>
          <w:u w:val="none"/>
        </w:rPr>
        <w:t>四、项目绩效情况</w:t>
      </w:r>
      <w:bookmarkEnd w:id="132"/>
      <w:bookmarkEnd w:id="133"/>
      <w:bookmarkEnd w:id="134"/>
      <w:r>
        <w:rPr>
          <w:rFonts w:hint="eastAsia" w:ascii="仿宋_GB2312" w:hAnsi="宋体"/>
          <w:b w:val="0"/>
          <w:bCs w:val="0"/>
          <w:color w:val="auto"/>
          <w:sz w:val="32"/>
          <w:szCs w:val="32"/>
          <w:highlight w:val="none"/>
          <w:u w:val="none"/>
          <w:lang w:val="zh-CN"/>
        </w:rPr>
        <w:tab/>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（一）项目完成情况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已完成项目目标任务，完成了采相关数据采集、数据分析工作，形成“必检指标+特色指标+自选指标”的105项指标体系，编制完成《广元市2022年度城市体检报告（送审稿）》，并针对发现的城市问题，提出了相应提升措施方案。</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（二）项目效益情况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项目产生的</w:t>
      </w:r>
      <w:r>
        <w:rPr>
          <w:rFonts w:hint="eastAsia" w:ascii="Times New Roman" w:hAnsi="Times New Roman" w:eastAsia="仿宋_GB2312" w:cs="Times New Roman"/>
          <w:color w:val="auto"/>
          <w:kern w:val="2"/>
          <w:sz w:val="32"/>
          <w:szCs w:val="32"/>
          <w:highlight w:val="none"/>
          <w:lang w:val="zh-CN" w:eastAsia="zh-CN" w:bidi="ar-SA"/>
        </w:rPr>
        <w:t>社会效益、生态效益、可持续效益较好，满意度高，达到预期的效益。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黑体" w:hAnsi="宋体" w:eastAsia="黑体"/>
          <w:b w:val="0"/>
          <w:bCs w:val="0"/>
          <w:color w:val="auto"/>
          <w:sz w:val="32"/>
          <w:szCs w:val="32"/>
          <w:highlight w:val="none"/>
          <w:u w:val="none"/>
          <w:lang w:eastAsia="zh-CN"/>
        </w:rPr>
      </w:pPr>
      <w:bookmarkStart w:id="135" w:name="_Toc1384941099_WPSOffice_Level2"/>
      <w:bookmarkStart w:id="136" w:name="_Toc1997942801_WPSOffice_Level2"/>
      <w:bookmarkStart w:id="137" w:name="_Toc30850"/>
      <w:r>
        <w:rPr>
          <w:rFonts w:hint="eastAsia" w:ascii="黑体" w:hAnsi="宋体" w:eastAsia="黑体"/>
          <w:b w:val="0"/>
          <w:bCs w:val="0"/>
          <w:color w:val="auto"/>
          <w:sz w:val="32"/>
          <w:szCs w:val="32"/>
          <w:highlight w:val="none"/>
          <w:u w:val="none"/>
        </w:rPr>
        <w:t>五、评价结论及建议</w:t>
      </w:r>
      <w:bookmarkEnd w:id="135"/>
      <w:bookmarkEnd w:id="136"/>
      <w:bookmarkEnd w:id="137"/>
      <w:r>
        <w:rPr>
          <w:rFonts w:hint="eastAsia" w:ascii="黑体" w:hAnsi="宋体" w:eastAsia="黑体"/>
          <w:b w:val="0"/>
          <w:bCs w:val="0"/>
          <w:color w:val="auto"/>
          <w:sz w:val="32"/>
          <w:szCs w:val="32"/>
          <w:highlight w:val="none"/>
          <w:u w:val="none"/>
          <w:lang w:eastAsia="zh-CN"/>
        </w:rPr>
        <w:tab/>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（一）评价结论</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项目决策符合国家政策方针，管理符合相关制度，严格实施城市体检编制任务，实施达到了预期的社会效益，针对发现的城市问题，提出了相应提升措施方案，为有序实施城市更新，全面提升城市综合承载力奠定坚实基础，受益群众满意度较好。</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无。</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（三）相关建议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无。</w:t>
      </w:r>
    </w:p>
    <w:p>
      <w:pPr>
        <w:pStyle w:val="34"/>
        <w:keepNext w:val="0"/>
        <w:keepLines w:val="0"/>
        <w:pageBreakBefore w:val="0"/>
        <w:widowControl w:val="0"/>
        <w:shd w:val="clear"/>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34"/>
        <w:keepNext w:val="0"/>
        <w:keepLines w:val="0"/>
        <w:pageBreakBefore w:val="0"/>
        <w:widowControl w:val="0"/>
        <w:shd w:val="clear"/>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34"/>
        <w:keepNext w:val="0"/>
        <w:keepLines w:val="0"/>
        <w:pageBreakBefore w:val="0"/>
        <w:widowControl w:val="0"/>
        <w:shd w:val="clear"/>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34"/>
        <w:keepNext w:val="0"/>
        <w:keepLines w:val="0"/>
        <w:pageBreakBefore w:val="0"/>
        <w:widowControl w:val="0"/>
        <w:shd w:val="clear"/>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34"/>
        <w:keepNext w:val="0"/>
        <w:keepLines w:val="0"/>
        <w:pageBreakBefore w:val="0"/>
        <w:widowControl w:val="0"/>
        <w:shd w:val="clear"/>
        <w:kinsoku/>
        <w:wordWrap/>
        <w:overflowPunct/>
        <w:topLinePunct w:val="0"/>
        <w:autoSpaceDE/>
        <w:autoSpaceDN/>
        <w:bidi w:val="0"/>
        <w:spacing w:line="576" w:lineRule="exact"/>
        <w:ind w:firstLine="640"/>
        <w:jc w:val="center"/>
        <w:textAlignment w:val="auto"/>
        <w:outlineLvl w:val="1"/>
        <w:rPr>
          <w:rFonts w:hint="eastAsia" w:ascii="方正小标宋简体" w:hAnsi="方正小标宋简体" w:eastAsia="方正小标宋简体" w:cs="方正小标宋简体"/>
          <w:b w:val="0"/>
          <w:bCs w:val="0"/>
          <w:color w:val="auto"/>
          <w:kern w:val="2"/>
          <w:sz w:val="44"/>
          <w:szCs w:val="44"/>
          <w:highlight w:val="none"/>
        </w:rPr>
      </w:pPr>
      <w:bookmarkStart w:id="138" w:name="_Toc723466226_WPSOffice_Level2"/>
      <w:bookmarkStart w:id="139" w:name="_Toc2082566639_WPSOffice_Level2"/>
      <w:bookmarkStart w:id="140" w:name="_Toc3023"/>
      <w:r>
        <w:rPr>
          <w:rFonts w:hint="eastAsia" w:ascii="方正小标宋简体" w:hAnsi="方正小标宋简体" w:eastAsia="方正小标宋简体" w:cs="方正小标宋简体"/>
          <w:b w:val="0"/>
          <w:bCs w:val="0"/>
          <w:color w:val="auto"/>
          <w:kern w:val="2"/>
          <w:sz w:val="44"/>
          <w:szCs w:val="44"/>
          <w:highlight w:val="none"/>
          <w:lang w:val="en-US" w:eastAsia="zh-CN"/>
        </w:rPr>
        <w:t>房屋交易服务平台链路租赁</w:t>
      </w:r>
      <w:r>
        <w:rPr>
          <w:rFonts w:hint="eastAsia" w:ascii="方正小标宋简体" w:hAnsi="方正小标宋简体" w:eastAsia="方正小标宋简体" w:cs="方正小标宋简体"/>
          <w:b w:val="0"/>
          <w:bCs w:val="0"/>
          <w:color w:val="auto"/>
          <w:kern w:val="2"/>
          <w:sz w:val="44"/>
          <w:szCs w:val="44"/>
          <w:highlight w:val="none"/>
          <w:lang w:eastAsia="zh-CN"/>
        </w:rPr>
        <w:t>项</w:t>
      </w:r>
      <w:r>
        <w:rPr>
          <w:rFonts w:hint="eastAsia" w:ascii="方正小标宋简体" w:hAnsi="方正小标宋简体" w:eastAsia="方正小标宋简体" w:cs="方正小标宋简体"/>
          <w:b w:val="0"/>
          <w:bCs w:val="0"/>
          <w:color w:val="auto"/>
          <w:kern w:val="2"/>
          <w:sz w:val="44"/>
          <w:szCs w:val="44"/>
          <w:highlight w:val="none"/>
        </w:rPr>
        <w:t>目支出绩效自评报告</w:t>
      </w:r>
      <w:bookmarkEnd w:id="138"/>
      <w:bookmarkEnd w:id="139"/>
      <w:bookmarkEnd w:id="140"/>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黑体" w:hAnsi="宋体" w:eastAsia="黑体" w:cs="Times New Roman"/>
          <w:color w:val="auto"/>
          <w:sz w:val="32"/>
          <w:szCs w:val="32"/>
          <w:highlight w:val="none"/>
          <w:lang w:val="zh-CN"/>
        </w:rPr>
      </w:pPr>
      <w:bookmarkStart w:id="141" w:name="_Toc928792981_WPSOffice_Level2"/>
      <w:bookmarkStart w:id="142" w:name="_Toc1930983892_WPSOffice_Level2"/>
      <w:bookmarkStart w:id="143" w:name="_Toc73"/>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41"/>
      <w:bookmarkEnd w:id="142"/>
      <w:bookmarkEnd w:id="143"/>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color w:val="auto"/>
          <w:sz w:val="32"/>
          <w:szCs w:val="32"/>
          <w:highlight w:val="none"/>
          <w:lang w:val="zh-CN"/>
        </w:rPr>
        <w:t>广元市房政在线不动产管理信息系统</w:t>
      </w:r>
      <w:r>
        <w:rPr>
          <w:rFonts w:hint="eastAsia" w:ascii="仿宋_GB2312" w:hAnsi="仿宋" w:eastAsia="仿宋_GB2312" w:cs="宋体"/>
          <w:color w:val="auto"/>
          <w:kern w:val="0"/>
          <w:sz w:val="32"/>
          <w:szCs w:val="32"/>
          <w:highlight w:val="none"/>
          <w:lang w:eastAsia="zh-CN"/>
        </w:rPr>
        <w:t>于2017年通过政府采购建设，服务器部署于我局北五楼机房，为保障数据传输安全及稳定性，通过采购租赁中国电信广元分公司9条专线（MSTP）由北五楼机房直接连接县区住房城乡建设局、市政务服务中心、市不动产登记中心，带宽100M/条。根据工作需要，年初申报</w:t>
      </w:r>
      <w:r>
        <w:rPr>
          <w:rFonts w:hint="eastAsia" w:ascii="仿宋_GB2312" w:hAnsi="仿宋" w:eastAsia="仿宋_GB2312" w:cs="宋体"/>
          <w:color w:val="auto"/>
          <w:kern w:val="0"/>
          <w:sz w:val="32"/>
          <w:szCs w:val="32"/>
          <w:highlight w:val="none"/>
          <w:lang w:val="zh-CN" w:eastAsia="zh-CN"/>
        </w:rPr>
        <w:t>广元市房政在线不动产管理信息系统链路租用</w:t>
      </w:r>
      <w:r>
        <w:rPr>
          <w:rFonts w:hint="eastAsia" w:ascii="仿宋_GB2312" w:hAnsi="仿宋" w:eastAsia="仿宋_GB2312" w:cs="宋体"/>
          <w:color w:val="auto"/>
          <w:kern w:val="0"/>
          <w:sz w:val="32"/>
          <w:szCs w:val="32"/>
          <w:highlight w:val="none"/>
          <w:lang w:eastAsia="zh-CN"/>
        </w:rPr>
        <w:t>工作经费</w:t>
      </w:r>
      <w:r>
        <w:rPr>
          <w:rFonts w:hint="eastAsia" w:ascii="仿宋_GB2312" w:hAnsi="仿宋" w:eastAsia="仿宋_GB2312" w:cs="宋体"/>
          <w:color w:val="auto"/>
          <w:kern w:val="0"/>
          <w:sz w:val="32"/>
          <w:szCs w:val="32"/>
          <w:highlight w:val="none"/>
          <w:lang w:val="en-US" w:eastAsia="zh-CN"/>
        </w:rPr>
        <w:t>50</w:t>
      </w:r>
      <w:r>
        <w:rPr>
          <w:rFonts w:hint="eastAsia" w:ascii="仿宋_GB2312" w:hAnsi="仿宋" w:eastAsia="仿宋_GB2312" w:cs="宋体"/>
          <w:color w:val="auto"/>
          <w:kern w:val="0"/>
          <w:sz w:val="32"/>
          <w:szCs w:val="32"/>
          <w:highlight w:val="none"/>
          <w:lang w:eastAsia="zh-CN"/>
        </w:rPr>
        <w:t>万元，</w:t>
      </w:r>
      <w:r>
        <w:rPr>
          <w:rFonts w:hint="eastAsia" w:ascii="仿宋_GB2312" w:hAnsi="仿宋" w:eastAsia="仿宋_GB2312" w:cs="宋体"/>
          <w:color w:val="auto"/>
          <w:kern w:val="0"/>
          <w:sz w:val="32"/>
          <w:szCs w:val="32"/>
          <w:highlight w:val="none"/>
          <w:lang w:val="zh-CN" w:eastAsia="zh-CN"/>
        </w:rPr>
        <w:t>市财政局下达专项工作经费</w:t>
      </w:r>
      <w:r>
        <w:rPr>
          <w:rFonts w:hint="eastAsia" w:ascii="仿宋_GB2312" w:hAnsi="仿宋" w:eastAsia="仿宋_GB2312" w:cs="宋体"/>
          <w:color w:val="auto"/>
          <w:kern w:val="0"/>
          <w:sz w:val="32"/>
          <w:szCs w:val="32"/>
          <w:highlight w:val="none"/>
          <w:lang w:val="en-US" w:eastAsia="zh-CN"/>
        </w:rPr>
        <w:t>50万元。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租赁市住房城乡建设局机房到四县三区、市不动产登记中心及万缘政务中心共计9条专用电路网络（线路类型MSTP，带宽为100M/条）</w:t>
      </w:r>
      <w:r>
        <w:rPr>
          <w:rFonts w:hint="eastAsia" w:ascii="仿宋_GB2312" w:hAnsi="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保障广元市房产交易服务平台稳定运行，提升管理效率和水平。申报内容与实际相符，申报目标合理可行。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根据《广元市财政局关于开展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2022年度市级部门绩效自评工作的通知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》（广财绩〔</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）精神，按照项目支出绩效评价指标体系内容，由业务科室草拟自评报告，分别报分管领导、主要领导审阅后再报送。</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44" w:name="_Toc132600271_WPSOffice_Level2"/>
      <w:bookmarkStart w:id="145" w:name="_Toc12078"/>
      <w:bookmarkStart w:id="146" w:name="_Toc219557067_WPSOffice_Level2"/>
      <w:r>
        <w:rPr>
          <w:rFonts w:hint="eastAsia" w:ascii="黑体" w:hAnsi="宋体" w:eastAsia="黑体"/>
          <w:b w:val="0"/>
          <w:bCs w:val="0"/>
          <w:color w:val="auto"/>
          <w:sz w:val="32"/>
          <w:szCs w:val="32"/>
          <w:highlight w:val="none"/>
          <w:u w:val="none"/>
        </w:rPr>
        <w:t>二、项目资金申报及使用情况</w:t>
      </w:r>
      <w:bookmarkEnd w:id="144"/>
      <w:bookmarkEnd w:id="145"/>
      <w:bookmarkEnd w:id="146"/>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该项目经事前评估、预算申报经费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100万元；2022年5月</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市财政局根据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广财投（2022）37号文件</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下达专项工作经费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50万元。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2022年项目计划资金50万元。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2022年10月到位财政资金50万元。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严格按照合同约定条款执行，</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2022年支付租赁费49.58万元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在项目资金管理上，严格按照我局《内部控制制度》相关规定执行，做到了专款专用、财务处理准确、及时、规范。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47" w:name="_Toc1475363780_WPSOffice_Level2"/>
      <w:bookmarkStart w:id="148" w:name="_Toc1061699847_WPSOffice_Level2"/>
      <w:bookmarkStart w:id="149" w:name="_Toc30518"/>
      <w:r>
        <w:rPr>
          <w:rFonts w:hint="eastAsia" w:ascii="黑体" w:hAnsi="宋体" w:eastAsia="黑体"/>
          <w:b w:val="0"/>
          <w:bCs w:val="0"/>
          <w:color w:val="auto"/>
          <w:sz w:val="32"/>
          <w:szCs w:val="32"/>
          <w:highlight w:val="none"/>
          <w:u w:val="none"/>
        </w:rPr>
        <w:t>三、项目实施及管理情况</w:t>
      </w:r>
      <w:bookmarkEnd w:id="147"/>
      <w:bookmarkEnd w:id="148"/>
      <w:bookmarkEnd w:id="149"/>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该项目由市住房中心具体实施，制定了相应的项目管理制度，严格把关，全面完成了任务。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150" w:name="_Toc441224184_WPSOffice_Level2"/>
      <w:bookmarkStart w:id="151" w:name="_Toc29671"/>
      <w:bookmarkStart w:id="152" w:name="_Toc757854454_WPSOffice_Level2"/>
      <w:r>
        <w:rPr>
          <w:rFonts w:hint="eastAsia" w:ascii="黑体" w:hAnsi="宋体" w:eastAsia="黑体"/>
          <w:b w:val="0"/>
          <w:bCs w:val="0"/>
          <w:color w:val="auto"/>
          <w:sz w:val="32"/>
          <w:szCs w:val="32"/>
          <w:highlight w:val="none"/>
          <w:u w:val="none"/>
        </w:rPr>
        <w:t>四、项目绩效情况</w:t>
      </w:r>
      <w:bookmarkEnd w:id="150"/>
      <w:bookmarkEnd w:id="151"/>
      <w:bookmarkEnd w:id="152"/>
      <w:r>
        <w:rPr>
          <w:rFonts w:hint="eastAsia" w:ascii="仿宋_GB2312" w:hAnsi="宋体"/>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本年度通过采购租赁中国电信广元分公司9条专线（MSTP）由北五楼机房直接连接县区住房城乡建设局、市政务服务中心、市不动产登记中心，带宽100M/条。通过本项目的实施，确保广元市房政在线不动产管理信息系统正常稳定运行，方便群众办事，提高房地产交易管理效率，群众满意度达到90%以上。完成了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53" w:name="_Toc18091"/>
      <w:bookmarkStart w:id="154" w:name="_Toc1247434982_WPSOffice_Level2"/>
      <w:bookmarkStart w:id="155" w:name="_Toc1400976977_WPSOffice_Level2"/>
      <w:r>
        <w:rPr>
          <w:rFonts w:hint="eastAsia" w:ascii="黑体" w:hAnsi="宋体" w:eastAsia="黑体"/>
          <w:b w:val="0"/>
          <w:bCs w:val="0"/>
          <w:color w:val="auto"/>
          <w:sz w:val="32"/>
          <w:szCs w:val="32"/>
          <w:highlight w:val="none"/>
          <w:u w:val="none"/>
        </w:rPr>
        <w:t>五、评价结论及建议</w:t>
      </w:r>
      <w:bookmarkEnd w:id="153"/>
      <w:bookmarkEnd w:id="154"/>
      <w:bookmarkEnd w:id="155"/>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highlight w:val="none"/>
          <w:lang w:val="en-US" w:eastAsia="zh-CN"/>
        </w:rPr>
        <w:t>2022年度房屋交易服务平台链路租赁</w:t>
      </w:r>
      <w:r>
        <w:rPr>
          <w:rFonts w:hint="eastAsia" w:ascii="仿宋_GB2312" w:hAnsi="仿宋_GB2312" w:eastAsia="仿宋_GB2312" w:cs="仿宋_GB2312"/>
          <w:color w:val="auto"/>
          <w:sz w:val="32"/>
          <w:szCs w:val="32"/>
          <w:highlight w:val="none"/>
          <w:lang w:eastAsia="zh-CN"/>
        </w:rPr>
        <w:t>经费</w:t>
      </w:r>
      <w:r>
        <w:rPr>
          <w:rFonts w:hint="eastAsia" w:ascii="仿宋_GB2312" w:hAnsi="仿宋_GB2312" w:eastAsia="仿宋_GB2312" w:cs="仿宋_GB2312"/>
          <w:color w:val="auto"/>
          <w:sz w:val="32"/>
          <w:szCs w:val="32"/>
          <w:highlight w:val="none"/>
        </w:rPr>
        <w:t>执行较好</w:t>
      </w:r>
      <w:r>
        <w:rPr>
          <w:rFonts w:hint="eastAsia" w:ascii="仿宋_GB2312" w:hAnsi="宋体" w:eastAsia="仿宋_GB2312" w:cs="宋体"/>
          <w:color w:val="auto"/>
          <w:kern w:val="0"/>
          <w:sz w:val="32"/>
          <w:szCs w:val="32"/>
          <w:highlight w:val="none"/>
          <w:shd w:val="clear" w:color="auto" w:fill="FFFFFF"/>
          <w:lang w:val="zh-CN"/>
        </w:rPr>
        <w:t>，按照计划完成年度工作任务，实现了年度绩效目标。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无</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无。</w:t>
      </w: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keepNext w:val="0"/>
        <w:keepLines w:val="0"/>
        <w:pageBreakBefore w:val="0"/>
        <w:widowControl w:val="0"/>
        <w:shd w:val="clear"/>
        <w:kinsoku/>
        <w:wordWrap/>
        <w:overflowPunct/>
        <w:topLinePunct w:val="0"/>
        <w:autoSpaceDE/>
        <w:autoSpaceDN/>
        <w:bidi w:val="0"/>
        <w:spacing w:line="576" w:lineRule="exact"/>
        <w:ind w:left="0" w:leftChars="0" w:right="0" w:rightChars="0"/>
        <w:jc w:val="center"/>
        <w:textAlignment w:val="auto"/>
        <w:outlineLvl w:val="1"/>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156" w:name="_Toc24135"/>
      <w:bookmarkStart w:id="157" w:name="_Toc1158328063_WPSOffice_Level2"/>
      <w:bookmarkStart w:id="158" w:name="_Toc2013137859_WPSOffice_Level2"/>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凤凰山城市棚户区配套基础设施建设二期工程支出绩效自评报告</w:t>
      </w:r>
      <w:bookmarkEnd w:id="156"/>
      <w:bookmarkEnd w:id="157"/>
      <w:bookmarkEnd w:id="158"/>
    </w:p>
    <w:p>
      <w:pPr>
        <w:keepNext w:val="0"/>
        <w:keepLines w:val="0"/>
        <w:pageBreakBefore w:val="0"/>
        <w:widowControl w:val="0"/>
        <w:shd w:val="clear"/>
        <w:kinsoku/>
        <w:wordWrap/>
        <w:overflowPunct/>
        <w:topLinePunct w:val="0"/>
        <w:autoSpaceDE/>
        <w:autoSpaceDN/>
        <w:bidi w:val="0"/>
        <w:spacing w:line="576" w:lineRule="exact"/>
        <w:ind w:left="0" w:leftChars="0" w:right="0" w:rightChars="0"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黑体" w:hAnsi="宋体" w:eastAsia="黑体" w:cs="Times New Roman"/>
          <w:b w:val="0"/>
          <w:bCs w:val="0"/>
          <w:color w:val="auto"/>
          <w:sz w:val="32"/>
          <w:szCs w:val="32"/>
          <w:highlight w:val="none"/>
          <w:lang w:val="zh-CN"/>
        </w:rPr>
      </w:pPr>
      <w:bookmarkStart w:id="159" w:name="_Toc1740681184_WPSOffice_Level2"/>
      <w:bookmarkStart w:id="160" w:name="_Toc26730"/>
      <w:bookmarkStart w:id="161" w:name="_Toc491840117_WPSOffice_Level2"/>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159"/>
      <w:bookmarkEnd w:id="160"/>
      <w:bookmarkEnd w:id="161"/>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项目主管部门在该项目管理中的职能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color w:val="auto"/>
          <w:sz w:val="32"/>
          <w:szCs w:val="32"/>
          <w:highlight w:val="none"/>
          <w:lang w:val="en-US" w:eastAsia="zh-CN"/>
        </w:rPr>
        <w:t>凤凰山城市棚户区配套基础设施建设二期工程项目实施单位为</w:t>
      </w:r>
      <w:r>
        <w:rPr>
          <w:rFonts w:hint="eastAsia" w:ascii="仿宋_GB2312" w:hAnsi="仿宋_GB2312" w:eastAsia="仿宋_GB2312" w:cs="仿宋_GB2312"/>
          <w:color w:val="auto"/>
          <w:sz w:val="32"/>
          <w:szCs w:val="32"/>
          <w:highlight w:val="none"/>
          <w:lang w:val="en" w:eastAsia="zh-CN"/>
        </w:rPr>
        <w:t>广元市城市发展集团有限公司，主管部门</w:t>
      </w:r>
      <w:r>
        <w:rPr>
          <w:rFonts w:hint="eastAsia" w:ascii="仿宋_GB2312" w:hAnsi="仿宋_GB2312" w:eastAsia="仿宋_GB2312" w:cs="仿宋_GB2312"/>
          <w:color w:val="auto"/>
          <w:sz w:val="32"/>
          <w:szCs w:val="32"/>
          <w:highlight w:val="none"/>
          <w:lang w:val="en-US" w:eastAsia="zh-CN"/>
        </w:rPr>
        <w:t>为广元市住房和城乡建设局，负责全流程监督该项目实施。</w:t>
      </w:r>
    </w:p>
    <w:p>
      <w:pPr>
        <w:pageBreakBefore w:val="0"/>
        <w:widowControl w:val="0"/>
        <w:shd w:val="clear"/>
        <w:kinsoku/>
        <w:wordWrap/>
        <w:overflowPunct/>
        <w:topLinePunct w:val="0"/>
        <w:autoSpaceDE/>
        <w:autoSpaceDN/>
        <w:bidi w:val="0"/>
        <w:spacing w:line="576" w:lineRule="exact"/>
        <w:ind w:left="0" w:leftChars="0" w:right="0" w:rightChars="0"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项目立项、资金申报的依据。</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rPr>
        <w:t>《广元市城市总体规划</w:t>
      </w:r>
      <w:r>
        <w:rPr>
          <w:rFonts w:hint="eastAsia" w:ascii="仿宋_GB2312" w:hAnsi="仿宋_GB2312" w:eastAsia="仿宋_GB2312" w:cs="仿宋_GB2312"/>
          <w:color w:val="auto"/>
          <w:sz w:val="32"/>
          <w:szCs w:val="32"/>
          <w:highlight w:val="none"/>
          <w:lang w:val="en-US" w:eastAsia="zh-CN"/>
        </w:rPr>
        <w:t>（2017-2035）》、《广元市嘉陵片区控制性详细规划》，经广元市城乡规划委员会办公室广规审【2019】001号-07号，广元市发展和改革委员会《关于凤凰山城市棚户区配套基础设施建设二期工程（凤凰山隧道）可行性研究报告的复函》广发改函【2019】35号，建设资金纳入市本级财政预算。</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rPr>
        <w:t>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，对项目前期、施工、竣工验收、财务管理作了明确的规定。该项目严格按照预算申报、《广元市财政局关于下达基金指标的通知》（广财投〔2022〕27号）要求及单位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bCs/>
          <w:color w:val="auto"/>
          <w:kern w:val="0"/>
          <w:sz w:val="32"/>
          <w:szCs w:val="32"/>
          <w:highlight w:val="none"/>
          <w:u w:val="none"/>
          <w:shd w:val="clear" w:color="auto" w:fill="FFFFFF"/>
          <w:lang w:val="zh-CN"/>
        </w:rPr>
        <w:t>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pageBreakBefore w:val="0"/>
        <w:widowControl w:val="0"/>
        <w:shd w:val="clear"/>
        <w:kinsoku/>
        <w:wordWrap/>
        <w:overflowPunct/>
        <w:topLinePunct w:val="0"/>
        <w:autoSpaceDE/>
        <w:autoSpaceDN/>
        <w:bidi w:val="0"/>
        <w:spacing w:line="576" w:lineRule="exact"/>
        <w:ind w:left="0" w:leftChars="0" w:right="0" w:rightChars="0" w:firstLine="642"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新建</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道路全长</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约</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550米（其中隧道工程全长345米），宽12米。起于新华街与蜀门北路平交口，自西向东延伸，沿线下穿凤凰山，终点止于栖凤路</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项目应实现的具体绩效目标。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完成道路建设全长约550米（其中隧道工程全长345米），宽12米。</w:t>
      </w:r>
    </w:p>
    <w:p>
      <w:pPr>
        <w:pageBreakBefore w:val="0"/>
        <w:widowControl w:val="0"/>
        <w:shd w:val="clear"/>
        <w:kinsoku/>
        <w:wordWrap/>
        <w:overflowPunct/>
        <w:topLinePunct w:val="0"/>
        <w:autoSpaceDE/>
        <w:autoSpaceDN/>
        <w:bidi w:val="0"/>
        <w:spacing w:line="576" w:lineRule="exact"/>
        <w:ind w:left="0" w:leftChars="0" w:right="0" w:rightChars="0" w:firstLine="674"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3．申报目标合理</w:t>
      </w:r>
      <w:r>
        <w:rPr>
          <w:rFonts w:hint="eastAsia" w:ascii="仿宋_GB2312" w:hAnsi="仿宋_GB2312" w:eastAsia="仿宋_GB2312" w:cs="仿宋_GB2312"/>
          <w:b/>
          <w:bCs/>
          <w:color w:val="auto"/>
          <w:spacing w:val="8"/>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根据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广元市财政局关于开展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度市级部门绩效自评工作的通知》（广财绩〔2023〕5号）要求，我局积极组织各项目单位开展项目自评工作，按照项目年初绩效目标申报表一一对照完成情况，以及《2023年市级专项资金预算项目支出绩效评价指标体系》进行自评打分，并撰写市级专项资金预算项目支出绩效自评报告，报主管部门审核后汇总。</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62" w:name="_Toc5389"/>
      <w:bookmarkStart w:id="163" w:name="_Toc1634209116_WPSOffice_Level2"/>
      <w:bookmarkStart w:id="164" w:name="_Toc325831870_WPSOffice_Level2"/>
      <w:r>
        <w:rPr>
          <w:rFonts w:hint="eastAsia" w:ascii="黑体" w:hAnsi="宋体" w:eastAsia="黑体" w:cs="Times New Roman"/>
          <w:b w:val="0"/>
          <w:bCs w:val="0"/>
          <w:color w:val="auto"/>
          <w:sz w:val="32"/>
          <w:szCs w:val="32"/>
          <w:highlight w:val="none"/>
          <w:u w:val="none"/>
        </w:rPr>
        <w:t>二、项目资金申报及使用情况</w:t>
      </w:r>
      <w:bookmarkEnd w:id="162"/>
      <w:bookmarkEnd w:id="163"/>
      <w:bookmarkEnd w:id="164"/>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该项目经市发展发改委批复可行性研究报告，立项总投资6650万元，主要为项目前期待摊费以及直接工程费等，资金来源为市本级财政资金及企业自筹。2021年11月3日批复该项目概算，概算金额为6590.79万元。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eastAsia="zh-CN"/>
        </w:rPr>
      </w:pPr>
      <w:r>
        <w:rPr>
          <w:rFonts w:hint="eastAsia" w:ascii="楷体_GB2312" w:hAnsi="宋体" w:eastAsia="楷体_GB2312" w:cs="Times New Roman"/>
          <w:b/>
          <w:bCs/>
          <w:color w:val="auto"/>
          <w:sz w:val="32"/>
          <w:szCs w:val="32"/>
          <w:highlight w:val="none"/>
          <w:u w:val="none"/>
          <w:lang w:val="zh-CN" w:eastAsia="zh-CN"/>
        </w:rPr>
        <w:t>（二）资金计划、到位及使用情况</w:t>
      </w:r>
    </w:p>
    <w:p>
      <w:pPr>
        <w:pageBreakBefore w:val="0"/>
        <w:widowControl w:val="0"/>
        <w:shd w:val="clear"/>
        <w:kinsoku/>
        <w:wordWrap/>
        <w:overflowPunct/>
        <w:topLinePunct w:val="0"/>
        <w:autoSpaceDE/>
        <w:autoSpaceDN/>
        <w:bidi w:val="0"/>
        <w:spacing w:line="576" w:lineRule="exact"/>
        <w:ind w:left="0" w:leftChars="0" w:right="0" w:rightChars="0" w:firstLine="642"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1.</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2022年市本级计划资金2000万元。</w:t>
      </w:r>
    </w:p>
    <w:p>
      <w:pPr>
        <w:pageBreakBefore w:val="0"/>
        <w:widowControl w:val="0"/>
        <w:shd w:val="clear"/>
        <w:kinsoku/>
        <w:wordWrap/>
        <w:overflowPunct/>
        <w:topLinePunct w:val="0"/>
        <w:autoSpaceDE/>
        <w:autoSpaceDN/>
        <w:bidi w:val="0"/>
        <w:spacing w:line="576" w:lineRule="exact"/>
        <w:ind w:left="0" w:leftChars="0" w:right="0" w:rightChars="0" w:firstLine="642"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2022年财政资金到位2000万元。</w:t>
      </w:r>
    </w:p>
    <w:p>
      <w:pPr>
        <w:pageBreakBefore w:val="0"/>
        <w:widowControl w:val="0"/>
        <w:shd w:val="clear"/>
        <w:kinsoku/>
        <w:wordWrap/>
        <w:overflowPunct/>
        <w:topLinePunct w:val="0"/>
        <w:autoSpaceDE/>
        <w:autoSpaceDN/>
        <w:bidi w:val="0"/>
        <w:spacing w:line="576" w:lineRule="exact"/>
        <w:ind w:left="0" w:leftChars="0" w:right="0" w:rightChars="0" w:firstLine="642"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2022年向建设单位拨付建设资金2000万元。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65" w:name="_Toc993594273_WPSOffice_Level2"/>
      <w:bookmarkStart w:id="166" w:name="_Toc1120872717_WPSOffice_Level2"/>
      <w:bookmarkStart w:id="167" w:name="_Toc13360"/>
      <w:r>
        <w:rPr>
          <w:rFonts w:hint="eastAsia" w:ascii="黑体" w:hAnsi="宋体" w:eastAsia="黑体" w:cs="Times New Roman"/>
          <w:b w:val="0"/>
          <w:bCs w:val="0"/>
          <w:color w:val="auto"/>
          <w:sz w:val="32"/>
          <w:szCs w:val="32"/>
          <w:highlight w:val="none"/>
          <w:u w:val="none"/>
        </w:rPr>
        <w:t>三、项目实施及管理情况</w:t>
      </w:r>
      <w:bookmarkEnd w:id="165"/>
      <w:bookmarkEnd w:id="166"/>
      <w:bookmarkEnd w:id="167"/>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一是项目主管部门对项目业主进行全程监督，二是项目业主单位按照相关规定确定各参建单位，三是在工程建设过程中接受财政、审计、建设等职能部门的监管；四是严格组织竣工验收、审计结算；五是工程交付使用。</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（二）项目管理情况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（三）项目监管情况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仿宋_GB2312" w:hAnsi="宋体" w:eastAsia="仿宋_GB2312" w:cs="Times New Roman"/>
          <w:b w:val="0"/>
          <w:bCs w:val="0"/>
          <w:color w:val="auto"/>
          <w:sz w:val="32"/>
          <w:szCs w:val="32"/>
          <w:highlight w:val="none"/>
          <w:u w:val="none"/>
          <w:lang w:val="zh-CN"/>
        </w:rPr>
      </w:pPr>
      <w:bookmarkStart w:id="168" w:name="_Toc1289571695_WPSOffice_Level2"/>
      <w:bookmarkStart w:id="169" w:name="_Toc5394"/>
      <w:bookmarkStart w:id="170" w:name="_Toc445226109_WPSOffice_Level2"/>
      <w:r>
        <w:rPr>
          <w:rFonts w:hint="eastAsia" w:ascii="黑体" w:hAnsi="宋体" w:eastAsia="黑体" w:cs="Times New Roman"/>
          <w:b w:val="0"/>
          <w:bCs w:val="0"/>
          <w:color w:val="auto"/>
          <w:sz w:val="32"/>
          <w:szCs w:val="32"/>
          <w:highlight w:val="none"/>
          <w:u w:val="none"/>
        </w:rPr>
        <w:t>四、项目绩效情况</w:t>
      </w:r>
      <w:bookmarkEnd w:id="168"/>
      <w:bookmarkEnd w:id="169"/>
      <w:bookmarkEnd w:id="170"/>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（一）项目完成情况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完成建设道路全长约550米（其中隧道工程全长345米），宽12米。</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（二）项目效益情况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项目建成后，</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满足</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了周边</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居民的交通出行需求，改善该片区内路网结构，增强</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嘉陵、东坝片区</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东西两侧用地的紧密联系，进一步带动该片区的经济高速发展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71" w:name="_Toc28478"/>
      <w:bookmarkStart w:id="172" w:name="_Toc1310392349_WPSOffice_Level2"/>
      <w:bookmarkStart w:id="173" w:name="_Toc91262483_WPSOffice_Level2"/>
      <w:r>
        <w:rPr>
          <w:rFonts w:hint="eastAsia" w:ascii="黑体" w:hAnsi="宋体" w:eastAsia="黑体" w:cs="Times New Roman"/>
          <w:b w:val="0"/>
          <w:bCs w:val="0"/>
          <w:color w:val="auto"/>
          <w:sz w:val="32"/>
          <w:szCs w:val="32"/>
          <w:highlight w:val="none"/>
          <w:u w:val="none"/>
        </w:rPr>
        <w:t>五、评价结论及建议</w:t>
      </w:r>
      <w:bookmarkEnd w:id="171"/>
      <w:bookmarkEnd w:id="172"/>
      <w:bookmarkEnd w:id="173"/>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项目决策合理，申报及时，严格按财务规定审批，专款专用，核算规范，及时兑现，项目绩效完成良好，经济效益较好，社会效益较好。</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宋体" w:eastAsia="楷体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无。</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keepNext w:val="0"/>
        <w:keepLines w:val="0"/>
        <w:pageBreakBefore w:val="0"/>
        <w:widowControl w:val="0"/>
        <w:shd w:val="clear"/>
        <w:kinsoku/>
        <w:wordWrap/>
        <w:overflowPunct/>
        <w:topLinePunct w:val="0"/>
        <w:autoSpaceDE/>
        <w:autoSpaceDN/>
        <w:bidi w:val="0"/>
        <w:spacing w:line="576" w:lineRule="exact"/>
        <w:ind w:left="0" w:leftChars="0" w:right="0" w:righ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仿宋_GB2312" w:hAnsi="宋体" w:eastAsia="仿宋_GB2312" w:cs="Times New Roman"/>
          <w:b w:val="0"/>
          <w:bCs w:val="0"/>
          <w:color w:val="auto"/>
          <w:sz w:val="32"/>
          <w:szCs w:val="32"/>
          <w:highlight w:val="none"/>
          <w:lang w:val="en-US" w:eastAsia="zh-CN"/>
        </w:rPr>
        <w:t>无。</w:t>
      </w:r>
    </w:p>
    <w:p>
      <w:pPr>
        <w:keepNext w:val="0"/>
        <w:keepLines w:val="0"/>
        <w:pageBreakBefore w:val="0"/>
        <w:widowControl w:val="0"/>
        <w:shd w:val="clear"/>
        <w:kinsoku/>
        <w:wordWrap/>
        <w:overflowPunct/>
        <w:topLinePunct w:val="0"/>
        <w:autoSpaceDE/>
        <w:autoSpaceDN/>
        <w:bidi w:val="0"/>
        <w:spacing w:line="576" w:lineRule="exact"/>
        <w:jc w:val="center"/>
        <w:textAlignment w:val="auto"/>
        <w:outlineLvl w:val="9"/>
        <w:rPr>
          <w:rFonts w:hint="eastAsia" w:ascii="黑体" w:hAnsi="黑体" w:eastAsia="黑体"/>
          <w:color w:val="auto"/>
          <w:sz w:val="44"/>
          <w:szCs w:val="44"/>
          <w:highlight w:val="none"/>
        </w:rPr>
      </w:pPr>
    </w:p>
    <w:p>
      <w:pPr>
        <w:pStyle w:val="14"/>
        <w:shd w:val="clear"/>
        <w:rPr>
          <w:rFonts w:hint="eastAsia"/>
          <w:color w:val="auto"/>
          <w:highlight w:val="none"/>
        </w:rPr>
      </w:pPr>
    </w:p>
    <w:p>
      <w:pPr>
        <w:shd w:val="clear"/>
        <w:rPr>
          <w:rFonts w:hint="eastAsia"/>
          <w:color w:val="auto"/>
          <w:highlight w:val="none"/>
        </w:rPr>
      </w:pPr>
    </w:p>
    <w:p>
      <w:pPr>
        <w:pStyle w:val="14"/>
        <w:shd w:val="clear"/>
        <w:rPr>
          <w:rFonts w:hint="eastAsia"/>
          <w:color w:val="auto"/>
          <w:highlight w:val="none"/>
        </w:rPr>
      </w:pPr>
    </w:p>
    <w:p>
      <w:pPr>
        <w:shd w:val="clear"/>
        <w:rPr>
          <w:rFonts w:hint="eastAsia"/>
          <w:color w:val="auto"/>
          <w:highlight w:val="none"/>
        </w:rPr>
      </w:pPr>
    </w:p>
    <w:p>
      <w:pPr>
        <w:keepNext w:val="0"/>
        <w:keepLines w:val="0"/>
        <w:pageBreakBefore w:val="0"/>
        <w:widowControl w:val="0"/>
        <w:shd w:val="clear"/>
        <w:kinsoku/>
        <w:wordWrap/>
        <w:overflowPunct/>
        <w:topLinePunct w:val="0"/>
        <w:autoSpaceDE/>
        <w:autoSpaceDN/>
        <w:bidi w:val="0"/>
        <w:spacing w:line="576" w:lineRule="exact"/>
        <w:jc w:val="center"/>
        <w:textAlignment w:val="auto"/>
        <w:outlineLvl w:val="1"/>
        <w:rPr>
          <w:rFonts w:hint="eastAsia" w:ascii="方正小标宋简体" w:hAnsi="方正小标宋简体" w:eastAsia="方正小标宋简体" w:cs="方正小标宋简体"/>
          <w:bCs/>
          <w:color w:val="auto"/>
          <w:kern w:val="0"/>
          <w:sz w:val="44"/>
          <w:szCs w:val="44"/>
          <w:highlight w:val="none"/>
          <w:lang w:val="en-US" w:eastAsia="zh-CN" w:bidi="ar-SA"/>
        </w:rPr>
      </w:pPr>
      <w:bookmarkStart w:id="174" w:name="_Toc1017709419_WPSOffice_Level2"/>
      <w:bookmarkStart w:id="175" w:name="_Toc820"/>
      <w:bookmarkStart w:id="176" w:name="_Toc85515983_WPSOffice_Level2"/>
      <w:r>
        <w:rPr>
          <w:rFonts w:hint="eastAsia" w:ascii="方正小标宋简体" w:hAnsi="方正小标宋简体" w:eastAsia="方正小标宋简体" w:cs="方正小标宋简体"/>
          <w:bCs/>
          <w:color w:val="auto"/>
          <w:kern w:val="0"/>
          <w:sz w:val="44"/>
          <w:szCs w:val="44"/>
          <w:highlight w:val="none"/>
          <w:lang w:val="en-US" w:eastAsia="zh-CN" w:bidi="ar-SA"/>
        </w:rPr>
        <w:t>市本级保障性住房委托管理项目支出绩效自评报告</w:t>
      </w:r>
      <w:bookmarkEnd w:id="174"/>
      <w:bookmarkEnd w:id="175"/>
      <w:bookmarkEnd w:id="176"/>
    </w:p>
    <w:p>
      <w:pPr>
        <w:keepNext w:val="0"/>
        <w:keepLines w:val="0"/>
        <w:pageBreakBefore w:val="0"/>
        <w:widowControl w:val="0"/>
        <w:shd w:val="clear"/>
        <w:kinsoku/>
        <w:wordWrap/>
        <w:overflowPunct/>
        <w:topLinePunct w:val="0"/>
        <w:autoSpaceDE/>
        <w:autoSpaceDN/>
        <w:bidi w:val="0"/>
        <w:spacing w:line="576" w:lineRule="exact"/>
        <w:jc w:val="center"/>
        <w:textAlignment w:val="auto"/>
        <w:rPr>
          <w:rFonts w:hint="eastAsia" w:ascii="楷体_GB2312" w:hAnsi="楷体_GB2312" w:eastAsia="楷体_GB2312" w:cs="楷体_GB2312"/>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outlineLvl w:val="1"/>
        <w:rPr>
          <w:rFonts w:hint="eastAsia" w:ascii="黑体" w:hAnsi="黑体" w:eastAsia="黑体" w:cs="黑体"/>
          <w:bCs/>
          <w:color w:val="auto"/>
          <w:sz w:val="32"/>
          <w:szCs w:val="32"/>
          <w:highlight w:val="none"/>
          <w:lang w:val="zh-CN"/>
        </w:rPr>
      </w:pPr>
      <w:bookmarkStart w:id="177" w:name="_Toc1094606880_WPSOffice_Level2"/>
      <w:bookmarkStart w:id="178" w:name="_Toc21775"/>
      <w:bookmarkStart w:id="179" w:name="_Toc650093059_WPSOffice_Level2"/>
      <w:r>
        <w:rPr>
          <w:rFonts w:hint="eastAsia" w:ascii="黑体" w:hAnsi="黑体" w:eastAsia="黑体" w:cs="黑体"/>
          <w:bCs/>
          <w:color w:val="auto"/>
          <w:sz w:val="32"/>
          <w:szCs w:val="32"/>
          <w:highlight w:val="none"/>
          <w:lang w:val="zh-CN"/>
        </w:rPr>
        <w:t>一、项目概况</w:t>
      </w:r>
      <w:bookmarkEnd w:id="177"/>
      <w:bookmarkEnd w:id="178"/>
      <w:bookmarkEnd w:id="179"/>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宋体"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项目主管部门在该项目管理中的职能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color w:val="auto"/>
          <w:sz w:val="32"/>
          <w:szCs w:val="32"/>
          <w:highlight w:val="none"/>
          <w:lang w:val="en-US" w:eastAsia="zh-CN"/>
        </w:rPr>
        <w:t>市本级保障性住房委托管理项目实施单位为</w:t>
      </w:r>
      <w:r>
        <w:rPr>
          <w:rFonts w:hint="eastAsia" w:ascii="仿宋_GB2312" w:hAnsi="仿宋_GB2312" w:eastAsia="仿宋_GB2312" w:cs="仿宋_GB2312"/>
          <w:color w:val="auto"/>
          <w:sz w:val="32"/>
          <w:szCs w:val="32"/>
          <w:highlight w:val="none"/>
          <w:lang w:val="en" w:eastAsia="zh-CN"/>
        </w:rPr>
        <w:t>广元市房地产经营有限公司，主管部门</w:t>
      </w:r>
      <w:r>
        <w:rPr>
          <w:rFonts w:hint="eastAsia" w:ascii="仿宋_GB2312" w:hAnsi="仿宋_GB2312" w:eastAsia="仿宋_GB2312" w:cs="仿宋_GB2312"/>
          <w:color w:val="auto"/>
          <w:sz w:val="32"/>
          <w:szCs w:val="32"/>
          <w:highlight w:val="none"/>
          <w:lang w:val="en-US" w:eastAsia="zh-CN"/>
        </w:rPr>
        <w:t>为广元市住房和城乡建设局，负责全流程监督该项目实施。</w:t>
      </w:r>
    </w:p>
    <w:p>
      <w:pPr>
        <w:keepNext w:val="0"/>
        <w:keepLines w:val="0"/>
        <w:pageBreakBefore w:val="0"/>
        <w:widowControl w:val="0"/>
        <w:shd w:val="clear"/>
        <w:kinsoku/>
        <w:wordWrap/>
        <w:overflowPunct/>
        <w:topLinePunct w:val="0"/>
        <w:autoSpaceDE/>
        <w:autoSpaceDN/>
        <w:bidi w:val="0"/>
        <w:spacing w:line="576" w:lineRule="exact"/>
        <w:ind w:left="0" w:leftChars="0" w:right="0" w:rightChars="0" w:firstLine="64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宋体"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项目立项、资金申报的依据</w:t>
      </w:r>
      <w:r>
        <w:rPr>
          <w:rFonts w:hint="eastAsia" w:ascii="仿宋_GB2312" w:hAnsi="仿宋_GB2312" w:eastAsia="宋体" w:cs="仿宋_GB2312"/>
          <w:b/>
          <w:bCs/>
          <w:color w:val="auto"/>
          <w:kern w:val="0"/>
          <w:sz w:val="32"/>
          <w:szCs w:val="32"/>
          <w:highlight w:val="none"/>
          <w:u w:val="none"/>
          <w:shd w:val="clear" w:color="auto" w:fill="FFFFFF"/>
          <w:lang w:val="zh-CN"/>
        </w:rPr>
        <w:t>。</w:t>
      </w:r>
      <w:r>
        <w:rPr>
          <w:rFonts w:hint="eastAsia" w:ascii="仿宋_GB2312" w:hAnsi="仿宋_GB2312" w:eastAsia="仿宋_GB2312" w:cs="仿宋_GB2312"/>
          <w:color w:val="auto"/>
          <w:sz w:val="32"/>
          <w:szCs w:val="32"/>
          <w:highlight w:val="none"/>
          <w:lang w:val="en-US" w:eastAsia="zh-CN"/>
        </w:rPr>
        <w:t>根据《广元市本级公共租赁住房委托管理合同》第三条之规定，甲方支付给乙方的委托管理费用包括购买社会租赁管理的服务费和小区日常维修维护费用，以每月0.8元/㎡的标准进行支付。该项资金现目前并未涉及预算调整，其管理办法符合相关规定。</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eastAsia" w:ascii="仿宋_GB2312" w:hAnsi="仿宋_GB2312" w:eastAsia="宋体" w:cs="仿宋_GB2312"/>
          <w:b w:val="0"/>
          <w:bCs w:val="0"/>
          <w:color w:val="auto"/>
          <w:kern w:val="0"/>
          <w:sz w:val="32"/>
          <w:szCs w:val="32"/>
          <w:highlight w:val="none"/>
          <w:u w:val="none"/>
          <w:shd w:val="clear" w:color="auto" w:fill="FFFFFF"/>
          <w:lang w:val="en-US" w:eastAsia="zh-CN"/>
        </w:rPr>
      </w:pPr>
      <w:r>
        <w:rPr>
          <w:rFonts w:hint="eastAsia" w:ascii="仿宋_GB2312" w:hAnsi="仿宋_GB2312" w:eastAsia="宋体"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rPr>
        <w:t>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color w:val="auto"/>
          <w:sz w:val="32"/>
          <w:szCs w:val="32"/>
          <w:highlight w:val="none"/>
          <w:lang w:val="zh-CN" w:eastAsia="zh-CN"/>
        </w:rPr>
        <w:t>我局于</w:t>
      </w:r>
      <w:r>
        <w:rPr>
          <w:rFonts w:hint="eastAsia" w:ascii="仿宋_GB2312" w:hAnsi="仿宋_GB2312"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val="zh-CN" w:eastAsia="zh-CN"/>
        </w:rPr>
        <w:t>年修订了《内部控制制度》</w:t>
      </w:r>
      <w:r>
        <w:rPr>
          <w:rFonts w:hint="eastAsia" w:ascii="仿宋_GB2312" w:hAnsi="仿宋_GB2312" w:eastAsia="仿宋_GB2312" w:cs="仿宋_GB2312"/>
          <w:color w:val="auto"/>
          <w:sz w:val="32"/>
          <w:szCs w:val="32"/>
          <w:highlight w:val="none"/>
          <w:lang w:val="en-US" w:eastAsia="zh-CN"/>
        </w:rPr>
        <w:t>，对项目前期、施工、竣工验收、财务管理作了明确的规定。该项目严格按照预算申报、《广元市财政局关于下达基金指标的通知》（广财投〔2022〕22号）要求及单位</w:t>
      </w:r>
      <w:r>
        <w:rPr>
          <w:rFonts w:hint="eastAsia" w:ascii="仿宋_GB2312" w:hAnsi="仿宋_GB2312" w:eastAsia="仿宋_GB2312" w:cs="仿宋_GB2312"/>
          <w:color w:val="auto"/>
          <w:sz w:val="32"/>
          <w:szCs w:val="32"/>
          <w:highlight w:val="none"/>
          <w:lang w:val="zh-CN" w:eastAsia="zh-CN"/>
        </w:rPr>
        <w:t>《内部控制制度》规定进行资金拨付及管理。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宋体" w:cs="仿宋_GB2312"/>
          <w:b/>
          <w:bCs/>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bCs/>
          <w:color w:val="auto"/>
          <w:kern w:val="0"/>
          <w:sz w:val="32"/>
          <w:szCs w:val="32"/>
          <w:highlight w:val="none"/>
          <w:u w:val="none"/>
          <w:shd w:val="clear" w:color="auto" w:fill="FFFFFF"/>
          <w:lang w:val="zh-CN"/>
        </w:rPr>
        <w:t>资金分配的原则及考虑因素。</w:t>
      </w:r>
      <w:r>
        <w:rPr>
          <w:rFonts w:hint="eastAsia" w:ascii="仿宋_GB2312" w:hAnsi="仿宋_GB2312" w:eastAsia="仿宋_GB2312" w:cs="仿宋_GB2312"/>
          <w:color w:val="auto"/>
          <w:sz w:val="32"/>
          <w:szCs w:val="32"/>
          <w:highlight w:val="none"/>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outlineLvl w:val="1"/>
        <w:rPr>
          <w:rFonts w:hint="eastAsia" w:ascii="黑体" w:hAnsi="黑体" w:eastAsia="黑体" w:cs="黑体"/>
          <w:b w:val="0"/>
          <w:bCs/>
          <w:color w:val="auto"/>
          <w:sz w:val="32"/>
          <w:szCs w:val="32"/>
          <w:highlight w:val="none"/>
        </w:rPr>
      </w:pPr>
      <w:bookmarkStart w:id="180" w:name="_Toc24402595_WPSOffice_Level2"/>
      <w:bookmarkStart w:id="181" w:name="_Toc1056349159_WPSOffice_Level2"/>
      <w:bookmarkStart w:id="182" w:name="_Toc5815"/>
      <w:r>
        <w:rPr>
          <w:rFonts w:hint="eastAsia" w:ascii="黑体" w:hAnsi="黑体" w:eastAsia="黑体" w:cs="黑体"/>
          <w:b w:val="0"/>
          <w:bCs/>
          <w:color w:val="auto"/>
          <w:sz w:val="32"/>
          <w:szCs w:val="32"/>
          <w:highlight w:val="none"/>
        </w:rPr>
        <w:t>二、项目实施及管理情况</w:t>
      </w:r>
      <w:bookmarkEnd w:id="180"/>
      <w:bookmarkEnd w:id="181"/>
      <w:bookmarkEnd w:id="182"/>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b/>
          <w:bCs w:val="0"/>
          <w:color w:val="auto"/>
          <w:sz w:val="32"/>
          <w:szCs w:val="32"/>
          <w:highlight w:val="none"/>
          <w:lang w:val="zh-CN"/>
        </w:rPr>
      </w:pPr>
      <w:r>
        <w:rPr>
          <w:rFonts w:hint="eastAsia" w:ascii="楷体_GB2312" w:hAnsi="楷体_GB2312" w:eastAsia="楷体_GB2312" w:cs="楷体_GB2312"/>
          <w:b/>
          <w:bCs w:val="0"/>
          <w:color w:val="auto"/>
          <w:sz w:val="32"/>
          <w:szCs w:val="32"/>
          <w:highlight w:val="none"/>
          <w:lang w:val="zh-CN"/>
        </w:rPr>
        <w:t>（一）资金计划、到位及使用情况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b/>
          <w:bCs/>
          <w:color w:val="auto"/>
          <w:sz w:val="32"/>
          <w:szCs w:val="32"/>
          <w:highlight w:val="none"/>
          <w:lang w:val="zh-CN"/>
        </w:rPr>
        <w:t>1．资金计划及到位。</w:t>
      </w:r>
      <w:r>
        <w:rPr>
          <w:rFonts w:hint="eastAsia" w:ascii="仿宋_GB2312" w:hAnsi="仿宋_GB2312" w:eastAsia="仿宋_GB2312" w:cs="仿宋_GB2312"/>
          <w:color w:val="auto"/>
          <w:sz w:val="32"/>
          <w:szCs w:val="32"/>
          <w:highlight w:val="none"/>
          <w:lang w:val="zh-CN" w:eastAsia="zh-CN"/>
        </w:rPr>
        <w:t>以每月</w:t>
      </w:r>
      <w:r>
        <w:rPr>
          <w:rFonts w:hint="eastAsia" w:ascii="仿宋_GB2312" w:hAnsi="仿宋_GB2312" w:eastAsia="仿宋_GB2312" w:cs="仿宋_GB2312"/>
          <w:color w:val="auto"/>
          <w:sz w:val="32"/>
          <w:szCs w:val="32"/>
          <w:highlight w:val="none"/>
          <w:lang w:val="en-US" w:eastAsia="zh-CN"/>
        </w:rPr>
        <w:t>0.8元/㎡的标准进行支付，合计每年约定金额约为275万元，该项资金由</w:t>
      </w:r>
      <w:r>
        <w:rPr>
          <w:rFonts w:hint="eastAsia" w:ascii="仿宋_GB2312" w:hAnsi="仿宋_GB2312" w:eastAsia="仿宋_GB2312" w:cs="仿宋_GB2312"/>
          <w:color w:val="auto"/>
          <w:sz w:val="32"/>
          <w:szCs w:val="32"/>
          <w:highlight w:val="none"/>
          <w:lang w:val="zh-CN" w:eastAsia="zh-CN"/>
        </w:rPr>
        <w:t>房屋租金中列支，待全额上缴财政后，由市财政局统一核实拨付。该项资金于每年按时支付，未出现支付不及时、不到位等情况。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en-US" w:eastAsia="zh-CN"/>
        </w:rPr>
        <w:t>2.</w:t>
      </w:r>
      <w:r>
        <w:rPr>
          <w:rFonts w:hint="eastAsia" w:ascii="仿宋_GB2312" w:hAnsi="宋体" w:eastAsia="仿宋_GB2312" w:cs="Times New Roman"/>
          <w:b/>
          <w:bCs/>
          <w:color w:val="auto"/>
          <w:sz w:val="32"/>
          <w:szCs w:val="32"/>
          <w:highlight w:val="none"/>
          <w:lang w:val="zh-CN"/>
        </w:rPr>
        <w:t>资金使用。</w:t>
      </w:r>
      <w:r>
        <w:rPr>
          <w:rFonts w:hint="eastAsia" w:ascii="仿宋_GB2312" w:hAnsi="仿宋_GB2312" w:eastAsia="仿宋_GB2312" w:cs="仿宋_GB2312"/>
          <w:color w:val="auto"/>
          <w:sz w:val="32"/>
          <w:szCs w:val="32"/>
          <w:highlight w:val="none"/>
          <w:lang w:val="zh-CN" w:eastAsia="zh-CN"/>
        </w:rPr>
        <w:t>该项资金支出主要以人工工资以及维修维护费用组合而成，支付依据合规合法，资金支付与预算相符。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Cs/>
          <w:color w:val="auto"/>
          <w:sz w:val="32"/>
          <w:szCs w:val="32"/>
          <w:highlight w:val="none"/>
          <w:lang w:val="zh-CN"/>
        </w:rPr>
      </w:pPr>
      <w:r>
        <w:rPr>
          <w:rFonts w:hint="eastAsia" w:ascii="楷体_GB2312" w:hAnsi="楷体_GB2312" w:eastAsia="楷体_GB2312" w:cs="楷体_GB2312"/>
          <w:b/>
          <w:bCs w:val="0"/>
          <w:color w:val="auto"/>
          <w:sz w:val="32"/>
          <w:szCs w:val="32"/>
          <w:highlight w:val="none"/>
          <w:lang w:val="zh-CN"/>
        </w:rPr>
        <w:t>（二）项目财务管理情况。</w:t>
      </w:r>
      <w:r>
        <w:rPr>
          <w:rFonts w:hint="eastAsia" w:ascii="仿宋_GB2312" w:hAnsi="仿宋_GB2312" w:eastAsia="仿宋_GB2312" w:cs="仿宋_GB2312"/>
          <w:color w:val="auto"/>
          <w:sz w:val="32"/>
          <w:szCs w:val="32"/>
          <w:highlight w:val="none"/>
          <w:lang w:val="zh-CN" w:eastAsia="zh-CN"/>
        </w:rPr>
        <w:t>该项目财务管理情况由广元市房地产经营有限公司财务部负责专项管理。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outlineLvl w:val="1"/>
        <w:rPr>
          <w:rFonts w:hint="eastAsia" w:ascii="黑体" w:hAnsi="黑体" w:eastAsia="黑体" w:cs="黑体"/>
          <w:bCs/>
          <w:color w:val="auto"/>
          <w:sz w:val="32"/>
          <w:szCs w:val="32"/>
          <w:highlight w:val="none"/>
          <w:lang w:val="zh-CN"/>
        </w:rPr>
      </w:pPr>
      <w:bookmarkStart w:id="183" w:name="_Toc119152376_WPSOffice_Level2"/>
      <w:bookmarkStart w:id="184" w:name="_Toc19144"/>
      <w:bookmarkStart w:id="185" w:name="_Toc918406877_WPSOffice_Level2"/>
      <w:r>
        <w:rPr>
          <w:rFonts w:hint="eastAsia" w:ascii="黑体" w:hAnsi="黑体" w:eastAsia="黑体" w:cs="黑体"/>
          <w:bCs/>
          <w:color w:val="auto"/>
          <w:sz w:val="32"/>
          <w:szCs w:val="32"/>
          <w:highlight w:val="none"/>
        </w:rPr>
        <w:t>三、项目绩效情况</w:t>
      </w:r>
      <w:bookmarkEnd w:id="183"/>
      <w:bookmarkEnd w:id="184"/>
      <w:bookmarkEnd w:id="185"/>
      <w:r>
        <w:rPr>
          <w:rFonts w:hint="eastAsia" w:ascii="黑体" w:hAnsi="黑体" w:eastAsia="黑体" w:cs="黑体"/>
          <w:bCs/>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bCs w:val="0"/>
          <w:color w:val="auto"/>
          <w:sz w:val="32"/>
          <w:szCs w:val="32"/>
          <w:highlight w:val="none"/>
          <w:lang w:val="zh-CN"/>
        </w:rPr>
      </w:pPr>
      <w:r>
        <w:rPr>
          <w:rFonts w:hint="eastAsia" w:ascii="楷体_GB2312" w:hAnsi="楷体_GB2312" w:eastAsia="楷体_GB2312" w:cs="楷体_GB2312"/>
          <w:b/>
          <w:bCs w:val="0"/>
          <w:color w:val="auto"/>
          <w:sz w:val="32"/>
          <w:szCs w:val="32"/>
          <w:highlight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项目内共有公租房</w:t>
      </w:r>
      <w:r>
        <w:rPr>
          <w:rFonts w:hint="eastAsia" w:ascii="仿宋_GB2312" w:hAnsi="仿宋_GB2312" w:eastAsia="仿宋_GB2312" w:cs="仿宋_GB2312"/>
          <w:color w:val="auto"/>
          <w:sz w:val="32"/>
          <w:szCs w:val="32"/>
          <w:highlight w:val="none"/>
          <w:lang w:val="en-US" w:eastAsia="zh-CN"/>
        </w:rPr>
        <w:t>4494套，在管护过程中，</w:t>
      </w:r>
      <w:r>
        <w:rPr>
          <w:rFonts w:hint="eastAsia" w:ascii="仿宋_GB2312" w:hAnsi="仿宋_GB2312" w:eastAsia="仿宋_GB2312" w:cs="仿宋_GB2312"/>
          <w:color w:val="auto"/>
          <w:sz w:val="32"/>
          <w:szCs w:val="32"/>
          <w:highlight w:val="none"/>
          <w:lang w:val="en" w:eastAsia="zh-CN"/>
        </w:rPr>
        <w:t>广元市房地产经营有限公司</w:t>
      </w:r>
      <w:r>
        <w:rPr>
          <w:rFonts w:hint="eastAsia" w:ascii="仿宋_GB2312" w:hAnsi="仿宋_GB2312" w:eastAsia="仿宋_GB2312" w:cs="仿宋_GB2312"/>
          <w:color w:val="auto"/>
          <w:sz w:val="32"/>
          <w:szCs w:val="32"/>
          <w:highlight w:val="none"/>
          <w:lang w:val="en-US" w:eastAsia="zh-CN"/>
        </w:rPr>
        <w:t>严格按照《委托管理合同》中约束条款对小区进行日常管理，做到成本、质量、时效等各方面管护。</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bCs w:val="0"/>
          <w:color w:val="auto"/>
          <w:sz w:val="32"/>
          <w:szCs w:val="32"/>
          <w:highlight w:val="none"/>
          <w:lang w:val="zh-CN"/>
        </w:rPr>
      </w:pPr>
      <w:r>
        <w:rPr>
          <w:rFonts w:hint="eastAsia" w:ascii="楷体_GB2312" w:hAnsi="楷体_GB2312" w:eastAsia="楷体_GB2312" w:cs="楷体_GB2312"/>
          <w:b/>
          <w:bCs w:val="0"/>
          <w:color w:val="auto"/>
          <w:sz w:val="32"/>
          <w:szCs w:val="32"/>
          <w:highlight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截至评估时点，我</w:t>
      </w:r>
      <w:r>
        <w:rPr>
          <w:rFonts w:hint="eastAsia" w:ascii="仿宋_GB2312" w:hAnsi="仿宋_GB2312" w:eastAsia="仿宋_GB2312" w:cs="仿宋_GB2312"/>
          <w:color w:val="auto"/>
          <w:sz w:val="32"/>
          <w:szCs w:val="32"/>
          <w:highlight w:val="none"/>
          <w:lang w:val="en" w:eastAsia="zh-CN"/>
        </w:rPr>
        <w:t>广元市房地产经营有限</w:t>
      </w:r>
      <w:r>
        <w:rPr>
          <w:rFonts w:hint="eastAsia" w:ascii="仿宋_GB2312" w:hAnsi="仿宋_GB2312" w:eastAsia="仿宋_GB2312" w:cs="仿宋_GB2312"/>
          <w:color w:val="auto"/>
          <w:sz w:val="32"/>
          <w:szCs w:val="32"/>
          <w:highlight w:val="none"/>
          <w:lang w:val="zh-CN" w:eastAsia="zh-CN"/>
        </w:rPr>
        <w:t>公司对所管辖小区的管理做到居民满意度达到</w:t>
      </w:r>
      <w:r>
        <w:rPr>
          <w:rFonts w:hint="eastAsia" w:ascii="仿宋_GB2312" w:hAnsi="仿宋_GB2312" w:eastAsia="仿宋_GB2312" w:cs="仿宋_GB2312"/>
          <w:color w:val="auto"/>
          <w:sz w:val="32"/>
          <w:szCs w:val="32"/>
          <w:highlight w:val="none"/>
          <w:lang w:val="en-US" w:eastAsia="zh-CN"/>
        </w:rPr>
        <w:t>95%以上，对各小区的绿化、人文关怀等也做到井井有条，在做到上述管理标准的同时，每年年底组织工作人员对困难承租户进行新年慰问。</w:t>
      </w:r>
    </w:p>
    <w:p>
      <w:pPr>
        <w:keepNext w:val="0"/>
        <w:keepLines w:val="0"/>
        <w:pageBreakBefore w:val="0"/>
        <w:widowControl w:val="0"/>
        <w:shd w:val="clear"/>
        <w:kinsoku/>
        <w:wordWrap/>
        <w:overflowPunct/>
        <w:topLinePunct w:val="0"/>
        <w:autoSpaceDE/>
        <w:autoSpaceDN/>
        <w:bidi w:val="0"/>
        <w:spacing w:line="576" w:lineRule="exact"/>
        <w:ind w:firstLine="640" w:firstLineChars="200"/>
        <w:textAlignment w:val="auto"/>
        <w:outlineLvl w:val="1"/>
        <w:rPr>
          <w:rFonts w:hint="eastAsia" w:ascii="黑体" w:hAnsi="黑体" w:eastAsia="黑体" w:cs="黑体"/>
          <w:bCs/>
          <w:color w:val="auto"/>
          <w:sz w:val="32"/>
          <w:szCs w:val="32"/>
          <w:highlight w:val="none"/>
        </w:rPr>
      </w:pPr>
      <w:bookmarkStart w:id="186" w:name="_Toc831065495_WPSOffice_Level2"/>
      <w:bookmarkStart w:id="187" w:name="_Toc10092"/>
      <w:bookmarkStart w:id="188" w:name="_Toc726372077_WPSOffice_Level2"/>
      <w:r>
        <w:rPr>
          <w:rFonts w:hint="eastAsia" w:ascii="黑体" w:hAnsi="黑体" w:eastAsia="黑体" w:cs="黑体"/>
          <w:bCs/>
          <w:color w:val="auto"/>
          <w:sz w:val="32"/>
          <w:szCs w:val="32"/>
          <w:highlight w:val="none"/>
        </w:rPr>
        <w:t>四、</w:t>
      </w:r>
      <w:r>
        <w:rPr>
          <w:rFonts w:hint="eastAsia" w:ascii="黑体" w:hAnsi="宋体" w:eastAsia="黑体" w:cs="Times New Roman"/>
          <w:b w:val="0"/>
          <w:bCs w:val="0"/>
          <w:color w:val="auto"/>
          <w:sz w:val="32"/>
          <w:szCs w:val="32"/>
          <w:highlight w:val="none"/>
          <w:u w:val="none"/>
        </w:rPr>
        <w:t>评价结论及建议</w:t>
      </w:r>
      <w:bookmarkEnd w:id="186"/>
      <w:bookmarkEnd w:id="187"/>
      <w:bookmarkEnd w:id="188"/>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项目决策合理，申报及时，严格按财务规定审批，专款专用，核算规范，及时兑现，项目绩效完成良好，经济效益较好，社会效益较好。</w:t>
      </w:r>
      <w:r>
        <w:rPr>
          <w:rFonts w:hint="eastAsia" w:ascii="仿宋_GB2312" w:hAnsi="仿宋_GB2312" w:eastAsia="仿宋_GB2312" w:cs="仿宋_GB2312"/>
          <w:color w:val="auto"/>
          <w:sz w:val="32"/>
          <w:szCs w:val="32"/>
          <w:highlight w:val="none"/>
          <w:lang w:val="en-US" w:eastAsia="zh-CN"/>
        </w:rPr>
        <w:t>综合评价为99.5分。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按照公共租赁住房小区《委托管理合同》，合同中明确约定以0.8元/平方米/月的管护费，但该项资金仅仅作为人工工资以及小区小型的维修维护，并未包含中、大型的更换及维修设施设备费用。二是关于对不符合继续承租保障性住房的承租户清退问题，</w:t>
      </w:r>
      <w:r>
        <w:rPr>
          <w:rFonts w:hint="eastAsia" w:ascii="仿宋_GB2312" w:hAnsi="仿宋_GB2312" w:eastAsia="仿宋_GB2312" w:cs="仿宋_GB2312"/>
          <w:color w:val="auto"/>
          <w:sz w:val="32"/>
          <w:szCs w:val="32"/>
          <w:highlight w:val="none"/>
          <w:lang w:val="en" w:eastAsia="zh-CN"/>
        </w:rPr>
        <w:t>广元市房地产经营有限公司</w:t>
      </w:r>
      <w:r>
        <w:rPr>
          <w:rFonts w:hint="eastAsia" w:ascii="仿宋_GB2312" w:hAnsi="仿宋_GB2312" w:eastAsia="仿宋_GB2312" w:cs="仿宋_GB2312"/>
          <w:color w:val="auto"/>
          <w:sz w:val="32"/>
          <w:szCs w:val="32"/>
          <w:highlight w:val="none"/>
          <w:lang w:val="en-US" w:eastAsia="zh-CN"/>
        </w:rPr>
        <w:t>属国有企业，并无清退承租户的行政权力。</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一是下达专项中、大修基金；二是组织相关行政部门对现有的承租户进行一次全面的清查，对不符合居住条件以及恶意欠租的承租户进行清退。</w:t>
      </w:r>
    </w:p>
    <w:p>
      <w:pPr>
        <w:keepNext w:val="0"/>
        <w:keepLines w:val="0"/>
        <w:pageBreakBefore w:val="0"/>
        <w:widowControl w:val="0"/>
        <w:shd w:val="clear"/>
        <w:kinsoku/>
        <w:wordWrap/>
        <w:overflowPunct/>
        <w:topLinePunct w:val="0"/>
        <w:autoSpaceDE/>
        <w:autoSpaceDN/>
        <w:bidi w:val="0"/>
        <w:spacing w:line="576" w:lineRule="exact"/>
        <w:jc w:val="center"/>
        <w:textAlignment w:val="auto"/>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jc w:val="center"/>
        <w:textAlignment w:val="auto"/>
        <w:rPr>
          <w:rFonts w:hint="eastAsia" w:ascii="方正小标宋简体" w:eastAsia="方正小标宋简体"/>
          <w:color w:val="auto"/>
          <w:sz w:val="44"/>
          <w:szCs w:val="44"/>
          <w:highlight w:val="none"/>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highlight w:val="none"/>
        </w:rPr>
      </w:pPr>
      <w:bookmarkStart w:id="189" w:name="_Toc661806098_WPSOffice_Level2"/>
      <w:bookmarkStart w:id="190" w:name="_Toc1682029753_WPSOffice_Level2"/>
      <w:r>
        <w:rPr>
          <w:rFonts w:hint="eastAsia" w:ascii="方正小标宋简体" w:eastAsia="方正小标宋简体"/>
          <w:color w:val="auto"/>
          <w:sz w:val="44"/>
          <w:szCs w:val="44"/>
          <w:highlight w:val="none"/>
          <w:lang w:val="en-US" w:eastAsia="zh-CN"/>
        </w:rPr>
        <w:t>2021年度市城区排水排污日常维护及应急抢险项目</w:t>
      </w:r>
      <w:r>
        <w:rPr>
          <w:rFonts w:hint="eastAsia" w:ascii="方正小标宋简体" w:eastAsia="方正小标宋简体"/>
          <w:color w:val="auto"/>
          <w:sz w:val="44"/>
          <w:szCs w:val="44"/>
          <w:highlight w:val="none"/>
          <w:lang w:eastAsia="zh-CN"/>
        </w:rPr>
        <w:t>支出绩效自评报告</w:t>
      </w:r>
      <w:bookmarkEnd w:id="189"/>
      <w:bookmarkEnd w:id="190"/>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b w:val="0"/>
          <w:bCs w:val="0"/>
          <w:color w:val="auto"/>
          <w:sz w:val="32"/>
          <w:szCs w:val="32"/>
          <w:highlight w:val="none"/>
          <w:lang w:eastAsia="zh-CN"/>
        </w:rPr>
      </w:pP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eastAsia="zh-CN"/>
        </w:rPr>
      </w:pPr>
      <w:bookmarkStart w:id="191" w:name="_Toc2027929303_WPSOffice_Level2"/>
      <w:bookmarkStart w:id="192" w:name="_Toc222960636_WPSOffice_Level2"/>
      <w:bookmarkStart w:id="193" w:name="_Toc15144"/>
      <w:r>
        <w:rPr>
          <w:rFonts w:hint="eastAsia" w:ascii="黑体" w:hAnsi="黑体" w:eastAsia="黑体" w:cs="黑体"/>
          <w:bCs/>
          <w:color w:val="auto"/>
          <w:sz w:val="32"/>
          <w:szCs w:val="32"/>
          <w:highlight w:val="none"/>
          <w:lang w:eastAsia="zh-CN"/>
        </w:rPr>
        <w:t>一、项目概况</w:t>
      </w:r>
      <w:bookmarkEnd w:id="191"/>
      <w:bookmarkEnd w:id="192"/>
      <w:bookmarkEnd w:id="193"/>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eastAsia="zh-CN"/>
        </w:rPr>
      </w:pPr>
      <w:r>
        <w:rPr>
          <w:rFonts w:hint="eastAsia" w:ascii="楷体_GB2312" w:hAnsi="宋体" w:eastAsia="楷体_GB2312" w:cs="Times New Roman"/>
          <w:b/>
          <w:bCs/>
          <w:color w:val="auto"/>
          <w:sz w:val="32"/>
          <w:szCs w:val="32"/>
          <w:highlight w:val="none"/>
          <w:u w:val="none"/>
          <w:lang w:val="zh-CN" w:eastAsia="zh-CN"/>
        </w:rPr>
        <w:t>（一）项目基本情况</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元市城市供排水事务中心为2021年度市城区排水排污日常维护及应急抢险项目管理单位。根据《四川省城镇排水与污水处理条例》、《广元市人民政府关于市政基础设施维护维修有关事项的批复》（广府复[2018]6号）等相关规定，该项目由市城发集团（广元千润实业有限公司）实施，资金纳入市级财政解决，严格按照市政排水排污设施维护抢修相关规定执行。本项目主要内容包括市城区管网清淤，破损井盖更换，破损管网修复，新建排水排污管网，泵站维护管理值守等，通过实施确保市城区排水排污设施正常运行。2021年1月开工建设，12月竣工，验收合格，</w:t>
      </w:r>
      <w:r>
        <w:rPr>
          <w:rFonts w:hint="eastAsia" w:ascii="仿宋_GB2312" w:hAnsi="仿宋_GB2312" w:eastAsia="仿宋_GB2312" w:cs="仿宋_GB2312"/>
          <w:color w:val="auto"/>
          <w:sz w:val="32"/>
          <w:szCs w:val="32"/>
          <w:highlight w:val="none"/>
          <w:shd w:val="clear" w:color="auto" w:fill="auto"/>
        </w:rPr>
        <w:t>项目总投</w:t>
      </w:r>
      <w:r>
        <w:rPr>
          <w:rFonts w:hint="eastAsia" w:ascii="仿宋_GB2312" w:hAnsi="仿宋_GB2312" w:eastAsia="仿宋_GB2312" w:cs="仿宋_GB2312"/>
          <w:color w:val="auto"/>
          <w:sz w:val="32"/>
          <w:szCs w:val="32"/>
          <w:highlight w:val="none"/>
          <w:shd w:val="clear" w:color="auto" w:fill="auto"/>
          <w:lang w:eastAsia="zh-CN"/>
        </w:rPr>
        <w:t>资约</w:t>
      </w:r>
      <w:r>
        <w:rPr>
          <w:rFonts w:hint="eastAsia" w:ascii="仿宋_GB2312" w:hAnsi="仿宋_GB2312" w:eastAsia="仿宋_GB2312" w:cs="仿宋_GB2312"/>
          <w:color w:val="auto"/>
          <w:sz w:val="32"/>
          <w:szCs w:val="32"/>
          <w:highlight w:val="none"/>
          <w:shd w:val="clear" w:color="auto" w:fill="auto"/>
          <w:lang w:val="en-US" w:eastAsia="zh-CN"/>
        </w:rPr>
        <w:t>2360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（二）项目绩效目标</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整体目标：</w:t>
      </w:r>
      <w:r>
        <w:rPr>
          <w:rFonts w:hint="eastAsia" w:ascii="仿宋_GB2312" w:hAnsi="仿宋_GB2312" w:eastAsia="仿宋_GB2312" w:cs="仿宋_GB2312"/>
          <w:color w:val="auto"/>
          <w:sz w:val="32"/>
          <w:szCs w:val="32"/>
          <w:highlight w:val="none"/>
          <w:shd w:val="clear" w:color="auto" w:fill="auto"/>
          <w:lang w:eastAsia="zh-CN"/>
        </w:rPr>
        <w:t>更换破损井盖、雨篦约</w:t>
      </w:r>
      <w:r>
        <w:rPr>
          <w:rFonts w:hint="eastAsia" w:ascii="仿宋_GB2312" w:hAnsi="仿宋_GB2312" w:eastAsia="仿宋_GB2312" w:cs="仿宋_GB2312"/>
          <w:color w:val="auto"/>
          <w:sz w:val="32"/>
          <w:szCs w:val="32"/>
          <w:highlight w:val="none"/>
          <w:shd w:val="clear" w:color="auto" w:fill="auto"/>
          <w:lang w:val="en-US" w:eastAsia="zh-CN"/>
        </w:rPr>
        <w:t>1680套，管网修复更换约4.2公里，泵站维护值守14座，对市城区约900公里排水设施运行汛前清淤。</w:t>
      </w:r>
      <w:r>
        <w:rPr>
          <w:rFonts w:hint="eastAsia" w:ascii="仿宋_GB2312" w:hAnsi="仿宋_GB2312" w:eastAsia="仿宋_GB2312" w:cs="仿宋_GB2312"/>
          <w:color w:val="auto"/>
          <w:sz w:val="32"/>
          <w:szCs w:val="32"/>
          <w:highlight w:val="none"/>
          <w:lang w:val="en-US" w:eastAsia="zh-CN"/>
        </w:rPr>
        <w:t>通过实施确保市城区排水排污设施正常运行，确保管道、检查井完好率达到100%，保障市区排水排污畅通、群众出行无安全隐患、无内涝灾害发生。本</w:t>
      </w:r>
      <w:r>
        <w:rPr>
          <w:rFonts w:hint="eastAsia" w:ascii="仿宋_GB2312" w:hAnsi="仿宋_GB2312" w:eastAsia="仿宋_GB2312" w:cs="仿宋_GB2312"/>
          <w:color w:val="auto"/>
          <w:sz w:val="32"/>
          <w:szCs w:val="32"/>
          <w:highlight w:val="none"/>
        </w:rPr>
        <w:t>项目申报内容与具体实施内容基本相符，申报目标合理可行。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s="Times New Roman"/>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按照《广元市财政局关于开展</w:t>
      </w:r>
      <w:r>
        <w:rPr>
          <w:rFonts w:hint="eastAsia" w:ascii="仿宋_GB2312" w:hAnsi="仿宋_GB2312" w:eastAsia="仿宋_GB2312" w:cs="仿宋_GB2312"/>
          <w:color w:val="auto"/>
          <w:sz w:val="32"/>
          <w:szCs w:val="32"/>
          <w:highlight w:val="none"/>
          <w:lang w:val="en-US" w:eastAsia="zh-CN"/>
        </w:rPr>
        <w:t>2022年度市级部门绩效自评工作的通知</w:t>
      </w:r>
      <w:r>
        <w:rPr>
          <w:rFonts w:hint="eastAsia" w:ascii="仿宋_GB2312" w:hAnsi="仿宋_GB2312" w:eastAsia="仿宋_GB2312" w:cs="仿宋_GB2312"/>
          <w:color w:val="auto"/>
          <w:sz w:val="32"/>
          <w:szCs w:val="32"/>
          <w:highlight w:val="none"/>
          <w:lang w:val="zh-CN" w:eastAsia="zh-CN"/>
        </w:rPr>
        <w:t>》（广财绩〔</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zh-CN" w:eastAsia="zh-CN"/>
        </w:rPr>
        <w:t>）精神，根据项目支出绩效评价指标体系内容，</w:t>
      </w:r>
      <w:r>
        <w:rPr>
          <w:rFonts w:hint="eastAsia" w:ascii="仿宋_GB2312" w:hAnsi="仿宋_GB2312" w:eastAsia="仿宋_GB2312" w:cs="仿宋_GB2312"/>
          <w:color w:val="auto"/>
          <w:sz w:val="32"/>
          <w:szCs w:val="32"/>
          <w:highlight w:val="none"/>
          <w:lang w:val="en-US" w:eastAsia="zh-CN"/>
        </w:rPr>
        <w:t>通过查资料、看现场、调查了解等多种形式，由市供排水事务中心根据项目完成情况进行总结后，报市住房和城乡建设局对其进行全面评价。</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194" w:name="_Toc1639"/>
      <w:bookmarkStart w:id="195" w:name="_Toc1339197351_WPSOffice_Level2"/>
      <w:bookmarkStart w:id="196" w:name="_Toc711811086_WPSOffice_Level2"/>
      <w:r>
        <w:rPr>
          <w:rFonts w:hint="eastAsia" w:ascii="黑体" w:hAnsi="黑体" w:eastAsia="黑体" w:cs="黑体"/>
          <w:bCs/>
          <w:color w:val="auto"/>
          <w:sz w:val="32"/>
          <w:szCs w:val="32"/>
          <w:highlight w:val="none"/>
          <w:lang w:val="en-US" w:eastAsia="zh-CN"/>
        </w:rPr>
        <w:t>二、项目资金申报及使用情况</w:t>
      </w:r>
      <w:bookmarkEnd w:id="194"/>
      <w:bookmarkEnd w:id="195"/>
      <w:bookmarkEnd w:id="196"/>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（一）项目资金申报及批复情况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该项目通过事前评估、预算申报1932.01万元，市财政局纳入当年市本级基建项目计划682.16万元。</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该项目当年资金计划</w:t>
      </w:r>
      <w:r>
        <w:rPr>
          <w:rFonts w:hint="eastAsia" w:ascii="仿宋_GB2312" w:hAnsi="仿宋_GB2312" w:eastAsia="仿宋_GB2312" w:cs="仿宋_GB2312"/>
          <w:color w:val="auto"/>
          <w:sz w:val="32"/>
          <w:szCs w:val="32"/>
          <w:highlight w:val="none"/>
          <w:lang w:val="en-US" w:eastAsia="zh-CN"/>
        </w:rPr>
        <w:t>2133.21</w:t>
      </w:r>
      <w:r>
        <w:rPr>
          <w:rFonts w:hint="eastAsia" w:ascii="仿宋_GB2312" w:eastAsia="仿宋_GB2312"/>
          <w:color w:val="auto"/>
          <w:sz w:val="32"/>
          <w:szCs w:val="32"/>
          <w:highlight w:val="none"/>
          <w:lang w:val="en-US" w:eastAsia="zh-CN"/>
        </w:rPr>
        <w:t>万元，2022年1月到位财政资金682.16万元；全部用于解决</w:t>
      </w:r>
      <w:r>
        <w:rPr>
          <w:rFonts w:hint="eastAsia" w:ascii="仿宋_GB2312" w:hAnsi="仿宋_GB2312" w:eastAsia="仿宋_GB2312" w:cs="仿宋_GB2312"/>
          <w:color w:val="auto"/>
          <w:sz w:val="32"/>
          <w:szCs w:val="32"/>
          <w:highlight w:val="none"/>
          <w:lang w:val="en-US" w:eastAsia="zh-CN"/>
        </w:rPr>
        <w:t>2021年度市城区排水排污日常维护及应急抢险项目工程欠款，无挪用乱用，做到专款专用。</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color w:val="auto"/>
          <w:kern w:val="2"/>
          <w:sz w:val="32"/>
          <w:szCs w:val="32"/>
          <w:highlight w:val="none"/>
          <w:lang w:val="en-US" w:eastAsia="zh-CN"/>
        </w:rPr>
      </w:pPr>
      <w:r>
        <w:rPr>
          <w:rFonts w:hint="eastAsia" w:ascii="仿宋_GB2312" w:hAnsi="Times New Roman" w:eastAsia="仿宋_GB2312" w:cs="Times New Roman"/>
          <w:color w:val="auto"/>
          <w:kern w:val="2"/>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197" w:name="_Toc18182"/>
      <w:bookmarkStart w:id="198" w:name="_Toc741948818_WPSOffice_Level2"/>
      <w:bookmarkStart w:id="199" w:name="_Toc271633317_WPSOffice_Level2"/>
      <w:r>
        <w:rPr>
          <w:rFonts w:hint="eastAsia" w:ascii="黑体" w:hAnsi="黑体" w:eastAsia="黑体" w:cs="黑体"/>
          <w:bCs/>
          <w:color w:val="auto"/>
          <w:sz w:val="32"/>
          <w:szCs w:val="32"/>
          <w:highlight w:val="none"/>
          <w:lang w:val="en-US" w:eastAsia="zh-CN"/>
        </w:rPr>
        <w:t>三、项目实施及管理情况</w:t>
      </w:r>
      <w:bookmarkEnd w:id="197"/>
      <w:bookmarkEnd w:id="198"/>
      <w:bookmarkEnd w:id="199"/>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color w:val="auto"/>
          <w:highlight w:val="none"/>
          <w:lang w:val="en-US" w:eastAsia="zh-CN"/>
        </w:rPr>
      </w:pPr>
      <w:r>
        <w:rPr>
          <w:rFonts w:hint="eastAsia" w:ascii="仿宋_GB2312" w:eastAsia="仿宋_GB2312"/>
          <w:color w:val="auto"/>
          <w:sz w:val="32"/>
          <w:szCs w:val="32"/>
          <w:highlight w:val="none"/>
          <w:lang w:val="en-US" w:eastAsia="zh-CN"/>
        </w:rPr>
        <w:t>在项目实施前制度了实施方案、施工组织设计、安全技术交底等，并报监理及业主审核。成立了以项目经理、技术负责人、安全负责人、质量审核负责人为管理人员的项目经理部，实施过程中严格把控安全、质量、进度标准，按质按量按期完成项目内容。</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（一）项目组织架构及实施流程</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根据项目的实际情况，由市供排水中心主任为项目总负责人，市供排水中心副主任任项目分管负责人，市供排水中心相关人员为现场代表，负责项目的具体实施工作。</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color w:val="auto"/>
          <w:sz w:val="32"/>
          <w:szCs w:val="32"/>
          <w:highlight w:val="none"/>
          <w:lang w:val="en-US" w:eastAsia="zh-CN"/>
        </w:rPr>
      </w:pPr>
      <w:r>
        <w:rPr>
          <w:rFonts w:hint="eastAsia" w:ascii="楷体_GB2312" w:hAnsi="宋体" w:eastAsia="楷体_GB2312" w:cs="Times New Roman"/>
          <w:b/>
          <w:bCs/>
          <w:color w:val="auto"/>
          <w:sz w:val="32"/>
          <w:szCs w:val="32"/>
          <w:highlight w:val="none"/>
          <w:u w:val="none"/>
          <w:lang w:val="en-US" w:eastAsia="zh-CN"/>
        </w:rPr>
        <w:t>（二）管理情况。</w:t>
      </w:r>
      <w:r>
        <w:rPr>
          <w:rFonts w:hint="eastAsia" w:ascii="仿宋_GB2312" w:eastAsia="仿宋_GB2312"/>
          <w:color w:val="auto"/>
          <w:sz w:val="32"/>
          <w:szCs w:val="32"/>
          <w:highlight w:val="none"/>
          <w:lang w:val="en-US" w:eastAsia="zh-CN"/>
        </w:rPr>
        <w:t>一是选拔政治素质高、业务能力强、懂技术、会管理的同志组成项目管理队伍。二是严格按照采购合同清单逐项核对采购项目，确保采购项目与合同清单相符和材料质量。三是委托了设计、监理单位承担项目的设计和监理任务，确保了项目质量。四是要求承担本项目施工任务的深圳市勘察研究院有限公司合理安排人员，成立了技术素质好、管理水平高的项目经理部，并及时编制了切实可行的施工组织设计及各阶段施工计划，制定了严格的岗位责任制和质量管理体系，较好地完成了施工任务。五是项目按照合同约定进行采购和建设，据初步测算，项目投资控制在合同价款内，总费用未超过合同金额。六是认真贯彻落实有关安全生产的各项政策法规和文件精神，狠抓责任落实，加大安全隐患整改力度，坚决杜绝了事故的发生。</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00" w:name="_Toc635223900_WPSOffice_Level2"/>
      <w:bookmarkStart w:id="201" w:name="_Toc15623"/>
      <w:bookmarkStart w:id="202" w:name="_Toc570928311_WPSOffice_Level2"/>
      <w:r>
        <w:rPr>
          <w:rFonts w:hint="eastAsia" w:ascii="黑体" w:hAnsi="黑体" w:eastAsia="黑体" w:cs="黑体"/>
          <w:bCs/>
          <w:color w:val="auto"/>
          <w:sz w:val="32"/>
          <w:szCs w:val="32"/>
          <w:highlight w:val="none"/>
          <w:lang w:val="en-US" w:eastAsia="zh-CN"/>
        </w:rPr>
        <w:t>四、项目绩效情况</w:t>
      </w:r>
      <w:bookmarkEnd w:id="200"/>
      <w:bookmarkEnd w:id="201"/>
      <w:bookmarkEnd w:id="202"/>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（一）项目完成情况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更换了破损井盖、雨篦约1680套，管网修复更换约4.2公里，泵站维护值守14座，对市城区约900公里排水设施运行汛前清淤。</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（二）项目效益情况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通过实施确保市城区排水排污设施正常运行，确保管道、检查井完好率达到100%，保障市区排水排污畅通、群众出行无安全隐患、无内涝灾害发生。群众满意度达到90%以上。</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03" w:name="_Toc5784"/>
      <w:bookmarkStart w:id="204" w:name="_Toc134207885_WPSOffice_Level2"/>
      <w:bookmarkStart w:id="205" w:name="_Toc1335150618_WPSOffice_Level2"/>
      <w:r>
        <w:rPr>
          <w:rFonts w:hint="eastAsia" w:ascii="黑体" w:hAnsi="黑体" w:eastAsia="黑体" w:cs="黑体"/>
          <w:bCs/>
          <w:color w:val="auto"/>
          <w:sz w:val="32"/>
          <w:szCs w:val="32"/>
          <w:highlight w:val="none"/>
          <w:lang w:val="en-US" w:eastAsia="zh-CN"/>
        </w:rPr>
        <w:t>五、评价结论及建议</w:t>
      </w:r>
      <w:bookmarkEnd w:id="203"/>
      <w:bookmarkEnd w:id="204"/>
      <w:bookmarkEnd w:id="205"/>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bidi="ar-SA"/>
        </w:rPr>
        <w:t>项目决策合理，申报及时，严格按财务规定审批，专款专用，核算规范，及时兑现，项目绩效完成良好，社会效益较好</w:t>
      </w:r>
      <w:r>
        <w:rPr>
          <w:rFonts w:hint="eastAsia" w:ascii="仿宋_GB2312" w:eastAsia="仿宋_GB2312"/>
          <w:color w:val="auto"/>
          <w:sz w:val="32"/>
          <w:szCs w:val="32"/>
          <w:highlight w:val="none"/>
          <w:lang w:val="en-US" w:eastAsia="zh-CN"/>
        </w:rPr>
        <w:t>。综合评价得分100分。下一步将加快项目竣工验收、工程审计、财决算工作。</w:t>
      </w:r>
    </w:p>
    <w:p>
      <w:pPr>
        <w:shd w:val="clear"/>
        <w:spacing w:line="600" w:lineRule="exact"/>
        <w:jc w:val="center"/>
        <w:outlineLvl w:val="9"/>
        <w:rPr>
          <w:rFonts w:hint="eastAsia" w:ascii="黑体" w:hAnsi="黑体" w:eastAsia="黑体"/>
          <w:color w:val="auto"/>
          <w:sz w:val="44"/>
          <w:szCs w:val="44"/>
          <w:highlight w:val="none"/>
        </w:rPr>
      </w:pPr>
    </w:p>
    <w:p>
      <w:pPr>
        <w:pStyle w:val="14"/>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14"/>
        <w:shd w:val="clear"/>
        <w:rPr>
          <w:rFonts w:hint="eastAsia" w:ascii="黑体" w:hAnsi="黑体" w:eastAsia="黑体"/>
          <w:color w:val="auto"/>
          <w:sz w:val="44"/>
          <w:szCs w:val="44"/>
          <w:highlight w:val="none"/>
        </w:rPr>
      </w:pPr>
    </w:p>
    <w:p>
      <w:pPr>
        <w:keepNext w:val="0"/>
        <w:keepLines w:val="0"/>
        <w:pageBreakBefore w:val="0"/>
        <w:widowControl w:val="0"/>
        <w:shd w:val="clear"/>
        <w:tabs>
          <w:tab w:val="left" w:pos="3003"/>
          <w:tab w:val="center" w:pos="4853"/>
        </w:tabs>
        <w:kinsoku/>
        <w:wordWrap/>
        <w:overflowPunct/>
        <w:topLinePunct w:val="0"/>
        <w:autoSpaceDE/>
        <w:autoSpaceDN/>
        <w:bidi w:val="0"/>
        <w:adjustRightInd/>
        <w:snapToGrid/>
        <w:spacing w:line="566" w:lineRule="exact"/>
        <w:jc w:val="center"/>
        <w:textAlignment w:val="auto"/>
        <w:rPr>
          <w:rFonts w:hint="eastAsia" w:ascii="方正小标宋简体" w:eastAsia="方正小标宋简体"/>
          <w:color w:val="auto"/>
          <w:sz w:val="44"/>
          <w:szCs w:val="44"/>
          <w:highlight w:val="none"/>
          <w:lang w:eastAsia="zh-CN"/>
        </w:rPr>
      </w:pPr>
      <w:bookmarkStart w:id="206" w:name="_Toc93396454_WPSOffice_Level2"/>
      <w:bookmarkStart w:id="207" w:name="_Toc1101873469_WPSOffice_Level2"/>
      <w:r>
        <w:rPr>
          <w:rFonts w:hint="eastAsia" w:ascii="方正小标宋简体" w:eastAsia="方正小标宋简体"/>
          <w:color w:val="auto"/>
          <w:sz w:val="44"/>
          <w:szCs w:val="44"/>
          <w:highlight w:val="none"/>
          <w:lang w:val="en-US" w:eastAsia="zh-CN"/>
        </w:rPr>
        <w:t>2018年市城区排水排污日常维护及应急抢险项目</w:t>
      </w:r>
      <w:r>
        <w:rPr>
          <w:rFonts w:hint="eastAsia" w:ascii="方正小标宋简体" w:eastAsia="方正小标宋简体"/>
          <w:color w:val="auto"/>
          <w:sz w:val="44"/>
          <w:szCs w:val="44"/>
          <w:highlight w:val="none"/>
          <w:lang w:eastAsia="zh-CN"/>
        </w:rPr>
        <w:t>支出绩效自评报告</w:t>
      </w:r>
      <w:bookmarkEnd w:id="206"/>
      <w:bookmarkEnd w:id="207"/>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rPr>
          <w:rFonts w:hint="eastAsia" w:ascii="黑体" w:hAnsi="黑体" w:eastAsia="黑体" w:cs="黑体"/>
          <w:bCs/>
          <w:color w:val="auto"/>
          <w:sz w:val="32"/>
          <w:szCs w:val="32"/>
          <w:highlight w:val="none"/>
          <w:lang w:val="en-US" w:eastAsia="zh-CN"/>
        </w:rPr>
      </w:pP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08" w:name="_Toc688201664_WPSOffice_Level2"/>
      <w:bookmarkStart w:id="209" w:name="_Toc1466877338_WPSOffice_Level2"/>
      <w:bookmarkStart w:id="210" w:name="_Toc28061"/>
      <w:r>
        <w:rPr>
          <w:rFonts w:hint="eastAsia" w:ascii="黑体" w:hAnsi="黑体" w:eastAsia="黑体" w:cs="黑体"/>
          <w:bCs/>
          <w:color w:val="auto"/>
          <w:sz w:val="32"/>
          <w:szCs w:val="32"/>
          <w:highlight w:val="none"/>
          <w:lang w:val="en-US" w:eastAsia="zh-CN"/>
        </w:rPr>
        <w:t>一、项目概况</w:t>
      </w:r>
      <w:bookmarkEnd w:id="208"/>
      <w:bookmarkEnd w:id="209"/>
      <w:bookmarkEnd w:id="210"/>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（一）项目基本情况</w:t>
      </w:r>
    </w:p>
    <w:p>
      <w:pPr>
        <w:shd w:val="clea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元市城市供排水事务中心为2018年度市城区排水排污日常维护及应急抢险项目管理单位。根据《四川省城镇排水与污水处理条例》、《广元市人民政府关于市政基础设施维护维修有关事项的批复》（广府复[2018]6号）等相关规定，该项目由市城发集团（广元千润实业有限公司）实施，资金纳入市级财政解决，严格按照市政排水排污设施维护抢修相关规定执行。本项目主要内容包括市城区管网清淤，破损井盖更换，破损管网修复，新建排水排污管网，泵站维护管理值守等，</w:t>
      </w:r>
      <w:r>
        <w:rPr>
          <w:rFonts w:hint="eastAsia" w:ascii="仿宋_GB2312" w:hAnsi="仿宋_GB2312" w:eastAsia="仿宋_GB2312" w:cs="仿宋_GB2312"/>
          <w:color w:val="auto"/>
          <w:sz w:val="32"/>
          <w:szCs w:val="32"/>
          <w:highlight w:val="none"/>
        </w:rPr>
        <w:t>项目总投资</w:t>
      </w:r>
      <w:r>
        <w:rPr>
          <w:rFonts w:hint="eastAsia" w:ascii="仿宋_GB2312" w:hAnsi="仿宋_GB2312" w:eastAsia="仿宋_GB2312" w:cs="仿宋_GB2312"/>
          <w:color w:val="auto"/>
          <w:sz w:val="32"/>
          <w:szCs w:val="32"/>
          <w:highlight w:val="none"/>
          <w:lang w:val="en-US" w:eastAsia="zh-CN"/>
        </w:rPr>
        <w:t>2133.21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2018年1月开工建设，12月竣工，验收合格。</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（二）项目绩效目标</w:t>
      </w:r>
    </w:p>
    <w:p>
      <w:pPr>
        <w:shd w:val="clea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整体目标是更换破损井盖、雨篦约1800套，管网修复更换约5公里，泵站维护值守10座，对市城区约680公里排水设施运行汛前清淤。通过实施确保市城区排水排污设施正常运行，确保管道、检查井完好率达到100%，保障市区排水排污畅通、群众出行无安全隐患、无内涝灾害发生。</w:t>
      </w:r>
    </w:p>
    <w:p>
      <w:pPr>
        <w:shd w:val="clea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本项目申报内容与具体实施内容基本相符，申报目标合理可行。</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6" w:lineRule="exact"/>
        <w:ind w:left="0" w:leftChars="0" w:firstLine="640" w:firstLineChars="200"/>
        <w:textAlignment w:val="auto"/>
        <w:rPr>
          <w:rFonts w:hint="eastAsia" w:ascii="仿宋_GB2312" w:hAnsi="Times New Roman" w:eastAsia="仿宋_GB2312" w:cs="Times New Roman"/>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按照《广元市财政局关于开展</w:t>
      </w:r>
      <w:r>
        <w:rPr>
          <w:rFonts w:hint="eastAsia" w:ascii="仿宋_GB2312" w:hAnsi="仿宋_GB2312" w:eastAsia="仿宋_GB2312" w:cs="仿宋_GB2312"/>
          <w:color w:val="auto"/>
          <w:sz w:val="32"/>
          <w:szCs w:val="32"/>
          <w:highlight w:val="none"/>
          <w:lang w:val="en-US" w:eastAsia="zh-CN"/>
        </w:rPr>
        <w:t>2022年度市级部门绩效自评工作的通知</w:t>
      </w:r>
      <w:r>
        <w:rPr>
          <w:rFonts w:hint="eastAsia" w:ascii="仿宋_GB2312" w:hAnsi="仿宋_GB2312" w:eastAsia="仿宋_GB2312" w:cs="仿宋_GB2312"/>
          <w:color w:val="auto"/>
          <w:sz w:val="32"/>
          <w:szCs w:val="32"/>
          <w:highlight w:val="none"/>
          <w:lang w:val="zh-CN" w:eastAsia="zh-CN"/>
        </w:rPr>
        <w:t>》（广财绩〔</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zh-CN" w:eastAsia="zh-CN"/>
        </w:rPr>
        <w:t>）精神，根据项目支出绩效评价指标体系内容，</w:t>
      </w:r>
      <w:r>
        <w:rPr>
          <w:rFonts w:hint="eastAsia" w:ascii="仿宋_GB2312" w:hAnsi="仿宋_GB2312" w:eastAsia="仿宋_GB2312" w:cs="仿宋_GB2312"/>
          <w:color w:val="auto"/>
          <w:sz w:val="32"/>
          <w:szCs w:val="32"/>
          <w:highlight w:val="none"/>
          <w:lang w:val="en-US" w:eastAsia="zh-CN"/>
        </w:rPr>
        <w:t>通过查资料、看现场、调查了解等多种形式，由市供排水事务中心根据项目完成情况进行总结后，报市住房和城乡建设局对其进行全面评价。</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11" w:name="_Toc14871"/>
      <w:bookmarkStart w:id="212" w:name="_Toc1315477729_WPSOffice_Level2"/>
      <w:bookmarkStart w:id="213" w:name="_Toc1749220216_WPSOffice_Level2"/>
      <w:r>
        <w:rPr>
          <w:rFonts w:hint="eastAsia" w:ascii="黑体" w:hAnsi="黑体" w:eastAsia="黑体" w:cs="黑体"/>
          <w:bCs/>
          <w:color w:val="auto"/>
          <w:sz w:val="32"/>
          <w:szCs w:val="32"/>
          <w:highlight w:val="none"/>
          <w:lang w:val="en-US" w:eastAsia="zh-CN"/>
        </w:rPr>
        <w:t>二、项目资金申报及使用情况</w:t>
      </w:r>
      <w:bookmarkEnd w:id="211"/>
      <w:bookmarkEnd w:id="212"/>
      <w:bookmarkEnd w:id="213"/>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6" w:lineRule="exact"/>
        <w:ind w:left="0" w:leftChars="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该项目通过事前评估、预算申报2133.21万元，市财政局纳入当年市本级基建项目计划200万元。</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6"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该项目当年资金计划2133.21万元，2022年8月到位财政资金200万元；全部用于解决2018年度市城区排水排污日常维护及应急抢险项目工程欠款，无挪用乱用，做到专款专用。</w:t>
      </w:r>
    </w:p>
    <w:p>
      <w:pPr>
        <w:pStyle w:val="2"/>
        <w:numPr>
          <w:ilvl w:val="0"/>
          <w:numId w:val="0"/>
        </w:numPr>
        <w:shd w:val="clear"/>
        <w:spacing w:after="0"/>
        <w:ind w:leftChars="0" w:firstLine="642" w:firstLineChars="200"/>
        <w:rPr>
          <w:rFonts w:hint="eastAsia" w:ascii="楷体_GB2312" w:hAnsi="宋体" w:eastAsia="楷体_GB2312" w:cs="Times New Roman"/>
          <w:b/>
          <w:bCs/>
          <w:color w:val="auto"/>
          <w:kern w:val="2"/>
          <w:sz w:val="32"/>
          <w:szCs w:val="32"/>
          <w:highlight w:val="none"/>
          <w:u w:val="none"/>
          <w:lang w:val="en-US" w:eastAsia="zh-CN" w:bidi="ar-SA"/>
        </w:rPr>
      </w:pPr>
      <w:r>
        <w:rPr>
          <w:rFonts w:hint="eastAsia" w:ascii="楷体_GB2312" w:hAnsi="宋体" w:eastAsia="楷体_GB2312" w:cs="Times New Roman"/>
          <w:b/>
          <w:bCs/>
          <w:color w:val="auto"/>
          <w:kern w:val="2"/>
          <w:sz w:val="32"/>
          <w:szCs w:val="32"/>
          <w:highlight w:val="none"/>
          <w:u w:val="none"/>
          <w:lang w:val="en-US" w:eastAsia="zh-CN" w:bidi="ar-SA"/>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该项目严格按照专项资金管理办法实施管理，严格执行财务管理制度，及时处理账务，规范会计核算。</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14" w:name="_Toc10746"/>
      <w:bookmarkStart w:id="215" w:name="_Toc1414580863_WPSOffice_Level2"/>
      <w:bookmarkStart w:id="216" w:name="_Toc958894194_WPSOffice_Level2"/>
      <w:r>
        <w:rPr>
          <w:rFonts w:hint="eastAsia" w:ascii="黑体" w:hAnsi="黑体" w:eastAsia="黑体" w:cs="黑体"/>
          <w:bCs/>
          <w:color w:val="auto"/>
          <w:sz w:val="32"/>
          <w:szCs w:val="32"/>
          <w:highlight w:val="none"/>
          <w:lang w:val="en-US" w:eastAsia="zh-CN"/>
        </w:rPr>
        <w:t>三、项目实施及管理情况</w:t>
      </w:r>
      <w:bookmarkEnd w:id="214"/>
      <w:bookmarkEnd w:id="215"/>
      <w:bookmarkEnd w:id="216"/>
    </w:p>
    <w:p>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在项目实施前制度了实施方案、施工组织设计、安全技术交底等，并报监理及业主审核。成立了以项目经理、技术负责人、安全负责人、质量审核负责人为管理人员的项目经理部，实施过程中严格把控安全、质量、进度标准，按质按量按期完成项目内容。</w:t>
      </w:r>
    </w:p>
    <w:p>
      <w:pPr>
        <w:keepNext w:val="0"/>
        <w:keepLines w:val="0"/>
        <w:pageBreakBefore w:val="0"/>
        <w:widowControl w:val="0"/>
        <w:shd w:val="clear"/>
        <w:kinsoku/>
        <w:wordWrap/>
        <w:overflowPunct/>
        <w:topLinePunct w:val="0"/>
        <w:autoSpaceDE/>
        <w:autoSpaceDN/>
        <w:bidi w:val="0"/>
        <w:adjustRightInd/>
        <w:snapToGrid/>
        <w:spacing w:line="360" w:lineRule="auto"/>
        <w:ind w:firstLine="642" w:firstLineChars="200"/>
        <w:textAlignment w:val="auto"/>
        <w:rPr>
          <w:rFonts w:hint="eastAsia" w:ascii="楷体_GB2312" w:hAnsi="宋体" w:eastAsia="楷体_GB2312" w:cs="Times New Roman"/>
          <w:b/>
          <w:bCs/>
          <w:color w:val="auto"/>
          <w:kern w:val="2"/>
          <w:sz w:val="32"/>
          <w:szCs w:val="32"/>
          <w:highlight w:val="none"/>
          <w:u w:val="none"/>
          <w:lang w:val="en-US" w:eastAsia="zh-CN" w:bidi="ar-SA"/>
        </w:rPr>
      </w:pPr>
      <w:r>
        <w:rPr>
          <w:rFonts w:hint="eastAsia" w:ascii="楷体_GB2312" w:hAnsi="宋体" w:eastAsia="楷体_GB2312" w:cs="Times New Roman"/>
          <w:b/>
          <w:bCs/>
          <w:color w:val="auto"/>
          <w:kern w:val="2"/>
          <w:sz w:val="32"/>
          <w:szCs w:val="32"/>
          <w:highlight w:val="none"/>
          <w:u w:val="none"/>
          <w:lang w:val="en-US" w:eastAsia="zh-CN" w:bidi="ar-SA"/>
        </w:rPr>
        <w:t>（一）项目组织架构及实施流程</w:t>
      </w:r>
    </w:p>
    <w:p>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根据项目的实际情况，由市供排水中心主任为项目总负责人，市供排水中心副主任任项目分管负责人，市供排水中心相关人员为现场代表，负责项目的具体实施工作。</w:t>
      </w:r>
    </w:p>
    <w:p>
      <w:pPr>
        <w:keepNext w:val="0"/>
        <w:keepLines w:val="0"/>
        <w:pageBreakBefore w:val="0"/>
        <w:widowControl w:val="0"/>
        <w:shd w:val="clear"/>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宋体" w:eastAsia="楷体_GB2312" w:cs="Times New Roman"/>
          <w:b/>
          <w:bCs/>
          <w:color w:val="auto"/>
          <w:kern w:val="2"/>
          <w:sz w:val="32"/>
          <w:szCs w:val="32"/>
          <w:highlight w:val="none"/>
          <w:u w:val="none"/>
          <w:lang w:val="en-US" w:eastAsia="zh-CN" w:bidi="ar-SA"/>
        </w:rPr>
        <w:t>（二）管理情况。</w:t>
      </w:r>
      <w:r>
        <w:rPr>
          <w:rFonts w:hint="eastAsia" w:ascii="仿宋_GB2312" w:hAnsi="仿宋_GB2312" w:eastAsia="仿宋_GB2312" w:cs="仿宋_GB2312"/>
          <w:color w:val="auto"/>
          <w:sz w:val="32"/>
          <w:szCs w:val="32"/>
          <w:highlight w:val="none"/>
          <w:lang w:val="en-US" w:eastAsia="zh-CN"/>
        </w:rPr>
        <w:t>一是选拔政治素质高、业务能力强、懂技术、会管理的同志组成项目管理队伍。二是严格按照采购合同清单逐项核对采购项目，确保采购项目与合同清单相符和材料质量。三是委托了设计、监理单位承担项目的设计和监理任务，确保了项目质量。四是要求承担本项目施工任务的深圳市勘察研究院有限公司合理安排人员，成立了技术素质好、管理水平高的项目经理部，并及时编制了切实可行的施工组织设计及各阶段施工计划，制定了严格的岗位责任制和质量管理体系，较好地完成了施工任务。五是项目按照合同约定进行采购和建设，据初步测算，项目投资控制在合同价款内，总费用未超过合同金额。六是认真贯彻落实有关安全生产的各项政策法规和文件精神，狠抓责任落实，加大安全隐患整改力度，坚决杜绝了事故的发生。</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17" w:name="_Toc1262027375_WPSOffice_Level2"/>
      <w:bookmarkStart w:id="218" w:name="_Toc1030512172_WPSOffice_Level2"/>
      <w:bookmarkStart w:id="219" w:name="_Toc15498"/>
      <w:r>
        <w:rPr>
          <w:rFonts w:hint="eastAsia" w:ascii="黑体" w:hAnsi="黑体" w:eastAsia="黑体" w:cs="黑体"/>
          <w:bCs/>
          <w:color w:val="auto"/>
          <w:sz w:val="32"/>
          <w:szCs w:val="32"/>
          <w:highlight w:val="none"/>
          <w:lang w:val="en-US" w:eastAsia="zh-CN"/>
        </w:rPr>
        <w:t>四、项目绩效情况</w:t>
      </w:r>
      <w:bookmarkEnd w:id="217"/>
      <w:bookmarkEnd w:id="218"/>
      <w:bookmarkEnd w:id="219"/>
    </w:p>
    <w:p>
      <w:pPr>
        <w:keepNext w:val="0"/>
        <w:keepLines w:val="0"/>
        <w:pageBreakBefore w:val="0"/>
        <w:widowControl w:val="0"/>
        <w:shd w:val="clear"/>
        <w:kinsoku/>
        <w:wordWrap/>
        <w:overflowPunct/>
        <w:topLinePunct w:val="0"/>
        <w:autoSpaceDE/>
        <w:autoSpaceDN/>
        <w:bidi w:val="0"/>
        <w:adjustRightInd/>
        <w:snapToGrid/>
        <w:spacing w:line="360" w:lineRule="auto"/>
        <w:ind w:firstLine="642" w:firstLineChars="200"/>
        <w:textAlignment w:val="auto"/>
        <w:rPr>
          <w:rFonts w:hint="eastAsia" w:ascii="楷体_GB2312" w:hAnsi="宋体" w:eastAsia="楷体_GB2312" w:cs="Times New Roman"/>
          <w:b/>
          <w:bCs/>
          <w:color w:val="auto"/>
          <w:kern w:val="2"/>
          <w:sz w:val="32"/>
          <w:szCs w:val="32"/>
          <w:highlight w:val="none"/>
          <w:u w:val="none"/>
          <w:lang w:val="en-US" w:eastAsia="zh-CN" w:bidi="ar-SA"/>
        </w:rPr>
      </w:pPr>
      <w:r>
        <w:rPr>
          <w:rFonts w:hint="eastAsia" w:ascii="楷体_GB2312" w:hAnsi="宋体" w:eastAsia="楷体_GB2312" w:cs="Times New Roman"/>
          <w:b/>
          <w:bCs/>
          <w:color w:val="auto"/>
          <w:kern w:val="2"/>
          <w:sz w:val="32"/>
          <w:szCs w:val="32"/>
          <w:highlight w:val="none"/>
          <w:u w:val="none"/>
          <w:lang w:val="en-US" w:eastAsia="zh-CN" w:bidi="ar-SA"/>
        </w:rPr>
        <w:t>（一）项目完成情况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更换了破损井盖、雨篦约1800套，管网修复更换约5公里，泵站维护值守10座，对市城区约680公里排水设施运行汛前清淤。</w:t>
      </w:r>
    </w:p>
    <w:p>
      <w:pPr>
        <w:keepNext w:val="0"/>
        <w:keepLines w:val="0"/>
        <w:pageBreakBefore w:val="0"/>
        <w:widowControl w:val="0"/>
        <w:shd w:val="clear"/>
        <w:kinsoku/>
        <w:wordWrap/>
        <w:overflowPunct/>
        <w:topLinePunct w:val="0"/>
        <w:autoSpaceDE/>
        <w:autoSpaceDN/>
        <w:bidi w:val="0"/>
        <w:adjustRightInd/>
        <w:snapToGrid/>
        <w:spacing w:line="360" w:lineRule="auto"/>
        <w:ind w:firstLine="642" w:firstLineChars="200"/>
        <w:textAlignment w:val="auto"/>
        <w:rPr>
          <w:rFonts w:hint="eastAsia" w:ascii="楷体_GB2312" w:hAnsi="宋体" w:eastAsia="楷体_GB2312" w:cs="Times New Roman"/>
          <w:b/>
          <w:bCs/>
          <w:color w:val="auto"/>
          <w:kern w:val="2"/>
          <w:sz w:val="32"/>
          <w:szCs w:val="32"/>
          <w:highlight w:val="none"/>
          <w:u w:val="none"/>
          <w:lang w:val="en-US" w:eastAsia="zh-CN" w:bidi="ar-SA"/>
        </w:rPr>
      </w:pPr>
      <w:r>
        <w:rPr>
          <w:rFonts w:hint="eastAsia" w:ascii="楷体_GB2312" w:hAnsi="宋体" w:eastAsia="楷体_GB2312" w:cs="Times New Roman"/>
          <w:b/>
          <w:bCs/>
          <w:color w:val="auto"/>
          <w:kern w:val="2"/>
          <w:sz w:val="32"/>
          <w:szCs w:val="32"/>
          <w:highlight w:val="none"/>
          <w:u w:val="none"/>
          <w:lang w:val="en-US" w:eastAsia="zh-CN" w:bidi="ar-SA"/>
        </w:rPr>
        <w:t>（二）项目效益情况</w:t>
      </w:r>
    </w:p>
    <w:p>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通过实施确保市城区排水排污设施正常运行，确保管道、检查井完好率达到100%，保障市区排水排污畅通、群众出行无安全隐患、无内涝灾害发生。群众满意度达到90%以上。</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20" w:name="_Toc2102688251_WPSOffice_Level2"/>
      <w:bookmarkStart w:id="221" w:name="_Toc1961185813_WPSOffice_Level2"/>
      <w:bookmarkStart w:id="222" w:name="_Toc30627"/>
      <w:r>
        <w:rPr>
          <w:rFonts w:hint="eastAsia" w:ascii="黑体" w:hAnsi="黑体" w:eastAsia="黑体" w:cs="黑体"/>
          <w:bCs/>
          <w:color w:val="auto"/>
          <w:sz w:val="32"/>
          <w:szCs w:val="32"/>
          <w:highlight w:val="none"/>
          <w:lang w:val="en-US" w:eastAsia="zh-CN"/>
        </w:rPr>
        <w:t>五、评价结论及建议</w:t>
      </w:r>
      <w:bookmarkEnd w:id="220"/>
      <w:bookmarkEnd w:id="221"/>
      <w:bookmarkEnd w:id="222"/>
    </w:p>
    <w:p>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项目决策合理，申报及时，严格按财务规定审批，专款专用，核算规范，及时兑现，项目绩效完成良好，社会效益较好</w:t>
      </w:r>
      <w:r>
        <w:rPr>
          <w:rFonts w:hint="eastAsia" w:ascii="仿宋_GB2312" w:hAnsi="仿宋_GB2312" w:eastAsia="仿宋_GB2312" w:cs="仿宋_GB2312"/>
          <w:color w:val="auto"/>
          <w:sz w:val="32"/>
          <w:szCs w:val="32"/>
          <w:highlight w:val="none"/>
          <w:lang w:val="en-US" w:eastAsia="zh-CN"/>
        </w:rPr>
        <w:t>。综合评价得分100分。下一步将加快项目竣工验收、工程审计、财决算工作。</w:t>
      </w:r>
    </w:p>
    <w:p>
      <w:pPr>
        <w:pStyle w:val="14"/>
        <w:shd w:val="clear"/>
        <w:rPr>
          <w:rFonts w:hint="eastAsia" w:ascii="仿宋_GB2312" w:hAnsi="仿宋_GB2312" w:eastAsia="仿宋_GB2312" w:cs="仿宋_GB2312"/>
          <w:color w:val="auto"/>
          <w:sz w:val="32"/>
          <w:szCs w:val="32"/>
          <w:highlight w:val="none"/>
          <w:lang w:val="en-US" w:eastAsia="zh-CN"/>
        </w:rPr>
      </w:pPr>
    </w:p>
    <w:p>
      <w:pPr>
        <w:shd w:val="clear"/>
        <w:rPr>
          <w:rFonts w:hint="eastAsia" w:ascii="仿宋_GB2312" w:hAnsi="仿宋_GB2312" w:eastAsia="仿宋_GB2312" w:cs="仿宋_GB2312"/>
          <w:color w:val="auto"/>
          <w:sz w:val="32"/>
          <w:szCs w:val="32"/>
          <w:highlight w:val="none"/>
          <w:lang w:val="en-US" w:eastAsia="zh-CN"/>
        </w:rPr>
      </w:pPr>
    </w:p>
    <w:p>
      <w:pPr>
        <w:pStyle w:val="2"/>
        <w:shd w:val="clear"/>
        <w:rPr>
          <w:rFonts w:hint="eastAsia"/>
          <w:color w:val="auto"/>
          <w:highlight w:val="none"/>
          <w:lang w:val="en-US" w:eastAsia="zh-CN"/>
        </w:rPr>
      </w:pPr>
    </w:p>
    <w:p>
      <w:pPr>
        <w:pStyle w:val="14"/>
        <w:shd w:val="clear"/>
        <w:rPr>
          <w:rFonts w:hint="eastAsia"/>
          <w:color w:val="auto"/>
          <w:highlight w:val="none"/>
          <w:lang w:val="en-US" w:eastAsia="zh-CN"/>
        </w:rPr>
      </w:pPr>
    </w:p>
    <w:p>
      <w:pPr>
        <w:keepNext w:val="0"/>
        <w:keepLines w:val="0"/>
        <w:pageBreakBefore w:val="0"/>
        <w:widowControl w:val="0"/>
        <w:shd w:val="clear"/>
        <w:kinsoku/>
        <w:wordWrap/>
        <w:overflowPunct/>
        <w:topLinePunct w:val="0"/>
        <w:autoSpaceDE/>
        <w:autoSpaceDN/>
        <w:bidi w:val="0"/>
        <w:spacing w:line="57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bookmarkStart w:id="223" w:name="_Toc1626404665_WPSOffice_Level2"/>
      <w:bookmarkStart w:id="224" w:name="_Toc775293160_WPSOffice_Level2"/>
      <w:r>
        <w:rPr>
          <w:rFonts w:hint="eastAsia" w:ascii="方正小标宋简体" w:hAnsi="方正小标宋简体" w:eastAsia="方正小标宋简体" w:cs="方正小标宋简体"/>
          <w:color w:val="auto"/>
          <w:kern w:val="2"/>
          <w:sz w:val="44"/>
          <w:szCs w:val="44"/>
          <w:highlight w:val="none"/>
          <w:lang w:val="en-US" w:eastAsia="zh-CN" w:bidi="ar-SA"/>
        </w:rPr>
        <w:t>海绵城市建设示范申报项目支出绩效报告</w:t>
      </w:r>
      <w:bookmarkEnd w:id="223"/>
      <w:bookmarkEnd w:id="224"/>
    </w:p>
    <w:p>
      <w:pPr>
        <w:keepNext w:val="0"/>
        <w:keepLines w:val="0"/>
        <w:pageBreakBefore w:val="0"/>
        <w:widowControl w:val="0"/>
        <w:shd w:val="clear"/>
        <w:kinsoku/>
        <w:wordWrap/>
        <w:overflowPunct/>
        <w:topLinePunct w:val="0"/>
        <w:autoSpaceDE/>
        <w:autoSpaceDN/>
        <w:bidi w:val="0"/>
        <w:spacing w:line="570" w:lineRule="exact"/>
        <w:ind w:left="0" w:leftChars="0"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ascii="黑体" w:hAnsi="宋体" w:eastAsia="黑体" w:cs="Times New Roman"/>
          <w:color w:val="auto"/>
          <w:sz w:val="32"/>
          <w:szCs w:val="32"/>
          <w:highlight w:val="none"/>
          <w:lang w:val="zh-CN"/>
        </w:rPr>
      </w:pPr>
      <w:bookmarkStart w:id="225" w:name="_Toc267969623_WPSOffice_Level2"/>
      <w:bookmarkStart w:id="226" w:name="_Toc1112486528_WPSOffice_Level2"/>
      <w:bookmarkStart w:id="227" w:name="_Toc25003"/>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225"/>
      <w:bookmarkEnd w:id="226"/>
      <w:bookmarkEnd w:id="227"/>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shd w:val="clear" w:color="auto" w:fill="FFFFFF"/>
          <w:lang w:val="zh-CN"/>
        </w:rPr>
        <w:t>项目主管部门在该项目管理中的职能。</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color w:val="auto"/>
          <w:kern w:val="0"/>
          <w:sz w:val="32"/>
          <w:szCs w:val="32"/>
          <w:highlight w:val="none"/>
          <w:shd w:val="clear" w:color="auto" w:fill="FFFFFF"/>
        </w:rPr>
        <w:t>广元市系统化全域推进海绵城市建设示范工作领导小组办公室</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根据实际工作需要</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申报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，主要</w:t>
      </w:r>
      <w:r>
        <w:rPr>
          <w:rFonts w:hint="eastAsia" w:ascii="仿宋_GB2312" w:hAnsi="仿宋_GB2312" w:eastAsia="仿宋_GB2312" w:cs="仿宋_GB2312"/>
          <w:color w:val="auto"/>
          <w:kern w:val="0"/>
          <w:sz w:val="32"/>
          <w:szCs w:val="32"/>
          <w:highlight w:val="none"/>
          <w:shd w:val="clear" w:color="auto" w:fill="FFFFFF"/>
        </w:rPr>
        <w:t>牵头申报国、省级系统化全域推进海绵城市建设示范城市，委托技术咨询单位编制相关规范性文件</w:t>
      </w:r>
      <w:r>
        <w:rPr>
          <w:rFonts w:hint="eastAsia" w:ascii="Calibri" w:hAnsi="Calibri"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rPr>
        <w:t>做好海绵城市建设领导小组办公室日常工作。</w:t>
      </w:r>
    </w:p>
    <w:p>
      <w:pPr>
        <w:keepNext w:val="0"/>
        <w:keepLines w:val="0"/>
        <w:pageBreakBefore w:val="0"/>
        <w:numPr>
          <w:ilvl w:val="0"/>
          <w:numId w:val="0"/>
        </w:numPr>
        <w:shd w:val="clear"/>
        <w:kinsoku/>
        <w:wordWrap/>
        <w:overflowPunct/>
        <w:topLinePunct w:val="0"/>
        <w:autoSpaceDE/>
        <w:autoSpaceDN/>
        <w:bidi w:val="0"/>
        <w:adjustRightInd w:val="0"/>
        <w:snapToGrid w:val="0"/>
        <w:spacing w:line="57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主管部门为广元市住房和城乡建设局，主要对该项目的可行性进行研究、批复项目预算以及实施监控项目预算执行情况，如项目执行缓慢，则向项目实施单位发送预警，督促其加快项目实施。待项目实施完毕后，对该项目开展主管部门自评工作。</w:t>
      </w:r>
    </w:p>
    <w:p>
      <w:pPr>
        <w:keepNext w:val="0"/>
        <w:keepLines w:val="0"/>
        <w:pageBreakBefore w:val="0"/>
        <w:numPr>
          <w:ilvl w:val="0"/>
          <w:numId w:val="0"/>
        </w:numPr>
        <w:shd w:val="clear"/>
        <w:kinsoku/>
        <w:wordWrap/>
        <w:overflowPunct/>
        <w:topLinePunct w:val="0"/>
        <w:autoSpaceDE/>
        <w:autoSpaceDN/>
        <w:bidi w:val="0"/>
        <w:adjustRightInd w:val="0"/>
        <w:snapToGrid w:val="0"/>
        <w:spacing w:line="570" w:lineRule="exact"/>
        <w:ind w:firstLine="642"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shd w:val="clear" w:color="auto" w:fill="FFFFFF"/>
          <w:lang w:val="zh-CN"/>
        </w:rPr>
        <w:t>项目立项、资金申报的依据</w:t>
      </w:r>
    </w:p>
    <w:p>
      <w:pPr>
        <w:keepNext w:val="0"/>
        <w:keepLines w:val="0"/>
        <w:pageBreakBefore w:val="0"/>
        <w:widowControl/>
        <w:suppressLineNumbers w:val="0"/>
        <w:shd w:val="clear"/>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Times New Roman" w:eastAsia="仿宋_GB2312" w:cs="Times New Roman"/>
          <w:color w:val="auto"/>
          <w:sz w:val="32"/>
          <w:szCs w:val="32"/>
          <w:highlight w:val="none"/>
        </w:rPr>
        <w:t>2021年3月25日，四川省财政厅、住房城乡建设厅、水利厅印发了《关于开展系统化全域推进海绵城市建设示范工作的通知》</w:t>
      </w:r>
      <w:r>
        <w:rPr>
          <w:rFonts w:hint="eastAsia" w:ascii="仿宋_GB2312" w:hAnsi="Times New Roman" w:eastAsia="仿宋_GB2312" w:cs="Times New Roman"/>
          <w:color w:val="auto"/>
          <w:sz w:val="32"/>
          <w:szCs w:val="32"/>
          <w:highlight w:val="none"/>
          <w:lang w:val="en-US" w:eastAsia="zh-CN"/>
        </w:rPr>
        <w:t>（川财建〔2022〕36号）</w:t>
      </w:r>
      <w:r>
        <w:rPr>
          <w:rFonts w:hint="eastAsia" w:ascii="仿宋_GB2312" w:hAnsi="Times New Roman" w:eastAsia="仿宋_GB2312" w:cs="Times New Roman"/>
          <w:color w:val="auto"/>
          <w:sz w:val="32"/>
          <w:szCs w:val="32"/>
          <w:highlight w:val="none"/>
        </w:rPr>
        <w:t>。2022年4月13日，财政部、住房城乡建设部、水利部印发了《关于开展“十四五”第二批系统化全域推进海绵城市建设示范工作的通知》</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财办建〔2022〕28号</w:t>
      </w:r>
      <w:r>
        <w:rPr>
          <w:rFonts w:hint="eastAsia" w:ascii="仿宋_GB2312" w:hAnsi="Times New Roman"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eastAsia="zh-CN"/>
        </w:rPr>
        <w:t>，</w:t>
      </w:r>
      <w:r>
        <w:rPr>
          <w:rFonts w:hint="eastAsia" w:ascii="仿宋_GB2312" w:hAnsi="ˎ̥" w:eastAsia="仿宋_GB2312" w:cs="Times New Roman"/>
          <w:color w:val="auto"/>
          <w:sz w:val="32"/>
          <w:szCs w:val="32"/>
          <w:highlight w:val="none"/>
        </w:rPr>
        <w:t>明确提出</w:t>
      </w:r>
      <w:r>
        <w:rPr>
          <w:rFonts w:hint="eastAsia" w:ascii="仿宋_GB2312" w:hAnsi="ˎ̥" w:eastAsia="仿宋_GB2312" w:cs="Times New Roman"/>
          <w:color w:val="auto"/>
          <w:sz w:val="32"/>
          <w:szCs w:val="32"/>
          <w:highlight w:val="none"/>
          <w:lang w:eastAsia="zh-CN"/>
        </w:rPr>
        <w:t>：</w:t>
      </w:r>
      <w:r>
        <w:rPr>
          <w:rFonts w:hint="eastAsia" w:ascii="仿宋_GB2312" w:hAnsi="ˎ̥"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rPr>
        <w:t>力争通过3年集中建设，示范城市防洪排涝能力明显提升，海绵城市理念得到全面、有效落实，为建设宜居、绿色、韧性、智慧、人文城市创造条件，推动全国海绵城市建设迈上新台阶</w:t>
      </w:r>
      <w:r>
        <w:rPr>
          <w:rFonts w:hint="eastAsia" w:ascii="仿宋_GB2312" w:hAnsi="ˎ̥"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海绵城市申报相关费用纳入2022年财政预算，按照100万元计划。</w:t>
      </w:r>
    </w:p>
    <w:p>
      <w:pPr>
        <w:keepNext w:val="0"/>
        <w:keepLines w:val="0"/>
        <w:pageBreakBefore w:val="0"/>
        <w:shd w:val="clear"/>
        <w:kinsoku/>
        <w:wordWrap/>
        <w:overflowPunct/>
        <w:topLinePunct w:val="0"/>
        <w:autoSpaceDE/>
        <w:autoSpaceDN/>
        <w:bidi w:val="0"/>
        <w:spacing w:line="570" w:lineRule="exact"/>
        <w:ind w:left="0" w:leftChars="0" w:firstLine="640" w:firstLineChars="200"/>
        <w:jc w:val="both"/>
        <w:textAlignment w:val="auto"/>
        <w:rPr>
          <w:rFonts w:ascii="仿宋_GB2312" w:hAnsi="ˎ̥" w:eastAsia="仿宋_GB2312" w:cs="Times New Roman"/>
          <w:color w:val="auto"/>
          <w:sz w:val="32"/>
          <w:szCs w:val="32"/>
          <w:highlight w:val="none"/>
        </w:rPr>
      </w:pPr>
      <w:r>
        <w:rPr>
          <w:rFonts w:hint="eastAsia" w:ascii="仿宋_GB2312" w:hAnsi="ˎ̥" w:eastAsia="仿宋_GB2312" w:cs="Times New Roman"/>
          <w:color w:val="auto"/>
          <w:sz w:val="32"/>
          <w:szCs w:val="32"/>
          <w:highlight w:val="none"/>
        </w:rPr>
        <w:t>广元市申报系统化推进海绵城市建设示范城市工作经费主要用于技术咨询服务、规范性文件编制、印制各类资料费用、会务场地租赁、制作海绵城市宣传、差旅等，与四川省城乡建设研究院分别签订技术咨询和规范性文件编制的《技术服务合同》。</w:t>
      </w:r>
    </w:p>
    <w:p>
      <w:pPr>
        <w:keepNext w:val="0"/>
        <w:keepLines w:val="0"/>
        <w:pageBreakBefore w:val="0"/>
        <w:widowControl/>
        <w:shd w:val="clear"/>
        <w:kinsoku/>
        <w:wordWrap/>
        <w:overflowPunct/>
        <w:topLinePunct w:val="0"/>
        <w:autoSpaceDE/>
        <w:autoSpaceDN/>
        <w:bidi w:val="0"/>
        <w:adjustRightInd w:val="0"/>
        <w:snapToGrid w:val="0"/>
        <w:spacing w:line="570" w:lineRule="exact"/>
        <w:ind w:firstLine="642"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4.资金分配的原则及考虑因素。</w:t>
      </w:r>
      <w:r>
        <w:rPr>
          <w:rFonts w:hint="eastAsia" w:ascii="仿宋_GB2312" w:hAnsi="仿宋_GB2312" w:eastAsia="仿宋_GB2312" w:cs="仿宋_GB2312"/>
          <w:color w:val="auto"/>
          <w:kern w:val="0"/>
          <w:sz w:val="32"/>
          <w:szCs w:val="32"/>
          <w:highlight w:val="none"/>
          <w:shd w:val="clear" w:color="auto" w:fill="FFFFFF"/>
        </w:rPr>
        <w:t>科学合理安排资金预算支出，实现资金落到实处，强化执行过程监督，总成本控制在100万元以内</w:t>
      </w:r>
      <w:r>
        <w:rPr>
          <w:rFonts w:hint="eastAsia" w:ascii="仿宋_GB2312" w:hAnsi="仿宋_GB2312" w:eastAsia="仿宋_GB2312" w:cs="仿宋_GB2312"/>
          <w:color w:val="auto"/>
          <w:kern w:val="0"/>
          <w:sz w:val="32"/>
          <w:szCs w:val="32"/>
          <w:highlight w:val="none"/>
          <w:shd w:val="clear" w:color="auto" w:fill="FFFFFF"/>
          <w:lang w:val="zh-CN"/>
        </w:rPr>
        <w:t>。</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shd w:val="clear" w:color="auto" w:fill="FFFFFF"/>
          <w:lang w:val="zh-CN"/>
        </w:rPr>
        <w:t>项目主要内容</w:t>
      </w:r>
    </w:p>
    <w:p>
      <w:pPr>
        <w:keepNext w:val="0"/>
        <w:keepLines w:val="0"/>
        <w:pageBreakBefore w:val="0"/>
        <w:widowControl w:val="0"/>
        <w:shd w:val="clear"/>
        <w:kinsoku/>
        <w:wordWrap/>
        <w:overflowPunct/>
        <w:topLinePunct w:val="0"/>
        <w:autoSpaceDE/>
        <w:autoSpaceDN/>
        <w:bidi w:val="0"/>
        <w:adjustRightInd w:val="0"/>
        <w:snapToGrid w:val="0"/>
        <w:spacing w:after="0" w:line="570" w:lineRule="exact"/>
        <w:ind w:left="0" w:leftChars="0" w:firstLine="624" w:firstLineChars="200"/>
        <w:jc w:val="both"/>
        <w:textAlignment w:val="auto"/>
        <w:rPr>
          <w:rFonts w:ascii="仿宋_GB2312" w:hAnsi="仿宋_GB2312" w:eastAsia="仿宋_GB2312" w:cs="仿宋_GB2312"/>
          <w:color w:val="auto"/>
          <w:spacing w:val="-4"/>
          <w:kern w:val="2"/>
          <w:sz w:val="32"/>
          <w:szCs w:val="32"/>
          <w:highlight w:val="none"/>
          <w:lang w:val="en-US" w:eastAsia="zh-CN" w:bidi="ar-SA"/>
        </w:rPr>
      </w:pPr>
      <w:r>
        <w:rPr>
          <w:rFonts w:hint="eastAsia" w:ascii="仿宋_GB2312" w:hAnsi="仿宋_GB2312" w:eastAsia="仿宋_GB2312" w:cs="仿宋_GB2312"/>
          <w:color w:val="auto"/>
          <w:spacing w:val="-4"/>
          <w:kern w:val="0"/>
          <w:sz w:val="32"/>
          <w:szCs w:val="32"/>
          <w:highlight w:val="none"/>
          <w:shd w:val="clear" w:color="auto" w:fill="FFFFFF"/>
          <w:lang w:val="zh-CN" w:eastAsia="zh-CN" w:bidi="ar-SA"/>
        </w:rPr>
        <w:t>科学编制海绵城市申报方案，先后成功申报省级和国家级系统化全域推进海绵城市建设示范城市；编制完成《广元市海绵城市规划设计建设技术导则》《广元市海绵城市专项设计编制规定及审查要点》等规范性文件，完成市领导交办的相关工作，做好海绵城市建设领导小组办公室日常工作。</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hint="eastAsia" w:ascii="仿宋_GB2312" w:hAnsi="仿宋_GB2312" w:eastAsia="仿宋_GB2312" w:cs="仿宋_GB2312"/>
          <w:b/>
          <w:bCs/>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2．项目应实现的具体绩效目标</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数量指标已完成，完成《广元市系统化全域推进海绵城市建设示范城市申报实施方案》，编制完成《广元市海绵城市规划设计建设技术导则》《广元市海绵城市专项设计编制规定及审查要点》等规范性文件；时效指标已完成，于</w:t>
      </w:r>
      <w:r>
        <w:rPr>
          <w:rFonts w:hint="eastAsia" w:ascii="仿宋_GB2312" w:hAnsi="仿宋_GB2312" w:eastAsia="仿宋_GB2312" w:cs="仿宋_GB2312"/>
          <w:color w:val="auto"/>
          <w:kern w:val="0"/>
          <w:sz w:val="32"/>
          <w:szCs w:val="32"/>
          <w:highlight w:val="none"/>
          <w:shd w:val="clear" w:color="auto" w:fill="FFFFFF"/>
        </w:rPr>
        <w:t>2022年6月成功申报为系统化全域推进海绵城市建设国家级示范城市，满足预期时限要求；成本指标已完成，2022年工作经费为100万元；社会效益、生态效益指标已完成，内涝防治标准、内涝积水区段消除比例、天然水域面积比例、可透水地面面积比例、城市生活污水集中收集率等指标达到2022年度海绵城市建设要求；满意度指标已完成，海绵城市申报及海绵城市建设工作使社会公众满意，得到政府部门的认可。</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u w:val="none"/>
          <w:shd w:val="clear" w:color="auto" w:fill="FFFFFF"/>
          <w:lang w:val="zh-CN"/>
        </w:rPr>
        <w:t>3．申报目标合理</w:t>
      </w:r>
      <w:r>
        <w:rPr>
          <w:rFonts w:hint="eastAsia" w:ascii="仿宋_GB2312" w:hAnsi="仿宋_GB2312" w:cs="仿宋_GB2312"/>
          <w:b/>
          <w:bCs/>
          <w:color w:val="auto"/>
          <w:kern w:val="0"/>
          <w:sz w:val="32"/>
          <w:szCs w:val="32"/>
          <w:highlight w:val="none"/>
          <w:u w:val="none"/>
          <w:shd w:val="clear" w:color="auto" w:fill="FFFFFF"/>
          <w:lang w:val="en-US" w:eastAsia="zh-CN"/>
        </w:rPr>
        <w:t>性</w:t>
      </w:r>
      <w:r>
        <w:rPr>
          <w:rFonts w:hint="eastAsia" w:ascii="仿宋_GB2312" w:hAnsi="仿宋_GB2312" w:eastAsia="仿宋_GB2312" w:cs="仿宋_GB2312"/>
          <w:b/>
          <w:bCs/>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shd w:val="clear" w:color="auto" w:fill="FFFFFF"/>
        </w:rPr>
        <w:t>分析评价申报内容与实际相符，申报目标合理可行。</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根据</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广元市财政局关于开展</w:t>
      </w:r>
      <w:r>
        <w:rPr>
          <w:rFonts w:hint="eastAsia" w:ascii="仿宋_GB2312" w:hAnsi="仿宋_GB2312" w:eastAsia="仿宋_GB2312" w:cs="仿宋_GB2312"/>
          <w:color w:val="auto"/>
          <w:kern w:val="2"/>
          <w:sz w:val="32"/>
          <w:szCs w:val="32"/>
          <w:highlight w:val="none"/>
          <w:lang w:val="en-US" w:eastAsia="zh-CN" w:bidi="ar-SA"/>
        </w:rPr>
        <w:t>2022年度市级部门绩效自评工作的通知》（广财绩〔2023〕5号）要求，我局积极组织各项目单位开展项目自评工作，按照项目年初绩效目标申报表一一对照完成情况，以及《2023年市级专项资金预算项目支出绩效评价指标体系》进行自评打分，并撰写市级专项资金预算项目支出绩效自评报告，报主管部门审核后汇总。</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ascii="黑体" w:hAnsi="宋体" w:eastAsia="黑体" w:cs="Times New Roman"/>
          <w:color w:val="auto"/>
          <w:sz w:val="32"/>
          <w:szCs w:val="32"/>
          <w:highlight w:val="none"/>
        </w:rPr>
      </w:pPr>
      <w:bookmarkStart w:id="228" w:name="_Toc13958"/>
      <w:bookmarkStart w:id="229" w:name="_Toc678670829_WPSOffice_Level2"/>
      <w:bookmarkStart w:id="230" w:name="_Toc1896268804_WPSOffice_Level2"/>
      <w:r>
        <w:rPr>
          <w:rFonts w:hint="eastAsia" w:ascii="黑体" w:hAnsi="宋体" w:eastAsia="黑体" w:cs="Times New Roman"/>
          <w:color w:val="auto"/>
          <w:sz w:val="32"/>
          <w:szCs w:val="32"/>
          <w:highlight w:val="none"/>
        </w:rPr>
        <w:t>二、项目资金申报及使用情况</w:t>
      </w:r>
      <w:bookmarkEnd w:id="228"/>
      <w:bookmarkEnd w:id="229"/>
      <w:bookmarkEnd w:id="230"/>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该项目经事前评估、预算经费</w:t>
      </w:r>
      <w:r>
        <w:rPr>
          <w:rFonts w:hint="eastAsia" w:ascii="仿宋_GB2312" w:hAnsi="仿宋_GB2312" w:eastAsia="仿宋_GB2312" w:cs="仿宋_GB2312"/>
          <w:color w:val="auto"/>
          <w:kern w:val="2"/>
          <w:sz w:val="32"/>
          <w:szCs w:val="32"/>
          <w:highlight w:val="none"/>
          <w:lang w:val="en-US" w:eastAsia="zh-CN" w:bidi="ar-SA"/>
        </w:rPr>
        <w:t>100万元；2022年4月市财政局批复预算100万元。</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keepNext w:val="0"/>
        <w:keepLines w:val="0"/>
        <w:pageBreakBefore w:val="0"/>
        <w:widowControl/>
        <w:shd w:val="clear"/>
        <w:kinsoku/>
        <w:wordWrap/>
        <w:overflowPunct/>
        <w:topLinePunct w:val="0"/>
        <w:autoSpaceDE/>
        <w:autoSpaceDN/>
        <w:bidi w:val="0"/>
        <w:adjustRightInd w:val="0"/>
        <w:snapToGrid w:val="0"/>
        <w:spacing w:line="570" w:lineRule="exact"/>
        <w:ind w:left="0" w:leftChars="0" w:firstLine="642"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1.</w:t>
      </w:r>
      <w:r>
        <w:rPr>
          <w:rFonts w:hint="eastAsia" w:ascii="仿宋_GB2312" w:hAnsi="仿宋_GB2312" w:eastAsia="仿宋_GB2312" w:cs="仿宋_GB2312"/>
          <w:b/>
          <w:bCs/>
          <w:color w:val="auto"/>
          <w:kern w:val="0"/>
          <w:sz w:val="32"/>
          <w:szCs w:val="32"/>
          <w:highlight w:val="none"/>
          <w:shd w:val="clear" w:color="auto" w:fill="FFFFFF"/>
          <w:lang w:val="zh-CN"/>
        </w:rPr>
        <w:t>资金计划。</w:t>
      </w:r>
      <w:r>
        <w:rPr>
          <w:rFonts w:hint="eastAsia" w:ascii="仿宋_GB2312" w:hAnsi="仿宋_GB2312" w:eastAsia="仿宋_GB2312" w:cs="仿宋_GB2312"/>
          <w:color w:val="auto"/>
          <w:kern w:val="0"/>
          <w:sz w:val="32"/>
          <w:szCs w:val="32"/>
          <w:highlight w:val="none"/>
          <w:shd w:val="clear" w:color="auto" w:fill="FFFFFF"/>
        </w:rPr>
        <w:t>2022年计划资金100万元。</w:t>
      </w:r>
    </w:p>
    <w:p>
      <w:pPr>
        <w:keepNext w:val="0"/>
        <w:keepLines w:val="0"/>
        <w:pageBreakBefore w:val="0"/>
        <w:widowControl/>
        <w:shd w:val="clear"/>
        <w:kinsoku/>
        <w:wordWrap/>
        <w:overflowPunct/>
        <w:topLinePunct w:val="0"/>
        <w:autoSpaceDE/>
        <w:autoSpaceDN/>
        <w:bidi w:val="0"/>
        <w:adjustRightInd w:val="0"/>
        <w:snapToGrid w:val="0"/>
        <w:spacing w:line="570" w:lineRule="exact"/>
        <w:ind w:left="0" w:leftChars="0" w:firstLine="642" w:firstLineChars="200"/>
        <w:jc w:val="left"/>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2.</w:t>
      </w:r>
      <w:r>
        <w:rPr>
          <w:rFonts w:hint="eastAsia" w:ascii="仿宋_GB2312" w:hAnsi="仿宋_GB2312" w:eastAsia="仿宋_GB2312" w:cs="仿宋_GB2312"/>
          <w:b/>
          <w:bCs/>
          <w:color w:val="auto"/>
          <w:kern w:val="0"/>
          <w:sz w:val="32"/>
          <w:szCs w:val="32"/>
          <w:highlight w:val="none"/>
          <w:shd w:val="clear" w:color="auto" w:fill="FFFFFF"/>
          <w:lang w:val="zh-CN"/>
        </w:rPr>
        <w:t>资金到位。</w:t>
      </w:r>
      <w:r>
        <w:rPr>
          <w:rFonts w:hint="eastAsia" w:ascii="仿宋_GB2312" w:hAnsi="仿宋_GB2312" w:eastAsia="仿宋_GB2312" w:cs="仿宋_GB2312"/>
          <w:color w:val="auto"/>
          <w:kern w:val="0"/>
          <w:sz w:val="32"/>
          <w:szCs w:val="32"/>
          <w:highlight w:val="none"/>
          <w:shd w:val="clear" w:color="auto" w:fill="FFFFFF"/>
        </w:rPr>
        <w:t>2022年到位财政资金100万元。</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3.</w:t>
      </w:r>
      <w:r>
        <w:rPr>
          <w:rFonts w:hint="eastAsia" w:ascii="仿宋_GB2312" w:hAnsi="仿宋_GB2312" w:eastAsia="仿宋_GB2312" w:cs="仿宋_GB2312"/>
          <w:b/>
          <w:bCs/>
          <w:color w:val="auto"/>
          <w:kern w:val="0"/>
          <w:sz w:val="32"/>
          <w:szCs w:val="32"/>
          <w:highlight w:val="none"/>
          <w:shd w:val="clear" w:color="auto" w:fill="FFFFFF"/>
          <w:lang w:val="zh-CN"/>
        </w:rPr>
        <w:t>资金使用。</w:t>
      </w:r>
      <w:r>
        <w:rPr>
          <w:rFonts w:hint="eastAsia" w:ascii="仿宋_GB2312" w:hAnsi="仿宋_GB2312" w:eastAsia="仿宋_GB2312" w:cs="仿宋_GB2312"/>
          <w:color w:val="auto"/>
          <w:kern w:val="0"/>
          <w:sz w:val="32"/>
          <w:szCs w:val="32"/>
          <w:highlight w:val="none"/>
          <w:shd w:val="clear" w:color="auto" w:fill="FFFFFF"/>
          <w:lang w:val="zh-CN"/>
        </w:rPr>
        <w:t>严格按照与省城建院签订的《技术服务合同》约定条款执行，目前已按照进度拨付合同金额的</w:t>
      </w:r>
      <w:r>
        <w:rPr>
          <w:rFonts w:hint="eastAsia" w:ascii="仿宋_GB2312" w:hAnsi="仿宋_GB2312" w:eastAsia="仿宋_GB2312" w:cs="仿宋_GB2312"/>
          <w:color w:val="auto"/>
          <w:kern w:val="0"/>
          <w:sz w:val="32"/>
          <w:szCs w:val="32"/>
          <w:highlight w:val="none"/>
          <w:shd w:val="clear" w:color="auto" w:fill="FFFFFF"/>
        </w:rPr>
        <w:t>100%，其它工作经费使用合理合规</w:t>
      </w:r>
      <w:r>
        <w:rPr>
          <w:rFonts w:hint="eastAsia" w:ascii="仿宋_GB2312" w:hAnsi="仿宋_GB2312" w:eastAsia="仿宋_GB2312" w:cs="仿宋_GB2312"/>
          <w:color w:val="auto"/>
          <w:kern w:val="0"/>
          <w:sz w:val="32"/>
          <w:szCs w:val="32"/>
          <w:highlight w:val="none"/>
          <w:shd w:val="clear" w:color="auto" w:fill="FFFFFF"/>
          <w:lang w:val="zh-CN"/>
        </w:rPr>
        <w:t>。资金支付范围、支付标准、支付进度、支付依据等合规合法、与预算相符。</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在项目资金管理上，严格按照我局《内部控制制度》相关规定执行，做到了专款专用、财务处理准确、及时、规范。</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outlineLvl w:val="1"/>
        <w:rPr>
          <w:rFonts w:ascii="黑体" w:hAnsi="宋体" w:eastAsia="黑体" w:cs="Times New Roman"/>
          <w:color w:val="auto"/>
          <w:sz w:val="32"/>
          <w:szCs w:val="32"/>
          <w:highlight w:val="none"/>
        </w:rPr>
      </w:pPr>
      <w:bookmarkStart w:id="231" w:name="_Toc558793405_WPSOffice_Level2"/>
      <w:bookmarkStart w:id="232" w:name="_Toc4175"/>
      <w:bookmarkStart w:id="233" w:name="_Toc407713998_WPSOffice_Level2"/>
      <w:r>
        <w:rPr>
          <w:rFonts w:hint="eastAsia" w:ascii="黑体" w:hAnsi="宋体" w:eastAsia="黑体" w:cs="Times New Roman"/>
          <w:color w:val="auto"/>
          <w:sz w:val="32"/>
          <w:szCs w:val="32"/>
          <w:highlight w:val="none"/>
        </w:rPr>
        <w:t>三、项目实施及管理情况</w:t>
      </w:r>
      <w:bookmarkEnd w:id="231"/>
      <w:bookmarkEnd w:id="232"/>
      <w:bookmarkEnd w:id="233"/>
    </w:p>
    <w:p>
      <w:pPr>
        <w:keepNext w:val="0"/>
        <w:keepLines w:val="0"/>
        <w:pageBreakBefore w:val="0"/>
        <w:numPr>
          <w:ilvl w:val="0"/>
          <w:numId w:val="0"/>
        </w:numPr>
        <w:shd w:val="clear"/>
        <w:kinsoku/>
        <w:wordWrap/>
        <w:overflowPunct/>
        <w:topLinePunct w:val="0"/>
        <w:autoSpaceDE/>
        <w:autoSpaceDN/>
        <w:bidi w:val="0"/>
        <w:adjustRightInd w:val="0"/>
        <w:snapToGrid w:val="0"/>
        <w:spacing w:line="570" w:lineRule="exact"/>
        <w:ind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zh-CN"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一是项目承办业务科室负责具体申报工作；</w:t>
      </w: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二是</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我局所属事业单位广元市城市供排水事务中心与省城建院签订技术服务合同；</w:t>
      </w: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三是</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我局组织人员验收</w:t>
      </w:r>
      <w:r>
        <w:rPr>
          <w:rFonts w:hint="eastAsia" w:ascii="仿宋_GB2312" w:hAnsi="ˎ̥" w:eastAsia="仿宋_GB2312" w:cs="Times New Roman"/>
          <w:color w:val="auto"/>
          <w:spacing w:val="-4"/>
          <w:kern w:val="2"/>
          <w:sz w:val="32"/>
          <w:szCs w:val="32"/>
          <w:highlight w:val="none"/>
          <w:lang w:val="en-US" w:eastAsia="zh-CN" w:bidi="ar-SA"/>
        </w:rPr>
        <w:t>技术咨询和规范性文件编制</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编制质量，验收合格后，根据合同约定条款按进度拨付资金。</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（二）项目管理情况</w:t>
      </w:r>
    </w:p>
    <w:p>
      <w:pPr>
        <w:keepNext w:val="0"/>
        <w:keepLines w:val="0"/>
        <w:pageBreakBefore w:val="0"/>
        <w:widowControl/>
        <w:shd w:val="clear"/>
        <w:kinsoku/>
        <w:wordWrap/>
        <w:overflowPunct/>
        <w:topLinePunct w:val="0"/>
        <w:autoSpaceDE/>
        <w:autoSpaceDN/>
        <w:bidi w:val="0"/>
        <w:adjustRightInd w:val="0"/>
        <w:snapToGrid w:val="0"/>
        <w:spacing w:line="570" w:lineRule="exact"/>
        <w:ind w:left="0" w:leftChars="0" w:firstLine="640" w:firstLineChars="200"/>
        <w:jc w:val="left"/>
        <w:textAlignment w:val="auto"/>
        <w:rPr>
          <w:rFonts w:hint="eastAsia" w:ascii="楷体_GB2312" w:hAnsi="宋体" w:eastAsia="楷体_GB2312" w:cs="Times New Roman"/>
          <w:color w:val="auto"/>
          <w:sz w:val="32"/>
          <w:szCs w:val="32"/>
          <w:highlight w:val="none"/>
          <w:lang w:val="zh-CN"/>
        </w:rPr>
      </w:pPr>
      <w:r>
        <w:rPr>
          <w:rFonts w:hint="eastAsia" w:ascii="仿宋_GB2312" w:hAnsi="仿宋_GB2312" w:eastAsia="仿宋_GB2312" w:cs="仿宋_GB2312"/>
          <w:color w:val="auto"/>
          <w:kern w:val="0"/>
          <w:sz w:val="32"/>
          <w:szCs w:val="32"/>
          <w:highlight w:val="none"/>
          <w:shd w:val="clear" w:color="auto" w:fill="FFFFFF"/>
        </w:rPr>
        <w:t>此项目为广元市系统化全域推进海绵城市建设示范工作领导小组办公室工作经费。</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（三）项目监管情况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项目主管部门研究项目可行性，批复项目预算，监控项目执行进度，审批项目实施方案。通过主管部门的监管，按时按质完成项目实施、及时拨付项目资金，确保项目执行率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ascii="仿宋_GB2312" w:hAnsi="宋体" w:eastAsia="仿宋_GB2312" w:cs="Times New Roman"/>
          <w:color w:val="auto"/>
          <w:sz w:val="32"/>
          <w:szCs w:val="32"/>
          <w:highlight w:val="none"/>
          <w:lang w:val="zh-CN"/>
        </w:rPr>
      </w:pPr>
      <w:bookmarkStart w:id="234" w:name="_Toc1625"/>
      <w:bookmarkStart w:id="235" w:name="_Toc400569895_WPSOffice_Level2"/>
      <w:bookmarkStart w:id="236" w:name="_Toc1332043596_WPSOffice_Level2"/>
      <w:r>
        <w:rPr>
          <w:rFonts w:hint="eastAsia" w:ascii="黑体" w:hAnsi="宋体" w:eastAsia="黑体" w:cs="Times New Roman"/>
          <w:color w:val="auto"/>
          <w:sz w:val="32"/>
          <w:szCs w:val="32"/>
          <w:highlight w:val="none"/>
        </w:rPr>
        <w:t>四、项目绩效情况</w:t>
      </w:r>
      <w:bookmarkEnd w:id="234"/>
      <w:bookmarkEnd w:id="235"/>
      <w:bookmarkEnd w:id="236"/>
      <w:r>
        <w:rPr>
          <w:rFonts w:hint="eastAsia" w:ascii="仿宋_GB2312" w:hAnsi="宋体" w:eastAsia="仿宋_GB2312" w:cs="Times New Roman"/>
          <w:color w:val="auto"/>
          <w:sz w:val="32"/>
          <w:szCs w:val="32"/>
          <w:highlight w:val="none"/>
          <w:lang w:val="zh-CN"/>
        </w:rPr>
        <w:tab/>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成功申报为系统化全域推进海绵城市建设国家级示范城市，并编制完成《广元市海绵城市规划设计建设技术导则（试行）》《广元市海绵城市专项设计编制规定及审查要点试行》等规范性文件，圆满完成年度目标任务。</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rPr>
        <w:t>产生的</w:t>
      </w:r>
      <w:r>
        <w:rPr>
          <w:rFonts w:hint="eastAsia" w:ascii="仿宋_GB2312" w:hAnsi="仿宋_GB2312" w:eastAsia="仿宋_GB2312" w:cs="仿宋_GB2312"/>
          <w:color w:val="auto"/>
          <w:kern w:val="0"/>
          <w:sz w:val="32"/>
          <w:szCs w:val="32"/>
          <w:highlight w:val="none"/>
          <w:shd w:val="clear" w:color="auto" w:fill="FFFFFF"/>
          <w:lang w:val="zh-CN"/>
        </w:rPr>
        <w:t>社会效益、生态效益、可持续效益较好，满意度高，达到预期的效益。</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eastAsia" w:ascii="黑体" w:hAnsi="宋体" w:eastAsia="黑体" w:cs="Times New Roman"/>
          <w:color w:val="auto"/>
          <w:sz w:val="32"/>
          <w:szCs w:val="32"/>
          <w:highlight w:val="none"/>
        </w:rPr>
      </w:pPr>
      <w:bookmarkStart w:id="237" w:name="_Toc13497"/>
      <w:bookmarkStart w:id="238" w:name="_Toc810485003_WPSOffice_Level2"/>
      <w:bookmarkStart w:id="239" w:name="_Toc6550961_WPSOffice_Level2"/>
      <w:r>
        <w:rPr>
          <w:rFonts w:hint="eastAsia" w:ascii="黑体" w:hAnsi="宋体" w:eastAsia="黑体" w:cs="Times New Roman"/>
          <w:color w:val="auto"/>
          <w:sz w:val="32"/>
          <w:szCs w:val="32"/>
          <w:highlight w:val="none"/>
        </w:rPr>
        <w:t>五、评价结论及建议</w:t>
      </w:r>
      <w:bookmarkEnd w:id="237"/>
      <w:bookmarkEnd w:id="238"/>
      <w:bookmarkEnd w:id="239"/>
      <w:r>
        <w:rPr>
          <w:rFonts w:hint="eastAsia" w:ascii="黑体" w:hAnsi="宋体" w:eastAsia="黑体" w:cs="Times New Roman"/>
          <w:color w:val="auto"/>
          <w:sz w:val="32"/>
          <w:szCs w:val="32"/>
          <w:highlight w:val="none"/>
        </w:rPr>
        <w:tab/>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default"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rPr>
        <w:t>经费使用符合国家政策方针，管理符合相关制度，成功申报为广元争取11亿元海绵城市建设补助资金，受益群众满意度较好。</w:t>
      </w:r>
      <w:r>
        <w:rPr>
          <w:rFonts w:hint="eastAsia" w:ascii="仿宋_GB2312" w:hAnsi="仿宋_GB2312" w:eastAsia="仿宋_GB2312" w:cs="仿宋_GB2312"/>
          <w:color w:val="auto"/>
          <w:kern w:val="0"/>
          <w:sz w:val="32"/>
          <w:szCs w:val="32"/>
          <w:highlight w:val="none"/>
          <w:shd w:val="clear" w:color="auto" w:fill="FFFFFF"/>
          <w:lang w:eastAsia="zh-CN"/>
        </w:rPr>
        <w:t>自评得分</w:t>
      </w:r>
      <w:r>
        <w:rPr>
          <w:rFonts w:hint="eastAsia" w:ascii="仿宋_GB2312" w:hAnsi="仿宋_GB2312" w:eastAsia="仿宋_GB2312" w:cs="仿宋_GB2312"/>
          <w:color w:val="auto"/>
          <w:kern w:val="0"/>
          <w:sz w:val="32"/>
          <w:szCs w:val="32"/>
          <w:highlight w:val="none"/>
          <w:shd w:val="clear" w:color="auto" w:fill="FFFFFF"/>
          <w:lang w:val="en-US" w:eastAsia="zh-CN"/>
        </w:rPr>
        <w:t>100分。</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无。</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after="0" w:line="570" w:lineRule="exact"/>
        <w:ind w:left="0" w:leftChars="0" w:firstLine="640" w:firstLineChars="200"/>
        <w:jc w:val="both"/>
        <w:textAlignment w:val="auto"/>
        <w:rPr>
          <w:rFonts w:hint="eastAsia" w:ascii="仿宋_GB2312" w:hAnsi="Times New Roman" w:eastAsia="仿宋_GB2312" w:cs="Times New Roman"/>
          <w:color w:val="auto"/>
          <w:spacing w:val="-4"/>
          <w:kern w:val="2"/>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建议在广元市系统化全域推进海绵城市建设三年示范期内，持续保障日常工作经费。</w:t>
      </w: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pPr>
      <w:bookmarkStart w:id="240" w:name="_Toc1000017589_WPSOffice_Level2"/>
      <w:bookmarkStart w:id="241" w:name="_Toc1165568453_WPSOffice_Level2"/>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2021年市政公用设施维护维修项目支出绩效</w:t>
      </w:r>
      <w:bookmarkEnd w:id="240"/>
      <w:bookmarkEnd w:id="241"/>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pPr>
      <w:bookmarkStart w:id="242" w:name="_Toc431994930_WPSOffice_Level2"/>
      <w:bookmarkStart w:id="243" w:name="_Toc1801546872_WPSOffice_Level2"/>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自评报告</w:t>
      </w:r>
      <w:bookmarkEnd w:id="242"/>
      <w:bookmarkEnd w:id="243"/>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eastAsia" w:ascii="黑体" w:hAnsi="宋体" w:eastAsia="黑体" w:cs="Times New Roman"/>
          <w:color w:val="auto"/>
          <w:sz w:val="32"/>
          <w:szCs w:val="32"/>
          <w:highlight w:val="none"/>
          <w:lang w:val="zh-CN"/>
        </w:rPr>
      </w:pPr>
      <w:bookmarkStart w:id="244" w:name="_Toc1968813067_WPSOffice_Level2"/>
      <w:bookmarkStart w:id="245" w:name="_Toc2019688821_WPSOffice_Level2"/>
      <w:bookmarkStart w:id="246" w:name="_Toc26647"/>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244"/>
      <w:bookmarkEnd w:id="245"/>
      <w:bookmarkEnd w:id="246"/>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widowControl/>
        <w:suppressLineNumbers w:val="0"/>
        <w:shd w:val="clear"/>
        <w:ind w:firstLine="640" w:firstLineChars="200"/>
        <w:jc w:val="both"/>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广元市城市建设事务中心是</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市政公用设施维护维修项目的管理单位。主要负责城市道路、桥梁、燃气、城市防洪设施、城市供排水设施、城市照明设施的建设和运行维护管理工作。</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根据《广元市人民政府关于市政基础设施维护维修有关事项的批复》（广府复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[2018]6号</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）文件精神，市城区市政基础设施维护维修工作委托市城发集团下属企业广元千润实业有限公司实施。</w:t>
      </w:r>
      <w:r>
        <w:rPr>
          <w:rFonts w:hint="eastAsia" w:ascii="仿宋_GB2312" w:hAnsi="仿宋_GB2312" w:eastAsia="仿宋_GB2312" w:cs="仿宋_GB2312"/>
          <w:color w:val="auto"/>
          <w:sz w:val="32"/>
          <w:szCs w:val="32"/>
          <w:highlight w:val="none"/>
          <w:lang w:val="en-US" w:eastAsia="zh-CN"/>
        </w:rPr>
        <w:t>资金纳入市本级基建计划。</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，对项目前期、施工、竣工验收、财务管理作了明确的规定。该项目严格按照预算申报、《广元市财政局关于下达基金指标的通知》（广财投〔2022〕138号）要求及单位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该项目的整体目标是：</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对市城区125条主次道路（道路总长度189km、总面积约479万㎡，其中车行道面积约303万㎡、人行道面积约176万㎡）、62座各类桥梁、14万㎡广场、60km绿道进行维护维修，确保道路完好率95%以上。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项目申报内容与具体实施内容基本相符，申报目标合理可行。</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根据《广元市财政局关于开展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2022年度市级部门绩效自评工作的通知</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》（广财绩〔</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）精神，按照项目支出绩效评价指标体系内容，采取</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项目实施单位会同我局开展</w:t>
      </w:r>
      <w:r>
        <w:rPr>
          <w:rFonts w:hint="default" w:ascii="仿宋_GB2312" w:hAnsi="仿宋_GB2312" w:eastAsia="仿宋_GB2312" w:cs="仿宋_GB2312"/>
          <w:b w:val="0"/>
          <w:bCs w:val="0"/>
          <w:color w:val="auto"/>
          <w:kern w:val="0"/>
          <w:sz w:val="32"/>
          <w:szCs w:val="32"/>
          <w:highlight w:val="none"/>
          <w:u w:val="none"/>
          <w:shd w:val="clear" w:color="auto" w:fill="FFFFFF"/>
          <w:lang w:val="zh-CN" w:eastAsia="zh-CN"/>
        </w:rPr>
        <w:t>评</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价。</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47" w:name="_Toc758765989_WPSOffice_Level2"/>
      <w:bookmarkStart w:id="248" w:name="_Toc690"/>
      <w:bookmarkStart w:id="249" w:name="_Toc1491857706_WPSOffice_Level2"/>
      <w:r>
        <w:rPr>
          <w:rFonts w:hint="eastAsia" w:ascii="黑体" w:hAnsi="宋体" w:eastAsia="黑体"/>
          <w:b w:val="0"/>
          <w:bCs w:val="0"/>
          <w:color w:val="auto"/>
          <w:sz w:val="32"/>
          <w:szCs w:val="32"/>
          <w:highlight w:val="none"/>
          <w:u w:val="none"/>
        </w:rPr>
        <w:t>二、项目资金申报及使用情况</w:t>
      </w:r>
      <w:bookmarkEnd w:id="247"/>
      <w:bookmarkEnd w:id="248"/>
      <w:bookmarkEnd w:id="249"/>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该项目通过事前评估、预算申报5000万元，市财政局纳入当年市本级基建计划500万元。</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该项目资金计划5000万元，2022年1月市财政局拨付500万元。该资金全部用于支付市政基础设施日常维修维护工程款。</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预算相符。</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keepNext w:val="0"/>
        <w:keepLines w:val="0"/>
        <w:widowControl/>
        <w:suppressLineNumbers w:val="0"/>
        <w:shd w:val="clear"/>
        <w:ind w:firstLine="640" w:firstLineChars="200"/>
        <w:jc w:val="left"/>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50" w:name="_Toc2127378742_WPSOffice_Level2"/>
      <w:bookmarkStart w:id="251" w:name="_Toc2066204046_WPSOffice_Level2"/>
      <w:bookmarkStart w:id="252" w:name="_Toc1074"/>
      <w:r>
        <w:rPr>
          <w:rFonts w:hint="eastAsia" w:ascii="黑体" w:hAnsi="宋体" w:eastAsia="黑体"/>
          <w:b w:val="0"/>
          <w:bCs w:val="0"/>
          <w:color w:val="auto"/>
          <w:sz w:val="32"/>
          <w:szCs w:val="32"/>
          <w:highlight w:val="none"/>
          <w:u w:val="none"/>
        </w:rPr>
        <w:t>三、项目实施及管理情况</w:t>
      </w:r>
      <w:bookmarkEnd w:id="250"/>
      <w:bookmarkEnd w:id="251"/>
      <w:bookmarkEnd w:id="252"/>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城市建设事务中心作为建设单位，成立项目工作领导小组，统筹安排开展工作。四川昌正工程咨询有限公司作为监理单位，成立项目监理部，负责项目日常监管工作。广元千润实业有限公司作为施工单位，成立项目经理部，负责具体项目施工作业。根据市政道路现场巡查人员巡查和市民投诉发现的道路病害，市城建事务中心（建设单位）、监理单位现场核实后，市城建事务中心下发维修任务指派单给施工单位，施工单位按照指派单要求组织施工作业，监理单位对施工进行监督管理，施工完成后由市城建事务中心组织局监察审计科、建设单位、监理单位、施工单位共同参与现场验收和收方计量。</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b w:val="0"/>
          <w:bCs w:val="0"/>
          <w:color w:val="auto"/>
          <w:sz w:val="32"/>
          <w:szCs w:val="32"/>
          <w:highlight w:val="none"/>
          <w:u w:val="none"/>
          <w:lang w:val="zh-CN"/>
        </w:rPr>
      </w:pPr>
      <w:bookmarkStart w:id="253" w:name="_Toc32112"/>
      <w:bookmarkStart w:id="254" w:name="_Toc942202136_WPSOffice_Level2"/>
      <w:bookmarkStart w:id="255" w:name="_Toc865799446_WPSOffice_Level2"/>
      <w:r>
        <w:rPr>
          <w:rFonts w:hint="eastAsia" w:ascii="黑体" w:hAnsi="宋体" w:eastAsia="黑体"/>
          <w:b w:val="0"/>
          <w:bCs w:val="0"/>
          <w:color w:val="auto"/>
          <w:sz w:val="32"/>
          <w:szCs w:val="32"/>
          <w:highlight w:val="none"/>
          <w:u w:val="none"/>
        </w:rPr>
        <w:t>四、项目绩效情况</w:t>
      </w:r>
      <w:bookmarkEnd w:id="253"/>
      <w:bookmarkEnd w:id="254"/>
      <w:bookmarkEnd w:id="255"/>
      <w:r>
        <w:rPr>
          <w:rFonts w:hint="eastAsia" w:ascii="仿宋_GB2312" w:hAnsi="宋体" w:eastAsia="仿宋_GB2312"/>
          <w:b w:val="0"/>
          <w:bCs w:val="0"/>
          <w:color w:val="auto"/>
          <w:sz w:val="32"/>
          <w:szCs w:val="32"/>
          <w:highlight w:val="none"/>
          <w:u w:val="none"/>
          <w:lang w:val="zh-CN"/>
        </w:rPr>
        <w:tab/>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2021年度市政基础设施日常维修维护完成了维修花岗石、方块砖等人行道面砖5万余平方米，混凝土、沥青路面等车行道路面2.8万余平方米，更换路沿石5000余米。对市政桥梁栏杆、变形缝、防撞装置等60余处隐患开展集中整治及维护维修，若干其他市政基础设施应急维修、市城区防汛抢险。市政维护维修工作完成及时，完成质量优良，维修完成率到95%以上，达到项目计划完成目标。截止2022年12月，广元市政基础设施日常维修维护工程项目估算总投资约5000万元，控制在项目计划成本目标范围内。</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1.经济效益。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市政基础设施日常维修维护项目响应过“紧日子”要求，践行节约理念，用有限的资金尽全力保障市政基础设施工作正常开展。</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2.社会效益。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完善了城市基础设施，改善了城市环境质量，保障了城市居民的正常出行，市民投诉病害点道路的及时处理获得了广大市民的高度认可，提升了城市整体面貌和形象。</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3.生态及可持续效益。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市政基础设施得到及时的维修维护，为更好地进行广元市生态文明建设，实现“美丽广元”愿景目标，实现社会和经济的可持续发展创造了良好的条件。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4.服务对象满意度。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通过12345热线、市长信箱、大话利州等意见收集平台，2022年共收到并处理市民投诉300余件，处理结果市民高度满意。</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56" w:name="_Toc876"/>
      <w:bookmarkStart w:id="257" w:name="_Toc633945753_WPSOffice_Level2"/>
      <w:bookmarkStart w:id="258" w:name="_Toc1203992098_WPSOffice_Level2"/>
      <w:r>
        <w:rPr>
          <w:rFonts w:hint="eastAsia" w:ascii="黑体" w:hAnsi="宋体" w:eastAsia="黑体"/>
          <w:b w:val="0"/>
          <w:bCs w:val="0"/>
          <w:color w:val="auto"/>
          <w:sz w:val="32"/>
          <w:szCs w:val="32"/>
          <w:highlight w:val="none"/>
          <w:u w:val="none"/>
        </w:rPr>
        <w:t>五、评价结论及建议</w:t>
      </w:r>
      <w:bookmarkEnd w:id="256"/>
      <w:bookmarkEnd w:id="257"/>
      <w:bookmarkEnd w:id="258"/>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市政公用设施维护维修项目存在点多面广、施工难度大、管理精细化要求高等特点，在精心组织下，城市市政设施运行顺利，保障了群众基本需求，项目支出合理。自评综合得分</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100分。</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项目资金严重短缺。</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建议</w:t>
      </w:r>
      <w:r>
        <w:rPr>
          <w:rFonts w:hint="eastAsia" w:ascii="仿宋_GB2312" w:hAnsi="宋体" w:eastAsia="仿宋_GB2312"/>
          <w:color w:val="auto"/>
          <w:sz w:val="32"/>
          <w:szCs w:val="32"/>
          <w:highlight w:val="none"/>
          <w:lang w:eastAsia="zh-CN"/>
        </w:rPr>
        <w:t>市政基础设施日常</w:t>
      </w:r>
      <w:r>
        <w:rPr>
          <w:rFonts w:hint="eastAsia" w:ascii="仿宋_GB2312" w:hAnsi="宋体" w:eastAsia="仿宋_GB2312"/>
          <w:color w:val="auto"/>
          <w:sz w:val="32"/>
          <w:szCs w:val="32"/>
          <w:highlight w:val="none"/>
        </w:rPr>
        <w:t>维修维护项目资金保障充足</w:t>
      </w:r>
      <w:r>
        <w:rPr>
          <w:rFonts w:hint="eastAsia" w:ascii="仿宋_GB2312" w:hAnsi="宋体" w:eastAsia="仿宋_GB2312"/>
          <w:color w:val="auto"/>
          <w:sz w:val="32"/>
          <w:szCs w:val="32"/>
          <w:highlight w:val="none"/>
          <w:lang w:eastAsia="zh-CN"/>
        </w:rPr>
        <w:t>，以便及时拨付给施工单位，有利于维护社会稳定。</w:t>
      </w:r>
    </w:p>
    <w:p>
      <w:pPr>
        <w:pStyle w:val="2"/>
        <w:shd w:val="clear"/>
        <w:rPr>
          <w:rFonts w:hint="eastAsia"/>
          <w:color w:val="auto"/>
          <w:highlight w:val="none"/>
        </w:rPr>
      </w:pPr>
    </w:p>
    <w:p>
      <w:pPr>
        <w:shd w:val="clear"/>
        <w:rPr>
          <w:rFonts w:hint="eastAsia"/>
          <w:color w:val="auto"/>
          <w:highlight w:val="none"/>
        </w:rPr>
      </w:pPr>
    </w:p>
    <w:p>
      <w:pPr>
        <w:pStyle w:val="2"/>
        <w:shd w:val="clear"/>
        <w:rPr>
          <w:rFonts w:hint="eastAsia"/>
          <w:color w:val="auto"/>
          <w:highlight w:val="none"/>
        </w:rPr>
      </w:pPr>
    </w:p>
    <w:p>
      <w:pPr>
        <w:shd w:val="clear"/>
        <w:rPr>
          <w:rFonts w:hint="eastAsia"/>
          <w:color w:val="auto"/>
          <w:highlight w:val="none"/>
        </w:rPr>
      </w:pPr>
    </w:p>
    <w:p>
      <w:pPr>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pPr>
      <w:bookmarkStart w:id="259" w:name="_Toc7045"/>
      <w:bookmarkStart w:id="260" w:name="_Toc9982881_WPSOffice_Level2"/>
      <w:bookmarkStart w:id="261" w:name="_Toc1290287444_WPSOffice_Level2"/>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西二环延伸段道路工程项目支出绩效自评报告</w:t>
      </w:r>
      <w:bookmarkEnd w:id="259"/>
      <w:bookmarkEnd w:id="260"/>
      <w:bookmarkEnd w:id="261"/>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lang w:val="zh-CN"/>
        </w:rPr>
      </w:pPr>
      <w:bookmarkStart w:id="262" w:name="_Toc6015"/>
      <w:bookmarkStart w:id="263" w:name="_Toc951315430_WPSOffice_Level2"/>
      <w:bookmarkStart w:id="264" w:name="_Toc1959911556_WPSOffice_Level2"/>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262"/>
      <w:bookmarkEnd w:id="263"/>
      <w:bookmarkEnd w:id="264"/>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1．项目主管部门在该项目管理中的职能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市城市发展集团有限公司</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具体实施、市住房城乡建设局</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监督指导。</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color w:val="auto"/>
          <w:sz w:val="32"/>
          <w:szCs w:val="32"/>
          <w:highlight w:val="none"/>
          <w:lang w:val="zh-CN" w:eastAsia="zh-CN"/>
        </w:rPr>
        <w:t>该项目经市发改委批复</w:t>
      </w:r>
      <w:r>
        <w:rPr>
          <w:rFonts w:hint="eastAsia" w:ascii="仿宋_GB2312" w:hAnsi="宋体" w:eastAsia="仿宋_GB2312" w:cs="Times New Roman"/>
          <w:b w:val="0"/>
          <w:bCs w:val="0"/>
          <w:color w:val="auto"/>
          <w:sz w:val="32"/>
          <w:szCs w:val="32"/>
          <w:highlight w:val="none"/>
          <w:lang w:val="en-US" w:eastAsia="zh-CN"/>
        </w:rPr>
        <w:t>立项总投资132200万元，资金来源于自筹和其他渠道</w:t>
      </w:r>
      <w:r>
        <w:rPr>
          <w:rFonts w:hint="eastAsia" w:ascii="仿宋_GB2312" w:hAnsi="仿宋_GB2312" w:eastAsia="仿宋_GB2312" w:cs="仿宋_GB2312"/>
          <w:color w:val="auto"/>
          <w:sz w:val="32"/>
          <w:szCs w:val="32"/>
          <w:highlight w:val="none"/>
          <w:lang w:val="zh-CN" w:eastAsia="zh-CN"/>
        </w:rPr>
        <w:t>（广发改函〔</w:t>
      </w:r>
      <w:r>
        <w:rPr>
          <w:rFonts w:hint="eastAsia" w:ascii="仿宋_GB2312" w:hAnsi="仿宋_GB2312" w:eastAsia="仿宋_GB2312" w:cs="仿宋_GB2312"/>
          <w:color w:val="auto"/>
          <w:sz w:val="32"/>
          <w:szCs w:val="32"/>
          <w:highlight w:val="none"/>
          <w:lang w:val="en-US" w:eastAsia="zh-CN"/>
        </w:rPr>
        <w:t>2018〕24号</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，对项目前期、施工、竣工验收、财务管理作了明确的规定。该项目严格按照预算申报、《广元市财政局关于下达基金指标的通知》（广财投〔2022〕128号）要求及单位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新建长11.349千米，宽5-38米的道路及匝道，建设内容包括道路工程、桥涵工程、排水、照明、交安及附属设施建设。</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2．项目应实现的具体绩效目标。</w:t>
      </w:r>
      <w:r>
        <w:rPr>
          <w:rFonts w:hint="eastAsia" w:ascii="仿宋_GB2312" w:hAnsi="宋体" w:eastAsia="仿宋_GB2312" w:cs="Times New Roman"/>
          <w:b w:val="0"/>
          <w:bCs w:val="0"/>
          <w:color w:val="auto"/>
          <w:sz w:val="32"/>
          <w:szCs w:val="32"/>
          <w:highlight w:val="none"/>
          <w:lang w:val="en-US" w:eastAsia="zh-CN"/>
        </w:rPr>
        <w:t>完成1000米路基回填，完成上跨京昆高速大桥下部结构，完成桥梁梁预制场建设</w:t>
      </w:r>
      <w:r>
        <w:rPr>
          <w:rFonts w:hint="eastAsia" w:ascii="仿宋_GB2312" w:hAnsi="宋体" w:eastAsia="仿宋_GB2312" w:cs="Times New Roman"/>
          <w:b w:val="0"/>
          <w:bCs w:val="0"/>
          <w:color w:val="auto"/>
          <w:sz w:val="32"/>
          <w:szCs w:val="32"/>
          <w:highlight w:val="none"/>
          <w:lang w:val="zh-CN"/>
        </w:rPr>
        <w:t>，</w:t>
      </w:r>
      <w:r>
        <w:rPr>
          <w:rFonts w:hint="eastAsia" w:ascii="仿宋_GB2312" w:hAnsi="宋体" w:eastAsia="仿宋_GB2312" w:cs="Times New Roman"/>
          <w:b w:val="0"/>
          <w:bCs w:val="0"/>
          <w:color w:val="auto"/>
          <w:sz w:val="32"/>
          <w:szCs w:val="32"/>
          <w:highlight w:val="none"/>
          <w:lang w:val="en-US" w:eastAsia="zh-CN"/>
        </w:rPr>
        <w:t>计划2022年2月开始实施，2022年12月前完成实施。</w:t>
      </w:r>
    </w:p>
    <w:p>
      <w:pPr>
        <w:widowControl w:val="0"/>
        <w:shd w:val="clear"/>
        <w:spacing w:line="360" w:lineRule="auto"/>
        <w:ind w:left="0" w:leftChars="0" w:right="97" w:rightChars="46" w:firstLine="674" w:firstLineChars="200"/>
        <w:jc w:val="both"/>
        <w:rPr>
          <w:rFonts w:hint="eastAsia" w:ascii="仿宋_GB2312" w:hAnsi="仿宋_GB2312" w:eastAsia="仿宋_GB2312" w:cs="仿宋_GB2312"/>
          <w:b w:val="0"/>
          <w:bCs w:val="0"/>
          <w:color w:val="auto"/>
          <w:spacing w:val="8"/>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3．申报目标合理</w:t>
      </w:r>
      <w:r>
        <w:rPr>
          <w:rFonts w:hint="eastAsia" w:ascii="仿宋_GB2312" w:hAnsi="仿宋_GB2312" w:eastAsia="仿宋_GB2312" w:cs="仿宋_GB2312"/>
          <w:b/>
          <w:bCs/>
          <w:color w:val="auto"/>
          <w:spacing w:val="8"/>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spacing w:val="8"/>
          <w:kern w:val="2"/>
          <w:sz w:val="32"/>
          <w:szCs w:val="32"/>
          <w:highlight w:val="none"/>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widowControl w:val="0"/>
        <w:shd w:val="clear"/>
        <w:spacing w:line="360" w:lineRule="auto"/>
        <w:ind w:left="0" w:leftChars="0" w:right="97" w:rightChars="46" w:firstLine="672" w:firstLineChars="200"/>
        <w:jc w:val="both"/>
        <w:rPr>
          <w:rFonts w:hint="eastAsia" w:ascii="仿宋_GB2312" w:hAnsi="宋体" w:eastAsia="仿宋_GB2312" w:cs="Times New Roman"/>
          <w:b w:val="0"/>
          <w:bCs w:val="0"/>
          <w:color w:val="auto"/>
          <w:spacing w:val="8"/>
          <w:kern w:val="2"/>
          <w:sz w:val="32"/>
          <w:szCs w:val="32"/>
          <w:highlight w:val="none"/>
          <w:lang w:val="zh-CN" w:eastAsia="zh-CN" w:bidi="ar-SA"/>
        </w:rPr>
      </w:pPr>
      <w:r>
        <w:rPr>
          <w:rFonts w:hint="eastAsia" w:ascii="仿宋_GB2312" w:hAnsi="宋体" w:eastAsia="仿宋_GB2312" w:cs="Times New Roman"/>
          <w:b w:val="0"/>
          <w:bCs w:val="0"/>
          <w:color w:val="auto"/>
          <w:spacing w:val="8"/>
          <w:kern w:val="2"/>
          <w:sz w:val="32"/>
          <w:szCs w:val="32"/>
          <w:highlight w:val="none"/>
          <w:lang w:val="zh-CN" w:eastAsia="zh-CN" w:bidi="ar-SA"/>
        </w:rPr>
        <w:t>根据市财政局《关于开展</w:t>
      </w:r>
      <w:r>
        <w:rPr>
          <w:rFonts w:hint="eastAsia" w:ascii="仿宋_GB2312" w:hAnsi="宋体" w:eastAsia="仿宋_GB2312" w:cs="Times New Roman"/>
          <w:b w:val="0"/>
          <w:bCs w:val="0"/>
          <w:color w:val="auto"/>
          <w:spacing w:val="8"/>
          <w:kern w:val="2"/>
          <w:sz w:val="32"/>
          <w:szCs w:val="32"/>
          <w:highlight w:val="none"/>
          <w:lang w:val="en-US" w:eastAsia="zh-CN" w:bidi="ar-SA"/>
        </w:rPr>
        <w:t>2022年度市级部门绩效自评工作的通知</w:t>
      </w:r>
      <w:r>
        <w:rPr>
          <w:rFonts w:hint="eastAsia" w:ascii="仿宋_GB2312" w:hAnsi="宋体" w:eastAsia="仿宋_GB2312" w:cs="Times New Roman"/>
          <w:b w:val="0"/>
          <w:bCs w:val="0"/>
          <w:color w:val="auto"/>
          <w:spacing w:val="8"/>
          <w:kern w:val="2"/>
          <w:sz w:val="32"/>
          <w:szCs w:val="32"/>
          <w:highlight w:val="none"/>
          <w:lang w:val="zh-CN" w:eastAsia="zh-CN" w:bidi="ar-SA"/>
        </w:rPr>
        <w:t>》（广财绩〔</w:t>
      </w:r>
      <w:r>
        <w:rPr>
          <w:rFonts w:hint="eastAsia" w:ascii="仿宋_GB2312" w:hAnsi="宋体" w:eastAsia="仿宋_GB2312" w:cs="Times New Roman"/>
          <w:b w:val="0"/>
          <w:bCs w:val="0"/>
          <w:color w:val="auto"/>
          <w:spacing w:val="8"/>
          <w:kern w:val="2"/>
          <w:sz w:val="32"/>
          <w:szCs w:val="32"/>
          <w:highlight w:val="none"/>
          <w:lang w:val="en-US" w:eastAsia="zh-CN" w:bidi="ar-SA"/>
        </w:rPr>
        <w:t>2023〕</w:t>
      </w:r>
      <w:r>
        <w:rPr>
          <w:rFonts w:hint="eastAsia" w:ascii="仿宋_GB2312" w:hAnsi="宋体" w:eastAsia="仿宋_GB2312" w:cs="Times New Roman"/>
          <w:b w:val="0"/>
          <w:bCs w:val="0"/>
          <w:color w:val="auto"/>
          <w:spacing w:val="8"/>
          <w:kern w:val="2"/>
          <w:sz w:val="32"/>
          <w:szCs w:val="32"/>
          <w:highlight w:val="none"/>
          <w:lang w:val="zh-CN" w:eastAsia="zh-CN" w:bidi="ar-SA"/>
        </w:rPr>
        <w:t>）精神，按照项目支出绩效评价指标体系内容，采取</w:t>
      </w:r>
      <w:r>
        <w:rPr>
          <w:rFonts w:hint="eastAsia" w:ascii="仿宋_GB2312" w:hAnsi="宋体" w:eastAsia="仿宋_GB2312" w:cs="Times New Roman"/>
          <w:b w:val="0"/>
          <w:bCs w:val="0"/>
          <w:color w:val="auto"/>
          <w:spacing w:val="8"/>
          <w:kern w:val="2"/>
          <w:sz w:val="32"/>
          <w:szCs w:val="32"/>
          <w:highlight w:val="none"/>
          <w:lang w:val="en-US" w:eastAsia="zh-CN" w:bidi="ar-SA"/>
        </w:rPr>
        <w:t>项目实施单位会同我局通过看现场、查资料开展</w:t>
      </w:r>
      <w:r>
        <w:rPr>
          <w:rFonts w:hint="default" w:ascii="仿宋_GB2312" w:hAnsi="宋体" w:eastAsia="仿宋_GB2312" w:cs="Times New Roman"/>
          <w:b w:val="0"/>
          <w:bCs w:val="0"/>
          <w:color w:val="auto"/>
          <w:spacing w:val="8"/>
          <w:kern w:val="2"/>
          <w:sz w:val="32"/>
          <w:szCs w:val="32"/>
          <w:highlight w:val="none"/>
          <w:lang w:val="zh-CN" w:eastAsia="zh-CN" w:bidi="ar-SA"/>
        </w:rPr>
        <w:t>评</w:t>
      </w:r>
      <w:r>
        <w:rPr>
          <w:rFonts w:hint="eastAsia" w:ascii="仿宋_GB2312" w:hAnsi="宋体" w:eastAsia="仿宋_GB2312" w:cs="Times New Roman"/>
          <w:b w:val="0"/>
          <w:bCs w:val="0"/>
          <w:color w:val="auto"/>
          <w:spacing w:val="8"/>
          <w:kern w:val="2"/>
          <w:sz w:val="32"/>
          <w:szCs w:val="32"/>
          <w:highlight w:val="none"/>
          <w:lang w:val="en-US" w:eastAsia="zh-CN" w:bidi="ar-SA"/>
        </w:rPr>
        <w:t>价，经领导审批后报市财政局。</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65" w:name="_Toc1728552633_WPSOffice_Level2"/>
      <w:bookmarkStart w:id="266" w:name="_Toc1854085157_WPSOffice_Level2"/>
      <w:bookmarkStart w:id="267" w:name="_Toc20335"/>
      <w:r>
        <w:rPr>
          <w:rFonts w:hint="eastAsia" w:ascii="黑体" w:hAnsi="宋体" w:eastAsia="黑体" w:cs="Times New Roman"/>
          <w:b w:val="0"/>
          <w:bCs w:val="0"/>
          <w:color w:val="auto"/>
          <w:sz w:val="32"/>
          <w:szCs w:val="32"/>
          <w:highlight w:val="none"/>
          <w:u w:val="none"/>
        </w:rPr>
        <w:t>二、项目资金申报及使用情况</w:t>
      </w:r>
      <w:bookmarkEnd w:id="265"/>
      <w:bookmarkEnd w:id="266"/>
      <w:bookmarkEnd w:id="267"/>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widowControl w:val="0"/>
        <w:shd w:val="clear"/>
        <w:spacing w:line="360" w:lineRule="auto"/>
        <w:ind w:left="0" w:leftChars="0" w:right="97" w:rightChars="46" w:firstLine="672" w:firstLineChars="200"/>
        <w:jc w:val="both"/>
        <w:rPr>
          <w:rFonts w:hint="eastAsia" w:ascii="仿宋_GB2312" w:hAnsi="仿宋_GB2312" w:eastAsia="仿宋_GB2312" w:cs="仿宋_GB2312"/>
          <w:b w:val="0"/>
          <w:bCs w:val="0"/>
          <w:color w:val="auto"/>
          <w:spacing w:val="8"/>
          <w:kern w:val="0"/>
          <w:sz w:val="32"/>
          <w:szCs w:val="32"/>
          <w:highlight w:val="none"/>
          <w:u w:val="none"/>
          <w:shd w:val="clear" w:color="auto" w:fill="FFFFFF"/>
          <w:lang w:val="zh-CN"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该项目经市发展发改委批复立项总投资132200万元，2022年向市财政局申报资金8500万元，当年12月份市财政局安排资金5000万元。</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2022年市本级计划资金8500万元。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2022年财政资金到位5000万元。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2022年向建设单位拨付建设资金5000万元，主要是用于该项目的建设工程款。</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widowControl w:val="0"/>
        <w:shd w:val="clear"/>
        <w:spacing w:line="360" w:lineRule="auto"/>
        <w:ind w:left="0" w:leftChars="0" w:right="97" w:rightChars="46" w:firstLine="672" w:firstLineChars="200"/>
        <w:jc w:val="both"/>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68" w:name="_Toc1314690039_WPSOffice_Level2"/>
      <w:bookmarkStart w:id="269" w:name="_Toc1066332040_WPSOffice_Level2"/>
      <w:bookmarkStart w:id="270" w:name="_Toc31224"/>
      <w:r>
        <w:rPr>
          <w:rFonts w:hint="eastAsia" w:ascii="黑体" w:hAnsi="宋体" w:eastAsia="黑体" w:cs="Times New Roman"/>
          <w:b w:val="0"/>
          <w:bCs w:val="0"/>
          <w:color w:val="auto"/>
          <w:sz w:val="32"/>
          <w:szCs w:val="32"/>
          <w:highlight w:val="none"/>
          <w:u w:val="none"/>
        </w:rPr>
        <w:t>三、项目实施及管理情况</w:t>
      </w:r>
      <w:bookmarkEnd w:id="268"/>
      <w:bookmarkEnd w:id="269"/>
      <w:bookmarkEnd w:id="270"/>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一是</w:t>
      </w:r>
      <w:r>
        <w:rPr>
          <w:rFonts w:hint="eastAsia" w:ascii="仿宋_GB2312" w:hAnsi="宋体" w:eastAsia="仿宋_GB2312" w:cs="Times New Roman"/>
          <w:b w:val="0"/>
          <w:bCs w:val="0"/>
          <w:color w:val="auto"/>
          <w:spacing w:val="8"/>
          <w:kern w:val="2"/>
          <w:sz w:val="32"/>
          <w:szCs w:val="32"/>
          <w:highlight w:val="none"/>
          <w:lang w:val="en-US" w:eastAsia="zh-CN" w:bidi="ar-SA"/>
        </w:rPr>
        <w:t>项目主管部门对项目业主进行全程监督，二是项目业主单位按照相关规定确定各参建单位，三是在工程建设过程中接受财政、审计、建设等职能部门的监管；四是严格组织竣工验收、审计结算；五是工程交付使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（三）项目监管情况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cs="Times New Roman"/>
          <w:b w:val="0"/>
          <w:bCs w:val="0"/>
          <w:color w:val="auto"/>
          <w:sz w:val="32"/>
          <w:szCs w:val="32"/>
          <w:highlight w:val="none"/>
          <w:u w:val="none"/>
          <w:lang w:val="zh-CN"/>
        </w:rPr>
      </w:pPr>
      <w:bookmarkStart w:id="271" w:name="_Toc2079063932_WPSOffice_Level2"/>
      <w:bookmarkStart w:id="272" w:name="_Toc16768"/>
      <w:bookmarkStart w:id="273" w:name="_Toc1869722307_WPSOffice_Level2"/>
      <w:r>
        <w:rPr>
          <w:rFonts w:hint="eastAsia" w:ascii="黑体" w:hAnsi="宋体" w:eastAsia="黑体" w:cs="Times New Roman"/>
          <w:b w:val="0"/>
          <w:bCs w:val="0"/>
          <w:color w:val="auto"/>
          <w:sz w:val="32"/>
          <w:szCs w:val="32"/>
          <w:highlight w:val="none"/>
          <w:u w:val="none"/>
        </w:rPr>
        <w:t>四、项目绩效情况</w:t>
      </w:r>
      <w:bookmarkEnd w:id="271"/>
      <w:bookmarkEnd w:id="272"/>
      <w:bookmarkEnd w:id="273"/>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项目完成1000米路基回填，完成上跨京昆高速大桥下部结构，完成桥梁梁预制场建设</w:t>
      </w:r>
      <w:r>
        <w:rPr>
          <w:rFonts w:hint="eastAsia" w:ascii="仿宋_GB2312" w:hAnsi="宋体" w:eastAsia="仿宋_GB2312" w:cs="Times New Roman"/>
          <w:b w:val="0"/>
          <w:bCs w:val="0"/>
          <w:color w:val="auto"/>
          <w:spacing w:val="8"/>
          <w:kern w:val="2"/>
          <w:sz w:val="32"/>
          <w:szCs w:val="32"/>
          <w:highlight w:val="none"/>
          <w:lang w:val="zh-CN" w:eastAsia="zh-CN" w:bidi="ar-SA"/>
        </w:rPr>
        <w:t>，</w:t>
      </w:r>
      <w:r>
        <w:rPr>
          <w:rFonts w:hint="eastAsia" w:ascii="仿宋_GB2312" w:hAnsi="宋体" w:eastAsia="仿宋_GB2312" w:cs="Times New Roman"/>
          <w:b w:val="0"/>
          <w:bCs w:val="0"/>
          <w:color w:val="auto"/>
          <w:spacing w:val="8"/>
          <w:kern w:val="2"/>
          <w:sz w:val="32"/>
          <w:szCs w:val="32"/>
          <w:highlight w:val="none"/>
          <w:lang w:val="en-US" w:eastAsia="zh-CN" w:bidi="ar-SA"/>
        </w:rPr>
        <w:t>项目于2022年2月开工建设，2022年12月完成建设。该项目达到预定绩效目标，建设质量严格按照国家规范以及设计标准进行质量控制，分项工程质量达到规划和设计要求，无安全事故发生，施工场地干净整洁，做到文明施工。</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项目建成后，进一步提升了城市品位，有利于改善周边居民的出行条件，提高了广元市城市形象，间接促进广元市经济发展与社会进步，有利于周边产业园区的发展为广元市招商引资创造极好条件，拉动城市经济发展，同时带动周边地价上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74" w:name="_Toc6896"/>
      <w:bookmarkStart w:id="275" w:name="_Toc432973586_WPSOffice_Level2"/>
      <w:bookmarkStart w:id="276" w:name="_Toc412134480_WPSOffice_Level2"/>
      <w:r>
        <w:rPr>
          <w:rFonts w:hint="eastAsia" w:ascii="黑体" w:hAnsi="宋体" w:eastAsia="黑体" w:cs="Times New Roman"/>
          <w:b w:val="0"/>
          <w:bCs w:val="0"/>
          <w:color w:val="auto"/>
          <w:sz w:val="32"/>
          <w:szCs w:val="32"/>
          <w:highlight w:val="none"/>
          <w:u w:val="none"/>
        </w:rPr>
        <w:t>五、评价结论及建议</w:t>
      </w:r>
      <w:bookmarkEnd w:id="274"/>
      <w:bookmarkEnd w:id="275"/>
      <w:bookmarkEnd w:id="276"/>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default" w:ascii="仿宋_GB2312" w:hAnsi="宋体" w:eastAsia="仿宋_GB2312" w:cs="Times New Roman"/>
          <w:b w:val="0"/>
          <w:bCs w:val="0"/>
          <w:color w:val="auto"/>
          <w:spacing w:val="8"/>
          <w:kern w:val="2"/>
          <w:sz w:val="32"/>
          <w:szCs w:val="32"/>
          <w:highlight w:val="none"/>
          <w:lang w:val="en-US" w:eastAsia="zh-CN" w:bidi="ar-SA"/>
        </w:rPr>
        <w:t>项目决策合理，申报及时，严格按财务规定审批，专款专用，核算规范，及时兑现，项目绩效完成良好，经济效益较好，社会效益较好。</w:t>
      </w:r>
      <w:r>
        <w:rPr>
          <w:rFonts w:hint="eastAsia" w:ascii="仿宋_GB2312" w:hAnsi="宋体" w:eastAsia="仿宋_GB2312" w:cs="Times New Roman"/>
          <w:b w:val="0"/>
          <w:bCs w:val="0"/>
          <w:color w:val="auto"/>
          <w:spacing w:val="8"/>
          <w:kern w:val="2"/>
          <w:sz w:val="32"/>
          <w:szCs w:val="32"/>
          <w:highlight w:val="none"/>
          <w:lang w:val="en-US" w:eastAsia="zh-CN" w:bidi="ar-SA"/>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eastAsia"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项目单位预算绩效意识不强。</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eastAsia"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加强项目单位预算绩效管理，提高绩效管理水平。</w:t>
      </w: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b w:val="0"/>
          <w:bCs w:val="0"/>
          <w:color w:val="auto"/>
          <w:spacing w:val="-17"/>
          <w:kern w:val="2"/>
          <w:sz w:val="44"/>
          <w:szCs w:val="44"/>
          <w:highlight w:val="none"/>
          <w:lang w:val="en-US" w:eastAsia="zh-CN" w:bidi="ar-SA"/>
        </w:rPr>
      </w:pPr>
      <w:bookmarkStart w:id="277" w:name="_Toc11832"/>
      <w:bookmarkStart w:id="278" w:name="_Toc849236144_WPSOffice_Level2"/>
      <w:bookmarkStart w:id="279" w:name="_Toc1728138138_WPSOffice_Level2"/>
      <w:r>
        <w:rPr>
          <w:rFonts w:hint="eastAsia" w:ascii="方正小标宋简体" w:hAnsi="方正小标宋简体" w:eastAsia="方正小标宋简体" w:cs="方正小标宋简体"/>
          <w:b w:val="0"/>
          <w:bCs w:val="0"/>
          <w:color w:val="auto"/>
          <w:spacing w:val="-17"/>
          <w:kern w:val="2"/>
          <w:sz w:val="44"/>
          <w:szCs w:val="44"/>
          <w:highlight w:val="none"/>
          <w:lang w:val="en-US" w:eastAsia="zh-CN" w:bidi="ar-SA"/>
        </w:rPr>
        <w:t>西入口绿化提升改造项目支出绩效自评报告</w:t>
      </w:r>
      <w:bookmarkEnd w:id="277"/>
      <w:bookmarkEnd w:id="278"/>
      <w:bookmarkEnd w:id="279"/>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黑体" w:hAnsi="宋体" w:eastAsia="黑体" w:cs="Times New Roman"/>
          <w:b w:val="0"/>
          <w:bCs w:val="0"/>
          <w:color w:val="auto"/>
          <w:sz w:val="32"/>
          <w:szCs w:val="32"/>
          <w:highlight w:val="none"/>
          <w:lang w:val="zh-CN"/>
        </w:rPr>
      </w:pPr>
      <w:bookmarkStart w:id="280" w:name="_Toc154540920_WPSOffice_Level2"/>
      <w:bookmarkStart w:id="281" w:name="_Toc1750167963_WPSOffice_Level2"/>
      <w:bookmarkStart w:id="282" w:name="_Toc18056"/>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280"/>
      <w:bookmarkEnd w:id="281"/>
      <w:bookmarkEnd w:id="282"/>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1．项目主管部门（单位）在该项目管理中的职能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市文化旅游投资集团有限公司，市住房和城乡建设局负责监督指导。</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为落实市第八次党代会提出的建设生态文明典范、幸福美丽家园目标，经八届市人民政府第6次、第10次常务会以及八届市委常委会第10次会议研究确定启动西入口绿化提升改造项目建设，建设资金纳入市本级财政预算。</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，对项目前期、施工、竣工验收、财务管理作了明确的规定。该项目严格按照预算申报、《广元市财政局关于下达基金指标的通知》（广财投〔2022〕138号）要求及单位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《内部控制制度》规定进行资金拨付及管理。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主要对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陵江高速出入口及周边绿地、袁家坝路口绿地、马踏飞燕节点及山体、孟家沟河岸、</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108国道南</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侧挡墙及北侧山体、宝成铁路北侧山体等近12万平方米绿地进行提升改造，包括绿化景观提升，挡墙（桥墩）绿化美化、陵宝路下穿隧道栏杆更换、河道及山体生态修复、宣传标语设置等。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2．项目应实现的具体绩效目标。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项目提升改造绿地以及林地</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10.5万平方米；</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计划2022年2月开始实施，2022年12月前完成实施。</w:t>
      </w:r>
    </w:p>
    <w:p>
      <w:pPr>
        <w:keepNext w:val="0"/>
        <w:keepLines w:val="0"/>
        <w:pageBreakBefore w:val="0"/>
        <w:widowControl w:val="0"/>
        <w:shd w:val="clear"/>
        <w:kinsoku/>
        <w:wordWrap/>
        <w:overflowPunct/>
        <w:topLinePunct w:val="0"/>
        <w:autoSpaceDE/>
        <w:autoSpaceDN/>
        <w:bidi w:val="0"/>
        <w:spacing w:line="580" w:lineRule="exact"/>
        <w:ind w:left="0" w:leftChars="0" w:right="97" w:rightChars="46" w:firstLine="674"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3．申报目标合理</w:t>
      </w:r>
      <w:r>
        <w:rPr>
          <w:rFonts w:hint="eastAsia" w:ascii="仿宋_GB2312" w:hAnsi="仿宋_GB2312" w:eastAsia="仿宋_GB2312" w:cs="仿宋_GB2312"/>
          <w:b/>
          <w:bCs/>
          <w:color w:val="auto"/>
          <w:spacing w:val="8"/>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宋体" w:eastAsia="仿宋_GB2312" w:cs="Times New Roman"/>
          <w:b w:val="0"/>
          <w:bCs w:val="0"/>
          <w:color w:val="auto"/>
          <w:sz w:val="32"/>
          <w:szCs w:val="32"/>
          <w:highlight w:val="none"/>
          <w:lang w:val="zh-CN"/>
        </w:rPr>
      </w:pPr>
      <w:r>
        <w:rPr>
          <w:rFonts w:hint="eastAsia" w:ascii="仿宋_GB2312" w:hAnsi="宋体" w:eastAsia="仿宋_GB2312" w:cs="Times New Roman"/>
          <w:b w:val="0"/>
          <w:bCs w:val="0"/>
          <w:color w:val="auto"/>
          <w:sz w:val="32"/>
          <w:szCs w:val="32"/>
          <w:highlight w:val="none"/>
          <w:lang w:val="zh-CN"/>
        </w:rPr>
        <w:t>根据《广元市财政局关于开展</w:t>
      </w:r>
      <w:r>
        <w:rPr>
          <w:rFonts w:hint="eastAsia" w:ascii="仿宋_GB2312" w:hAnsi="宋体" w:eastAsia="仿宋_GB2312" w:cs="Times New Roman"/>
          <w:b w:val="0"/>
          <w:bCs w:val="0"/>
          <w:color w:val="auto"/>
          <w:sz w:val="32"/>
          <w:szCs w:val="32"/>
          <w:highlight w:val="none"/>
          <w:lang w:val="en-US" w:eastAsia="zh-CN"/>
        </w:rPr>
        <w:t>2022年度市级部门绩效自评工作的通知</w:t>
      </w:r>
      <w:r>
        <w:rPr>
          <w:rFonts w:hint="eastAsia" w:ascii="仿宋_GB2312" w:hAnsi="宋体" w:eastAsia="仿宋_GB2312" w:cs="Times New Roman"/>
          <w:b w:val="0"/>
          <w:bCs w:val="0"/>
          <w:color w:val="auto"/>
          <w:sz w:val="32"/>
          <w:szCs w:val="32"/>
          <w:highlight w:val="none"/>
          <w:lang w:val="zh-CN"/>
        </w:rPr>
        <w:t>》（广财绩</w:t>
      </w:r>
      <w:r>
        <w:rPr>
          <w:rFonts w:hint="eastAsia" w:ascii="方正隶书_GBK" w:hAnsi="方正隶书_GBK" w:eastAsia="方正隶书_GBK" w:cs="方正隶书_GBK"/>
          <w:b w:val="0"/>
          <w:bCs w:val="0"/>
          <w:color w:val="auto"/>
          <w:sz w:val="32"/>
          <w:szCs w:val="32"/>
          <w:highlight w:val="none"/>
          <w:lang w:val="zh-CN"/>
        </w:rPr>
        <w:t>〔</w:t>
      </w:r>
      <w:r>
        <w:rPr>
          <w:rFonts w:hint="eastAsia" w:ascii="仿宋_GB2312" w:hAnsi="宋体" w:eastAsia="仿宋_GB2312" w:cs="Times New Roman"/>
          <w:b w:val="0"/>
          <w:bCs w:val="0"/>
          <w:color w:val="auto"/>
          <w:sz w:val="32"/>
          <w:szCs w:val="32"/>
          <w:highlight w:val="none"/>
          <w:lang w:val="en-US" w:eastAsia="zh-CN"/>
        </w:rPr>
        <w:t>2023〕</w:t>
      </w:r>
      <w:r>
        <w:rPr>
          <w:rFonts w:hint="eastAsia" w:ascii="仿宋_GB2312" w:hAnsi="宋体" w:eastAsia="仿宋_GB2312" w:cs="Times New Roman"/>
          <w:b w:val="0"/>
          <w:bCs w:val="0"/>
          <w:color w:val="auto"/>
          <w:sz w:val="32"/>
          <w:szCs w:val="32"/>
          <w:highlight w:val="none"/>
          <w:lang w:val="zh-CN"/>
        </w:rPr>
        <w:t>）精神，按照项目支出绩效评价指标体系内容，采取</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项目实施单位会同我局开展</w:t>
      </w:r>
      <w:r>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t>评</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价。</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83" w:name="_Toc1751331832_WPSOffice_Level2"/>
      <w:bookmarkStart w:id="284" w:name="_Toc1144784673_WPSOffice_Level2"/>
      <w:bookmarkStart w:id="285" w:name="_Toc13388"/>
      <w:r>
        <w:rPr>
          <w:rFonts w:hint="eastAsia" w:ascii="黑体" w:hAnsi="宋体" w:eastAsia="黑体" w:cs="Times New Roman"/>
          <w:b w:val="0"/>
          <w:bCs w:val="0"/>
          <w:color w:val="auto"/>
          <w:sz w:val="32"/>
          <w:szCs w:val="32"/>
          <w:highlight w:val="none"/>
          <w:u w:val="none"/>
        </w:rPr>
        <w:t>二、项目资金申报及使用情况</w:t>
      </w:r>
      <w:bookmarkEnd w:id="283"/>
      <w:bookmarkEnd w:id="284"/>
      <w:bookmarkEnd w:id="285"/>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keepNext w:val="0"/>
        <w:keepLines w:val="0"/>
        <w:pageBreakBefore w:val="0"/>
        <w:widowControl w:val="0"/>
        <w:shd w:val="clear"/>
        <w:kinsoku/>
        <w:wordWrap/>
        <w:overflowPunct/>
        <w:topLinePunct w:val="0"/>
        <w:autoSpaceDE/>
        <w:autoSpaceDN/>
        <w:bidi w:val="0"/>
        <w:spacing w:line="580" w:lineRule="exact"/>
        <w:ind w:left="0" w:leftChars="0" w:right="97" w:rightChars="46" w:firstLine="672" w:firstLineChars="200"/>
        <w:jc w:val="both"/>
        <w:textAlignment w:val="auto"/>
        <w:rPr>
          <w:rFonts w:hint="eastAsia" w:ascii="仿宋_GB2312" w:hAnsi="仿宋_GB2312" w:eastAsia="仿宋_GB2312" w:cs="仿宋_GB2312"/>
          <w:b w:val="0"/>
          <w:bCs w:val="0"/>
          <w:color w:val="auto"/>
          <w:spacing w:val="8"/>
          <w:kern w:val="0"/>
          <w:sz w:val="32"/>
          <w:szCs w:val="32"/>
          <w:highlight w:val="none"/>
          <w:u w:val="none"/>
          <w:shd w:val="clear" w:color="auto" w:fill="FFFFFF"/>
          <w:lang w:val="zh-CN"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该项目经市发展发改委批复可行性研究报告，立项总投资2700万元，主要项目前期待摊费以及直接工程费等。资金来源为市本级财政资金。2022年4月批复该项目概算，概算金额为2649.14万元。</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2022年市本级计划资金1500万元。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2022年财政资金到位166万元。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2022年向建设单位拨付建设资金166万元。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86" w:name="_Toc32599"/>
      <w:bookmarkStart w:id="287" w:name="_Toc1120869462_WPSOffice_Level2"/>
      <w:bookmarkStart w:id="288" w:name="_Toc322603308_WPSOffice_Level2"/>
      <w:r>
        <w:rPr>
          <w:rFonts w:hint="eastAsia" w:ascii="黑体" w:hAnsi="宋体" w:eastAsia="黑体" w:cs="Times New Roman"/>
          <w:b w:val="0"/>
          <w:bCs w:val="0"/>
          <w:color w:val="auto"/>
          <w:sz w:val="32"/>
          <w:szCs w:val="32"/>
          <w:highlight w:val="none"/>
          <w:u w:val="none"/>
        </w:rPr>
        <w:t>三、项目实施及管理情况</w:t>
      </w:r>
      <w:bookmarkEnd w:id="286"/>
      <w:bookmarkEnd w:id="287"/>
      <w:bookmarkEnd w:id="288"/>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项目主管部门对项目业主进行全程监督，</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项目业主单位按照相关规定确定各参建单位，</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在工程建设过程中接受财政、审计、建设等职能部门的监管；</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严格组织竣工验收、审计结算；</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b w:val="0"/>
          <w:bCs w:val="0"/>
          <w:color w:val="auto"/>
          <w:sz w:val="32"/>
          <w:szCs w:val="32"/>
          <w:highlight w:val="none"/>
          <w:lang w:val="en-US" w:eastAsia="zh-CN"/>
        </w:rPr>
        <w:t>工程交付使用。</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（二）项目管理情况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（三）项目监管情况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楷体_GB2312" w:hAnsi="宋体" w:eastAsia="楷体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仿宋_GB2312" w:hAnsi="宋体" w:eastAsia="仿宋_GB2312" w:cs="Times New Roman"/>
          <w:b w:val="0"/>
          <w:bCs w:val="0"/>
          <w:color w:val="auto"/>
          <w:sz w:val="32"/>
          <w:szCs w:val="32"/>
          <w:highlight w:val="none"/>
          <w:u w:val="none"/>
          <w:lang w:val="zh-CN"/>
        </w:rPr>
      </w:pPr>
      <w:bookmarkStart w:id="289" w:name="_Toc789764820_WPSOffice_Level2"/>
      <w:bookmarkStart w:id="290" w:name="_Toc173612626_WPSOffice_Level2"/>
      <w:bookmarkStart w:id="291" w:name="_Toc30690"/>
      <w:r>
        <w:rPr>
          <w:rFonts w:hint="eastAsia" w:ascii="黑体" w:hAnsi="宋体" w:eastAsia="黑体" w:cs="Times New Roman"/>
          <w:b w:val="0"/>
          <w:bCs w:val="0"/>
          <w:color w:val="auto"/>
          <w:sz w:val="32"/>
          <w:szCs w:val="32"/>
          <w:highlight w:val="none"/>
          <w:u w:val="none"/>
        </w:rPr>
        <w:t>四、项目绩效情况</w:t>
      </w:r>
      <w:bookmarkEnd w:id="289"/>
      <w:bookmarkEnd w:id="290"/>
      <w:bookmarkEnd w:id="291"/>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720"/>
        <w:textAlignment w:val="auto"/>
        <w:rPr>
          <w:rFonts w:hint="default" w:ascii="仿宋_GB2312" w:hAnsi="宋体" w:eastAsia="仿宋_GB2312" w:cs="Times New Roman"/>
          <w:b w:val="0"/>
          <w:bCs w:val="0"/>
          <w:color w:val="auto"/>
          <w:sz w:val="32"/>
          <w:szCs w:val="32"/>
          <w:highlight w:val="none"/>
          <w:lang w:val="en-US" w:eastAsia="zh-CN"/>
        </w:rPr>
      </w:pPr>
      <w:r>
        <w:rPr>
          <w:rFonts w:hint="eastAsia" w:ascii="仿宋_GB2312" w:hAnsi="宋体" w:eastAsia="仿宋_GB2312" w:cs="Times New Roman"/>
          <w:b w:val="0"/>
          <w:bCs w:val="0"/>
          <w:color w:val="auto"/>
          <w:sz w:val="32"/>
          <w:szCs w:val="32"/>
          <w:highlight w:val="none"/>
          <w:lang w:val="en-US" w:eastAsia="zh-CN"/>
        </w:rPr>
        <w:t>项目提升改造绿地与林地</w:t>
      </w:r>
      <w:r>
        <w:rPr>
          <w:rFonts w:hint="eastAsia" w:ascii="仿宋_GB2312" w:hAnsi="宋体" w:eastAsia="仿宋_GB2312" w:cs="Times New Roman"/>
          <w:b w:val="0"/>
          <w:bCs w:val="0"/>
          <w:color w:val="auto"/>
          <w:sz w:val="32"/>
          <w:szCs w:val="32"/>
          <w:highlight w:val="none"/>
          <w:lang w:val="zh-CN"/>
        </w:rPr>
        <w:t>10.5万平方米，</w:t>
      </w:r>
      <w:r>
        <w:rPr>
          <w:rFonts w:hint="eastAsia" w:ascii="仿宋_GB2312" w:hAnsi="宋体" w:eastAsia="仿宋_GB2312" w:cs="Times New Roman"/>
          <w:b w:val="0"/>
          <w:bCs w:val="0"/>
          <w:color w:val="auto"/>
          <w:sz w:val="32"/>
          <w:szCs w:val="32"/>
          <w:highlight w:val="none"/>
          <w:lang w:val="en-US" w:eastAsia="zh-CN"/>
        </w:rPr>
        <w:t>项目于2022年6月开工建设，2022年11月完成建设。该项目达到预定绩效目标，建设质量严格按照国家规范以及设计标准进行质量控制，分项工程质量达到规划和设计要求，无安全事故发生，施工场地干净整洁，做到文明施工。</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72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建成后，进一步突出了城市生态特色，进一步提升了城市品位，生态效益明显，有力改善了高速出口周围的生态环境，高了广元市城市形象，产生了良好的环境效益。间接促进广元市经济发展与社会进步，为广元市招商引资创造极好条件，拉动城市经济发展，同时带动周边地价上涨。</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92" w:name="_Toc332451643_WPSOffice_Level2"/>
      <w:bookmarkStart w:id="293" w:name="_Toc32039"/>
      <w:bookmarkStart w:id="294" w:name="_Toc1885539717_WPSOffice_Level2"/>
      <w:r>
        <w:rPr>
          <w:rFonts w:hint="eastAsia" w:ascii="黑体" w:hAnsi="宋体" w:eastAsia="黑体" w:cs="Times New Roman"/>
          <w:b w:val="0"/>
          <w:bCs w:val="0"/>
          <w:color w:val="auto"/>
          <w:sz w:val="32"/>
          <w:szCs w:val="32"/>
          <w:highlight w:val="none"/>
          <w:u w:val="none"/>
        </w:rPr>
        <w:t>五、评价结论及建议</w:t>
      </w:r>
      <w:bookmarkEnd w:id="292"/>
      <w:bookmarkEnd w:id="293"/>
      <w:bookmarkEnd w:id="294"/>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720"/>
        <w:textAlignment w:val="auto"/>
        <w:rPr>
          <w:rFonts w:hint="default" w:ascii="仿宋_GB2312" w:hAnsi="宋体" w:eastAsia="仿宋_GB2312" w:cs="Times New Roman"/>
          <w:b w:val="0"/>
          <w:bCs w:val="0"/>
          <w:color w:val="auto"/>
          <w:sz w:val="32"/>
          <w:szCs w:val="32"/>
          <w:highlight w:val="none"/>
          <w:bdr w:val="single" w:color="auto" w:sz="4" w:space="0"/>
          <w:lang w:val="en-US" w:eastAsia="zh-CN"/>
        </w:rPr>
      </w:pPr>
      <w:r>
        <w:rPr>
          <w:rFonts w:hint="default" w:ascii="Times New Roman" w:hAnsi="Times New Roman" w:eastAsia="仿宋_GB2312" w:cs="Times New Roman"/>
          <w:color w:val="auto"/>
          <w:sz w:val="32"/>
          <w:szCs w:val="32"/>
          <w:highlight w:val="none"/>
          <w:lang w:val="en-US" w:eastAsia="zh-CN" w:bidi="ar-SA"/>
        </w:rPr>
        <w:t>项目决策合理，申报及时，严格按财务规定审批，专款专用，核算规范，及时兑现，项目绩效完成良好，经济效益较好，社会效益较好。</w:t>
      </w:r>
      <w:r>
        <w:rPr>
          <w:rFonts w:hint="eastAsia" w:ascii="仿宋_GB2312" w:hAnsi="宋体" w:eastAsia="仿宋_GB2312" w:cs="Times New Roman"/>
          <w:b w:val="0"/>
          <w:bCs w:val="0"/>
          <w:color w:val="auto"/>
          <w:sz w:val="32"/>
          <w:szCs w:val="32"/>
          <w:highlight w:val="none"/>
          <w:lang w:val="en-US" w:eastAsia="zh-CN"/>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项目单位预算绩效意识不强</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720"/>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加强项目单位预算绩效管理，提高绩效管理水平。</w:t>
      </w:r>
    </w:p>
    <w:p>
      <w:pPr>
        <w:keepNext w:val="0"/>
        <w:keepLines w:val="0"/>
        <w:pageBreakBefore w:val="0"/>
        <w:widowControl w:val="0"/>
        <w:shd w:val="clear"/>
        <w:kinsoku/>
        <w:wordWrap/>
        <w:overflowPunct/>
        <w:topLinePunct w:val="0"/>
        <w:autoSpaceDE/>
        <w:autoSpaceDN/>
        <w:bidi w:val="0"/>
        <w:spacing w:line="580" w:lineRule="exact"/>
        <w:jc w:val="center"/>
        <w:textAlignment w:val="auto"/>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keepNext w:val="0"/>
        <w:keepLines w:val="0"/>
        <w:pageBreakBefore w:val="0"/>
        <w:widowControl w:val="0"/>
        <w:shd w:val="clear"/>
        <w:tabs>
          <w:tab w:val="left" w:pos="541"/>
          <w:tab w:val="center" w:pos="4482"/>
        </w:tabs>
        <w:kinsoku/>
        <w:wordWrap/>
        <w:overflowPunct/>
        <w:topLinePunct w:val="0"/>
        <w:autoSpaceDE/>
        <w:autoSpaceDN/>
        <w:bidi w:val="0"/>
        <w:spacing w:line="560" w:lineRule="exact"/>
        <w:jc w:val="center"/>
        <w:textAlignment w:val="auto"/>
        <w:outlineLvl w:val="1"/>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295" w:name="_Toc27866"/>
      <w:bookmarkStart w:id="296" w:name="_Toc1424476777_WPSOffice_Level2"/>
      <w:bookmarkStart w:id="297" w:name="_Toc1214265916_WPSOffice_Level2"/>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广元市利州区龙潭乡元山弃土场及配套工程项目支出绩效自评报告</w:t>
      </w:r>
      <w:bookmarkEnd w:id="295"/>
      <w:bookmarkEnd w:id="296"/>
      <w:bookmarkEnd w:id="297"/>
    </w:p>
    <w:p>
      <w:pPr>
        <w:keepNext w:val="0"/>
        <w:keepLines w:val="0"/>
        <w:pageBreakBefore w:val="0"/>
        <w:widowControl w:val="0"/>
        <w:shd w:val="clear"/>
        <w:kinsoku/>
        <w:wordWrap/>
        <w:overflowPunct/>
        <w:topLinePunct w:val="0"/>
        <w:autoSpaceDE/>
        <w:autoSpaceDN/>
        <w:bidi w:val="0"/>
        <w:spacing w:line="560"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960" w:firstLineChars="300"/>
        <w:jc w:val="both"/>
        <w:textAlignment w:val="auto"/>
        <w:outlineLvl w:val="1"/>
        <w:rPr>
          <w:rFonts w:ascii="黑体" w:hAnsi="宋体" w:eastAsia="黑体" w:cs="Times New Roman"/>
          <w:b w:val="0"/>
          <w:bCs w:val="0"/>
          <w:color w:val="auto"/>
          <w:sz w:val="32"/>
          <w:szCs w:val="32"/>
          <w:highlight w:val="none"/>
          <w:lang w:val="zh-CN"/>
        </w:rPr>
      </w:pPr>
      <w:bookmarkStart w:id="298" w:name="_Toc1477966484_WPSOffice_Level2"/>
      <w:bookmarkStart w:id="299" w:name="_Toc31408"/>
      <w:bookmarkStart w:id="300" w:name="_Toc1640489965_WPSOffice_Level2"/>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298"/>
      <w:bookmarkEnd w:id="299"/>
      <w:bookmarkEnd w:id="300"/>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bidi="ar-SA"/>
        </w:rPr>
      </w:pPr>
      <w:r>
        <w:rPr>
          <w:rFonts w:hint="eastAsia" w:ascii="楷体_GB2312" w:hAnsi="宋体" w:eastAsia="楷体_GB2312" w:cs="Times New Roman"/>
          <w:b/>
          <w:bCs/>
          <w:color w:val="auto"/>
          <w:sz w:val="32"/>
          <w:szCs w:val="32"/>
          <w:highlight w:val="none"/>
          <w:u w:val="none"/>
          <w:lang w:val="zh-CN"/>
        </w:rPr>
        <w:t>（一）项目基本情况。</w:t>
      </w:r>
      <w:r>
        <w:rPr>
          <w:rFonts w:hint="eastAsia" w:ascii="Times New Roman" w:hAnsi="Times New Roman" w:eastAsia="仿宋_GB2312" w:cs="Times New Roman"/>
          <w:color w:val="auto"/>
          <w:sz w:val="32"/>
          <w:szCs w:val="32"/>
          <w:highlight w:val="none"/>
          <w:lang w:val="en-US" w:eastAsia="zh-CN" w:bidi="ar-SA"/>
        </w:rPr>
        <w:t>根据市人民政府办公室《关于进一步加强市城区弃土场建设管理的通知》（广府办函〔2015〕107号）精神，为有效解决市城区工程建设项目弃土堆放和利用问题，防止弃土乱倒引发地质灾害</w:t>
      </w:r>
      <w:r>
        <w:rPr>
          <w:rFonts w:hint="eastAsia" w:eastAsia="仿宋_GB2312" w:cs="Times New Roman"/>
          <w:color w:val="auto"/>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bidi="ar-SA"/>
        </w:rPr>
        <w:t>决定在市中心城区东至大石镇片区，西至三江新区，南至龙潭片区，北至工农镇片区范围内科学规划选址弃土场。按市政府工作安排，在利州区龙潭乡元山村、界牌村、和平村选址新建利州区龙潭乡元山弃土场及配套工程项目，该项目总占地面积约570亩，主要建设内容为弃土填埋场、拦渣坝、排水沟、盲沟、截洪沟及管理用房、照明、监控等配套设施。项目估算总投资16479万元，预计收纳弃土700万立方米。</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cs="Times New Roman"/>
          <w:b/>
          <w:bCs/>
          <w:color w:val="auto"/>
          <w:sz w:val="32"/>
          <w:szCs w:val="32"/>
          <w:highlight w:val="none"/>
          <w:u w:val="none"/>
          <w:lang w:val="zh-CN"/>
        </w:rPr>
        <w:t>（二）项目绩效目标。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w:t>
      </w:r>
      <w:r>
        <w:rPr>
          <w:rFonts w:hint="eastAsia" w:ascii="仿宋_GB2312" w:hAnsi="仿宋" w:eastAsia="仿宋_GB2312" w:cs="Times New Roman"/>
          <w:color w:val="auto"/>
          <w:sz w:val="32"/>
          <w:szCs w:val="32"/>
          <w:highlight w:val="none"/>
        </w:rPr>
        <w:t>主要建设内容</w:t>
      </w:r>
      <w:r>
        <w:rPr>
          <w:rFonts w:hint="eastAsia" w:ascii="仿宋_GB2312" w:hAnsi="仿宋" w:eastAsia="仿宋_GB2312" w:cs="Times New Roman"/>
          <w:color w:val="auto"/>
          <w:sz w:val="32"/>
          <w:szCs w:val="32"/>
          <w:highlight w:val="none"/>
          <w:lang w:eastAsia="zh-CN"/>
        </w:rPr>
        <w:t>为</w:t>
      </w:r>
      <w:r>
        <w:rPr>
          <w:rFonts w:hint="eastAsia" w:ascii="仿宋_GB2312" w:hAnsi="仿宋" w:eastAsia="仿宋_GB2312" w:cs="Times New Roman"/>
          <w:color w:val="auto"/>
          <w:sz w:val="32"/>
          <w:szCs w:val="32"/>
          <w:highlight w:val="none"/>
        </w:rPr>
        <w:t>弃土填埋场、拦渣坝、排水沟、盲沟、截洪沟及管理用房、照明、监控等配套设施</w:t>
      </w:r>
      <w:r>
        <w:rPr>
          <w:rFonts w:hint="eastAsia" w:ascii="仿宋_GB2312" w:hAnsi="仿宋" w:eastAsia="仿宋_GB2312" w:cs="Times New Roman"/>
          <w:color w:val="auto"/>
          <w:sz w:val="32"/>
          <w:szCs w:val="32"/>
          <w:highlight w:val="none"/>
          <w:lang w:eastAsia="zh-CN"/>
        </w:rPr>
        <w:t>。主要一是完成临万龙路长约1200米钢波纹管排水管道安装，并按设计要求进行土方回填夯实；二是完成长约120米进出场道路施工，同步完成照明、监控、喷淋系统、照明系统等设施。通过收纳弃土，进行土地一级开发整理，达到一定年限沉降期后，可以作为城市建设用地。</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cs="Times New Roman"/>
          <w:b/>
          <w:bCs/>
          <w:color w:val="auto"/>
          <w:sz w:val="32"/>
          <w:szCs w:val="32"/>
          <w:highlight w:val="none"/>
          <w:u w:val="none"/>
          <w:lang w:val="zh-CN"/>
        </w:rPr>
        <w:t>（三）项目自评步骤及方法。</w:t>
      </w:r>
      <w:r>
        <w:rPr>
          <w:rFonts w:hint="eastAsia" w:ascii="仿宋_GB2312" w:hAnsi="宋体" w:eastAsia="仿宋_GB2312" w:cs="Times New Roman"/>
          <w:b w:val="0"/>
          <w:bCs w:val="0"/>
          <w:color w:val="auto"/>
          <w:sz w:val="32"/>
          <w:szCs w:val="32"/>
          <w:highlight w:val="none"/>
          <w:lang w:val="zh-CN"/>
        </w:rPr>
        <w:t>根据《广元市财政局关于开展</w:t>
      </w:r>
      <w:r>
        <w:rPr>
          <w:rFonts w:hint="eastAsia" w:ascii="仿宋_GB2312" w:hAnsi="宋体" w:eastAsia="仿宋_GB2312" w:cs="Times New Roman"/>
          <w:b w:val="0"/>
          <w:bCs w:val="0"/>
          <w:color w:val="auto"/>
          <w:sz w:val="32"/>
          <w:szCs w:val="32"/>
          <w:highlight w:val="none"/>
          <w:lang w:val="en-US" w:eastAsia="zh-CN"/>
        </w:rPr>
        <w:t>2022年度市级部门绩效自评工作的通知</w:t>
      </w:r>
      <w:r>
        <w:rPr>
          <w:rFonts w:hint="eastAsia" w:ascii="仿宋_GB2312" w:hAnsi="宋体" w:eastAsia="仿宋_GB2312" w:cs="Times New Roman"/>
          <w:b w:val="0"/>
          <w:bCs w:val="0"/>
          <w:color w:val="auto"/>
          <w:sz w:val="32"/>
          <w:szCs w:val="32"/>
          <w:highlight w:val="none"/>
          <w:lang w:val="zh-CN"/>
        </w:rPr>
        <w:t>》（广财绩</w:t>
      </w:r>
      <w:r>
        <w:rPr>
          <w:rFonts w:hint="eastAsia" w:ascii="方正隶书_GBK" w:hAnsi="方正隶书_GBK" w:eastAsia="方正隶书_GBK" w:cs="方正隶书_GBK"/>
          <w:b w:val="0"/>
          <w:bCs w:val="0"/>
          <w:color w:val="auto"/>
          <w:sz w:val="32"/>
          <w:szCs w:val="32"/>
          <w:highlight w:val="none"/>
          <w:lang w:val="zh-CN"/>
        </w:rPr>
        <w:t>〔</w:t>
      </w:r>
      <w:r>
        <w:rPr>
          <w:rFonts w:hint="eastAsia" w:ascii="仿宋_GB2312" w:hAnsi="宋体" w:eastAsia="仿宋_GB2312" w:cs="Times New Roman"/>
          <w:b w:val="0"/>
          <w:bCs w:val="0"/>
          <w:color w:val="auto"/>
          <w:sz w:val="32"/>
          <w:szCs w:val="32"/>
          <w:highlight w:val="none"/>
          <w:lang w:val="en-US" w:eastAsia="zh-CN"/>
        </w:rPr>
        <w:t>2023〕</w:t>
      </w:r>
      <w:r>
        <w:rPr>
          <w:rFonts w:hint="eastAsia" w:ascii="仿宋_GB2312" w:hAnsi="宋体" w:eastAsia="仿宋_GB2312" w:cs="Times New Roman"/>
          <w:b w:val="0"/>
          <w:bCs w:val="0"/>
          <w:color w:val="auto"/>
          <w:sz w:val="32"/>
          <w:szCs w:val="32"/>
          <w:highlight w:val="none"/>
          <w:lang w:val="zh-CN"/>
        </w:rPr>
        <w:t>）精神，按照项目支出绩效评价指标体系内容，采取</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项目实施单位会同我局开展</w:t>
      </w:r>
      <w:r>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t>评</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价</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301" w:name="_Toc1053533798_WPSOffice_Level2"/>
      <w:bookmarkStart w:id="302" w:name="_Toc26639"/>
      <w:bookmarkStart w:id="303" w:name="_Toc2081671859_WPSOffice_Level2"/>
      <w:r>
        <w:rPr>
          <w:rFonts w:hint="eastAsia" w:ascii="黑体" w:hAnsi="宋体" w:eastAsia="黑体" w:cs="Times New Roman"/>
          <w:b w:val="0"/>
          <w:bCs w:val="0"/>
          <w:color w:val="auto"/>
          <w:sz w:val="32"/>
          <w:szCs w:val="32"/>
          <w:highlight w:val="none"/>
          <w:u w:val="none"/>
        </w:rPr>
        <w:t>二、项目资金申报及使用情况</w:t>
      </w:r>
      <w:bookmarkEnd w:id="301"/>
      <w:bookmarkEnd w:id="302"/>
      <w:bookmarkEnd w:id="303"/>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default" w:ascii="仿宋_GB2312" w:hAnsi="仿宋" w:eastAsia="仿宋_GB2312" w:cs="Times New Roman"/>
          <w:color w:val="auto"/>
          <w:sz w:val="32"/>
          <w:szCs w:val="32"/>
          <w:highlight w:val="none"/>
          <w:lang w:val="en-US" w:eastAsia="zh-CN"/>
        </w:rPr>
      </w:pPr>
      <w:r>
        <w:rPr>
          <w:rFonts w:hint="eastAsia" w:ascii="楷体_GB2312" w:hAnsi="宋体" w:eastAsia="楷体_GB2312" w:cs="Times New Roman"/>
          <w:b/>
          <w:bCs/>
          <w:color w:val="auto"/>
          <w:sz w:val="32"/>
          <w:szCs w:val="32"/>
          <w:highlight w:val="none"/>
          <w:u w:val="none"/>
          <w:lang w:val="zh-CN"/>
        </w:rPr>
        <w:t>（一）项目资金申报及批复情况。</w:t>
      </w:r>
      <w:r>
        <w:rPr>
          <w:rFonts w:hint="eastAsia" w:ascii="楷体_GB2312" w:hAnsi="宋体" w:eastAsia="楷体_GB2312" w:cs="Times New Roman"/>
          <w:b w:val="0"/>
          <w:bCs w:val="0"/>
          <w:color w:val="auto"/>
          <w:sz w:val="32"/>
          <w:szCs w:val="32"/>
          <w:highlight w:val="none"/>
          <w:u w:val="none"/>
          <w:lang w:val="zh-CN"/>
        </w:rPr>
        <w:t>该项目通过事前评估，预算申报</w:t>
      </w:r>
      <w:r>
        <w:rPr>
          <w:rFonts w:hint="eastAsia" w:ascii="楷体_GB2312" w:hAnsi="宋体" w:eastAsia="楷体_GB2312" w:cs="Times New Roman"/>
          <w:b w:val="0"/>
          <w:bCs w:val="0"/>
          <w:color w:val="auto"/>
          <w:sz w:val="32"/>
          <w:szCs w:val="32"/>
          <w:highlight w:val="none"/>
          <w:u w:val="none"/>
          <w:lang w:val="en-US" w:eastAsia="zh-CN"/>
        </w:rPr>
        <w:t>1000万元，其中财政资金500万元、单位资金500万元。</w:t>
      </w:r>
      <w:r>
        <w:rPr>
          <w:rFonts w:hint="eastAsia" w:ascii="仿宋_GB2312" w:hAnsi="仿宋" w:eastAsia="仿宋_GB2312" w:cs="Times New Roman"/>
          <w:color w:val="auto"/>
          <w:sz w:val="32"/>
          <w:szCs w:val="32"/>
          <w:highlight w:val="none"/>
          <w:lang w:val="en-US" w:eastAsia="zh-CN"/>
        </w:rPr>
        <w:t>市财政局纳入当年基建计划500万元。</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r>
        <w:rPr>
          <w:rFonts w:hint="eastAsia" w:ascii="楷体_GB2312" w:hAnsi="宋体" w:eastAsia="楷体_GB2312" w:cs="Times New Roman"/>
          <w:b/>
          <w:bCs/>
          <w:color w:val="auto"/>
          <w:sz w:val="32"/>
          <w:szCs w:val="32"/>
          <w:highlight w:val="none"/>
          <w:u w:val="none"/>
          <w:lang w:val="zh-CN" w:eastAsia="zh-CN"/>
        </w:rPr>
        <w:t>如下表</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该项目资金计划1000万元；单位自筹500万元、市财政局2022年11月拨付500万元，该款项已全额用于弃土场工程建设。</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楷体_GB2312" w:hAnsi="宋体" w:eastAsia="楷体_GB2312" w:cs="Times New Roman"/>
          <w:b/>
          <w:bCs/>
          <w:color w:val="auto"/>
          <w:sz w:val="32"/>
          <w:szCs w:val="32"/>
          <w:highlight w:val="none"/>
          <w:u w:val="none"/>
          <w:lang w:val="zh-CN"/>
        </w:rPr>
        <w:t>（三）项目财务管理情况。</w:t>
      </w:r>
      <w:r>
        <w:rPr>
          <w:rFonts w:hint="eastAsia" w:ascii="仿宋_GB2312" w:hAnsi="仿宋_GB2312" w:eastAsia="仿宋_GB2312" w:cs="仿宋_GB2312"/>
          <w:b w:val="0"/>
          <w:bCs w:val="0"/>
          <w:color w:val="auto"/>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304" w:name="_Toc481363131_WPSOffice_Level2"/>
      <w:bookmarkStart w:id="305" w:name="_Toc235887323_WPSOffice_Level2"/>
      <w:bookmarkStart w:id="306" w:name="_Toc4670"/>
      <w:r>
        <w:rPr>
          <w:rFonts w:hint="eastAsia" w:ascii="黑体" w:hAnsi="宋体" w:eastAsia="黑体" w:cs="Times New Roman"/>
          <w:b w:val="0"/>
          <w:bCs w:val="0"/>
          <w:color w:val="auto"/>
          <w:sz w:val="32"/>
          <w:szCs w:val="32"/>
          <w:highlight w:val="none"/>
          <w:u w:val="none"/>
        </w:rPr>
        <w:t>三、项目实施及管理情况</w:t>
      </w:r>
      <w:bookmarkEnd w:id="304"/>
      <w:bookmarkEnd w:id="305"/>
      <w:bookmarkEnd w:id="306"/>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rPr>
        <w:t>该项目已制定实施方案，项目实施组织机构健全，职责分工明确。有具体的实施时间</w:t>
      </w:r>
      <w:r>
        <w:rPr>
          <w:rFonts w:hint="eastAsia" w:ascii="仿宋_GB2312" w:hAnsi="宋体" w:eastAsia="仿宋_GB2312" w:cs="Times New Roman"/>
          <w:color w:val="auto"/>
          <w:sz w:val="32"/>
          <w:szCs w:val="32"/>
          <w:highlight w:val="none"/>
          <w:lang w:eastAsia="zh-CN"/>
        </w:rPr>
        <w:t>，有明确的工作程序，基础设施条件能够有效保障，资金能足额保证，有相应的质量检查、验收等必要的控制措施或手段，有针对突发事件或未知风险的应急措施。该项目勘察设计单位、施工单位、监理单位等参参建的招标均严格按照《中华人民共和国国家发展和改革委员会令第16号》规定执行。该项目严格按照工程建设项目基本程序办理了相应手续，市住建局质安站委派监督组对项目质量安全进行全过程监督管理，确保了该项目质量达标、零安全事故、成本可控，各项指标均达到了预计效果。</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outlineLvl w:val="1"/>
        <w:rPr>
          <w:rFonts w:ascii="仿宋_GB2312" w:hAnsi="宋体" w:eastAsia="仿宋_GB2312" w:cs="Times New Roman"/>
          <w:b w:val="0"/>
          <w:bCs w:val="0"/>
          <w:color w:val="auto"/>
          <w:sz w:val="32"/>
          <w:szCs w:val="32"/>
          <w:highlight w:val="none"/>
          <w:u w:val="none"/>
          <w:lang w:val="zh-CN"/>
        </w:rPr>
      </w:pPr>
      <w:bookmarkStart w:id="307" w:name="_Toc755033692_WPSOffice_Level2"/>
      <w:bookmarkStart w:id="308" w:name="_Toc360995008_WPSOffice_Level2"/>
      <w:bookmarkStart w:id="309" w:name="_Toc22521"/>
      <w:r>
        <w:rPr>
          <w:rFonts w:hint="eastAsia" w:ascii="黑体" w:hAnsi="宋体" w:eastAsia="黑体" w:cs="Times New Roman"/>
          <w:b w:val="0"/>
          <w:bCs w:val="0"/>
          <w:color w:val="auto"/>
          <w:sz w:val="32"/>
          <w:szCs w:val="32"/>
          <w:highlight w:val="none"/>
          <w:u w:val="none"/>
        </w:rPr>
        <w:t>四、项目绩效情况</w:t>
      </w:r>
      <w:bookmarkEnd w:id="307"/>
      <w:bookmarkEnd w:id="308"/>
      <w:bookmarkEnd w:id="309"/>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bCs/>
          <w:color w:val="auto"/>
          <w:sz w:val="32"/>
          <w:szCs w:val="32"/>
          <w:highlight w:val="none"/>
          <w:u w:val="none"/>
          <w:lang w:val="zh-CN"/>
        </w:rPr>
        <w:t>（一）项目完成情况。</w:t>
      </w:r>
      <w:r>
        <w:rPr>
          <w:rFonts w:hint="eastAsia" w:ascii="仿宋_GB2312" w:hAnsi="宋体" w:eastAsia="仿宋_GB2312" w:cs="Times New Roman"/>
          <w:color w:val="auto"/>
          <w:sz w:val="32"/>
          <w:szCs w:val="32"/>
          <w:highlight w:val="none"/>
          <w:lang w:val="zh-CN"/>
        </w:rPr>
        <w:t>一是完成了临万龙路长约1200米钢波纹管排水管道安装，并按设计要求进行土方回填夯实；二是完成了弃土场长约120米进出场道路施工，同步完成照明、监控、喷淋系统、照明系统等设施；三是该项目已实施部分进行了竣工验收。</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bCs/>
          <w:color w:val="auto"/>
          <w:sz w:val="32"/>
          <w:szCs w:val="32"/>
          <w:highlight w:val="none"/>
          <w:u w:val="none"/>
          <w:lang w:val="zh-CN"/>
        </w:rPr>
        <w:t>（二）项目效益情况。</w:t>
      </w:r>
      <w:r>
        <w:rPr>
          <w:rFonts w:hint="eastAsia" w:ascii="仿宋_GB2312" w:hAnsi="宋体" w:eastAsia="仿宋_GB2312" w:cs="Times New Roman"/>
          <w:color w:val="auto"/>
          <w:sz w:val="32"/>
          <w:szCs w:val="32"/>
          <w:highlight w:val="none"/>
          <w:lang w:val="zh-CN"/>
        </w:rPr>
        <w:t>一是新建弃土填埋场，为市城区工程建设项目提供了弃土场地；二是本年度收纳弃土约</w:t>
      </w:r>
      <w:r>
        <w:rPr>
          <w:rFonts w:hint="eastAsia" w:ascii="仿宋_GB2312" w:hAnsi="宋体" w:eastAsia="仿宋_GB2312" w:cs="Times New Roman"/>
          <w:color w:val="auto"/>
          <w:sz w:val="32"/>
          <w:szCs w:val="32"/>
          <w:highlight w:val="none"/>
          <w:lang w:val="en-US" w:eastAsia="zh-CN"/>
        </w:rPr>
        <w:t>30万</w:t>
      </w:r>
      <w:r>
        <w:rPr>
          <w:rFonts w:hint="eastAsia" w:ascii="仿宋_GB2312" w:hAnsi="宋体" w:eastAsia="仿宋_GB2312" w:cs="Times New Roman"/>
          <w:color w:val="auto"/>
          <w:sz w:val="32"/>
          <w:szCs w:val="32"/>
          <w:highlight w:val="none"/>
          <w:lang w:val="zh-CN"/>
        </w:rPr>
        <w:t>立方米，弃土费用约90万元；三是对开挖边坡及弃土表面采取植树、种草、覆盖防尘网进行生态修复；四是通过收纳弃土进行土地整治，形成了国有建设用地。</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left"/>
        <w:textAlignment w:val="auto"/>
        <w:outlineLvl w:val="1"/>
        <w:rPr>
          <w:rFonts w:ascii="黑体" w:hAnsi="宋体" w:eastAsia="黑体" w:cs="Times New Roman"/>
          <w:b w:val="0"/>
          <w:bCs w:val="0"/>
          <w:color w:val="auto"/>
          <w:sz w:val="32"/>
          <w:szCs w:val="32"/>
          <w:highlight w:val="none"/>
          <w:u w:val="none"/>
        </w:rPr>
      </w:pPr>
      <w:bookmarkStart w:id="310" w:name="_Toc1895374024_WPSOffice_Level2"/>
      <w:bookmarkStart w:id="311" w:name="_Toc10335"/>
      <w:bookmarkStart w:id="312" w:name="_Toc1008738401_WPSOffice_Level2"/>
      <w:r>
        <w:rPr>
          <w:rFonts w:hint="eastAsia" w:ascii="黑体" w:hAnsi="宋体" w:eastAsia="黑体" w:cs="Times New Roman"/>
          <w:b w:val="0"/>
          <w:bCs w:val="0"/>
          <w:color w:val="auto"/>
          <w:sz w:val="32"/>
          <w:szCs w:val="32"/>
          <w:highlight w:val="none"/>
          <w:u w:val="none"/>
        </w:rPr>
        <w:t>五、评价结论及建议</w:t>
      </w:r>
      <w:bookmarkEnd w:id="310"/>
      <w:bookmarkEnd w:id="311"/>
      <w:bookmarkEnd w:id="312"/>
    </w:p>
    <w:p>
      <w:pPr>
        <w:shd w:val="clear"/>
        <w:spacing w:line="600" w:lineRule="exact"/>
        <w:ind w:firstLine="640" w:firstLineChars="200"/>
        <w:jc w:val="left"/>
        <w:outlineLvl w:val="0"/>
        <w:rPr>
          <w:rFonts w:hint="eastAsia" w:ascii="黑体" w:hAnsi="黑体" w:eastAsia="黑体"/>
          <w:color w:val="auto"/>
          <w:sz w:val="44"/>
          <w:szCs w:val="44"/>
          <w:highlight w:val="none"/>
        </w:rPr>
      </w:pPr>
      <w:bookmarkStart w:id="313" w:name="_Toc18206"/>
      <w:r>
        <w:rPr>
          <w:rFonts w:hint="eastAsia" w:ascii="仿宋_GB2312" w:hAnsi="宋体" w:eastAsia="仿宋_GB2312" w:cs="Times New Roman"/>
          <w:color w:val="auto"/>
          <w:sz w:val="32"/>
          <w:szCs w:val="32"/>
          <w:highlight w:val="none"/>
        </w:rPr>
        <w:t>该项目</w:t>
      </w:r>
      <w:r>
        <w:rPr>
          <w:rFonts w:hint="eastAsia" w:ascii="仿宋_GB2312" w:hAnsi="宋体" w:eastAsia="仿宋_GB2312" w:cs="Times New Roman"/>
          <w:color w:val="auto"/>
          <w:sz w:val="32"/>
          <w:szCs w:val="32"/>
          <w:highlight w:val="none"/>
          <w:lang w:eastAsia="zh-CN"/>
        </w:rPr>
        <w:t>评价</w:t>
      </w:r>
      <w:r>
        <w:rPr>
          <w:rFonts w:hint="eastAsia" w:ascii="仿宋_GB2312" w:hAnsi="宋体" w:eastAsia="仿宋_GB2312" w:cs="Times New Roman"/>
          <w:color w:val="auto"/>
          <w:sz w:val="32"/>
          <w:szCs w:val="32"/>
          <w:highlight w:val="none"/>
        </w:rPr>
        <w:t>总体得分：</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rPr>
        <w:t>分。</w:t>
      </w:r>
      <w:r>
        <w:rPr>
          <w:rFonts w:hint="eastAsia" w:ascii="仿宋_GB2312" w:hAnsi="宋体" w:eastAsia="仿宋_GB2312" w:cs="Times New Roman"/>
          <w:color w:val="auto"/>
          <w:sz w:val="32"/>
          <w:szCs w:val="32"/>
          <w:highlight w:val="none"/>
          <w:lang w:eastAsia="zh-CN"/>
        </w:rPr>
        <w:t>项目管理过程中还存在差距项目统筹安排需进步加强，总体进度较计划滞后。</w:t>
      </w:r>
      <w:bookmarkEnd w:id="313"/>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54"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bookmarkStart w:id="314" w:name="_Toc2107767797_WPSOffice_Level2"/>
      <w:bookmarkStart w:id="315" w:name="_Toc1011180484_WPSOffice_Level2"/>
      <w:r>
        <w:rPr>
          <w:rFonts w:hint="eastAsia" w:ascii="方正小标宋简体" w:hAnsi="方正小标宋简体" w:eastAsia="方正小标宋简体" w:cs="方正小标宋简体"/>
          <w:color w:val="auto"/>
          <w:kern w:val="2"/>
          <w:sz w:val="44"/>
          <w:szCs w:val="44"/>
          <w:highlight w:val="none"/>
          <w:lang w:val="en-US" w:eastAsia="zh-CN" w:bidi="ar-SA"/>
        </w:rPr>
        <w:t>海绵城市建设与城市更新工作培训项目支出绩效自评报告</w:t>
      </w:r>
      <w:bookmarkEnd w:id="314"/>
      <w:bookmarkEnd w:id="315"/>
    </w:p>
    <w:p>
      <w:pPr>
        <w:keepNext w:val="0"/>
        <w:keepLines w:val="0"/>
        <w:pageBreakBefore w:val="0"/>
        <w:widowControl w:val="0"/>
        <w:shd w:val="clear"/>
        <w:kinsoku/>
        <w:wordWrap/>
        <w:overflowPunct/>
        <w:topLinePunct w:val="0"/>
        <w:autoSpaceDE/>
        <w:autoSpaceDN/>
        <w:bidi w:val="0"/>
        <w:spacing w:line="554" w:lineRule="exact"/>
        <w:ind w:firstLine="640"/>
        <w:jc w:val="both"/>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outlineLvl w:val="1"/>
        <w:rPr>
          <w:rFonts w:ascii="黑体" w:hAnsi="宋体" w:eastAsia="黑体" w:cs="Times New Roman"/>
          <w:color w:val="auto"/>
          <w:sz w:val="32"/>
          <w:szCs w:val="32"/>
          <w:highlight w:val="none"/>
          <w:lang w:val="zh-CN"/>
        </w:rPr>
      </w:pPr>
      <w:bookmarkStart w:id="316" w:name="_Toc7424"/>
      <w:bookmarkStart w:id="317" w:name="_Toc628964632_WPSOffice_Level2"/>
      <w:bookmarkStart w:id="318" w:name="_Toc1867520221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316"/>
      <w:bookmarkEnd w:id="317"/>
      <w:bookmarkEnd w:id="318"/>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shd w:val="clear" w:color="auto" w:fill="FFFFFF"/>
          <w:lang w:val="zh-CN"/>
        </w:rPr>
        <w:t>项目主管部门在该项目管理中的职能</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color w:val="auto"/>
          <w:kern w:val="0"/>
          <w:sz w:val="32"/>
          <w:szCs w:val="32"/>
          <w:highlight w:val="none"/>
          <w:shd w:val="clear" w:color="auto" w:fill="FFFFFF"/>
        </w:rPr>
        <w:t>广元市系统化全域推进海绵城市建设示范工作领导小组办公室</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根据实际工作需要</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申报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，主要</w:t>
      </w:r>
      <w:r>
        <w:rPr>
          <w:rFonts w:hint="eastAsia" w:ascii="仿宋_GB2312" w:hAnsi="仿宋_GB2312" w:eastAsia="仿宋_GB2312" w:cs="仿宋_GB2312"/>
          <w:color w:val="auto"/>
          <w:kern w:val="0"/>
          <w:sz w:val="32"/>
          <w:szCs w:val="32"/>
          <w:highlight w:val="none"/>
          <w:shd w:val="clear" w:color="auto" w:fill="FFFFFF"/>
        </w:rPr>
        <w:t>牵头申报国、省级系统化全域推进海绵城市建设示范城市，委托技术咨询单位编制相关规范性文件</w:t>
      </w:r>
      <w:r>
        <w:rPr>
          <w:rFonts w:hint="eastAsia" w:ascii="Calibri" w:hAnsi="Calibri"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rPr>
        <w:t>做好海绵城市建设领导小组办公室日常工作。</w:t>
      </w:r>
    </w:p>
    <w:p>
      <w:pPr>
        <w:keepNext w:val="0"/>
        <w:keepLines w:val="0"/>
        <w:pageBreakBefore w:val="0"/>
        <w:numPr>
          <w:ilvl w:val="0"/>
          <w:numId w:val="0"/>
        </w:numPr>
        <w:shd w:val="clear"/>
        <w:kinsoku/>
        <w:wordWrap/>
        <w:overflowPunct/>
        <w:topLinePunct w:val="0"/>
        <w:autoSpaceDE/>
        <w:autoSpaceDN/>
        <w:bidi w:val="0"/>
        <w:adjustRightInd w:val="0"/>
        <w:snapToGrid w:val="0"/>
        <w:spacing w:line="554" w:lineRule="exact"/>
        <w:ind w:firstLine="640" w:firstLineChars="200"/>
        <w:contextualSpacing/>
        <w:textAlignment w:val="auto"/>
        <w:rPr>
          <w:rFonts w:hint="eastAsia" w:ascii="仿宋_GB2312" w:hAnsi="仿宋_GB2312" w:eastAsia="仿宋_GB2312" w:cs="仿宋_GB2312"/>
          <w:b/>
          <w:bCs/>
          <w:i w:val="0"/>
          <w:i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主管部门为广元市住房和城乡建设局，主要对该项目的可行性进行研究、批复项目预算以及实施监控项目预算执行情况，如项目执行缓慢，则向项目实施单位发送预警，督促其加快项目实施。待项目实施完毕后，对该项目开展主管部门自评工作。</w:t>
      </w:r>
    </w:p>
    <w:p>
      <w:pPr>
        <w:keepNext w:val="0"/>
        <w:keepLines w:val="0"/>
        <w:pageBreakBefore w:val="0"/>
        <w:numPr>
          <w:ilvl w:val="0"/>
          <w:numId w:val="0"/>
        </w:numPr>
        <w:shd w:val="clear"/>
        <w:kinsoku/>
        <w:wordWrap/>
        <w:overflowPunct/>
        <w:topLinePunct w:val="0"/>
        <w:autoSpaceDE/>
        <w:autoSpaceDN/>
        <w:bidi w:val="0"/>
        <w:adjustRightInd w:val="0"/>
        <w:snapToGrid w:val="0"/>
        <w:spacing w:line="554" w:lineRule="exact"/>
        <w:ind w:firstLine="642" w:firstLineChars="200"/>
        <w:contextualSpacing/>
        <w:jc w:val="both"/>
        <w:textAlignment w:val="auto"/>
        <w:rPr>
          <w:rFonts w:hint="eastAsia" w:ascii="仿宋_GB2312" w:hAnsi="仿宋_GB2312" w:eastAsia="仿宋_GB2312" w:cs="仿宋_GB2312"/>
          <w:b/>
          <w:bCs/>
          <w:i w:val="0"/>
          <w:iCs w:val="0"/>
          <w:color w:val="auto"/>
          <w:kern w:val="0"/>
          <w:sz w:val="32"/>
          <w:szCs w:val="32"/>
          <w:highlight w:val="none"/>
          <w:shd w:val="clear" w:color="auto" w:fill="FFFFFF"/>
          <w:lang w:val="zh-CN"/>
        </w:rPr>
      </w:pPr>
      <w:r>
        <w:rPr>
          <w:rFonts w:hint="eastAsia" w:ascii="仿宋_GB2312" w:hAnsi="仿宋_GB2312" w:eastAsia="仿宋_GB2312" w:cs="仿宋_GB2312"/>
          <w:b/>
          <w:bCs/>
          <w:i w:val="0"/>
          <w:iCs w:val="0"/>
          <w:color w:val="auto"/>
          <w:kern w:val="0"/>
          <w:sz w:val="32"/>
          <w:szCs w:val="32"/>
          <w:highlight w:val="none"/>
          <w:shd w:val="clear" w:color="auto" w:fill="FFFFFF"/>
          <w:lang w:val="en-US" w:eastAsia="zh-CN"/>
        </w:rPr>
        <w:t>2.</w:t>
      </w:r>
      <w:r>
        <w:rPr>
          <w:rFonts w:hint="eastAsia" w:ascii="仿宋_GB2312" w:hAnsi="仿宋_GB2312" w:eastAsia="仿宋_GB2312" w:cs="仿宋_GB2312"/>
          <w:b/>
          <w:bCs/>
          <w:i w:val="0"/>
          <w:iCs w:val="0"/>
          <w:color w:val="auto"/>
          <w:kern w:val="0"/>
          <w:sz w:val="32"/>
          <w:szCs w:val="32"/>
          <w:highlight w:val="none"/>
          <w:shd w:val="clear" w:color="auto" w:fill="FFFFFF"/>
          <w:lang w:val="zh-CN"/>
        </w:rPr>
        <w:t>项目立项、资金申报的依据</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ascii="Calibri" w:hAnsi="Calibri" w:eastAsia="仿宋_GB2312" w:cs="仿宋_GB2312"/>
          <w:color w:val="auto"/>
          <w:kern w:val="0"/>
          <w:sz w:val="32"/>
          <w:szCs w:val="32"/>
          <w:highlight w:val="none"/>
          <w:shd w:val="clear" w:color="auto" w:fill="FFFFFF"/>
          <w:lang w:val="zh-CN"/>
        </w:rPr>
      </w:pPr>
      <w:r>
        <w:rPr>
          <w:rFonts w:hint="eastAsia" w:ascii="仿宋_GB2312" w:hAnsi="Times New Roman" w:eastAsia="仿宋_GB2312" w:cs="Times New Roman"/>
          <w:bCs/>
          <w:color w:val="auto"/>
          <w:sz w:val="32"/>
          <w:szCs w:val="32"/>
          <w:highlight w:val="none"/>
        </w:rPr>
        <w:t>根据市委组织部《关于印发2022年市级重点专题培训项目计划的通知》</w:t>
      </w:r>
      <w:r>
        <w:rPr>
          <w:rFonts w:hint="eastAsia" w:ascii="仿宋_GB2312" w:hAnsi="仿宋_GB2312" w:eastAsia="仿宋_GB2312" w:cs="仿宋_GB2312"/>
          <w:color w:val="auto"/>
          <w:sz w:val="32"/>
          <w:szCs w:val="32"/>
          <w:highlight w:val="none"/>
        </w:rPr>
        <w:t>（广组训〔2022〕9号）安排，举办全市海绵城市建设与城市更新工作培训班，由市财政预算费用14.5万元。</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54" w:lineRule="exact"/>
        <w:ind w:firstLine="642"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shd w:val="clear" w:color="auto" w:fill="FFFFFF"/>
          <w:lang w:val="zh-CN"/>
        </w:rPr>
        <w:t>资金</w:t>
      </w:r>
      <w:r>
        <w:rPr>
          <w:rFonts w:hint="eastAsia" w:ascii="仿宋_GB2312" w:hAnsi="仿宋_GB2312" w:eastAsia="仿宋_GB2312" w:cs="仿宋_GB2312"/>
          <w:b/>
          <w:bCs/>
          <w:color w:val="auto"/>
          <w:kern w:val="0"/>
          <w:sz w:val="32"/>
          <w:szCs w:val="32"/>
          <w:highlight w:val="none"/>
          <w:shd w:val="clear" w:color="auto" w:fill="FFFFFF"/>
        </w:rPr>
        <w:t>或项目</w:t>
      </w:r>
      <w:r>
        <w:rPr>
          <w:rFonts w:hint="eastAsia" w:ascii="仿宋_GB2312" w:hAnsi="仿宋_GB2312" w:eastAsia="仿宋_GB2312" w:cs="仿宋_GB2312"/>
          <w:b/>
          <w:bCs/>
          <w:color w:val="auto"/>
          <w:kern w:val="0"/>
          <w:sz w:val="32"/>
          <w:szCs w:val="32"/>
          <w:highlight w:val="none"/>
          <w:shd w:val="clear" w:color="auto" w:fill="FFFFFF"/>
          <w:lang w:val="zh-CN"/>
        </w:rPr>
        <w:t>管理办法制定情况，资金支持具体项目的条件、范围与支持方式概况。</w:t>
      </w:r>
      <w:r>
        <w:rPr>
          <w:rFonts w:hint="eastAsia" w:ascii="仿宋_GB2312" w:hAnsi="仿宋_GB2312" w:eastAsia="仿宋_GB2312" w:cs="仿宋_GB2312"/>
          <w:color w:val="auto"/>
          <w:kern w:val="0"/>
          <w:sz w:val="32"/>
          <w:szCs w:val="32"/>
          <w:highlight w:val="none"/>
          <w:shd w:val="clear" w:color="auto" w:fill="FFFFFF"/>
          <w:lang w:val="zh-CN"/>
        </w:rPr>
        <w:t>资金使用范围：浙江大学继续教育学院培训费用。项目资金支持方式：严格按照与浙江大学继续教育学院签订的《浙江大学继续教育委托培训合同》约定条款执行。</w:t>
      </w:r>
    </w:p>
    <w:p>
      <w:pPr>
        <w:keepNext w:val="0"/>
        <w:keepLines w:val="0"/>
        <w:pageBreakBefore w:val="0"/>
        <w:widowControl/>
        <w:shd w:val="clear"/>
        <w:kinsoku/>
        <w:wordWrap/>
        <w:overflowPunct/>
        <w:topLinePunct w:val="0"/>
        <w:autoSpaceDE/>
        <w:autoSpaceDN/>
        <w:bidi w:val="0"/>
        <w:adjustRightInd w:val="0"/>
        <w:snapToGrid w:val="0"/>
        <w:spacing w:line="554" w:lineRule="exact"/>
        <w:ind w:firstLine="642"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4.资金分配的原则及考虑因素。</w:t>
      </w:r>
      <w:r>
        <w:rPr>
          <w:rFonts w:hint="eastAsia" w:ascii="仿宋_GB2312" w:hAnsi="仿宋_GB2312" w:eastAsia="仿宋_GB2312" w:cs="仿宋_GB2312"/>
          <w:color w:val="auto"/>
          <w:kern w:val="0"/>
          <w:sz w:val="32"/>
          <w:szCs w:val="32"/>
          <w:highlight w:val="none"/>
          <w:shd w:val="clear" w:color="auto" w:fill="FFFFFF"/>
        </w:rPr>
        <w:t>科学合理安排资金预算支出，实现资金落到实处，强化执行过程监督，总成本控制在14.5万元以内</w:t>
      </w:r>
      <w:r>
        <w:rPr>
          <w:rFonts w:hint="eastAsia" w:ascii="仿宋_GB2312" w:hAnsi="仿宋_GB2312" w:eastAsia="仿宋_GB2312" w:cs="仿宋_GB2312"/>
          <w:color w:val="auto"/>
          <w:kern w:val="0"/>
          <w:sz w:val="32"/>
          <w:szCs w:val="32"/>
          <w:highlight w:val="none"/>
          <w:shd w:val="clear" w:color="auto" w:fill="FFFFFF"/>
          <w:lang w:val="zh-CN"/>
        </w:rPr>
        <w:t>。</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1．项目主要内容</w:t>
      </w:r>
    </w:p>
    <w:p>
      <w:pPr>
        <w:keepNext w:val="0"/>
        <w:keepLines w:val="0"/>
        <w:pageBreakBefore w:val="0"/>
        <w:widowControl w:val="0"/>
        <w:shd w:val="clear"/>
        <w:kinsoku/>
        <w:wordWrap/>
        <w:overflowPunct/>
        <w:topLinePunct w:val="0"/>
        <w:autoSpaceDE/>
        <w:autoSpaceDN/>
        <w:bidi w:val="0"/>
        <w:adjustRightInd w:val="0"/>
        <w:snapToGrid w:val="0"/>
        <w:spacing w:after="0" w:line="554" w:lineRule="exact"/>
        <w:ind w:firstLine="624" w:firstLineChars="200"/>
        <w:jc w:val="both"/>
        <w:textAlignment w:val="auto"/>
        <w:rPr>
          <w:rFonts w:ascii="仿宋_GB2312" w:hAnsi="仿宋_GB2312" w:eastAsia="仿宋_GB2312" w:cs="仿宋_GB2312"/>
          <w:color w:val="auto"/>
          <w:spacing w:val="-4"/>
          <w:kern w:val="2"/>
          <w:sz w:val="32"/>
          <w:szCs w:val="32"/>
          <w:highlight w:val="none"/>
          <w:lang w:val="en-US" w:eastAsia="zh-CN" w:bidi="ar-SA"/>
        </w:rPr>
      </w:pPr>
      <w:r>
        <w:rPr>
          <w:rFonts w:hint="eastAsia" w:ascii="仿宋_GB2312" w:hAnsi="仿宋_GB2312" w:eastAsia="仿宋_GB2312" w:cs="仿宋_GB2312"/>
          <w:color w:val="auto"/>
          <w:spacing w:val="-4"/>
          <w:kern w:val="0"/>
          <w:sz w:val="32"/>
          <w:szCs w:val="32"/>
          <w:highlight w:val="none"/>
          <w:shd w:val="clear" w:color="auto" w:fill="FFFFFF"/>
          <w:lang w:val="zh-CN" w:eastAsia="zh-CN" w:bidi="ar-SA"/>
        </w:rPr>
        <w:t>各县区、市级部门以及国有企业共60人参加。通过“理论培训+现场教学+研讨交流”相结合的方式，学习海绵城市建设与城市更新理念、方法和主要工作等内容。学员反响热烈，对海绵城市建设有了更深的认识，进一步凝聚工作合力</w:t>
      </w:r>
      <w:r>
        <w:rPr>
          <w:rFonts w:hint="eastAsia" w:ascii="仿宋_GB2312" w:hAnsi="仿宋_GB2312" w:eastAsia="仿宋_GB2312" w:cs="仿宋_GB2312"/>
          <w:color w:val="auto"/>
          <w:spacing w:val="-4"/>
          <w:kern w:val="2"/>
          <w:sz w:val="32"/>
          <w:szCs w:val="32"/>
          <w:highlight w:val="none"/>
          <w:lang w:val="en-US" w:eastAsia="zh-CN" w:bidi="ar-SA"/>
        </w:rPr>
        <w:t>。</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数量指标已完成，培训人数</w:t>
      </w:r>
      <w:r>
        <w:rPr>
          <w:rFonts w:hint="eastAsia" w:ascii="仿宋_GB2312" w:hAnsi="仿宋_GB2312" w:eastAsia="仿宋_GB2312" w:cs="仿宋_GB2312"/>
          <w:color w:val="auto"/>
          <w:kern w:val="0"/>
          <w:sz w:val="32"/>
          <w:szCs w:val="32"/>
          <w:highlight w:val="none"/>
          <w:shd w:val="clear" w:color="auto" w:fill="FFFFFF"/>
        </w:rPr>
        <w:t>60人</w:t>
      </w:r>
      <w:r>
        <w:rPr>
          <w:rFonts w:hint="eastAsia" w:ascii="仿宋_GB2312" w:hAnsi="仿宋_GB2312" w:eastAsia="仿宋_GB2312" w:cs="仿宋_GB2312"/>
          <w:color w:val="auto"/>
          <w:kern w:val="0"/>
          <w:sz w:val="32"/>
          <w:szCs w:val="32"/>
          <w:highlight w:val="none"/>
          <w:shd w:val="clear" w:color="auto" w:fill="FFFFFF"/>
          <w:lang w:val="zh-CN"/>
        </w:rPr>
        <w:t>；质量指标已完成，学员参训率≥</w:t>
      </w:r>
      <w:r>
        <w:rPr>
          <w:rFonts w:hint="eastAsia" w:ascii="仿宋_GB2312" w:hAnsi="仿宋_GB2312" w:eastAsia="仿宋_GB2312" w:cs="仿宋_GB2312"/>
          <w:color w:val="auto"/>
          <w:kern w:val="0"/>
          <w:sz w:val="32"/>
          <w:szCs w:val="32"/>
          <w:highlight w:val="none"/>
          <w:shd w:val="clear" w:color="auto" w:fill="FFFFFF"/>
        </w:rPr>
        <w:t>95%</w:t>
      </w:r>
      <w:r>
        <w:rPr>
          <w:rFonts w:hint="eastAsia" w:ascii="仿宋_GB2312" w:hAnsi="仿宋_GB2312" w:eastAsia="仿宋_GB2312" w:cs="仿宋_GB2312"/>
          <w:color w:val="auto"/>
          <w:kern w:val="0"/>
          <w:sz w:val="32"/>
          <w:szCs w:val="32"/>
          <w:highlight w:val="none"/>
          <w:shd w:val="clear" w:color="auto" w:fill="FFFFFF"/>
          <w:lang w:val="zh-CN"/>
        </w:rPr>
        <w:t>；时效指标已完成，培训时间</w:t>
      </w:r>
      <w:r>
        <w:rPr>
          <w:rFonts w:hint="eastAsia" w:ascii="仿宋_GB2312" w:hAnsi="仿宋_GB2312" w:eastAsia="仿宋_GB2312" w:cs="仿宋_GB2312"/>
          <w:color w:val="auto"/>
          <w:kern w:val="0"/>
          <w:sz w:val="32"/>
          <w:szCs w:val="32"/>
          <w:highlight w:val="none"/>
          <w:shd w:val="clear" w:color="auto" w:fill="FFFFFF"/>
        </w:rPr>
        <w:t>7</w:t>
      </w:r>
      <w:r>
        <w:rPr>
          <w:rFonts w:hint="eastAsia" w:ascii="Calibri" w:hAnsi="Calibri" w:eastAsia="仿宋_GB2312" w:cs="仿宋_GB2312"/>
          <w:color w:val="auto"/>
          <w:kern w:val="0"/>
          <w:sz w:val="32"/>
          <w:szCs w:val="32"/>
          <w:highlight w:val="none"/>
          <w:shd w:val="clear" w:color="auto" w:fill="FFFFFF"/>
        </w:rPr>
        <w:t>天</w:t>
      </w:r>
      <w:r>
        <w:rPr>
          <w:rFonts w:hint="eastAsia" w:ascii="仿宋_GB2312" w:hAnsi="仿宋_GB2312" w:eastAsia="仿宋_GB2312" w:cs="仿宋_GB2312"/>
          <w:color w:val="auto"/>
          <w:kern w:val="0"/>
          <w:sz w:val="32"/>
          <w:szCs w:val="32"/>
          <w:highlight w:val="none"/>
          <w:shd w:val="clear" w:color="auto" w:fill="FFFFFF"/>
        </w:rPr>
        <w:t>，满足预期时限要求；成本指标已完成，最终培训费用为14.5万元；社会效益指标已完成，提高海绵城市建设及城市更新工作质效；满意度指标已完成，学员对培训工作满意度100%。分析评价申报内容与实际相符，申报目标合理可行。</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宋体" w:eastAsia="仿宋_GB2312" w:cs="Times New Roman"/>
          <w:color w:val="auto"/>
          <w:sz w:val="32"/>
          <w:szCs w:val="32"/>
          <w:highlight w:val="none"/>
          <w:lang w:val="zh-CN"/>
        </w:rPr>
        <w:t>根据《广元市财政局关于开展</w:t>
      </w:r>
      <w:r>
        <w:rPr>
          <w:rFonts w:hint="eastAsia" w:ascii="仿宋_GB2312" w:hAnsi="宋体" w:eastAsia="仿宋_GB2312" w:cs="Times New Roman"/>
          <w:color w:val="auto"/>
          <w:sz w:val="32"/>
          <w:szCs w:val="32"/>
          <w:highlight w:val="none"/>
        </w:rPr>
        <w:t>2022年度市级部门绩效自评工作的通知</w:t>
      </w:r>
      <w:r>
        <w:rPr>
          <w:rFonts w:hint="eastAsia" w:ascii="仿宋_GB2312" w:hAnsi="宋体" w:eastAsia="仿宋_GB2312" w:cs="Times New Roman"/>
          <w:color w:val="auto"/>
          <w:sz w:val="32"/>
          <w:szCs w:val="32"/>
          <w:highlight w:val="none"/>
          <w:lang w:val="zh-CN"/>
        </w:rPr>
        <w:t>》（广财绩</w:t>
      </w:r>
      <w:r>
        <w:rPr>
          <w:rFonts w:hint="eastAsia" w:ascii="方正隶书_GBK" w:hAnsi="方正隶书_GBK" w:eastAsia="方正隶书_GBK" w:cs="方正隶书_GBK"/>
          <w:color w:val="auto"/>
          <w:sz w:val="32"/>
          <w:szCs w:val="32"/>
          <w:highlight w:val="none"/>
          <w:lang w:val="zh-CN"/>
        </w:rPr>
        <w:t>〔</w:t>
      </w:r>
      <w:r>
        <w:rPr>
          <w:rFonts w:hint="eastAsia" w:ascii="仿宋_GB2312" w:hAnsi="宋体" w:eastAsia="仿宋_GB2312" w:cs="Times New Roman"/>
          <w:color w:val="auto"/>
          <w:sz w:val="32"/>
          <w:szCs w:val="32"/>
          <w:highlight w:val="none"/>
        </w:rPr>
        <w:t>2023〕5号</w:t>
      </w:r>
      <w:r>
        <w:rPr>
          <w:rFonts w:hint="eastAsia" w:ascii="仿宋_GB2312" w:hAnsi="宋体" w:eastAsia="仿宋_GB2312" w:cs="Times New Roman"/>
          <w:color w:val="auto"/>
          <w:sz w:val="32"/>
          <w:szCs w:val="32"/>
          <w:highlight w:val="none"/>
          <w:lang w:val="zh-CN"/>
        </w:rPr>
        <w:t>）精神，按照项目支出绩效评价指标体系内容，</w:t>
      </w:r>
      <w:r>
        <w:rPr>
          <w:rFonts w:hint="eastAsia" w:ascii="仿宋_GB2312" w:hAnsi="仿宋_GB2312" w:eastAsia="仿宋_GB2312" w:cs="仿宋_GB2312"/>
          <w:color w:val="auto"/>
          <w:kern w:val="0"/>
          <w:sz w:val="32"/>
          <w:szCs w:val="32"/>
          <w:highlight w:val="none"/>
          <w:shd w:val="clear" w:color="auto" w:fill="FFFFFF"/>
          <w:lang w:val="zh-CN"/>
        </w:rPr>
        <w:t>由业务科室草拟自评报告，分别报分管领导、主要领导审阅后再报送。</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outlineLvl w:val="1"/>
        <w:rPr>
          <w:rFonts w:ascii="黑体" w:hAnsi="宋体" w:eastAsia="黑体" w:cs="Times New Roman"/>
          <w:color w:val="auto"/>
          <w:sz w:val="32"/>
          <w:szCs w:val="32"/>
          <w:highlight w:val="none"/>
        </w:rPr>
      </w:pPr>
      <w:bookmarkStart w:id="319" w:name="_Toc7976"/>
      <w:bookmarkStart w:id="320" w:name="_Toc1687409231_WPSOffice_Level2"/>
      <w:bookmarkStart w:id="321" w:name="_Toc1644159181_WPSOffice_Level2"/>
      <w:r>
        <w:rPr>
          <w:rFonts w:hint="eastAsia" w:ascii="黑体" w:hAnsi="宋体" w:eastAsia="黑体" w:cs="Times New Roman"/>
          <w:color w:val="auto"/>
          <w:sz w:val="32"/>
          <w:szCs w:val="32"/>
          <w:highlight w:val="none"/>
        </w:rPr>
        <w:t>二、项目资金申报及使用情况</w:t>
      </w:r>
      <w:bookmarkEnd w:id="319"/>
      <w:bookmarkEnd w:id="320"/>
      <w:bookmarkEnd w:id="321"/>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2"/>
          <w:sz w:val="32"/>
          <w:szCs w:val="32"/>
          <w:highlight w:val="none"/>
          <w:lang w:val="zh-CN" w:eastAsia="zh-CN" w:bidi="ar-SA"/>
        </w:rPr>
        <w:t>根据</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广元市财政局关于开展</w:t>
      </w:r>
      <w:r>
        <w:rPr>
          <w:rFonts w:hint="eastAsia" w:ascii="仿宋_GB2312" w:hAnsi="仿宋_GB2312" w:eastAsia="仿宋_GB2312" w:cs="仿宋_GB2312"/>
          <w:color w:val="auto"/>
          <w:kern w:val="2"/>
          <w:sz w:val="32"/>
          <w:szCs w:val="32"/>
          <w:highlight w:val="none"/>
          <w:lang w:val="en-US" w:eastAsia="zh-CN" w:bidi="ar-SA"/>
        </w:rPr>
        <w:t>2022年度市级部门绩效自评工作的通知》（广财绩〔2023〕5号）要求，我局积极组织各项目单位开展项目自评工作，按照项目年初绩效目标申报表一一对照完成情况，以及《2023年市级专项资金预算项目支出绩效评价指标体系》进行自评打分，并撰写市级专项资金预算项目支出绩效自评报告，报主管部门审核后汇总。</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keepNext w:val="0"/>
        <w:keepLines w:val="0"/>
        <w:pageBreakBefore w:val="0"/>
        <w:widowControl/>
        <w:shd w:val="clear"/>
        <w:kinsoku/>
        <w:wordWrap/>
        <w:overflowPunct/>
        <w:topLinePunct w:val="0"/>
        <w:autoSpaceDE/>
        <w:autoSpaceDN/>
        <w:bidi w:val="0"/>
        <w:adjustRightInd w:val="0"/>
        <w:snapToGrid w:val="0"/>
        <w:spacing w:line="554" w:lineRule="exact"/>
        <w:ind w:firstLine="642"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1.</w:t>
      </w:r>
      <w:r>
        <w:rPr>
          <w:rFonts w:hint="eastAsia" w:ascii="仿宋_GB2312" w:hAnsi="仿宋_GB2312" w:eastAsia="仿宋_GB2312" w:cs="仿宋_GB2312"/>
          <w:b/>
          <w:bCs/>
          <w:color w:val="auto"/>
          <w:kern w:val="0"/>
          <w:sz w:val="32"/>
          <w:szCs w:val="32"/>
          <w:highlight w:val="none"/>
          <w:shd w:val="clear" w:color="auto" w:fill="FFFFFF"/>
          <w:lang w:val="zh-CN"/>
        </w:rPr>
        <w:t>资金计划。</w:t>
      </w:r>
      <w:r>
        <w:rPr>
          <w:rFonts w:hint="eastAsia" w:ascii="仿宋_GB2312" w:hAnsi="仿宋_GB2312" w:eastAsia="仿宋_GB2312" w:cs="仿宋_GB2312"/>
          <w:color w:val="auto"/>
          <w:kern w:val="0"/>
          <w:sz w:val="32"/>
          <w:szCs w:val="32"/>
          <w:highlight w:val="none"/>
          <w:shd w:val="clear" w:color="auto" w:fill="FFFFFF"/>
        </w:rPr>
        <w:t>2022年项目计划资金14.5万元。</w:t>
      </w:r>
    </w:p>
    <w:p>
      <w:pPr>
        <w:keepNext w:val="0"/>
        <w:keepLines w:val="0"/>
        <w:pageBreakBefore w:val="0"/>
        <w:widowControl/>
        <w:shd w:val="clear"/>
        <w:kinsoku/>
        <w:wordWrap/>
        <w:overflowPunct/>
        <w:topLinePunct w:val="0"/>
        <w:autoSpaceDE/>
        <w:autoSpaceDN/>
        <w:bidi w:val="0"/>
        <w:adjustRightInd w:val="0"/>
        <w:snapToGrid w:val="0"/>
        <w:spacing w:line="554" w:lineRule="exact"/>
        <w:ind w:firstLine="642" w:firstLineChars="200"/>
        <w:jc w:val="both"/>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2.</w:t>
      </w:r>
      <w:r>
        <w:rPr>
          <w:rFonts w:hint="eastAsia" w:ascii="仿宋_GB2312" w:hAnsi="仿宋_GB2312" w:eastAsia="仿宋_GB2312" w:cs="仿宋_GB2312"/>
          <w:b/>
          <w:bCs/>
          <w:color w:val="auto"/>
          <w:kern w:val="0"/>
          <w:sz w:val="32"/>
          <w:szCs w:val="32"/>
          <w:highlight w:val="none"/>
          <w:shd w:val="clear" w:color="auto" w:fill="FFFFFF"/>
          <w:lang w:val="zh-CN"/>
        </w:rPr>
        <w:t>资金到位。</w:t>
      </w:r>
      <w:r>
        <w:rPr>
          <w:rFonts w:hint="eastAsia" w:ascii="仿宋_GB2312" w:hAnsi="仿宋_GB2312" w:eastAsia="仿宋_GB2312" w:cs="仿宋_GB2312"/>
          <w:color w:val="auto"/>
          <w:kern w:val="0"/>
          <w:sz w:val="32"/>
          <w:szCs w:val="32"/>
          <w:highlight w:val="none"/>
          <w:shd w:val="clear" w:color="auto" w:fill="FFFFFF"/>
        </w:rPr>
        <w:t>2022年到位财政资金14.5万元。</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3.</w:t>
      </w:r>
      <w:r>
        <w:rPr>
          <w:rFonts w:hint="eastAsia" w:ascii="仿宋_GB2312" w:hAnsi="仿宋_GB2312" w:eastAsia="仿宋_GB2312" w:cs="仿宋_GB2312"/>
          <w:b/>
          <w:bCs/>
          <w:color w:val="auto"/>
          <w:kern w:val="0"/>
          <w:sz w:val="32"/>
          <w:szCs w:val="32"/>
          <w:highlight w:val="none"/>
          <w:shd w:val="clear" w:color="auto" w:fill="FFFFFF"/>
          <w:lang w:val="zh-CN"/>
        </w:rPr>
        <w:t>资金使用。</w:t>
      </w:r>
      <w:r>
        <w:rPr>
          <w:rFonts w:hint="eastAsia" w:ascii="仿宋_GB2312" w:hAnsi="仿宋_GB2312" w:eastAsia="仿宋_GB2312" w:cs="仿宋_GB2312"/>
          <w:color w:val="auto"/>
          <w:kern w:val="0"/>
          <w:sz w:val="32"/>
          <w:szCs w:val="32"/>
          <w:highlight w:val="none"/>
          <w:shd w:val="clear" w:color="auto" w:fill="FFFFFF"/>
          <w:lang w:val="zh-CN"/>
        </w:rPr>
        <w:t>严格按照与浙江大学继续教育学院签订的《浙江大学继续教育委托培训合同》约定条款执行，目前已按照项目进度拨付合同金额的</w:t>
      </w:r>
      <w:r>
        <w:rPr>
          <w:rFonts w:hint="eastAsia" w:ascii="仿宋_GB2312" w:hAnsi="仿宋_GB2312" w:eastAsia="仿宋_GB2312" w:cs="仿宋_GB2312"/>
          <w:color w:val="auto"/>
          <w:kern w:val="0"/>
          <w:sz w:val="32"/>
          <w:szCs w:val="32"/>
          <w:highlight w:val="none"/>
          <w:shd w:val="clear" w:color="auto" w:fill="FFFFFF"/>
        </w:rPr>
        <w:t>100%，为14.5万元</w:t>
      </w:r>
      <w:r>
        <w:rPr>
          <w:rFonts w:hint="eastAsia" w:ascii="仿宋_GB2312" w:hAnsi="仿宋_GB2312" w:eastAsia="仿宋_GB2312" w:cs="仿宋_GB2312"/>
          <w:color w:val="auto"/>
          <w:kern w:val="0"/>
          <w:sz w:val="32"/>
          <w:szCs w:val="32"/>
          <w:highlight w:val="none"/>
          <w:shd w:val="clear" w:color="auto" w:fill="FFFFFF"/>
          <w:lang w:val="zh-CN"/>
        </w:rPr>
        <w:t>。资金支付范围、支付标准、支付进度、支付依据等合规合法、与预算相符。</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在项目资金管理上，严格按照我局《内部控制制度》相关规定执行，做到了专款专用、财务处理准确、及时、规范。</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outlineLvl w:val="1"/>
        <w:rPr>
          <w:rFonts w:ascii="黑体" w:hAnsi="宋体" w:eastAsia="黑体" w:cs="Times New Roman"/>
          <w:color w:val="auto"/>
          <w:sz w:val="32"/>
          <w:szCs w:val="32"/>
          <w:highlight w:val="none"/>
        </w:rPr>
      </w:pPr>
      <w:bookmarkStart w:id="322" w:name="_Toc367998147_WPSOffice_Level2"/>
      <w:bookmarkStart w:id="323" w:name="_Toc1569973889_WPSOffice_Level2"/>
      <w:bookmarkStart w:id="324" w:name="_Toc32440"/>
      <w:r>
        <w:rPr>
          <w:rFonts w:hint="eastAsia" w:ascii="黑体" w:hAnsi="宋体" w:eastAsia="黑体" w:cs="Times New Roman"/>
          <w:color w:val="auto"/>
          <w:sz w:val="32"/>
          <w:szCs w:val="32"/>
          <w:highlight w:val="none"/>
        </w:rPr>
        <w:t>三、项目实施及管理情况</w:t>
      </w:r>
      <w:bookmarkEnd w:id="322"/>
      <w:bookmarkEnd w:id="323"/>
      <w:bookmarkEnd w:id="324"/>
    </w:p>
    <w:p>
      <w:pPr>
        <w:keepNext w:val="0"/>
        <w:keepLines w:val="0"/>
        <w:pageBreakBefore w:val="0"/>
        <w:numPr>
          <w:ilvl w:val="0"/>
          <w:numId w:val="0"/>
        </w:numPr>
        <w:shd w:val="clear"/>
        <w:kinsoku/>
        <w:wordWrap/>
        <w:overflowPunct/>
        <w:topLinePunct w:val="0"/>
        <w:autoSpaceDE/>
        <w:autoSpaceDN/>
        <w:bidi w:val="0"/>
        <w:adjustRightInd w:val="0"/>
        <w:snapToGrid w:val="0"/>
        <w:spacing w:line="554"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after="0" w:line="554" w:lineRule="exact"/>
        <w:ind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zh-CN"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一是项目承办业务科室组织培训工作；</w:t>
      </w: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二是</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我局与浙江大学继续教育学院签订《浙江大学继续教育委托培训合同》；</w:t>
      </w: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三是</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培训完成后，根据合同约定条款按进度拨付资金。</w:t>
      </w:r>
    </w:p>
    <w:p>
      <w:pPr>
        <w:keepNext w:val="0"/>
        <w:keepLines w:val="0"/>
        <w:pageBreakBefore w:val="0"/>
        <w:shd w:val="clear"/>
        <w:kinsoku/>
        <w:wordWrap/>
        <w:overflowPunct/>
        <w:topLinePunct w:val="0"/>
        <w:autoSpaceDE/>
        <w:autoSpaceDN/>
        <w:bidi w:val="0"/>
        <w:adjustRightInd w:val="0"/>
        <w:snapToGrid w:val="0"/>
        <w:spacing w:line="554" w:lineRule="exact"/>
        <w:ind w:left="420" w:left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（二）项目管理情况</w:t>
      </w:r>
    </w:p>
    <w:p>
      <w:pPr>
        <w:keepNext w:val="0"/>
        <w:keepLines w:val="0"/>
        <w:pageBreakBefore w:val="0"/>
        <w:widowControl/>
        <w:shd w:val="clear"/>
        <w:kinsoku/>
        <w:wordWrap/>
        <w:overflowPunct/>
        <w:topLinePunct w:val="0"/>
        <w:autoSpaceDE/>
        <w:autoSpaceDN/>
        <w:bidi w:val="0"/>
        <w:adjustRightInd w:val="0"/>
        <w:snapToGrid w:val="0"/>
        <w:spacing w:line="554" w:lineRule="exact"/>
        <w:ind w:firstLine="640" w:firstLineChars="200"/>
        <w:jc w:val="both"/>
        <w:textAlignment w:val="auto"/>
        <w:rPr>
          <w:rFonts w:hint="eastAsia" w:ascii="楷体_GB2312" w:hAnsi="宋体" w:eastAsia="楷体_GB2312" w:cs="Times New Roman"/>
          <w:color w:val="auto"/>
          <w:sz w:val="32"/>
          <w:szCs w:val="32"/>
          <w:highlight w:val="none"/>
          <w:lang w:val="zh-CN"/>
        </w:rPr>
      </w:pPr>
      <w:r>
        <w:rPr>
          <w:rFonts w:hint="eastAsia" w:ascii="仿宋_GB2312" w:hAnsi="仿宋_GB2312" w:eastAsia="仿宋_GB2312" w:cs="仿宋_GB2312"/>
          <w:color w:val="auto"/>
          <w:kern w:val="0"/>
          <w:sz w:val="32"/>
          <w:szCs w:val="32"/>
          <w:highlight w:val="none"/>
          <w:shd w:val="clear" w:color="auto" w:fill="FFFFFF"/>
        </w:rPr>
        <w:t>此项目为委托培训服务，指定培训单位，</w:t>
      </w:r>
      <w:r>
        <w:rPr>
          <w:rFonts w:hint="eastAsia" w:ascii="仿宋_GB2312" w:hAnsi="仿宋_GB2312" w:eastAsia="仿宋_GB2312" w:cs="仿宋_GB2312"/>
          <w:color w:val="auto"/>
          <w:kern w:val="0"/>
          <w:sz w:val="32"/>
          <w:szCs w:val="32"/>
          <w:highlight w:val="none"/>
          <w:shd w:val="clear" w:color="auto" w:fill="FFFFFF"/>
          <w:lang w:val="zh-CN"/>
        </w:rPr>
        <w:t>我局与浙江大学继续教育学院签订</w:t>
      </w:r>
      <w:r>
        <w:rPr>
          <w:rFonts w:hint="eastAsia" w:ascii="Times New Roman" w:hAnsi="仿宋_GB2312" w:eastAsia="仿宋_GB2312" w:cs="仿宋_GB2312"/>
          <w:color w:val="auto"/>
          <w:kern w:val="0"/>
          <w:sz w:val="32"/>
          <w:szCs w:val="32"/>
          <w:highlight w:val="none"/>
          <w:shd w:val="clear" w:color="auto" w:fill="FFFFFF"/>
          <w:lang w:val="zh-CN"/>
        </w:rPr>
        <w:t>《浙江大学继续教育委托培训合同》</w:t>
      </w:r>
      <w:r>
        <w:rPr>
          <w:rFonts w:hint="eastAsia" w:ascii="仿宋_GB2312" w:hAnsi="仿宋_GB2312" w:eastAsia="仿宋_GB2312" w:cs="仿宋_GB2312"/>
          <w:color w:val="auto"/>
          <w:kern w:val="0"/>
          <w:sz w:val="32"/>
          <w:szCs w:val="32"/>
          <w:highlight w:val="none"/>
          <w:shd w:val="clear" w:color="auto" w:fill="FFFFFF"/>
        </w:rPr>
        <w:t>。</w:t>
      </w:r>
    </w:p>
    <w:p>
      <w:pPr>
        <w:keepNext w:val="0"/>
        <w:keepLines w:val="0"/>
        <w:pageBreakBefore w:val="0"/>
        <w:shd w:val="clear"/>
        <w:kinsoku/>
        <w:wordWrap/>
        <w:overflowPunct/>
        <w:topLinePunct w:val="0"/>
        <w:autoSpaceDE/>
        <w:autoSpaceDN/>
        <w:bidi w:val="0"/>
        <w:adjustRightInd w:val="0"/>
        <w:snapToGrid w:val="0"/>
        <w:spacing w:line="554" w:lineRule="exact"/>
        <w:ind w:left="420" w:left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（三）项目监管情况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我局组织人员对培训工作进行监督。</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outlineLvl w:val="1"/>
        <w:rPr>
          <w:rFonts w:ascii="仿宋_GB2312" w:hAnsi="宋体" w:eastAsia="仿宋_GB2312" w:cs="Times New Roman"/>
          <w:color w:val="auto"/>
          <w:sz w:val="32"/>
          <w:szCs w:val="32"/>
          <w:highlight w:val="none"/>
          <w:lang w:val="zh-CN"/>
        </w:rPr>
      </w:pPr>
      <w:bookmarkStart w:id="325" w:name="_Toc6562"/>
      <w:bookmarkStart w:id="326" w:name="_Toc1029534527_WPSOffice_Level2"/>
      <w:bookmarkStart w:id="327" w:name="_Toc1052080169_WPSOffice_Level2"/>
      <w:r>
        <w:rPr>
          <w:rFonts w:hint="eastAsia" w:ascii="黑体" w:hAnsi="宋体" w:eastAsia="黑体" w:cs="Times New Roman"/>
          <w:color w:val="auto"/>
          <w:sz w:val="32"/>
          <w:szCs w:val="32"/>
          <w:highlight w:val="none"/>
        </w:rPr>
        <w:t>四、项目绩效情况</w:t>
      </w:r>
      <w:bookmarkEnd w:id="325"/>
      <w:bookmarkEnd w:id="326"/>
      <w:bookmarkEnd w:id="327"/>
      <w:r>
        <w:rPr>
          <w:rFonts w:hint="eastAsia" w:ascii="仿宋_GB2312" w:hAnsi="宋体" w:eastAsia="仿宋_GB2312" w:cs="Times New Roman"/>
          <w:color w:val="auto"/>
          <w:sz w:val="32"/>
          <w:szCs w:val="32"/>
          <w:highlight w:val="none"/>
          <w:lang w:val="zh-CN"/>
        </w:rPr>
        <w:tab/>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已完成项目目标任务，通过“理论培训+现场教学+研讨交流”相结合的方式，学习海绵城市建设与城市更新理念、方法和主要工作等内容。学员反响热烈，对海绵城市建设有了更深的认识，进一步凝聚工作合力。培训合同价为14.5万元，资金结余0万元。</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rPr>
        <w:t>项目产生的</w:t>
      </w:r>
      <w:r>
        <w:rPr>
          <w:rFonts w:hint="eastAsia" w:ascii="仿宋_GB2312" w:hAnsi="仿宋_GB2312" w:eastAsia="仿宋_GB2312" w:cs="仿宋_GB2312"/>
          <w:color w:val="auto"/>
          <w:kern w:val="0"/>
          <w:sz w:val="32"/>
          <w:szCs w:val="32"/>
          <w:highlight w:val="none"/>
          <w:shd w:val="clear" w:color="auto" w:fill="FFFFFF"/>
          <w:lang w:val="zh-CN"/>
        </w:rPr>
        <w:t>社会效益、生态效益、可持续效益较好，满意度高，达到预期的效益。</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outlineLvl w:val="1"/>
        <w:rPr>
          <w:rFonts w:hint="eastAsia" w:ascii="黑体" w:hAnsi="宋体" w:eastAsia="黑体" w:cs="Times New Roman"/>
          <w:color w:val="auto"/>
          <w:sz w:val="32"/>
          <w:szCs w:val="32"/>
          <w:highlight w:val="none"/>
        </w:rPr>
      </w:pPr>
      <w:bookmarkStart w:id="328" w:name="_Toc6405"/>
      <w:bookmarkStart w:id="329" w:name="_Toc1693960192_WPSOffice_Level2"/>
      <w:bookmarkStart w:id="330" w:name="_Toc307160536_WPSOffice_Level2"/>
      <w:r>
        <w:rPr>
          <w:rFonts w:hint="eastAsia" w:ascii="黑体" w:hAnsi="宋体" w:eastAsia="黑体" w:cs="Times New Roman"/>
          <w:color w:val="auto"/>
          <w:sz w:val="32"/>
          <w:szCs w:val="32"/>
          <w:highlight w:val="none"/>
        </w:rPr>
        <w:t>五、评价结论及建议</w:t>
      </w:r>
      <w:bookmarkEnd w:id="328"/>
      <w:bookmarkEnd w:id="329"/>
      <w:bookmarkEnd w:id="330"/>
      <w:r>
        <w:rPr>
          <w:rFonts w:hint="eastAsia" w:ascii="黑体" w:hAnsi="宋体" w:eastAsia="黑体" w:cs="Times New Roman"/>
          <w:color w:val="auto"/>
          <w:sz w:val="32"/>
          <w:szCs w:val="32"/>
          <w:highlight w:val="none"/>
        </w:rPr>
        <w:tab/>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rPr>
        <w:t>此次培训学员参训率较高，培训费用合理且无超范围支出，采取“理论培训+现场教学+研讨交流”相结合的方式，遴选浙江大学校内外具有丰富教学和实践经验的优秀教师授课，培训效果较好，进一步夯实海绵城市建设和城市更新工作管理人员的理论基础，有力于提高我市海绵城市建设与城市更新工作水平。</w:t>
      </w:r>
      <w:r>
        <w:rPr>
          <w:rFonts w:hint="eastAsia" w:ascii="仿宋_GB2312" w:hAnsi="仿宋_GB2312" w:eastAsia="仿宋_GB2312" w:cs="仿宋_GB2312"/>
          <w:color w:val="auto"/>
          <w:kern w:val="0"/>
          <w:sz w:val="32"/>
          <w:szCs w:val="32"/>
          <w:highlight w:val="none"/>
          <w:shd w:val="clear" w:color="auto" w:fill="FFFFFF"/>
          <w:lang w:eastAsia="zh-CN"/>
        </w:rPr>
        <w:t>自评得分</w:t>
      </w:r>
      <w:r>
        <w:rPr>
          <w:rFonts w:hint="eastAsia" w:ascii="仿宋_GB2312" w:hAnsi="仿宋_GB2312" w:eastAsia="仿宋_GB2312" w:cs="仿宋_GB2312"/>
          <w:color w:val="auto"/>
          <w:kern w:val="0"/>
          <w:sz w:val="32"/>
          <w:szCs w:val="32"/>
          <w:highlight w:val="none"/>
          <w:shd w:val="clear" w:color="auto" w:fill="FFFFFF"/>
          <w:lang w:val="en-US" w:eastAsia="zh-CN"/>
        </w:rPr>
        <w:t>100分。</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无。</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after="0" w:line="554" w:lineRule="exact"/>
        <w:ind w:firstLine="640" w:firstLineChars="200"/>
        <w:jc w:val="both"/>
        <w:textAlignment w:val="auto"/>
        <w:rPr>
          <w:rFonts w:hint="eastAsia" w:ascii="仿宋_GB2312" w:hAnsi="Times New Roman" w:eastAsia="仿宋_GB2312" w:cs="Times New Roman"/>
          <w:color w:val="auto"/>
          <w:spacing w:val="-4"/>
          <w:kern w:val="2"/>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建议常态化组织海绵城市专题培训，全方位提高我市海绵城市建设水平。</w:t>
      </w: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76" w:lineRule="exact"/>
        <w:jc w:val="center"/>
        <w:textAlignment w:val="auto"/>
        <w:outlineLvl w:val="1"/>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pPr>
      <w:bookmarkStart w:id="331" w:name="_Toc1533566600_WPSOffice_Level2"/>
      <w:bookmarkStart w:id="332" w:name="_Toc422507830_WPSOffice_Level2"/>
      <w:bookmarkStart w:id="333" w:name="_Toc29608"/>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西湾水厂取水工程迁建项目支出绩效自评报告</w:t>
      </w:r>
      <w:bookmarkEnd w:id="331"/>
      <w:bookmarkEnd w:id="332"/>
      <w:bookmarkEnd w:id="333"/>
    </w:p>
    <w:p>
      <w:pPr>
        <w:keepNext w:val="0"/>
        <w:keepLines w:val="0"/>
        <w:pageBreakBefore w:val="0"/>
        <w:widowControl w:val="0"/>
        <w:shd w:val="clear"/>
        <w:kinsoku/>
        <w:wordWrap/>
        <w:overflowPunct/>
        <w:topLinePunct w:val="0"/>
        <w:autoSpaceDE/>
        <w:autoSpaceDN/>
        <w:bidi w:val="0"/>
        <w:spacing w:line="576"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lang w:val="zh-CN"/>
        </w:rPr>
      </w:pPr>
      <w:bookmarkStart w:id="334" w:name="_Toc683597751_WPSOffice_Level2"/>
      <w:bookmarkStart w:id="335" w:name="_Toc1484075099_WPSOffice_Level2"/>
      <w:bookmarkStart w:id="336" w:name="_Toc15812"/>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334"/>
      <w:bookmarkEnd w:id="335"/>
      <w:bookmarkEnd w:id="336"/>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（一）项目基本情况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1.项目主管部门在该项目管理中的职能。</w:t>
      </w:r>
      <w:r>
        <w:rPr>
          <w:rFonts w:hint="eastAsia" w:ascii="仿宋_GB2312" w:hAnsi="仿宋_GB2312" w:eastAsia="仿宋_GB2312" w:cs="仿宋_GB2312"/>
          <w:color w:val="auto"/>
          <w:sz w:val="32"/>
          <w:szCs w:val="32"/>
          <w:highlight w:val="none"/>
          <w:lang w:val="en-US" w:eastAsia="zh-CN"/>
        </w:rPr>
        <w:t>西湾水厂取水工程迁建项目实施单位为</w:t>
      </w:r>
      <w:r>
        <w:rPr>
          <w:rFonts w:hint="eastAsia" w:ascii="仿宋_GB2312" w:hAnsi="仿宋_GB2312" w:eastAsia="仿宋_GB2312" w:cs="仿宋_GB2312"/>
          <w:color w:val="auto"/>
          <w:sz w:val="32"/>
          <w:szCs w:val="32"/>
          <w:highlight w:val="none"/>
          <w:lang w:val="en" w:eastAsia="zh-CN"/>
        </w:rPr>
        <w:t>广元市城市发展集团有限公司，主管部门</w:t>
      </w:r>
      <w:r>
        <w:rPr>
          <w:rFonts w:hint="eastAsia" w:ascii="仿宋_GB2312" w:hAnsi="仿宋_GB2312" w:eastAsia="仿宋_GB2312" w:cs="仿宋_GB2312"/>
          <w:color w:val="auto"/>
          <w:sz w:val="32"/>
          <w:szCs w:val="32"/>
          <w:highlight w:val="none"/>
          <w:lang w:val="en-US" w:eastAsia="zh-CN"/>
        </w:rPr>
        <w:t>为广元市住房和城乡建设局，负责全流程监督该项目实施。</w:t>
      </w:r>
    </w:p>
    <w:p>
      <w:pPr>
        <w:keepNext w:val="0"/>
        <w:keepLines w:val="0"/>
        <w:pageBreakBefore w:val="0"/>
        <w:widowControl w:val="0"/>
        <w:shd w:val="clear"/>
        <w:kinsoku/>
        <w:wordWrap/>
        <w:overflowPunct/>
        <w:topLinePunct w:val="0"/>
        <w:autoSpaceDE/>
        <w:autoSpaceDN/>
        <w:bidi w:val="0"/>
        <w:spacing w:after="120" w:line="576" w:lineRule="exact"/>
        <w:ind w:left="0" w:leftChars="0" w:firstLine="640" w:firstLineChars="0"/>
        <w:jc w:val="both"/>
        <w:textAlignment w:val="auto"/>
        <w:rPr>
          <w:rFonts w:hint="default" w:ascii="楷体_GB2312" w:hAnsi="楷体_GB2312" w:eastAsia="楷体_GB2312" w:cs="楷体_GB2312"/>
          <w:color w:val="auto"/>
          <w:kern w:val="2"/>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2.项目立项、资金申报的依据。</w:t>
      </w:r>
      <w:r>
        <w:rPr>
          <w:rFonts w:hint="eastAsia" w:ascii="仿宋_GB2312" w:hAnsi="仿宋_GB2312" w:eastAsia="仿宋_GB2312" w:cs="仿宋_GB2312"/>
          <w:color w:val="auto"/>
          <w:kern w:val="2"/>
          <w:sz w:val="32"/>
          <w:szCs w:val="32"/>
          <w:highlight w:val="none"/>
          <w:lang w:val="en-US" w:eastAsia="zh-CN" w:bidi="ar-SA"/>
        </w:rPr>
        <w:t>为适应城市发展需要，强化城区用水安全，经七届市人民政府第90次常务会议审议同意实施西湾水厂取水工程迁建项目，项目建设资金纳入财政预算。</w:t>
      </w:r>
    </w:p>
    <w:p>
      <w:pPr>
        <w:keepNext w:val="0"/>
        <w:keepLines w:val="0"/>
        <w:pageBreakBefore w:val="0"/>
        <w:widowControl w:val="0"/>
        <w:shd w:val="clear"/>
        <w:kinsoku/>
        <w:wordWrap/>
        <w:overflowPunct/>
        <w:topLinePunct w:val="0"/>
        <w:autoSpaceDE/>
        <w:autoSpaceDN/>
        <w:bidi w:val="0"/>
        <w:spacing w:line="576" w:lineRule="exact"/>
        <w:ind w:firstLine="640"/>
        <w:textAlignment w:val="auto"/>
        <w:rPr>
          <w:rFonts w:hint="eastAsia" w:ascii="楷体_GB2312" w:hAnsi="楷体_GB2312" w:eastAsia="楷体_GB2312" w:cs="楷体_GB2312"/>
          <w:color w:val="auto"/>
          <w:sz w:val="32"/>
          <w:szCs w:val="32"/>
          <w:highlight w:val="none"/>
          <w:lang w:val="zh-CN"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或项目</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，对项目前期、施工、竣工验收、财务管理作了明确的规定。该项目严格按照预算申报、《广元市财政局关于下达基金指标的通知》（广财投〔2022〕36号）要求及单位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p>
    <w:p>
      <w:pPr>
        <w:keepNext w:val="0"/>
        <w:keepLines w:val="0"/>
        <w:pageBreakBefore w:val="0"/>
        <w:widowControl w:val="0"/>
        <w:shd w:val="clear"/>
        <w:kinsoku/>
        <w:wordWrap/>
        <w:overflowPunct/>
        <w:topLinePunct w:val="0"/>
        <w:autoSpaceDE/>
        <w:autoSpaceDN/>
        <w:bidi w:val="0"/>
        <w:spacing w:after="120" w:line="576" w:lineRule="exact"/>
        <w:ind w:left="0" w:leftChars="0" w:firstLine="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4.资金分配的原则及考虑因素。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项目主要内容。</w:t>
      </w:r>
      <w:r>
        <w:rPr>
          <w:rFonts w:hint="eastAsia" w:ascii="仿宋_GB2312" w:hAnsi="仿宋_GB2312" w:eastAsia="仿宋_GB2312" w:cs="仿宋_GB2312"/>
          <w:color w:val="auto"/>
          <w:sz w:val="32"/>
          <w:szCs w:val="32"/>
          <w:highlight w:val="none"/>
          <w:lang w:eastAsia="zh-CN"/>
        </w:rPr>
        <w:t>西湾水厂取水工程迁建项目</w:t>
      </w:r>
      <w:r>
        <w:rPr>
          <w:rFonts w:hint="eastAsia" w:ascii="仿宋_GB2312" w:hAnsi="仿宋_GB2312" w:eastAsia="仿宋_GB2312" w:cs="仿宋_GB2312"/>
          <w:color w:val="auto"/>
          <w:sz w:val="32"/>
          <w:szCs w:val="32"/>
          <w:highlight w:val="none"/>
        </w:rPr>
        <w:t>位于利州区、朝天区，主要建设内容为：新增固定式取水泵站1座，规模为10万m</w:t>
      </w:r>
      <w:r>
        <w:rPr>
          <w:rFonts w:hint="eastAsia" w:ascii="仿宋_GB2312" w:hAnsi="仿宋_GB2312" w:eastAsia="仿宋_GB2312" w:cs="仿宋_GB2312"/>
          <w:color w:val="auto"/>
          <w:sz w:val="32"/>
          <w:szCs w:val="32"/>
          <w:highlight w:val="none"/>
          <w:vertAlign w:val="superscript"/>
        </w:rPr>
        <w:t>3</w:t>
      </w:r>
      <w:r>
        <w:rPr>
          <w:rFonts w:hint="eastAsia" w:ascii="仿宋_GB2312" w:hAnsi="仿宋_GB2312" w:eastAsia="仿宋_GB2312" w:cs="仿宋_GB2312"/>
          <w:color w:val="auto"/>
          <w:sz w:val="32"/>
          <w:szCs w:val="32"/>
          <w:highlight w:val="none"/>
        </w:rPr>
        <w:t>/d；新建DN1200输水管线12.3km，管线起于朝天区沙河镇飞仙关，途经G108国道、千佛崖输水隧洞，止于西湾水厂现状取水泵房；新建10KV双回路供电线路18km，估算总投资2.31亿元。</w:t>
      </w:r>
    </w:p>
    <w:p>
      <w:pPr>
        <w:keepNext w:val="0"/>
        <w:keepLines w:val="0"/>
        <w:pageBreakBefore w:val="0"/>
        <w:widowControl w:val="0"/>
        <w:shd w:val="clear"/>
        <w:kinsoku/>
        <w:wordWrap/>
        <w:overflowPunct/>
        <w:topLinePunct w:val="0"/>
        <w:autoSpaceDE/>
        <w:autoSpaceDN/>
        <w:bidi w:val="0"/>
        <w:adjustRightInd/>
        <w:snapToGrid/>
        <w:spacing w:after="0" w:line="576" w:lineRule="exact"/>
        <w:ind w:left="0" w:leftChars="0" w:firstLine="642"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项目应实现的具体绩效目标。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完成项目取水泵站、设施设备、输水管道及供电线路建设和联调联试，并实现项目投产运行，计划完成项目投资2.31亿元。</w:t>
      </w:r>
    </w:p>
    <w:p>
      <w:pPr>
        <w:keepNext w:val="0"/>
        <w:keepLines w:val="0"/>
        <w:pageBreakBefore w:val="0"/>
        <w:widowControl w:val="0"/>
        <w:shd w:val="clear"/>
        <w:kinsoku/>
        <w:wordWrap/>
        <w:overflowPunct/>
        <w:topLinePunct w:val="0"/>
        <w:autoSpaceDE/>
        <w:autoSpaceDN/>
        <w:bidi w:val="0"/>
        <w:adjustRightInd/>
        <w:snapToGrid/>
        <w:spacing w:after="0" w:line="576" w:lineRule="exact"/>
        <w:ind w:left="0" w:leftChars="0" w:firstLine="642"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申报目标合理</w:t>
      </w: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项目实际实施均按绩效目标计划完成，项目事前绩效评估充分、合理。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宋体" w:eastAsia="黑体"/>
          <w:b w:val="0"/>
          <w:bCs w:val="0"/>
          <w:color w:val="auto"/>
          <w:sz w:val="32"/>
          <w:szCs w:val="32"/>
          <w:highlight w:val="none"/>
          <w:u w:val="none"/>
        </w:rPr>
      </w:pPr>
      <w:r>
        <w:rPr>
          <w:rFonts w:hint="eastAsia" w:ascii="仿宋_GB2312" w:hAnsi="仿宋_GB2312" w:eastAsia="仿宋_GB2312" w:cs="仿宋_GB2312"/>
          <w:color w:val="auto"/>
          <w:kern w:val="2"/>
          <w:sz w:val="32"/>
          <w:szCs w:val="32"/>
          <w:highlight w:val="none"/>
          <w:lang w:val="zh-CN" w:eastAsia="zh-CN" w:bidi="ar-SA"/>
        </w:rPr>
        <w:t>根据</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广元市财政局关于开展</w:t>
      </w:r>
      <w:r>
        <w:rPr>
          <w:rFonts w:hint="eastAsia" w:ascii="仿宋_GB2312" w:hAnsi="仿宋_GB2312" w:eastAsia="仿宋_GB2312" w:cs="仿宋_GB2312"/>
          <w:color w:val="auto"/>
          <w:kern w:val="2"/>
          <w:sz w:val="32"/>
          <w:szCs w:val="32"/>
          <w:highlight w:val="none"/>
          <w:lang w:val="en-US" w:eastAsia="zh-CN" w:bidi="ar-SA"/>
        </w:rPr>
        <w:t>2022年度市级部门绩效自评工作的通知》（广财绩〔2023〕5号）要求，我局积极组织各项目单位开展项目自评工作，按照项目年初绩效目标申报表一一对照完成情况，以及《2023年市级专项资金预算项目支出绩效评价指标体系》进行自评打分，并撰写市级专项资金预算项目支出绩效自评报告，报主管部门审核后汇总。</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337" w:name="_Toc1566165365_WPSOffice_Level2"/>
      <w:bookmarkStart w:id="338" w:name="_Toc128489955_WPSOffice_Level2"/>
      <w:bookmarkStart w:id="339" w:name="_Toc25618"/>
      <w:r>
        <w:rPr>
          <w:rFonts w:hint="eastAsia" w:ascii="黑体" w:hAnsi="宋体" w:eastAsia="黑体"/>
          <w:b w:val="0"/>
          <w:bCs w:val="0"/>
          <w:color w:val="auto"/>
          <w:sz w:val="32"/>
          <w:szCs w:val="32"/>
          <w:highlight w:val="none"/>
          <w:u w:val="none"/>
        </w:rPr>
        <w:t>二、项目资金申报及使用情况</w:t>
      </w:r>
      <w:bookmarkEnd w:id="337"/>
      <w:bookmarkEnd w:id="338"/>
      <w:bookmarkEnd w:id="339"/>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仿宋_GB2312" w:hAnsi="仿宋_GB2312" w:eastAsia="仿宋_GB2312" w:cs="仿宋_GB2312"/>
          <w:b/>
          <w:bCs/>
          <w:color w:val="auto"/>
          <w:kern w:val="0"/>
          <w:sz w:val="32"/>
          <w:szCs w:val="32"/>
          <w:highlight w:val="none"/>
          <w:u w:val="none"/>
          <w:shd w:val="clear" w:color="auto" w:fill="FFFFFF"/>
          <w:lang w:val="zh-CN"/>
        </w:rPr>
      </w:pPr>
      <w:r>
        <w:rPr>
          <w:rFonts w:hint="eastAsia" w:ascii="楷体_GB2312" w:hAnsi="宋体" w:eastAsia="楷体_GB2312"/>
          <w:b/>
          <w:bCs/>
          <w:color w:val="auto"/>
          <w:sz w:val="32"/>
          <w:szCs w:val="32"/>
          <w:highlight w:val="none"/>
          <w:u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该项目经市发改委以</w:t>
      </w:r>
      <w:r>
        <w:rPr>
          <w:rFonts w:hint="eastAsia" w:ascii="仿宋_GB2312" w:hAnsi="仿宋_GB2312" w:eastAsia="仿宋_GB2312" w:cs="仿宋_GB2312"/>
          <w:color w:val="auto"/>
          <w:sz w:val="32"/>
          <w:szCs w:val="32"/>
          <w:highlight w:val="none"/>
          <w:lang w:val="en-US" w:eastAsia="zh-CN"/>
        </w:rPr>
        <w:t>广发改函[2020]18号批复</w:t>
      </w:r>
      <w:r>
        <w:rPr>
          <w:rFonts w:hint="eastAsia" w:ascii="仿宋_GB2312" w:hAnsi="宋体" w:eastAsia="仿宋_GB2312"/>
          <w:b w:val="0"/>
          <w:bCs w:val="0"/>
          <w:color w:val="auto"/>
          <w:sz w:val="32"/>
          <w:szCs w:val="32"/>
          <w:highlight w:val="none"/>
          <w:lang w:val="en-US" w:eastAsia="zh-CN"/>
        </w:rPr>
        <w:t>可行性研究报告，立项总投资23100万元，主要包含项目前期待摊费以及直接工程费等。资金来源为市本级财政资金。2021年1月批复该项目概算，概批复算金额为23099.21万元。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仿宋_GB2312" w:hAnsi="宋体" w:eastAsia="仿宋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2022年市本级计划资金5000万元。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2022年财政资金到位5000万元。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rPr>
        <w:t>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2022年向建设单位拨付建设资金5000万元。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（三）项目财务管理情况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340" w:name="_Toc1914365537_WPSOffice_Level2"/>
      <w:bookmarkStart w:id="341" w:name="_Toc27445"/>
      <w:bookmarkStart w:id="342" w:name="_Toc144848942_WPSOffice_Level2"/>
      <w:r>
        <w:rPr>
          <w:rFonts w:hint="eastAsia" w:ascii="黑体" w:hAnsi="宋体" w:eastAsia="黑体"/>
          <w:b w:val="0"/>
          <w:bCs w:val="0"/>
          <w:color w:val="auto"/>
          <w:sz w:val="32"/>
          <w:szCs w:val="32"/>
          <w:highlight w:val="none"/>
          <w:u w:val="none"/>
        </w:rPr>
        <w:t>三、项目实施及管理情况</w:t>
      </w:r>
      <w:bookmarkEnd w:id="340"/>
      <w:bookmarkEnd w:id="341"/>
      <w:bookmarkEnd w:id="342"/>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（一）项目组织架构及实施流程。</w:t>
      </w:r>
      <w:r>
        <w:rPr>
          <w:rFonts w:hint="eastAsia" w:ascii="仿宋_GB2312" w:hAnsi="仿宋_GB2312" w:eastAsia="仿宋_GB2312" w:cs="仿宋_GB2312"/>
          <w:b w:val="0"/>
          <w:bCs w:val="0"/>
          <w:color w:val="auto"/>
          <w:sz w:val="32"/>
          <w:szCs w:val="32"/>
          <w:highlight w:val="none"/>
          <w:lang w:val="en-US" w:eastAsia="zh-CN"/>
        </w:rPr>
        <w:t>一是项目主管部门对项目业主进行全程监督。二是项目业主单位按照相关规定确定各参建单位。三是在工程建设过程中接受财政、审计、建设等职能部门的监管。四是严格组织竣工验收、审计结算。五是工程交付使用。</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bCs/>
          <w:color w:val="auto"/>
          <w:sz w:val="32"/>
          <w:szCs w:val="32"/>
          <w:highlight w:val="none"/>
          <w:u w:val="none"/>
          <w:lang w:val="zh-CN"/>
        </w:rPr>
        <w:t>（二）项目管理情况。</w:t>
      </w:r>
      <w:r>
        <w:rPr>
          <w:rFonts w:hint="eastAsia" w:ascii="仿宋_GB2312" w:hAnsi="仿宋_GB2312" w:eastAsia="仿宋_GB2312" w:cs="仿宋_GB2312"/>
          <w:b w:val="0"/>
          <w:bCs w:val="0"/>
          <w:color w:val="auto"/>
          <w:sz w:val="32"/>
          <w:szCs w:val="32"/>
          <w:highlight w:val="none"/>
          <w:lang w:val="en-US" w:eastAsia="zh-CN"/>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（三）项目监管情况。</w:t>
      </w:r>
      <w:r>
        <w:rPr>
          <w:rFonts w:hint="eastAsia" w:ascii="仿宋_GB2312" w:hAnsi="仿宋_GB2312" w:eastAsia="仿宋_GB2312" w:cs="仿宋_GB2312"/>
          <w:b w:val="0"/>
          <w:bCs w:val="0"/>
          <w:color w:val="auto"/>
          <w:sz w:val="32"/>
          <w:szCs w:val="32"/>
          <w:highlight w:val="none"/>
          <w:lang w:val="en-US" w:eastAsia="zh-CN"/>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宋体" w:eastAsia="仿宋_GB2312"/>
          <w:b w:val="0"/>
          <w:bCs w:val="0"/>
          <w:color w:val="auto"/>
          <w:sz w:val="32"/>
          <w:szCs w:val="32"/>
          <w:highlight w:val="none"/>
          <w:u w:val="none"/>
          <w:lang w:val="zh-CN"/>
        </w:rPr>
      </w:pPr>
      <w:bookmarkStart w:id="343" w:name="_Toc663492846_WPSOffice_Level2"/>
      <w:bookmarkStart w:id="344" w:name="_Toc4054"/>
      <w:bookmarkStart w:id="345" w:name="_Toc1402795497_WPSOffice_Level2"/>
      <w:r>
        <w:rPr>
          <w:rFonts w:hint="eastAsia" w:ascii="黑体" w:hAnsi="宋体" w:eastAsia="黑体"/>
          <w:b w:val="0"/>
          <w:bCs w:val="0"/>
          <w:color w:val="auto"/>
          <w:sz w:val="32"/>
          <w:szCs w:val="32"/>
          <w:highlight w:val="none"/>
          <w:u w:val="none"/>
        </w:rPr>
        <w:t>四、项目绩效情况</w:t>
      </w:r>
      <w:bookmarkEnd w:id="343"/>
      <w:bookmarkEnd w:id="344"/>
      <w:bookmarkEnd w:id="345"/>
      <w:r>
        <w:rPr>
          <w:rFonts w:hint="eastAsia" w:ascii="仿宋_GB2312" w:hAnsi="宋体" w:eastAsia="仿宋_GB2312"/>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（一）项目完成情况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数量指标：项目按设计顺利完成1座取水泵站及设备安装调试、12.3km输水管道建设、18km供电线路建设、完成管理用房及道路恢复等附属设施建设。</w:t>
      </w:r>
    </w:p>
    <w:p>
      <w:pPr>
        <w:keepNext w:val="0"/>
        <w:keepLines w:val="0"/>
        <w:pageBreakBefore w:val="0"/>
        <w:widowControl w:val="0"/>
        <w:shd w:val="clear"/>
        <w:kinsoku/>
        <w:wordWrap/>
        <w:overflowPunct/>
        <w:topLinePunct w:val="0"/>
        <w:autoSpaceDE/>
        <w:autoSpaceDN/>
        <w:bidi w:val="0"/>
        <w:spacing w:after="120"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质量指标：项目顺利通过竣工验收并移交后期运营单位。</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时效指标：2022年之前顺利完成项目建设各项内容。</w:t>
      </w:r>
    </w:p>
    <w:p>
      <w:pPr>
        <w:keepNext w:val="0"/>
        <w:keepLines w:val="0"/>
        <w:pageBreakBefore w:val="0"/>
        <w:widowControl w:val="0"/>
        <w:shd w:val="clear"/>
        <w:kinsoku/>
        <w:wordWrap/>
        <w:overflowPunct/>
        <w:topLinePunct w:val="0"/>
        <w:autoSpaceDE/>
        <w:autoSpaceDN/>
        <w:bidi w:val="0"/>
        <w:spacing w:after="120"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成本指标：项目工程费用、工程建设其它费用、基本预备费、铺底流动资金在项目实际过程中均控制在各项费用内。</w:t>
      </w:r>
    </w:p>
    <w:p>
      <w:pPr>
        <w:keepNext w:val="0"/>
        <w:keepLines w:val="0"/>
        <w:pageBreakBefore w:val="0"/>
        <w:widowControl w:val="0"/>
        <w:shd w:val="clear"/>
        <w:kinsoku/>
        <w:wordWrap/>
        <w:overflowPunct/>
        <w:topLinePunct w:val="0"/>
        <w:autoSpaceDE/>
        <w:autoSpaceDN/>
        <w:bidi w:val="0"/>
        <w:spacing w:line="560" w:lineRule="exact"/>
        <w:ind w:firstLine="640"/>
        <w:textAlignment w:val="auto"/>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项目实施整体控制在事前绩效指标范围内，</w:t>
      </w:r>
      <w:r>
        <w:rPr>
          <w:rFonts w:hint="eastAsia" w:ascii="仿宋_GB2312" w:hAnsi="宋体" w:eastAsia="仿宋_GB2312"/>
          <w:b w:val="0"/>
          <w:bCs w:val="0"/>
          <w:color w:val="auto"/>
          <w:sz w:val="32"/>
          <w:szCs w:val="32"/>
          <w:highlight w:val="none"/>
          <w:lang w:val="en-US" w:eastAsia="zh-CN"/>
        </w:rPr>
        <w:t>建设质量严格按照国家规范以及设计标准进行质量控制，分项工程质量达到规划和设计要求，无安全事故发生，施工场地干净整洁，做到文明施工。</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社会效益分析方面：</w:t>
      </w:r>
      <w:r>
        <w:rPr>
          <w:rFonts w:hint="eastAsia" w:ascii="仿宋_GB2312" w:hAnsi="仿宋_GB2312" w:eastAsia="仿宋_GB2312" w:cs="仿宋_GB2312"/>
          <w:color w:val="auto"/>
          <w:sz w:val="32"/>
          <w:szCs w:val="32"/>
          <w:highlight w:val="none"/>
        </w:rPr>
        <w:t>本工程属公用事业性项目，除对工农业生产和人民生活产生直接效益外，还将对社会环境和生态环境产生综合效益，特别是社会效益显著。</w:t>
      </w:r>
      <w:r>
        <w:rPr>
          <w:rFonts w:hint="eastAsia" w:ascii="仿宋_GB2312" w:hAnsi="仿宋_GB2312" w:eastAsia="仿宋_GB2312" w:cs="仿宋_GB2312"/>
          <w:color w:val="auto"/>
          <w:sz w:val="32"/>
          <w:szCs w:val="32"/>
          <w:highlight w:val="none"/>
          <w:lang w:eastAsia="zh-CN"/>
        </w:rPr>
        <w:t>一是</w:t>
      </w:r>
      <w:r>
        <w:rPr>
          <w:rFonts w:hint="eastAsia" w:ascii="仿宋_GB2312" w:hAnsi="仿宋_GB2312" w:eastAsia="仿宋_GB2312" w:cs="仿宋_GB2312"/>
          <w:color w:val="auto"/>
          <w:sz w:val="32"/>
          <w:szCs w:val="32"/>
          <w:highlight w:val="none"/>
        </w:rPr>
        <w:t>解决取水水质问题，提高区域供水安全性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随着本地区域经济发展规模日益扩大，目前现有取水水质已受到威胁。由于取水条件恶化，广元市西湾水厂的正常运行已受到了一定的影响，并且对西湾水厂所服务片区的用水安全形成一定的影响，所以重新选择一个水质水量均符合要求的取水点，是社会发展的必须。</w:t>
      </w:r>
      <w:r>
        <w:rPr>
          <w:rFonts w:hint="eastAsia" w:ascii="仿宋_GB2312" w:hAnsi="仿宋_GB2312" w:eastAsia="仿宋_GB2312" w:cs="仿宋_GB2312"/>
          <w:color w:val="auto"/>
          <w:sz w:val="32"/>
          <w:szCs w:val="32"/>
          <w:highlight w:val="none"/>
          <w:lang w:eastAsia="zh-CN"/>
        </w:rPr>
        <w:t>二是</w:t>
      </w:r>
      <w:r>
        <w:rPr>
          <w:rFonts w:hint="eastAsia" w:ascii="仿宋_GB2312" w:hAnsi="仿宋_GB2312" w:eastAsia="仿宋_GB2312" w:cs="仿宋_GB2312"/>
          <w:color w:val="auto"/>
          <w:sz w:val="32"/>
          <w:szCs w:val="32"/>
          <w:highlight w:val="none"/>
        </w:rPr>
        <w:t>有利于社会稳定和地区经济的可持续发展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合理开发利用水资源，增加供水需求，保障供水安全，不仅可缓解城市供水紧张状况，还可改善投资环境，增加经济发展的后劲，对于促进社会稳定，加速区域经济发展起着至关重要的作用。</w:t>
      </w:r>
      <w:r>
        <w:rPr>
          <w:rFonts w:hint="eastAsia" w:ascii="仿宋_GB2312" w:hAnsi="仿宋_GB2312" w:eastAsia="仿宋_GB2312" w:cs="仿宋_GB2312"/>
          <w:color w:val="auto"/>
          <w:sz w:val="32"/>
          <w:szCs w:val="32"/>
          <w:highlight w:val="none"/>
          <w:lang w:eastAsia="zh-CN"/>
        </w:rPr>
        <w:t>三是</w:t>
      </w:r>
      <w:r>
        <w:rPr>
          <w:rFonts w:hint="eastAsia" w:ascii="仿宋_GB2312" w:hAnsi="仿宋_GB2312" w:eastAsia="仿宋_GB2312" w:cs="仿宋_GB2312"/>
          <w:color w:val="auto"/>
          <w:sz w:val="32"/>
          <w:szCs w:val="32"/>
          <w:highlight w:val="none"/>
        </w:rPr>
        <w:t>改善供水设施，建设节约型社会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随着本工程的建成，提升行业管理水平，可有力的推动节约用水工作，促进节水型社会的建设。通过对工程项目的规划、实施，有力的推动该地区各项事的发展，让宝贵的水资源得以充分的利用，发挥其在国民经济建设中的桥梁和组带作用。</w:t>
      </w:r>
      <w:r>
        <w:rPr>
          <w:rFonts w:hint="eastAsia" w:ascii="仿宋_GB2312" w:hAnsi="仿宋_GB2312" w:eastAsia="仿宋_GB2312" w:cs="仿宋_GB2312"/>
          <w:color w:val="auto"/>
          <w:sz w:val="32"/>
          <w:szCs w:val="32"/>
          <w:highlight w:val="none"/>
          <w:lang w:eastAsia="zh-CN"/>
        </w:rPr>
        <w:t>四是</w:t>
      </w:r>
      <w:r>
        <w:rPr>
          <w:rFonts w:hint="eastAsia" w:ascii="仿宋_GB2312" w:hAnsi="仿宋_GB2312" w:eastAsia="仿宋_GB2312" w:cs="仿宋_GB2312"/>
          <w:color w:val="auto"/>
          <w:sz w:val="32"/>
          <w:szCs w:val="32"/>
          <w:highlight w:val="none"/>
        </w:rPr>
        <w:t>改善生活条件，提高人民健康水平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本工程的建成可提高供水水质，改善生态环境，相应的提高人民健康水平。同时也将改善投资环境，吸引外资，带动其它产业的发展，促进社会公益事业水平的提升。</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lang w:eastAsia="zh-CN"/>
        </w:rPr>
        <w:t>生态效益分析方面：该项目生态环境影响主要分为工程建设过程和项目投产运行两个环节。其中项目投产运行环节对生态环境不会产生不利影响，该项目为原水远距离供给，泵站设备运行产生的噪音和生产管理区的日常生活污水均采取了相关措施，达标后排放，不会产生不利影响。工程建设环节由于场地开挖会产生扬尘，水土流失，生活垃圾及污水等问题，项目施工过程中对前述问题进行了保护措施，只要严格按照已制定措施落实好即不会对生态环境产生多不利影响。</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346" w:name="_Toc15170"/>
      <w:bookmarkStart w:id="347" w:name="_Toc284481164_WPSOffice_Level2"/>
      <w:bookmarkStart w:id="348" w:name="_Toc1070692092_WPSOffice_Level2"/>
      <w:r>
        <w:rPr>
          <w:rFonts w:hint="eastAsia" w:ascii="黑体" w:hAnsi="宋体" w:eastAsia="黑体"/>
          <w:b w:val="0"/>
          <w:bCs w:val="0"/>
          <w:color w:val="auto"/>
          <w:sz w:val="32"/>
          <w:szCs w:val="32"/>
          <w:highlight w:val="none"/>
          <w:u w:val="none"/>
        </w:rPr>
        <w:t>五、评价结论及建议</w:t>
      </w:r>
      <w:bookmarkEnd w:id="346"/>
      <w:bookmarkEnd w:id="347"/>
      <w:bookmarkEnd w:id="348"/>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b w:val="0"/>
          <w:bCs w:val="0"/>
          <w:color w:val="auto"/>
          <w:sz w:val="32"/>
          <w:szCs w:val="32"/>
          <w:highlight w:val="none"/>
          <w:bdr w:val="single" w:color="auto" w:sz="4" w:space="0"/>
          <w:lang w:val="en-US" w:eastAsia="zh-CN"/>
        </w:rPr>
      </w:pPr>
      <w:r>
        <w:rPr>
          <w:rFonts w:hint="default" w:ascii="Times New Roman" w:hAnsi="Times New Roman" w:eastAsia="仿宋_GB2312" w:cs="Times New Roman"/>
          <w:color w:val="auto"/>
          <w:sz w:val="32"/>
          <w:szCs w:val="32"/>
          <w:highlight w:val="none"/>
          <w:lang w:val="en-US" w:eastAsia="zh-CN" w:bidi="ar-SA"/>
        </w:rPr>
        <w:t>项目决策合理，申报及时，严格按财务规定审批，专款专用，核算规范，及时兑现，项目绩效完成良好，经济效益较好，社会效益较好。</w:t>
      </w:r>
      <w:r>
        <w:rPr>
          <w:rFonts w:hint="eastAsia" w:ascii="仿宋_GB2312" w:hAnsi="宋体" w:eastAsia="仿宋_GB2312"/>
          <w:b w:val="0"/>
          <w:bCs w:val="0"/>
          <w:color w:val="auto"/>
          <w:sz w:val="32"/>
          <w:szCs w:val="32"/>
          <w:highlight w:val="none"/>
          <w:lang w:val="en-US" w:eastAsia="zh-CN"/>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无。</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（三）相关建议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无。</w:t>
      </w:r>
    </w:p>
    <w:p>
      <w:pPr>
        <w:shd w:val="clear"/>
        <w:rPr>
          <w:rFonts w:hint="eastAsia"/>
          <w:color w:val="auto"/>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0"/>
        <w:rPr>
          <w:rFonts w:hint="eastAsia" w:ascii="仿宋" w:hAnsi="仿宋" w:eastAsia="仿宋"/>
          <w:b w:val="0"/>
          <w:color w:val="auto"/>
          <w:highlight w:val="none"/>
        </w:rPr>
      </w:pPr>
      <w:bookmarkStart w:id="349" w:name="_Toc22210"/>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五部分附表</w:t>
      </w:r>
      <w:bookmarkEnd w:id="75"/>
      <w:bookmarkEnd w:id="104"/>
      <w:bookmarkEnd w:id="349"/>
      <w:bookmarkStart w:id="350" w:name="_Toc15396619"/>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51" w:name="_Toc11752"/>
      <w:bookmarkStart w:id="352" w:name="_Toc400827642_WPSOffice_Level2"/>
      <w:bookmarkStart w:id="353" w:name="_Toc1348841040_WPSOffice_Level2"/>
      <w:r>
        <w:rPr>
          <w:rFonts w:hint="eastAsia" w:ascii="仿宋_GB2312" w:hAnsi="仿宋_GB2312" w:eastAsia="仿宋_GB2312" w:cs="仿宋_GB2312"/>
          <w:b w:val="0"/>
          <w:color w:val="auto"/>
          <w:highlight w:val="none"/>
        </w:rPr>
        <w:t>一、收</w:t>
      </w:r>
      <w:r>
        <w:rPr>
          <w:rStyle w:val="20"/>
          <w:rFonts w:hint="eastAsia" w:ascii="仿宋_GB2312" w:hAnsi="仿宋_GB2312" w:eastAsia="仿宋_GB2312" w:cs="仿宋_GB2312"/>
          <w:b w:val="0"/>
          <w:bCs w:val="0"/>
          <w:color w:val="auto"/>
          <w:highlight w:val="none"/>
        </w:rPr>
        <w:t>入支出决算总表</w:t>
      </w:r>
      <w:bookmarkEnd w:id="350"/>
      <w:bookmarkEnd w:id="351"/>
      <w:bookmarkEnd w:id="352"/>
      <w:bookmarkEnd w:id="353"/>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54" w:name="_Toc1412778378_WPSOffice_Level2"/>
      <w:bookmarkStart w:id="355" w:name="_Toc15396620"/>
      <w:bookmarkStart w:id="356" w:name="_Toc25272"/>
      <w:bookmarkStart w:id="357" w:name="_Toc1953780290_WPSOffice_Level2"/>
      <w:r>
        <w:rPr>
          <w:rFonts w:hint="eastAsia" w:ascii="仿宋_GB2312" w:hAnsi="仿宋_GB2312" w:eastAsia="仿宋_GB2312" w:cs="仿宋_GB2312"/>
          <w:b w:val="0"/>
          <w:color w:val="auto"/>
          <w:highlight w:val="none"/>
        </w:rPr>
        <w:t>二、收</w:t>
      </w:r>
      <w:r>
        <w:rPr>
          <w:rStyle w:val="20"/>
          <w:rFonts w:hint="eastAsia" w:ascii="仿宋_GB2312" w:hAnsi="仿宋_GB2312" w:eastAsia="仿宋_GB2312" w:cs="仿宋_GB2312"/>
          <w:b w:val="0"/>
          <w:bCs w:val="0"/>
          <w:color w:val="auto"/>
          <w:highlight w:val="none"/>
        </w:rPr>
        <w:t>入决算表</w:t>
      </w:r>
      <w:bookmarkEnd w:id="354"/>
      <w:bookmarkEnd w:id="355"/>
      <w:bookmarkEnd w:id="356"/>
      <w:bookmarkEnd w:id="357"/>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58" w:name="_Toc883120000_WPSOffice_Level2"/>
      <w:bookmarkStart w:id="359" w:name="_Toc15396621"/>
      <w:bookmarkStart w:id="360" w:name="_Toc1235796594_WPSOffice_Level2"/>
      <w:bookmarkStart w:id="361" w:name="_Toc12269"/>
      <w:r>
        <w:rPr>
          <w:rStyle w:val="20"/>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20"/>
          <w:rFonts w:hint="eastAsia" w:ascii="仿宋_GB2312" w:hAnsi="仿宋_GB2312" w:eastAsia="仿宋_GB2312" w:cs="仿宋_GB2312"/>
          <w:b w:val="0"/>
          <w:bCs w:val="0"/>
          <w:color w:val="auto"/>
          <w:highlight w:val="none"/>
        </w:rPr>
        <w:t>出决算表</w:t>
      </w:r>
      <w:bookmarkEnd w:id="358"/>
      <w:bookmarkEnd w:id="359"/>
      <w:bookmarkEnd w:id="360"/>
      <w:bookmarkEnd w:id="361"/>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color w:val="auto"/>
          <w:highlight w:val="none"/>
        </w:rPr>
      </w:pPr>
      <w:bookmarkStart w:id="362" w:name="_Toc15396622"/>
      <w:bookmarkStart w:id="363" w:name="_Toc30225"/>
      <w:bookmarkStart w:id="364" w:name="_Toc2129380276_WPSOffice_Level2"/>
      <w:bookmarkStart w:id="365" w:name="_Toc1055442550_WPSOffice_Level2"/>
      <w:r>
        <w:rPr>
          <w:rStyle w:val="20"/>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20"/>
          <w:rFonts w:hint="eastAsia" w:ascii="仿宋_GB2312" w:hAnsi="仿宋_GB2312" w:eastAsia="仿宋_GB2312" w:cs="仿宋_GB2312"/>
          <w:b w:val="0"/>
          <w:bCs w:val="0"/>
          <w:color w:val="auto"/>
          <w:highlight w:val="none"/>
        </w:rPr>
        <w:t>政拨款收入支出决算总表</w:t>
      </w:r>
      <w:bookmarkEnd w:id="362"/>
      <w:bookmarkEnd w:id="363"/>
      <w:bookmarkEnd w:id="364"/>
      <w:bookmarkEnd w:id="365"/>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Style w:val="20"/>
          <w:rFonts w:hint="eastAsia" w:ascii="仿宋_GB2312" w:hAnsi="仿宋_GB2312" w:eastAsia="仿宋_GB2312" w:cs="仿宋_GB2312"/>
          <w:b w:val="0"/>
          <w:bCs w:val="0"/>
          <w:color w:val="auto"/>
          <w:highlight w:val="none"/>
        </w:rPr>
      </w:pPr>
      <w:bookmarkStart w:id="366" w:name="_Toc331626771_WPSOffice_Level2"/>
      <w:bookmarkStart w:id="367" w:name="_Toc1120986681_WPSOffice_Level2"/>
      <w:bookmarkStart w:id="368" w:name="_Toc15396623"/>
      <w:bookmarkStart w:id="369" w:name="_Toc2124"/>
      <w:r>
        <w:rPr>
          <w:rStyle w:val="20"/>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20"/>
          <w:rFonts w:hint="eastAsia" w:ascii="仿宋_GB2312" w:hAnsi="仿宋_GB2312" w:eastAsia="仿宋_GB2312" w:cs="仿宋_GB2312"/>
          <w:b w:val="0"/>
          <w:bCs w:val="0"/>
          <w:color w:val="auto"/>
          <w:highlight w:val="none"/>
        </w:rPr>
        <w:t>政拨款支出决算明细表</w:t>
      </w:r>
      <w:bookmarkEnd w:id="366"/>
      <w:bookmarkEnd w:id="367"/>
      <w:bookmarkEnd w:id="368"/>
      <w:bookmarkEnd w:id="369"/>
      <w:bookmarkStart w:id="370" w:name="_Toc15396624"/>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71" w:name="_Toc814700284_WPSOffice_Level2"/>
      <w:bookmarkStart w:id="372" w:name="_Toc6614"/>
      <w:bookmarkStart w:id="373" w:name="_Toc958035253_WPSOffice_Level2"/>
      <w:r>
        <w:rPr>
          <w:rStyle w:val="20"/>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20"/>
          <w:rFonts w:hint="eastAsia" w:ascii="仿宋_GB2312" w:hAnsi="仿宋_GB2312" w:eastAsia="仿宋_GB2312" w:cs="仿宋_GB2312"/>
          <w:b w:val="0"/>
          <w:bCs w:val="0"/>
          <w:color w:val="auto"/>
          <w:highlight w:val="none"/>
        </w:rPr>
        <w:t>般公共预算财政拨款支出决算表</w:t>
      </w:r>
      <w:bookmarkEnd w:id="370"/>
      <w:bookmarkEnd w:id="371"/>
      <w:bookmarkEnd w:id="372"/>
      <w:bookmarkEnd w:id="373"/>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74" w:name="_Toc1488416136_WPSOffice_Level2"/>
      <w:bookmarkStart w:id="375" w:name="_Toc15396625"/>
      <w:bookmarkStart w:id="376" w:name="_Toc27133"/>
      <w:bookmarkStart w:id="377" w:name="_Toc394031108_WPSOffice_Level2"/>
      <w:r>
        <w:rPr>
          <w:rStyle w:val="20"/>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20"/>
          <w:rFonts w:hint="eastAsia" w:ascii="仿宋_GB2312" w:hAnsi="仿宋_GB2312" w:eastAsia="仿宋_GB2312" w:cs="仿宋_GB2312"/>
          <w:b w:val="0"/>
          <w:bCs w:val="0"/>
          <w:color w:val="auto"/>
          <w:highlight w:val="none"/>
        </w:rPr>
        <w:t>般公共预算财政拨款支出决算明细表</w:t>
      </w:r>
      <w:bookmarkEnd w:id="374"/>
      <w:bookmarkEnd w:id="375"/>
      <w:bookmarkEnd w:id="376"/>
      <w:bookmarkEnd w:id="377"/>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78" w:name="_Toc2059764909_WPSOffice_Level2"/>
      <w:bookmarkStart w:id="379" w:name="_Toc15396626"/>
      <w:bookmarkStart w:id="380" w:name="_Toc4836"/>
      <w:bookmarkStart w:id="381" w:name="_Toc1970222826_WPSOffice_Level2"/>
      <w:r>
        <w:rPr>
          <w:rStyle w:val="20"/>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20"/>
          <w:rFonts w:hint="eastAsia" w:ascii="仿宋_GB2312" w:hAnsi="仿宋_GB2312" w:eastAsia="仿宋_GB2312" w:cs="仿宋_GB2312"/>
          <w:b w:val="0"/>
          <w:bCs w:val="0"/>
          <w:color w:val="auto"/>
          <w:highlight w:val="none"/>
        </w:rPr>
        <w:t>般公共预算财政拨款基本支出决算表</w:t>
      </w:r>
      <w:bookmarkEnd w:id="378"/>
      <w:bookmarkEnd w:id="379"/>
      <w:bookmarkEnd w:id="380"/>
      <w:bookmarkEnd w:id="381"/>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82" w:name="_Toc5382"/>
      <w:bookmarkStart w:id="383" w:name="_Toc560719568_WPSOffice_Level2"/>
      <w:bookmarkStart w:id="384" w:name="_Toc15396627"/>
      <w:bookmarkStart w:id="385" w:name="_Toc969241205_WPSOffice_Level2"/>
      <w:r>
        <w:rPr>
          <w:rStyle w:val="20"/>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20"/>
          <w:rFonts w:hint="eastAsia" w:ascii="仿宋_GB2312" w:hAnsi="仿宋_GB2312" w:eastAsia="仿宋_GB2312" w:cs="仿宋_GB2312"/>
          <w:b w:val="0"/>
          <w:bCs w:val="0"/>
          <w:color w:val="auto"/>
          <w:highlight w:val="none"/>
        </w:rPr>
        <w:t>般公共预算财政拨款项目支出决算表</w:t>
      </w:r>
      <w:bookmarkEnd w:id="382"/>
      <w:bookmarkEnd w:id="383"/>
      <w:bookmarkEnd w:id="384"/>
      <w:bookmarkEnd w:id="385"/>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86" w:name="_Toc15396628"/>
      <w:bookmarkStart w:id="387" w:name="_Toc2145362940_WPSOffice_Level2"/>
      <w:bookmarkStart w:id="388" w:name="_Toc32075"/>
      <w:bookmarkStart w:id="389" w:name="_Toc485717161_WPSOffice_Level2"/>
      <w:r>
        <w:rPr>
          <w:rStyle w:val="20"/>
          <w:rFonts w:hint="eastAsia" w:ascii="仿宋_GB2312" w:hAnsi="仿宋_GB2312" w:eastAsia="仿宋_GB2312" w:cs="仿宋_GB2312"/>
          <w:b w:val="0"/>
          <w:bCs w:val="0"/>
          <w:color w:val="auto"/>
          <w:highlight w:val="none"/>
        </w:rPr>
        <w:t>十、</w:t>
      </w:r>
      <w:bookmarkEnd w:id="386"/>
      <w:r>
        <w:rPr>
          <w:rFonts w:hint="eastAsia" w:ascii="仿宋_GB2312" w:hAnsi="仿宋_GB2312" w:eastAsia="仿宋_GB2312" w:cs="仿宋_GB2312"/>
          <w:b w:val="0"/>
          <w:color w:val="auto"/>
          <w:highlight w:val="none"/>
        </w:rPr>
        <w:t>政</w:t>
      </w:r>
      <w:r>
        <w:rPr>
          <w:rStyle w:val="20"/>
          <w:rFonts w:hint="eastAsia" w:ascii="仿宋_GB2312" w:hAnsi="仿宋_GB2312" w:eastAsia="仿宋_GB2312" w:cs="仿宋_GB2312"/>
          <w:b w:val="0"/>
          <w:bCs w:val="0"/>
          <w:color w:val="auto"/>
          <w:highlight w:val="none"/>
        </w:rPr>
        <w:t>府性基金预算财政拨款收入支出决算表</w:t>
      </w:r>
      <w:bookmarkEnd w:id="387"/>
      <w:bookmarkEnd w:id="388"/>
      <w:bookmarkEnd w:id="389"/>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90" w:name="_Toc15396629"/>
      <w:bookmarkStart w:id="391" w:name="_Toc943608640_WPSOffice_Level2"/>
      <w:bookmarkStart w:id="392" w:name="_Toc234884570_WPSOffice_Level2"/>
      <w:bookmarkStart w:id="393" w:name="_Toc2288"/>
      <w:r>
        <w:rPr>
          <w:rStyle w:val="20"/>
          <w:rFonts w:hint="eastAsia" w:ascii="仿宋_GB2312" w:hAnsi="仿宋_GB2312" w:eastAsia="仿宋_GB2312" w:cs="仿宋_GB2312"/>
          <w:b w:val="0"/>
          <w:bCs w:val="0"/>
          <w:color w:val="auto"/>
          <w:highlight w:val="none"/>
        </w:rPr>
        <w:t>十一、</w:t>
      </w:r>
      <w:bookmarkEnd w:id="390"/>
      <w:r>
        <w:rPr>
          <w:rFonts w:hint="eastAsia" w:ascii="仿宋_GB2312" w:hAnsi="仿宋_GB2312" w:eastAsia="仿宋_GB2312" w:cs="仿宋_GB2312"/>
          <w:b w:val="0"/>
          <w:color w:val="auto"/>
          <w:highlight w:val="none"/>
        </w:rPr>
        <w:t>国</w:t>
      </w:r>
      <w:r>
        <w:rPr>
          <w:rStyle w:val="20"/>
          <w:rFonts w:hint="eastAsia" w:ascii="仿宋_GB2312" w:hAnsi="仿宋_GB2312" w:eastAsia="仿宋_GB2312" w:cs="仿宋_GB2312"/>
          <w:b w:val="0"/>
          <w:bCs w:val="0"/>
          <w:color w:val="auto"/>
          <w:highlight w:val="none"/>
        </w:rPr>
        <w:t>有资本经营预算</w:t>
      </w:r>
      <w:r>
        <w:rPr>
          <w:rStyle w:val="20"/>
          <w:rFonts w:hint="eastAsia" w:ascii="仿宋_GB2312" w:hAnsi="仿宋_GB2312" w:eastAsia="仿宋_GB2312" w:cs="仿宋_GB2312"/>
          <w:b w:val="0"/>
          <w:bCs w:val="0"/>
          <w:color w:val="auto"/>
          <w:highlight w:val="none"/>
          <w:lang w:eastAsia="zh-CN"/>
        </w:rPr>
        <w:t>财政拨款收入</w:t>
      </w:r>
      <w:r>
        <w:rPr>
          <w:rStyle w:val="20"/>
          <w:rFonts w:hint="eastAsia" w:ascii="仿宋_GB2312" w:hAnsi="仿宋_GB2312" w:eastAsia="仿宋_GB2312" w:cs="仿宋_GB2312"/>
          <w:b w:val="0"/>
          <w:bCs w:val="0"/>
          <w:color w:val="auto"/>
          <w:highlight w:val="none"/>
        </w:rPr>
        <w:t>支出决算表</w:t>
      </w:r>
      <w:bookmarkEnd w:id="391"/>
      <w:bookmarkEnd w:id="392"/>
      <w:bookmarkEnd w:id="393"/>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94" w:name="_Toc15396630"/>
      <w:bookmarkStart w:id="395" w:name="_Toc1759006025_WPSOffice_Level2"/>
      <w:bookmarkStart w:id="396" w:name="_Toc734332195_WPSOffice_Level2"/>
      <w:bookmarkStart w:id="397" w:name="_Toc10068"/>
      <w:r>
        <w:rPr>
          <w:rStyle w:val="20"/>
          <w:rFonts w:hint="eastAsia" w:ascii="仿宋_GB2312" w:hAnsi="仿宋_GB2312" w:eastAsia="仿宋_GB2312" w:cs="仿宋_GB2312"/>
          <w:b w:val="0"/>
          <w:bCs w:val="0"/>
          <w:color w:val="auto"/>
          <w:highlight w:val="none"/>
        </w:rPr>
        <w:t>十二、</w:t>
      </w:r>
      <w:bookmarkEnd w:id="394"/>
      <w:r>
        <w:rPr>
          <w:rStyle w:val="20"/>
          <w:rFonts w:hint="eastAsia" w:ascii="仿宋_GB2312" w:hAnsi="仿宋_GB2312" w:eastAsia="仿宋_GB2312" w:cs="仿宋_GB2312"/>
          <w:b w:val="0"/>
          <w:bCs w:val="0"/>
          <w:color w:val="auto"/>
          <w:highlight w:val="none"/>
          <w:lang w:eastAsia="zh-CN"/>
        </w:rPr>
        <w:t>国有资本经营预算财政拨款支出决算表</w:t>
      </w:r>
      <w:bookmarkEnd w:id="395"/>
      <w:bookmarkEnd w:id="396"/>
      <w:bookmarkEnd w:id="397"/>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lang w:eastAsia="zh-CN"/>
        </w:rPr>
      </w:pPr>
      <w:bookmarkStart w:id="398" w:name="_Toc15396631"/>
      <w:bookmarkStart w:id="399" w:name="_Toc818168804_WPSOffice_Level2"/>
      <w:bookmarkStart w:id="400" w:name="_Toc1883419009_WPSOffice_Level2"/>
      <w:bookmarkStart w:id="401" w:name="_Toc7196"/>
      <w:r>
        <w:rPr>
          <w:rStyle w:val="20"/>
          <w:rFonts w:hint="eastAsia" w:ascii="仿宋_GB2312" w:hAnsi="仿宋_GB2312" w:eastAsia="仿宋_GB2312" w:cs="仿宋_GB2312"/>
          <w:b w:val="0"/>
          <w:bCs w:val="0"/>
          <w:color w:val="auto"/>
          <w:highlight w:val="none"/>
        </w:rPr>
        <w:t>十三、</w:t>
      </w:r>
      <w:bookmarkEnd w:id="398"/>
      <w:r>
        <w:rPr>
          <w:rStyle w:val="20"/>
          <w:rFonts w:hint="eastAsia" w:ascii="仿宋_GB2312" w:hAnsi="仿宋_GB2312" w:eastAsia="仿宋_GB2312" w:cs="仿宋_GB2312"/>
          <w:b w:val="0"/>
          <w:bCs w:val="0"/>
          <w:color w:val="auto"/>
          <w:highlight w:val="none"/>
          <w:lang w:eastAsia="zh-CN"/>
        </w:rPr>
        <w:t>财政拨款“三公”经费支出决算表</w:t>
      </w:r>
      <w:bookmarkEnd w:id="399"/>
      <w:bookmarkEnd w:id="400"/>
      <w:bookmarkEnd w:id="401"/>
    </w:p>
    <w:bookmarkEnd w:id="402"/>
    <w:sectPr>
      <w:headerReference r:id="rId5" w:type="defaul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val="en-US" w:eastAsia="zh-C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val="en-US" w:eastAsia="zh-C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DAAE5BF"/>
    <w:multiLevelType w:val="singleLevel"/>
    <w:tmpl w:val="4DAAE5BF"/>
    <w:lvl w:ilvl="0" w:tentative="0">
      <w:start w:val="1"/>
      <w:numFmt w:val="decimal"/>
      <w:suff w:val="nothing"/>
      <w:lvlText w:val="%1．"/>
      <w:lvlJc w:val="left"/>
      <w:pPr>
        <w:ind w:left="0" w:firstLine="400"/>
      </w:pPr>
      <w:rPr>
        <w:rFont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8F5D13"/>
    <w:rsid w:val="10C055FF"/>
    <w:rsid w:val="118107EC"/>
    <w:rsid w:val="13D50BC4"/>
    <w:rsid w:val="16BB723D"/>
    <w:rsid w:val="1BE8440E"/>
    <w:rsid w:val="1D155CEE"/>
    <w:rsid w:val="1FBE6308"/>
    <w:rsid w:val="1FF35744"/>
    <w:rsid w:val="23860B96"/>
    <w:rsid w:val="240371BF"/>
    <w:rsid w:val="24E79C82"/>
    <w:rsid w:val="26C26CF7"/>
    <w:rsid w:val="28EB5A44"/>
    <w:rsid w:val="296A5517"/>
    <w:rsid w:val="29FD04D3"/>
    <w:rsid w:val="2C8A61B5"/>
    <w:rsid w:val="2D4274A9"/>
    <w:rsid w:val="2DF04E50"/>
    <w:rsid w:val="2EAECD86"/>
    <w:rsid w:val="2F040D46"/>
    <w:rsid w:val="2F9F26A9"/>
    <w:rsid w:val="2FFB7E87"/>
    <w:rsid w:val="306D4B10"/>
    <w:rsid w:val="30A30A17"/>
    <w:rsid w:val="319F7F4E"/>
    <w:rsid w:val="32A9493D"/>
    <w:rsid w:val="3304709D"/>
    <w:rsid w:val="359EB700"/>
    <w:rsid w:val="35DFDF20"/>
    <w:rsid w:val="36AA5135"/>
    <w:rsid w:val="36CF5EC0"/>
    <w:rsid w:val="376D39B2"/>
    <w:rsid w:val="37ABE7B8"/>
    <w:rsid w:val="37E16F03"/>
    <w:rsid w:val="38D469F0"/>
    <w:rsid w:val="3B7F4E93"/>
    <w:rsid w:val="3C72F800"/>
    <w:rsid w:val="3D98207C"/>
    <w:rsid w:val="3DADEF3A"/>
    <w:rsid w:val="3E78745D"/>
    <w:rsid w:val="3F7219AE"/>
    <w:rsid w:val="3F792C1D"/>
    <w:rsid w:val="3F9F7599"/>
    <w:rsid w:val="3FDF4C56"/>
    <w:rsid w:val="44E268DA"/>
    <w:rsid w:val="4A627F82"/>
    <w:rsid w:val="4B0E749A"/>
    <w:rsid w:val="4B4F25DA"/>
    <w:rsid w:val="4BE068DB"/>
    <w:rsid w:val="4D577224"/>
    <w:rsid w:val="4D961446"/>
    <w:rsid w:val="4EAB630A"/>
    <w:rsid w:val="4ECE2238"/>
    <w:rsid w:val="4FCF3970"/>
    <w:rsid w:val="4FDE62D3"/>
    <w:rsid w:val="535A5684"/>
    <w:rsid w:val="537E6D0A"/>
    <w:rsid w:val="57F76088"/>
    <w:rsid w:val="57F8B299"/>
    <w:rsid w:val="59FB3569"/>
    <w:rsid w:val="5ADB17B4"/>
    <w:rsid w:val="5AF92295"/>
    <w:rsid w:val="5B7B09FA"/>
    <w:rsid w:val="5CD71FC4"/>
    <w:rsid w:val="5DEF0B94"/>
    <w:rsid w:val="5EB46C50"/>
    <w:rsid w:val="5FDBB1BC"/>
    <w:rsid w:val="65E959A6"/>
    <w:rsid w:val="66FBC572"/>
    <w:rsid w:val="67E9A945"/>
    <w:rsid w:val="6BBF7EFA"/>
    <w:rsid w:val="6C4A05C8"/>
    <w:rsid w:val="6D3DD180"/>
    <w:rsid w:val="6D8E9AD3"/>
    <w:rsid w:val="6E777F2E"/>
    <w:rsid w:val="6E7E3605"/>
    <w:rsid w:val="6F2B38F8"/>
    <w:rsid w:val="6FD5C1E1"/>
    <w:rsid w:val="6FEBA8B8"/>
    <w:rsid w:val="6FF5CC65"/>
    <w:rsid w:val="715C0E4B"/>
    <w:rsid w:val="72734D90"/>
    <w:rsid w:val="72C232B3"/>
    <w:rsid w:val="72F599E8"/>
    <w:rsid w:val="73AD73D5"/>
    <w:rsid w:val="73B6EB34"/>
    <w:rsid w:val="744731E5"/>
    <w:rsid w:val="75B67C5D"/>
    <w:rsid w:val="75F77BD1"/>
    <w:rsid w:val="76E3355F"/>
    <w:rsid w:val="778769C8"/>
    <w:rsid w:val="77DE8FD9"/>
    <w:rsid w:val="77DF88E5"/>
    <w:rsid w:val="77E91001"/>
    <w:rsid w:val="77ECE50F"/>
    <w:rsid w:val="77EFB9B5"/>
    <w:rsid w:val="77FB890D"/>
    <w:rsid w:val="77FC6C6A"/>
    <w:rsid w:val="77FFFFD9"/>
    <w:rsid w:val="79EE5BA4"/>
    <w:rsid w:val="79FF4963"/>
    <w:rsid w:val="7A894339"/>
    <w:rsid w:val="7BD7A822"/>
    <w:rsid w:val="7BD7FEF7"/>
    <w:rsid w:val="7BDF2FA3"/>
    <w:rsid w:val="7BF13F2F"/>
    <w:rsid w:val="7BFD3A45"/>
    <w:rsid w:val="7D6F5B75"/>
    <w:rsid w:val="7DD75E18"/>
    <w:rsid w:val="7DFFEAE0"/>
    <w:rsid w:val="7EEF11D3"/>
    <w:rsid w:val="7EFFE47A"/>
    <w:rsid w:val="7F898B50"/>
    <w:rsid w:val="7F9F8328"/>
    <w:rsid w:val="7FA30C79"/>
    <w:rsid w:val="7FAED1A4"/>
    <w:rsid w:val="7FB7269E"/>
    <w:rsid w:val="7FBFAF8B"/>
    <w:rsid w:val="7FC96657"/>
    <w:rsid w:val="7FDB6338"/>
    <w:rsid w:val="7FDBD812"/>
    <w:rsid w:val="7FFB84AA"/>
    <w:rsid w:val="7FFE57C0"/>
    <w:rsid w:val="7FFF75AC"/>
    <w:rsid w:val="9FF75F1A"/>
    <w:rsid w:val="A57FF29E"/>
    <w:rsid w:val="AEFF9051"/>
    <w:rsid w:val="AFF1D17B"/>
    <w:rsid w:val="AFFF529E"/>
    <w:rsid w:val="BBD57DCF"/>
    <w:rsid w:val="BE3F481E"/>
    <w:rsid w:val="BEBA05FF"/>
    <w:rsid w:val="BEED4C46"/>
    <w:rsid w:val="BF6FC3BD"/>
    <w:rsid w:val="BFEAC166"/>
    <w:rsid w:val="C2FF8627"/>
    <w:rsid w:val="D8D6DB89"/>
    <w:rsid w:val="D9D647E9"/>
    <w:rsid w:val="DB6F4CAB"/>
    <w:rsid w:val="DCDF1CDB"/>
    <w:rsid w:val="DDEFA8A1"/>
    <w:rsid w:val="DF3E5F68"/>
    <w:rsid w:val="DF6F9789"/>
    <w:rsid w:val="DFDED95A"/>
    <w:rsid w:val="E8F790F7"/>
    <w:rsid w:val="EBB9D837"/>
    <w:rsid w:val="EBF709A3"/>
    <w:rsid w:val="EDBFF27B"/>
    <w:rsid w:val="EE8F3199"/>
    <w:rsid w:val="EEF52B29"/>
    <w:rsid w:val="EF557C6C"/>
    <w:rsid w:val="EF8772ED"/>
    <w:rsid w:val="EFD76E01"/>
    <w:rsid w:val="EFFCB891"/>
    <w:rsid w:val="EFFD073E"/>
    <w:rsid w:val="EFFEBC85"/>
    <w:rsid w:val="EFFFCA17"/>
    <w:rsid w:val="F3F34554"/>
    <w:rsid w:val="F77D6CB0"/>
    <w:rsid w:val="F7B74489"/>
    <w:rsid w:val="F7BDCA0F"/>
    <w:rsid w:val="F7BF91EF"/>
    <w:rsid w:val="F7D4FE7F"/>
    <w:rsid w:val="F7EF747F"/>
    <w:rsid w:val="FB7D8669"/>
    <w:rsid w:val="FBBC9072"/>
    <w:rsid w:val="FBBF12B9"/>
    <w:rsid w:val="FDBD2547"/>
    <w:rsid w:val="FDDB16BA"/>
    <w:rsid w:val="FEC3E942"/>
    <w:rsid w:val="FEDF23B7"/>
    <w:rsid w:val="FEF73BA0"/>
    <w:rsid w:val="FEFE31C9"/>
    <w:rsid w:val="FF22A15E"/>
    <w:rsid w:val="FF7AF56D"/>
    <w:rsid w:val="FFEA7ED6"/>
    <w:rsid w:val="FFF98CC7"/>
    <w:rsid w:val="FFFF7C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rPr>
      <w:sz w:val="24"/>
    </w:rPr>
  </w:style>
  <w:style w:type="paragraph" w:styleId="14">
    <w:name w:val="Body Text First Indent 2"/>
    <w:basedOn w:val="6"/>
    <w:next w:val="1"/>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8"/>
    <w:semiHidden/>
    <w:qFormat/>
    <w:uiPriority w:val="99"/>
    <w:rPr>
      <w:rFonts w:ascii="Times New Roman" w:hAnsi="Times New Roman"/>
      <w:kern w:val="2"/>
      <w:sz w:val="18"/>
      <w:szCs w:val="18"/>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font01"/>
    <w:basedOn w:val="16"/>
    <w:qFormat/>
    <w:uiPriority w:val="0"/>
    <w:rPr>
      <w:rFonts w:hint="eastAsia" w:ascii="宋体" w:hAnsi="宋体" w:eastAsia="宋体" w:cs="宋体"/>
      <w:color w:val="000000"/>
      <w:sz w:val="18"/>
      <w:szCs w:val="18"/>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a:t>
            </a:r>
          </a:p>
        </c:rich>
      </c:tx>
      <c:layout/>
      <c:overlay val="false"/>
      <c:spPr>
        <a:noFill/>
        <a:ln>
          <a:noFill/>
        </a:ln>
        <a:effectLst/>
      </c:spPr>
    </c:title>
    <c:autoTitleDeleted val="false"/>
    <c:plotArea>
      <c:layout>
        <c:manualLayout>
          <c:layoutTarget val="inner"/>
          <c:xMode val="edge"/>
          <c:yMode val="edge"/>
          <c:x val="0.128855951829551"/>
          <c:y val="0.145142857142857"/>
          <c:w val="0.837023313262313"/>
          <c:h val="0.76312380952381"/>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66424.86</c:v>
                </c:pt>
                <c:pt idx="1">
                  <c:v>68482.84</c:v>
                </c:pt>
              </c:numCache>
            </c:numRef>
          </c:val>
        </c:ser>
        <c:dLbls>
          <c:showLegendKey val="false"/>
          <c:showVal val="true"/>
          <c:showCatName val="false"/>
          <c:showSerName val="false"/>
          <c:showPercent val="false"/>
          <c:showBubbleSize val="false"/>
        </c:dLbls>
        <c:gapWidth val="219"/>
        <c:overlap val="-27"/>
        <c:axId val="151706235"/>
        <c:axId val="647228536"/>
      </c:barChart>
      <c:catAx>
        <c:axId val="15170623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7228536"/>
        <c:crosses val="autoZero"/>
        <c:auto val="true"/>
        <c:lblAlgn val="ctr"/>
        <c:lblOffset val="100"/>
        <c:noMultiLvlLbl val="false"/>
      </c:catAx>
      <c:valAx>
        <c:axId val="64722853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170623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45126175160812"/>
          <c:y val="0.0201925334585583"/>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6</a:t>
                    </a:r>
                    <a:r>
                      <a:rPr lang="en-US" altLang="zh-CN"/>
                      <a:t>5.77</a:t>
                    </a:r>
                    <a:r>
                      <a:t>%</a:t>
                    </a:r>
                  </a:p>
                </c:rich>
              </c:tx>
              <c:dLblPos val="ctr"/>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manualLayout>
                  <c:x val="0.176560815574332"/>
                  <c:y val="0.17404973847629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34</a:t>
                    </a:r>
                    <a:r>
                      <a:rPr lang="en-US" altLang="zh-CN"/>
                      <a:t>.21</a:t>
                    </a:r>
                    <a:r>
                      <a:t>%</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0049563035535847"/>
                  <c:y val="0.15635120824325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其他收入0</a:t>
                    </a:r>
                    <a:r>
                      <a:rPr lang="en-US" altLang="zh-CN"/>
                      <a:t>.02</a:t>
                    </a:r>
                    <a:r>
                      <a:t>%</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Sheet1!$A$1:$A$3</c:f>
              <c:strCache>
                <c:ptCount val="3"/>
                <c:pt idx="0">
                  <c:v>一般公共预算财政拨款收入</c:v>
                </c:pt>
                <c:pt idx="1">
                  <c:v>政府性基金预算财政拨款收入</c:v>
                </c:pt>
                <c:pt idx="2">
                  <c:v>其他收入</c:v>
                </c:pt>
              </c:strCache>
            </c:strRef>
          </c:cat>
          <c:val>
            <c:numRef>
              <c:f>Sheet1!$B$1:$B$3</c:f>
              <c:numCache>
                <c:formatCode>0.000%</c:formatCode>
                <c:ptCount val="3"/>
                <c:pt idx="0">
                  <c:v>0.6577</c:v>
                </c:pt>
                <c:pt idx="1">
                  <c:v>0.3421</c:v>
                </c:pt>
                <c:pt idx="2">
                  <c:v>0.0002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explosion val="0"/>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Sheet1!$A$1:$A$2</c:f>
              <c:strCache>
                <c:ptCount val="2"/>
                <c:pt idx="0">
                  <c:v>项目支出</c:v>
                </c:pt>
                <c:pt idx="1">
                  <c:v>基本支出</c:v>
                </c:pt>
              </c:strCache>
            </c:strRef>
          </c:cat>
          <c:val>
            <c:numRef>
              <c:f>Sheet1!$B$1:$B$2</c:f>
              <c:numCache>
                <c:formatCode>0.00%</c:formatCode>
                <c:ptCount val="2"/>
                <c:pt idx="0">
                  <c:v>0.9015</c:v>
                </c:pt>
                <c:pt idx="1">
                  <c:v>0.0985</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财政拨款收、支决算总计变动情况表</a:t>
            </a:r>
          </a:p>
        </c:rich>
      </c:tx>
      <c:layout/>
      <c:overlay val="false"/>
      <c:spPr>
        <a:noFill/>
        <a:ln>
          <a:noFill/>
        </a:ln>
        <a:effectLst/>
      </c:spPr>
    </c:title>
    <c:autoTitleDeleted val="false"/>
    <c:plotArea>
      <c:layout>
        <c:manualLayout>
          <c:layoutTarget val="inner"/>
          <c:xMode val="edge"/>
          <c:yMode val="edge"/>
          <c:x val="0.118402203856749"/>
          <c:y val="0.145367412140575"/>
          <c:w val="0.854600550964187"/>
          <c:h val="0.75167731629393"/>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65301.93</c:v>
                </c:pt>
                <c:pt idx="1">
                  <c:v>68092.65</c:v>
                </c:pt>
              </c:numCache>
            </c:numRef>
          </c:val>
        </c:ser>
        <c:dLbls>
          <c:showLegendKey val="false"/>
          <c:showVal val="true"/>
          <c:showCatName val="false"/>
          <c:showSerName val="false"/>
          <c:showPercent val="false"/>
          <c:showBubbleSize val="false"/>
        </c:dLbls>
        <c:gapWidth val="219"/>
        <c:overlap val="-27"/>
        <c:axId val="84582114"/>
        <c:axId val="900038964"/>
      </c:barChart>
      <c:catAx>
        <c:axId val="8458211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038964"/>
        <c:crosses val="autoZero"/>
        <c:auto val="true"/>
        <c:lblAlgn val="ctr"/>
        <c:lblOffset val="100"/>
        <c:noMultiLvlLbl val="false"/>
      </c:catAx>
      <c:valAx>
        <c:axId val="90003896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458211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一般公共预算财政拨款支出决算变动情况表</a:t>
            </a:r>
            <a:endParaRPr lang="en-US" altLang="zh-CN"/>
          </a:p>
        </c:rich>
      </c:tx>
      <c:layout>
        <c:manualLayout>
          <c:xMode val="edge"/>
          <c:yMode val="edge"/>
          <c:x val="0.192371352266806"/>
          <c:y val="0.0289554848966614"/>
        </c:manualLayout>
      </c:layout>
      <c:overlay val="false"/>
      <c:spPr>
        <a:noFill/>
        <a:ln>
          <a:noFill/>
        </a:ln>
        <a:effectLst/>
      </c:spPr>
    </c:title>
    <c:autoTitleDeleted val="false"/>
    <c:plotArea>
      <c:layout>
        <c:manualLayout>
          <c:layoutTarget val="inner"/>
          <c:xMode val="edge"/>
          <c:yMode val="edge"/>
          <c:x val="0.11218915290773"/>
          <c:y val="0.198978456089402"/>
          <c:w val="0.883902561526871"/>
          <c:h val="0.695890944498539"/>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18992.27</c:v>
                </c:pt>
                <c:pt idx="1">
                  <c:v>21641.8</c:v>
                </c:pt>
              </c:numCache>
            </c:numRef>
          </c:val>
        </c:ser>
        <c:dLbls>
          <c:showLegendKey val="false"/>
          <c:showVal val="false"/>
          <c:showCatName val="false"/>
          <c:showSerName val="false"/>
          <c:showPercent val="false"/>
          <c:showBubbleSize val="false"/>
        </c:dLbls>
        <c:gapWidth val="219"/>
        <c:overlap val="-27"/>
        <c:axId val="325443253"/>
        <c:axId val="815684367"/>
      </c:barChart>
      <c:catAx>
        <c:axId val="32544325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5684367"/>
        <c:crosses val="autoZero"/>
        <c:auto val="true"/>
        <c:lblAlgn val="ctr"/>
        <c:lblOffset val="100"/>
        <c:noMultiLvlLbl val="false"/>
      </c:catAx>
      <c:valAx>
        <c:axId val="81568436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2544325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Lbls>
            <c:dLbl>
              <c:idx val="0"/>
              <c:layout>
                <c:manualLayout>
                  <c:x val="0.0159913601116676"/>
                  <c:y val="-0.011635253922855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889321945572159"/>
                  <c:y val="-0.007958153424351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0798750000000001"/>
                      <c:h val="0.0482415188297541"/>
                    </c:manualLayout>
                  </c15:layout>
                </c:ext>
              </c:extLst>
            </c:dLbl>
            <c:dLbl>
              <c:idx val="2"/>
              <c:layout>
                <c:manualLayout>
                  <c:x val="-0.214776435350226"/>
                  <c:y val="-0.011643434042757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909581658556203"/>
                  <c:y val="-0.01220691058586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203090331963744"/>
                  <c:y val="0.034354582138986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168786810471966"/>
                  <c:y val="0.015202835910883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15326283020285"/>
                  <c:y val="0.028841372782333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Sheet1!$A$1:$A$10</c:f>
              <c:strCache>
                <c:ptCount val="10"/>
                <c:pt idx="0">
                  <c:v>一般公共服务支出</c:v>
                </c:pt>
                <c:pt idx="1">
                  <c:v>教育支出</c:v>
                </c:pt>
                <c:pt idx="2">
                  <c:v>科学技术支出</c:v>
                </c:pt>
                <c:pt idx="3">
                  <c:v>社会保障和就业支出</c:v>
                </c:pt>
                <c:pt idx="4">
                  <c:v>卫生健康支出</c:v>
                </c:pt>
                <c:pt idx="5">
                  <c:v>节能环保支出</c:v>
                </c:pt>
                <c:pt idx="6">
                  <c:v>城乡社区支出</c:v>
                </c:pt>
                <c:pt idx="7">
                  <c:v>住房保障支出</c:v>
                </c:pt>
                <c:pt idx="8">
                  <c:v>灾害防治及应急管理支出</c:v>
                </c:pt>
                <c:pt idx="9">
                  <c:v>其他支出</c:v>
                </c:pt>
              </c:strCache>
            </c:strRef>
          </c:cat>
          <c:val>
            <c:numRef>
              <c:f>Sheet1!$B$1:$B$10</c:f>
              <c:numCache>
                <c:formatCode>0.00%</c:formatCode>
                <c:ptCount val="10"/>
                <c:pt idx="0">
                  <c:v>0.0004</c:v>
                </c:pt>
                <c:pt idx="1">
                  <c:v>0.0007</c:v>
                </c:pt>
                <c:pt idx="2">
                  <c:v>0</c:v>
                </c:pt>
                <c:pt idx="3">
                  <c:v>0.0159</c:v>
                </c:pt>
                <c:pt idx="4">
                  <c:v>0.0071</c:v>
                </c:pt>
                <c:pt idx="5">
                  <c:v>0.5083</c:v>
                </c:pt>
                <c:pt idx="6">
                  <c:v>0.2714</c:v>
                </c:pt>
                <c:pt idx="7">
                  <c:v>0.1934</c:v>
                </c:pt>
                <c:pt idx="8">
                  <c:v>0.0014</c:v>
                </c:pt>
                <c:pt idx="9">
                  <c:v>0.0014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202006198010113"/>
          <c:y val="0.0536115569823435"/>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delete val="true"/>
            </c:dLbl>
            <c:dLbl>
              <c:idx val="1"/>
              <c:layout>
                <c:manualLayout>
                  <c:x val="-0.00466130909388807"/>
                  <c:y val="-0.06854754157527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公务用车购置及运行维护费, 70.97%</a:t>
                    </a:r>
                  </a:p>
                </c:rich>
              </c:tx>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2"/>
              <c:layout>
                <c:manualLayout>
                  <c:x val="-0.0643144101252554"/>
                  <c:y val="0.13917355719324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公务接待费, 29.03%</a:t>
                    </a:r>
                  </a:p>
                </c:rich>
              </c:tx>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Sheet1!$A$1:$A$3</c:f>
              <c:strCache>
                <c:ptCount val="3"/>
                <c:pt idx="0">
                  <c:v>因公出国（境）费</c:v>
                </c:pt>
                <c:pt idx="1">
                  <c:v>公务用车购置及运行维护费</c:v>
                </c:pt>
                <c:pt idx="2">
                  <c:v>公务接待费</c:v>
                </c:pt>
              </c:strCache>
            </c:strRef>
          </c:cat>
          <c:val>
            <c:numRef>
              <c:f>Sheet1!$B$1:$B$3</c:f>
              <c:numCache>
                <c:formatCode>0%</c:formatCode>
                <c:ptCount val="3"/>
                <c:pt idx="0">
                  <c:v>0</c:v>
                </c:pt>
                <c:pt idx="1" c:formatCode="0.00%">
                  <c:v>0.7097</c:v>
                </c:pt>
                <c:pt idx="2" c:formatCode="0.00%">
                  <c:v>0.2903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42</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2020-08-11T17:49:00Z</dcterms:created>
  <dc:creator>曹颖</dc:creator>
  <cp:lastModifiedBy> </cp:lastModifiedBy>
  <cp:lastPrinted>2023-08-06T18:35:00Z</cp:lastPrinted>
  <dcterms:modified xsi:type="dcterms:W3CDTF">2025-01-06T15:33:28Z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