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9"/>
        <w:rPr>
          <w:rFonts w:hint="eastAsia" w:ascii="宋体" w:hAnsi="宋体" w:eastAsia="宋体" w:cs="宋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8166"/>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9"/>
        <w:rPr>
          <w:rFonts w:hint="eastAsia" w:ascii="宋体" w:hAnsi="宋体" w:eastAsia="宋体" w:cs="宋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宋体" w:hAnsi="宋体" w:eastAsia="宋体" w:cs="宋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1" w:name="_Toc8204"/>
      <w:r>
        <w:rPr>
          <w:rFonts w:hint="eastAsia" w:ascii="宋体" w:hAnsi="宋体" w:eastAsia="宋体" w:cs="宋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广元市人民代表大会常务委员会办公室</w:t>
      </w:r>
      <w:bookmarkEnd w:id="0"/>
      <w:bookmarkEnd w:id="1"/>
    </w:p>
    <w:p>
      <w:pPr>
        <w:pStyle w:val="2"/>
        <w:rPr>
          <w:rFonts w:hint="eastAsia"/>
          <w:lang w:val="en-US"/>
        </w:rPr>
      </w:pPr>
    </w:p>
    <w:p>
      <w:pPr>
        <w:shd w:val="clear"/>
        <w:jc w:val="center"/>
        <w:rPr>
          <w:rFonts w:hint="eastAsia" w:ascii="宋体" w:hAnsi="宋体" w:eastAsia="宋体" w:cs="宋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宋体" w:hAnsi="宋体" w:eastAsia="宋体" w:cs="宋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pStyle w:val="2"/>
        <w:ind w:left="0" w:leftChars="0" w:firstLine="0" w:firstLineChars="0"/>
      </w:pPr>
    </w:p>
    <w:sdt>
      <w:sdtPr>
        <w:rPr>
          <w:rFonts w:ascii="宋体" w:hAnsi="宋体" w:eastAsia="宋体" w:cs="Times New Roman"/>
          <w:color w:val="auto"/>
          <w:kern w:val="2"/>
          <w:sz w:val="21"/>
          <w:szCs w:val="24"/>
          <w:lang w:val="en-US" w:eastAsia="zh-CN" w:bidi="ar-SA"/>
        </w:rPr>
        <w:id w:val="147481232"/>
        <w15:color w:val="DBDBDB"/>
        <w:docPartObj>
          <w:docPartGallery w:val="Table of Contents"/>
          <w:docPartUnique/>
        </w:docPartObj>
      </w:sdtPr>
      <w:sdtEndPr>
        <w:rPr>
          <w:rFonts w:hint="eastAsia" w:ascii="仿宋_GB2312" w:hAnsi="仿宋_GB2312" w:eastAsia="仿宋_GB2312" w:cs="仿宋_GB2312"/>
          <w:b/>
          <w:color w:val="auto"/>
          <w:kern w:val="2"/>
          <w:sz w:val="21"/>
          <w:szCs w:val="32"/>
          <w:lang w:val="en-US" w:eastAsia="zh-CN" w:bidi="ar-SA"/>
        </w:rPr>
      </w:sdtEndPr>
      <w:sdtContent>
        <w:p>
          <w:pPr>
            <w:spacing w:before="0" w:beforeLines="0" w:after="0" w:afterLines="0" w:line="360" w:lineRule="auto"/>
            <w:ind w:left="0" w:leftChars="0" w:right="0" w:rightChars="0" w:firstLine="0" w:firstLineChars="0"/>
            <w:jc w:val="center"/>
          </w:pPr>
          <w:bookmarkStart w:id="2" w:name="_Toc20395"/>
          <w:r>
            <w:rPr>
              <w:rFonts w:ascii="宋体" w:hAnsi="宋体" w:eastAsia="宋体"/>
              <w:sz w:val="21"/>
            </w:rPr>
            <w:t>目录</w:t>
          </w:r>
        </w:p>
        <w:p>
          <w:pPr>
            <w:pStyle w:val="19"/>
            <w:tabs>
              <w:tab w:val="right" w:leader="dot" w:pos="8845"/>
            </w:tabs>
            <w:spacing w:line="360" w:lineRule="auto"/>
            <w:rPr>
              <w:b/>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TOC \o "1-2" \h \u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b/>
              <w:szCs w:val="32"/>
              <w:lang w:val="en-US" w:eastAsia="zh-CN"/>
            </w:rPr>
            <w:fldChar w:fldCharType="begin"/>
          </w:r>
          <w:r>
            <w:rPr>
              <w:rFonts w:hint="eastAsia" w:ascii="仿宋_GB2312" w:hAnsi="仿宋_GB2312" w:eastAsia="仿宋_GB2312" w:cs="仿宋_GB2312"/>
              <w:b/>
              <w:szCs w:val="32"/>
              <w:lang w:val="en-US" w:eastAsia="zh-CN"/>
            </w:rPr>
            <w:instrText xml:space="preserve"> HYPERLINK \l _Toc30793 </w:instrText>
          </w:r>
          <w:r>
            <w:rPr>
              <w:rFonts w:hint="eastAsia" w:ascii="仿宋_GB2312" w:hAnsi="仿宋_GB2312" w:eastAsia="仿宋_GB2312" w:cs="仿宋_GB2312"/>
              <w:b/>
              <w:szCs w:val="32"/>
              <w:lang w:val="en-US" w:eastAsia="zh-CN"/>
            </w:rPr>
            <w:fldChar w:fldCharType="separate"/>
          </w:r>
          <w:r>
            <w:rPr>
              <w:rFonts w:hint="eastAsia" w:ascii="仿宋_GB2312" w:hAnsi="仿宋_GB2312" w:eastAsia="仿宋_GB2312" w:cs="仿宋_GB2312"/>
              <w:b/>
              <w:szCs w:val="32"/>
              <w:lang w:val="en-US" w:eastAsia="zh-CN"/>
            </w:rPr>
            <w:t xml:space="preserve">一、 </w:t>
          </w:r>
          <w:r>
            <w:rPr>
              <w:rFonts w:hint="eastAsia" w:ascii="黑体" w:hAnsi="黑体" w:eastAsia="黑体" w:cs="黑体"/>
              <w:b/>
              <w:szCs w:val="32"/>
              <w:lang w:val="en-US" w:eastAsia="zh-CN"/>
            </w:rPr>
            <w:t>基本职能及主要工作</w:t>
          </w:r>
          <w:r>
            <w:rPr>
              <w:b/>
            </w:rPr>
            <w:tab/>
          </w:r>
          <w:r>
            <w:rPr>
              <w:b/>
            </w:rPr>
            <w:fldChar w:fldCharType="begin"/>
          </w:r>
          <w:r>
            <w:rPr>
              <w:b/>
            </w:rPr>
            <w:instrText xml:space="preserve"> PAGEREF _Toc30793 \h </w:instrText>
          </w:r>
          <w:r>
            <w:rPr>
              <w:b/>
            </w:rPr>
            <w:fldChar w:fldCharType="separate"/>
          </w:r>
          <w:r>
            <w:rPr>
              <w:b/>
            </w:rPr>
            <w:t>3</w:t>
          </w:r>
          <w:r>
            <w:rPr>
              <w:b/>
            </w:rPr>
            <w:fldChar w:fldCharType="end"/>
          </w:r>
          <w:r>
            <w:rPr>
              <w:rFonts w:hint="eastAsia" w:ascii="仿宋_GB2312" w:hAnsi="仿宋_GB2312" w:eastAsia="仿宋_GB2312" w:cs="仿宋_GB2312"/>
              <w:b/>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_Toc21714 </w:instrText>
          </w:r>
          <w:r>
            <w:rPr>
              <w:rFonts w:hint="eastAsia" w:ascii="仿宋_GB2312" w:hAnsi="仿宋_GB2312" w:eastAsia="仿宋_GB2312" w:cs="仿宋_GB2312"/>
              <w:szCs w:val="32"/>
              <w:lang w:val="en-US" w:eastAsia="zh-CN"/>
            </w:rPr>
            <w:fldChar w:fldCharType="separate"/>
          </w:r>
          <w:r>
            <w:rPr>
              <w:rFonts w:hint="eastAsia" w:ascii="楷体_GB2312" w:hAnsi="楷体_GB2312" w:eastAsia="楷体_GB2312" w:cs="楷体_GB2312"/>
              <w:szCs w:val="32"/>
            </w:rPr>
            <w:t xml:space="preserve">（一） </w:t>
          </w:r>
          <w:r>
            <w:rPr>
              <w:rFonts w:hint="eastAsia" w:ascii="楷体_GB2312" w:hAnsi="楷体_GB2312" w:eastAsia="楷体_GB2312" w:cs="楷体_GB2312"/>
              <w:szCs w:val="32"/>
              <w:lang w:val="en-US" w:eastAsia="zh-CN"/>
            </w:rPr>
            <w:t>市人大常委会</w:t>
          </w:r>
          <w:r>
            <w:rPr>
              <w:rFonts w:hint="eastAsia" w:ascii="楷体_GB2312" w:hAnsi="楷体_GB2312" w:eastAsia="楷体_GB2312" w:cs="楷体_GB2312"/>
              <w:szCs w:val="32"/>
            </w:rPr>
            <w:t>职能简介</w:t>
          </w:r>
          <w:r>
            <w:tab/>
          </w:r>
          <w:r>
            <w:fldChar w:fldCharType="begin"/>
          </w:r>
          <w:r>
            <w:instrText xml:space="preserve"> PAGEREF _Toc21714 \h </w:instrText>
          </w:r>
          <w:r>
            <w:fldChar w:fldCharType="separate"/>
          </w:r>
          <w:r>
            <w:t>3</w:t>
          </w:r>
          <w:r>
            <w:fldChar w:fldCharType="end"/>
          </w:r>
          <w:r>
            <w:rPr>
              <w:rFonts w:hint="eastAsia" w:ascii="仿宋_GB2312" w:hAnsi="仿宋_GB2312" w:eastAsia="仿宋_GB2312" w:cs="仿宋_GB2312"/>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_Toc6633 </w:instrText>
          </w:r>
          <w:r>
            <w:rPr>
              <w:rFonts w:hint="eastAsia" w:ascii="仿宋_GB2312" w:hAnsi="仿宋_GB2312" w:eastAsia="仿宋_GB2312" w:cs="仿宋_GB2312"/>
              <w:szCs w:val="32"/>
              <w:lang w:val="en-US" w:eastAsia="zh-CN"/>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市人大常委会</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_Toc6633 \h </w:instrText>
          </w:r>
          <w:r>
            <w:fldChar w:fldCharType="separate"/>
          </w:r>
          <w:r>
            <w:t>4</w:t>
          </w:r>
          <w:r>
            <w:fldChar w:fldCharType="end"/>
          </w:r>
          <w:r>
            <w:rPr>
              <w:rFonts w:hint="eastAsia" w:ascii="仿宋_GB2312" w:hAnsi="仿宋_GB2312" w:eastAsia="仿宋_GB2312" w:cs="仿宋_GB2312"/>
              <w:szCs w:val="32"/>
              <w:lang w:val="en-US" w:eastAsia="zh-CN"/>
            </w:rPr>
            <w:fldChar w:fldCharType="end"/>
          </w:r>
        </w:p>
        <w:p>
          <w:pPr>
            <w:pStyle w:val="19"/>
            <w:tabs>
              <w:tab w:val="right" w:leader="dot" w:pos="8845"/>
            </w:tabs>
            <w:spacing w:line="360" w:lineRule="auto"/>
            <w:rPr>
              <w:b/>
            </w:rPr>
          </w:pPr>
          <w:r>
            <w:rPr>
              <w:rFonts w:hint="eastAsia" w:ascii="仿宋_GB2312" w:hAnsi="仿宋_GB2312" w:eastAsia="仿宋_GB2312" w:cs="仿宋_GB2312"/>
              <w:b/>
              <w:szCs w:val="32"/>
              <w:lang w:val="en-US" w:eastAsia="zh-CN"/>
            </w:rPr>
            <w:fldChar w:fldCharType="begin"/>
          </w:r>
          <w:r>
            <w:rPr>
              <w:rFonts w:hint="eastAsia" w:ascii="仿宋_GB2312" w:hAnsi="仿宋_GB2312" w:eastAsia="仿宋_GB2312" w:cs="仿宋_GB2312"/>
              <w:b/>
              <w:szCs w:val="32"/>
              <w:lang w:val="en-US" w:eastAsia="zh-CN"/>
            </w:rPr>
            <w:instrText xml:space="preserve"> HYPERLINK \l _Toc23361 </w:instrText>
          </w:r>
          <w:r>
            <w:rPr>
              <w:rFonts w:hint="eastAsia" w:ascii="仿宋_GB2312" w:hAnsi="仿宋_GB2312" w:eastAsia="仿宋_GB2312" w:cs="仿宋_GB2312"/>
              <w:b/>
              <w:szCs w:val="32"/>
              <w:lang w:val="en-US" w:eastAsia="zh-CN"/>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_Toc23361 \h </w:instrText>
          </w:r>
          <w:r>
            <w:rPr>
              <w:b/>
            </w:rPr>
            <w:fldChar w:fldCharType="separate"/>
          </w:r>
          <w:r>
            <w:rPr>
              <w:b/>
            </w:rPr>
            <w:t>6</w:t>
          </w:r>
          <w:r>
            <w:rPr>
              <w:b/>
            </w:rPr>
            <w:fldChar w:fldCharType="end"/>
          </w:r>
          <w:r>
            <w:rPr>
              <w:rFonts w:hint="eastAsia" w:ascii="仿宋_GB2312" w:hAnsi="仿宋_GB2312" w:eastAsia="仿宋_GB2312" w:cs="仿宋_GB2312"/>
              <w:b/>
              <w:szCs w:val="32"/>
              <w:lang w:val="en-US" w:eastAsia="zh-CN"/>
            </w:rPr>
            <w:fldChar w:fldCharType="end"/>
          </w:r>
        </w:p>
        <w:p>
          <w:pPr>
            <w:pStyle w:val="19"/>
            <w:tabs>
              <w:tab w:val="right" w:leader="dot" w:pos="8845"/>
            </w:tabs>
            <w:spacing w:line="360" w:lineRule="auto"/>
            <w:rPr>
              <w:b/>
            </w:rPr>
          </w:pPr>
          <w:r>
            <w:rPr>
              <w:rFonts w:hint="eastAsia" w:ascii="仿宋_GB2312" w:hAnsi="仿宋_GB2312" w:eastAsia="仿宋_GB2312" w:cs="仿宋_GB2312"/>
              <w:b/>
              <w:szCs w:val="32"/>
              <w:lang w:val="en-US" w:eastAsia="zh-CN"/>
            </w:rPr>
            <w:fldChar w:fldCharType="begin"/>
          </w:r>
          <w:r>
            <w:rPr>
              <w:rFonts w:hint="eastAsia" w:ascii="仿宋_GB2312" w:hAnsi="仿宋_GB2312" w:eastAsia="仿宋_GB2312" w:cs="仿宋_GB2312"/>
              <w:b/>
              <w:szCs w:val="32"/>
              <w:lang w:val="en-US" w:eastAsia="zh-CN"/>
            </w:rPr>
            <w:instrText xml:space="preserve"> HYPERLINK \l _Toc17230 </w:instrText>
          </w:r>
          <w:r>
            <w:rPr>
              <w:rFonts w:hint="eastAsia" w:ascii="仿宋_GB2312" w:hAnsi="仿宋_GB2312" w:eastAsia="仿宋_GB2312" w:cs="仿宋_GB2312"/>
              <w:b/>
              <w:szCs w:val="32"/>
              <w:lang w:val="en-US" w:eastAsia="zh-CN"/>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_Toc17230 \h </w:instrText>
          </w:r>
          <w:r>
            <w:rPr>
              <w:b/>
            </w:rPr>
            <w:fldChar w:fldCharType="separate"/>
          </w:r>
          <w:r>
            <w:rPr>
              <w:b/>
            </w:rPr>
            <w:t>6</w:t>
          </w:r>
          <w:r>
            <w:rPr>
              <w:b/>
            </w:rPr>
            <w:fldChar w:fldCharType="end"/>
          </w:r>
          <w:r>
            <w:rPr>
              <w:rFonts w:hint="eastAsia" w:ascii="仿宋_GB2312" w:hAnsi="仿宋_GB2312" w:eastAsia="仿宋_GB2312" w:cs="仿宋_GB2312"/>
              <w:b/>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_Toc11547 </w:instrText>
          </w:r>
          <w:r>
            <w:rPr>
              <w:rFonts w:hint="eastAsia" w:ascii="仿宋_GB2312" w:hAnsi="仿宋_GB2312" w:eastAsia="仿宋_GB2312" w:cs="仿宋_GB2312"/>
              <w:szCs w:val="32"/>
              <w:lang w:val="en-US" w:eastAsia="zh-CN"/>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_Toc11547 \h </w:instrText>
          </w:r>
          <w:r>
            <w:fldChar w:fldCharType="separate"/>
          </w:r>
          <w:r>
            <w:t>6</w:t>
          </w:r>
          <w:r>
            <w:fldChar w:fldCharType="end"/>
          </w:r>
          <w:r>
            <w:rPr>
              <w:rFonts w:hint="eastAsia" w:ascii="仿宋_GB2312" w:hAnsi="仿宋_GB2312" w:eastAsia="仿宋_GB2312" w:cs="仿宋_GB2312"/>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_Toc22343 </w:instrText>
          </w:r>
          <w:r>
            <w:rPr>
              <w:rFonts w:hint="eastAsia" w:ascii="仿宋_GB2312" w:hAnsi="仿宋_GB2312" w:eastAsia="仿宋_GB2312" w:cs="仿宋_GB2312"/>
              <w:szCs w:val="32"/>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_Toc22343 \h </w:instrText>
          </w:r>
          <w:r>
            <w:fldChar w:fldCharType="separate"/>
          </w:r>
          <w:r>
            <w:t>6</w:t>
          </w:r>
          <w:r>
            <w:fldChar w:fldCharType="end"/>
          </w:r>
          <w:r>
            <w:rPr>
              <w:rFonts w:hint="eastAsia" w:ascii="仿宋_GB2312" w:hAnsi="仿宋_GB2312" w:eastAsia="仿宋_GB2312" w:cs="仿宋_GB2312"/>
              <w:szCs w:val="32"/>
              <w:lang w:val="en-US" w:eastAsia="zh-CN"/>
            </w:rPr>
            <w:fldChar w:fldCharType="end"/>
          </w:r>
        </w:p>
        <w:p>
          <w:pPr>
            <w:pStyle w:val="19"/>
            <w:tabs>
              <w:tab w:val="right" w:leader="dot" w:pos="8845"/>
            </w:tabs>
            <w:spacing w:line="360" w:lineRule="auto"/>
            <w:rPr>
              <w:b/>
            </w:rPr>
          </w:pPr>
          <w:r>
            <w:rPr>
              <w:rFonts w:hint="eastAsia" w:ascii="仿宋_GB2312" w:hAnsi="仿宋_GB2312" w:eastAsia="仿宋_GB2312" w:cs="仿宋_GB2312"/>
              <w:b/>
              <w:szCs w:val="32"/>
              <w:lang w:val="en-US" w:eastAsia="zh-CN"/>
            </w:rPr>
            <w:fldChar w:fldCharType="begin"/>
          </w:r>
          <w:r>
            <w:rPr>
              <w:rFonts w:hint="eastAsia" w:ascii="仿宋_GB2312" w:hAnsi="仿宋_GB2312" w:eastAsia="仿宋_GB2312" w:cs="仿宋_GB2312"/>
              <w:b/>
              <w:szCs w:val="32"/>
              <w:lang w:val="en-US" w:eastAsia="zh-CN"/>
            </w:rPr>
            <w:instrText xml:space="preserve"> HYPERLINK \l _Toc31163 </w:instrText>
          </w:r>
          <w:r>
            <w:rPr>
              <w:rFonts w:hint="eastAsia" w:ascii="仿宋_GB2312" w:hAnsi="仿宋_GB2312" w:eastAsia="仿宋_GB2312" w:cs="仿宋_GB2312"/>
              <w:b/>
              <w:szCs w:val="32"/>
              <w:lang w:val="en-US" w:eastAsia="zh-CN"/>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_Toc31163 \h </w:instrText>
          </w:r>
          <w:r>
            <w:rPr>
              <w:b/>
            </w:rPr>
            <w:fldChar w:fldCharType="separate"/>
          </w:r>
          <w:r>
            <w:rPr>
              <w:b/>
            </w:rPr>
            <w:t>6</w:t>
          </w:r>
          <w:r>
            <w:rPr>
              <w:b/>
            </w:rPr>
            <w:fldChar w:fldCharType="end"/>
          </w:r>
          <w:r>
            <w:rPr>
              <w:rFonts w:hint="eastAsia" w:ascii="仿宋_GB2312" w:hAnsi="仿宋_GB2312" w:eastAsia="仿宋_GB2312" w:cs="仿宋_GB2312"/>
              <w:b/>
              <w:szCs w:val="32"/>
              <w:lang w:val="en-US" w:eastAsia="zh-CN"/>
            </w:rPr>
            <w:fldChar w:fldCharType="end"/>
          </w:r>
        </w:p>
        <w:p>
          <w:pPr>
            <w:pStyle w:val="19"/>
            <w:tabs>
              <w:tab w:val="right" w:leader="dot" w:pos="8845"/>
            </w:tabs>
            <w:spacing w:line="360" w:lineRule="auto"/>
            <w:rPr>
              <w:b/>
            </w:rPr>
          </w:pPr>
          <w:r>
            <w:rPr>
              <w:rFonts w:hint="eastAsia" w:ascii="仿宋_GB2312" w:hAnsi="仿宋_GB2312" w:eastAsia="仿宋_GB2312" w:cs="仿宋_GB2312"/>
              <w:b/>
              <w:szCs w:val="32"/>
              <w:lang w:val="en-US" w:eastAsia="zh-CN"/>
            </w:rPr>
            <w:fldChar w:fldCharType="begin"/>
          </w:r>
          <w:r>
            <w:rPr>
              <w:rFonts w:hint="eastAsia" w:ascii="仿宋_GB2312" w:hAnsi="仿宋_GB2312" w:eastAsia="仿宋_GB2312" w:cs="仿宋_GB2312"/>
              <w:b/>
              <w:szCs w:val="32"/>
              <w:lang w:val="en-US" w:eastAsia="zh-CN"/>
            </w:rPr>
            <w:instrText xml:space="preserve"> HYPERLINK \l _Toc26723 </w:instrText>
          </w:r>
          <w:r>
            <w:rPr>
              <w:rFonts w:hint="eastAsia" w:ascii="仿宋_GB2312" w:hAnsi="仿宋_GB2312" w:eastAsia="仿宋_GB2312" w:cs="仿宋_GB2312"/>
              <w:b/>
              <w:szCs w:val="32"/>
              <w:lang w:val="en-US" w:eastAsia="zh-CN"/>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_Toc26723 \h </w:instrText>
          </w:r>
          <w:r>
            <w:rPr>
              <w:b/>
            </w:rPr>
            <w:fldChar w:fldCharType="separate"/>
          </w:r>
          <w:r>
            <w:rPr>
              <w:b/>
            </w:rPr>
            <w:t>7</w:t>
          </w:r>
          <w:r>
            <w:rPr>
              <w:b/>
            </w:rPr>
            <w:fldChar w:fldCharType="end"/>
          </w:r>
          <w:r>
            <w:rPr>
              <w:rFonts w:hint="eastAsia" w:ascii="仿宋_GB2312" w:hAnsi="仿宋_GB2312" w:eastAsia="仿宋_GB2312" w:cs="仿宋_GB2312"/>
              <w:b/>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_Toc12175 </w:instrText>
          </w:r>
          <w:r>
            <w:rPr>
              <w:rFonts w:hint="eastAsia" w:ascii="仿宋_GB2312" w:hAnsi="仿宋_GB2312" w:eastAsia="仿宋_GB2312" w:cs="仿宋_GB2312"/>
              <w:szCs w:val="32"/>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_Toc12175 \h </w:instrText>
          </w:r>
          <w:r>
            <w:fldChar w:fldCharType="separate"/>
          </w:r>
          <w:r>
            <w:t>7</w:t>
          </w:r>
          <w:r>
            <w:fldChar w:fldCharType="end"/>
          </w:r>
          <w:r>
            <w:rPr>
              <w:rFonts w:hint="eastAsia" w:ascii="仿宋_GB2312" w:hAnsi="仿宋_GB2312" w:eastAsia="仿宋_GB2312" w:cs="仿宋_GB2312"/>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_Toc8459 </w:instrText>
          </w:r>
          <w:r>
            <w:rPr>
              <w:rFonts w:hint="eastAsia" w:ascii="仿宋_GB2312" w:hAnsi="仿宋_GB2312" w:eastAsia="仿宋_GB2312" w:cs="仿宋_GB2312"/>
              <w:szCs w:val="32"/>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_Toc8459 \h </w:instrText>
          </w:r>
          <w:r>
            <w:fldChar w:fldCharType="separate"/>
          </w:r>
          <w:r>
            <w:t>7</w:t>
          </w:r>
          <w:r>
            <w:fldChar w:fldCharType="end"/>
          </w:r>
          <w:r>
            <w:rPr>
              <w:rFonts w:hint="eastAsia" w:ascii="仿宋_GB2312" w:hAnsi="仿宋_GB2312" w:eastAsia="仿宋_GB2312" w:cs="仿宋_GB2312"/>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_Toc13896 </w:instrText>
          </w:r>
          <w:r>
            <w:rPr>
              <w:rFonts w:hint="eastAsia" w:ascii="仿宋_GB2312" w:hAnsi="仿宋_GB2312" w:eastAsia="仿宋_GB2312" w:cs="仿宋_GB2312"/>
              <w:szCs w:val="32"/>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_Toc13896 \h </w:instrText>
          </w:r>
          <w:r>
            <w:fldChar w:fldCharType="separate"/>
          </w:r>
          <w:r>
            <w:t>7</w:t>
          </w:r>
          <w:r>
            <w:fldChar w:fldCharType="end"/>
          </w:r>
          <w:r>
            <w:rPr>
              <w:rFonts w:hint="eastAsia" w:ascii="仿宋_GB2312" w:hAnsi="仿宋_GB2312" w:eastAsia="仿宋_GB2312" w:cs="仿宋_GB2312"/>
              <w:szCs w:val="32"/>
              <w:lang w:val="en-US" w:eastAsia="zh-CN"/>
            </w:rPr>
            <w:fldChar w:fldCharType="end"/>
          </w:r>
        </w:p>
        <w:p>
          <w:pPr>
            <w:pStyle w:val="19"/>
            <w:tabs>
              <w:tab w:val="right" w:leader="dot" w:pos="8845"/>
            </w:tabs>
            <w:spacing w:line="360" w:lineRule="auto"/>
            <w:rPr>
              <w:b/>
            </w:rPr>
          </w:pPr>
          <w:r>
            <w:rPr>
              <w:rFonts w:hint="eastAsia" w:ascii="仿宋_GB2312" w:hAnsi="仿宋_GB2312" w:eastAsia="仿宋_GB2312" w:cs="仿宋_GB2312"/>
              <w:b/>
              <w:szCs w:val="32"/>
              <w:lang w:val="en-US" w:eastAsia="zh-CN"/>
            </w:rPr>
            <w:fldChar w:fldCharType="begin"/>
          </w:r>
          <w:r>
            <w:rPr>
              <w:rFonts w:hint="eastAsia" w:ascii="仿宋_GB2312" w:hAnsi="仿宋_GB2312" w:eastAsia="仿宋_GB2312" w:cs="仿宋_GB2312"/>
              <w:b/>
              <w:szCs w:val="32"/>
              <w:lang w:val="en-US" w:eastAsia="zh-CN"/>
            </w:rPr>
            <w:instrText xml:space="preserve"> HYPERLINK \l _Toc15729 </w:instrText>
          </w:r>
          <w:r>
            <w:rPr>
              <w:rFonts w:hint="eastAsia" w:ascii="仿宋_GB2312" w:hAnsi="仿宋_GB2312" w:eastAsia="仿宋_GB2312" w:cs="仿宋_GB2312"/>
              <w:b/>
              <w:szCs w:val="32"/>
              <w:lang w:val="en-US" w:eastAsia="zh-CN"/>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_Toc15729 \h </w:instrText>
          </w:r>
          <w:r>
            <w:rPr>
              <w:b/>
            </w:rPr>
            <w:fldChar w:fldCharType="separate"/>
          </w:r>
          <w:r>
            <w:rPr>
              <w:b/>
            </w:rPr>
            <w:t>9</w:t>
          </w:r>
          <w:r>
            <w:rPr>
              <w:b/>
            </w:rPr>
            <w:fldChar w:fldCharType="end"/>
          </w:r>
          <w:r>
            <w:rPr>
              <w:rFonts w:hint="eastAsia" w:ascii="仿宋_GB2312" w:hAnsi="仿宋_GB2312" w:eastAsia="仿宋_GB2312" w:cs="仿宋_GB2312"/>
              <w:b/>
              <w:szCs w:val="32"/>
              <w:lang w:val="en-US" w:eastAsia="zh-CN"/>
            </w:rPr>
            <w:fldChar w:fldCharType="end"/>
          </w:r>
        </w:p>
        <w:p>
          <w:pPr>
            <w:pStyle w:val="19"/>
            <w:tabs>
              <w:tab w:val="right" w:leader="dot" w:pos="8845"/>
            </w:tabs>
            <w:spacing w:line="360" w:lineRule="auto"/>
            <w:rPr>
              <w:b/>
            </w:rPr>
          </w:pPr>
          <w:r>
            <w:rPr>
              <w:rFonts w:hint="eastAsia" w:ascii="仿宋_GB2312" w:hAnsi="仿宋_GB2312" w:eastAsia="仿宋_GB2312" w:cs="仿宋_GB2312"/>
              <w:b/>
              <w:szCs w:val="32"/>
              <w:lang w:val="en-US" w:eastAsia="zh-CN"/>
            </w:rPr>
            <w:fldChar w:fldCharType="begin"/>
          </w:r>
          <w:r>
            <w:rPr>
              <w:rFonts w:hint="eastAsia" w:ascii="仿宋_GB2312" w:hAnsi="仿宋_GB2312" w:eastAsia="仿宋_GB2312" w:cs="仿宋_GB2312"/>
              <w:b/>
              <w:szCs w:val="32"/>
              <w:lang w:val="en-US" w:eastAsia="zh-CN"/>
            </w:rPr>
            <w:instrText xml:space="preserve"> HYPERLINK \l _Toc1928 </w:instrText>
          </w:r>
          <w:r>
            <w:rPr>
              <w:rFonts w:hint="eastAsia" w:ascii="仿宋_GB2312" w:hAnsi="仿宋_GB2312" w:eastAsia="仿宋_GB2312" w:cs="仿宋_GB2312"/>
              <w:b/>
              <w:szCs w:val="32"/>
              <w:lang w:val="en-US" w:eastAsia="zh-CN"/>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_Toc1928 \h </w:instrText>
          </w:r>
          <w:r>
            <w:rPr>
              <w:b/>
            </w:rPr>
            <w:fldChar w:fldCharType="separate"/>
          </w:r>
          <w:r>
            <w:rPr>
              <w:b/>
            </w:rPr>
            <w:t>9</w:t>
          </w:r>
          <w:r>
            <w:rPr>
              <w:b/>
            </w:rPr>
            <w:fldChar w:fldCharType="end"/>
          </w:r>
          <w:r>
            <w:rPr>
              <w:rFonts w:hint="eastAsia" w:ascii="仿宋_GB2312" w:hAnsi="仿宋_GB2312" w:eastAsia="仿宋_GB2312" w:cs="仿宋_GB2312"/>
              <w:b/>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_Toc11774 </w:instrText>
          </w:r>
          <w:r>
            <w:rPr>
              <w:rFonts w:hint="eastAsia" w:ascii="仿宋_GB2312" w:hAnsi="仿宋_GB2312" w:eastAsia="仿宋_GB2312" w:cs="仿宋_GB2312"/>
              <w:szCs w:val="32"/>
              <w:lang w:val="en-US" w:eastAsia="zh-CN"/>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_Toc11774 \h </w:instrText>
          </w:r>
          <w:r>
            <w:fldChar w:fldCharType="separate"/>
          </w:r>
          <w:r>
            <w:t>10</w:t>
          </w:r>
          <w:r>
            <w:fldChar w:fldCharType="end"/>
          </w:r>
          <w:r>
            <w:rPr>
              <w:rFonts w:hint="eastAsia" w:ascii="仿宋_GB2312" w:hAnsi="仿宋_GB2312" w:eastAsia="仿宋_GB2312" w:cs="仿宋_GB2312"/>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_Toc543 </w:instrText>
          </w:r>
          <w:r>
            <w:rPr>
              <w:rFonts w:hint="eastAsia" w:ascii="仿宋_GB2312" w:hAnsi="仿宋_GB2312" w:eastAsia="仿宋_GB2312" w:cs="仿宋_GB2312"/>
              <w:szCs w:val="32"/>
              <w:lang w:val="en-US" w:eastAsia="zh-CN"/>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_Toc543 \h </w:instrText>
          </w:r>
          <w:r>
            <w:fldChar w:fldCharType="separate"/>
          </w:r>
          <w:r>
            <w:t>10</w:t>
          </w:r>
          <w:r>
            <w:fldChar w:fldCharType="end"/>
          </w:r>
          <w:r>
            <w:rPr>
              <w:rFonts w:hint="eastAsia" w:ascii="仿宋_GB2312" w:hAnsi="仿宋_GB2312" w:eastAsia="仿宋_GB2312" w:cs="仿宋_GB2312"/>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_Toc28193 </w:instrText>
          </w:r>
          <w:r>
            <w:rPr>
              <w:rFonts w:hint="eastAsia" w:ascii="仿宋_GB2312" w:hAnsi="仿宋_GB2312" w:eastAsia="仿宋_GB2312" w:cs="仿宋_GB2312"/>
              <w:szCs w:val="32"/>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_Toc28193 \h </w:instrText>
          </w:r>
          <w:r>
            <w:fldChar w:fldCharType="separate"/>
          </w:r>
          <w:r>
            <w:t>10</w:t>
          </w:r>
          <w:r>
            <w:fldChar w:fldCharType="end"/>
          </w:r>
          <w:r>
            <w:rPr>
              <w:rFonts w:hint="eastAsia" w:ascii="仿宋_GB2312" w:hAnsi="仿宋_GB2312" w:eastAsia="仿宋_GB2312" w:cs="仿宋_GB2312"/>
              <w:szCs w:val="32"/>
              <w:lang w:val="en-US" w:eastAsia="zh-CN"/>
            </w:rPr>
            <w:fldChar w:fldCharType="end"/>
          </w:r>
        </w:p>
        <w:p>
          <w:pPr>
            <w:pStyle w:val="19"/>
            <w:tabs>
              <w:tab w:val="right" w:leader="dot" w:pos="8845"/>
            </w:tabs>
            <w:spacing w:line="360" w:lineRule="auto"/>
            <w:rPr>
              <w:b/>
            </w:rPr>
          </w:pPr>
          <w:r>
            <w:rPr>
              <w:rFonts w:hint="eastAsia" w:ascii="仿宋_GB2312" w:hAnsi="仿宋_GB2312" w:eastAsia="仿宋_GB2312" w:cs="仿宋_GB2312"/>
              <w:b/>
              <w:szCs w:val="32"/>
              <w:lang w:val="en-US" w:eastAsia="zh-CN"/>
            </w:rPr>
            <w:fldChar w:fldCharType="begin"/>
          </w:r>
          <w:r>
            <w:rPr>
              <w:rFonts w:hint="eastAsia" w:ascii="仿宋_GB2312" w:hAnsi="仿宋_GB2312" w:eastAsia="仿宋_GB2312" w:cs="仿宋_GB2312"/>
              <w:b/>
              <w:szCs w:val="32"/>
              <w:lang w:val="en-US" w:eastAsia="zh-CN"/>
            </w:rPr>
            <w:instrText xml:space="preserve"> HYPERLINK \l _Toc29720 </w:instrText>
          </w:r>
          <w:r>
            <w:rPr>
              <w:rFonts w:hint="eastAsia" w:ascii="仿宋_GB2312" w:hAnsi="仿宋_GB2312" w:eastAsia="仿宋_GB2312" w:cs="仿宋_GB2312"/>
              <w:b/>
              <w:szCs w:val="32"/>
              <w:lang w:val="en-US" w:eastAsia="zh-CN"/>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_Toc29720 \h </w:instrText>
          </w:r>
          <w:r>
            <w:rPr>
              <w:b/>
            </w:rPr>
            <w:fldChar w:fldCharType="separate"/>
          </w:r>
          <w:r>
            <w:rPr>
              <w:b/>
            </w:rPr>
            <w:t>10</w:t>
          </w:r>
          <w:r>
            <w:rPr>
              <w:b/>
            </w:rPr>
            <w:fldChar w:fldCharType="end"/>
          </w:r>
          <w:r>
            <w:rPr>
              <w:rFonts w:hint="eastAsia" w:ascii="仿宋_GB2312" w:hAnsi="仿宋_GB2312" w:eastAsia="仿宋_GB2312" w:cs="仿宋_GB2312"/>
              <w:b/>
              <w:szCs w:val="32"/>
              <w:lang w:val="en-US" w:eastAsia="zh-CN"/>
            </w:rPr>
            <w:fldChar w:fldCharType="end"/>
          </w:r>
        </w:p>
        <w:p>
          <w:pPr>
            <w:pStyle w:val="19"/>
            <w:tabs>
              <w:tab w:val="right" w:leader="dot" w:pos="8845"/>
            </w:tabs>
            <w:spacing w:line="360" w:lineRule="auto"/>
            <w:rPr>
              <w:b/>
            </w:rPr>
          </w:pPr>
          <w:r>
            <w:rPr>
              <w:rFonts w:hint="eastAsia" w:ascii="仿宋_GB2312" w:hAnsi="仿宋_GB2312" w:eastAsia="仿宋_GB2312" w:cs="仿宋_GB2312"/>
              <w:b/>
              <w:szCs w:val="32"/>
              <w:lang w:val="en-US" w:eastAsia="zh-CN"/>
            </w:rPr>
            <w:fldChar w:fldCharType="begin"/>
          </w:r>
          <w:r>
            <w:rPr>
              <w:rFonts w:hint="eastAsia" w:ascii="仿宋_GB2312" w:hAnsi="仿宋_GB2312" w:eastAsia="仿宋_GB2312" w:cs="仿宋_GB2312"/>
              <w:b/>
              <w:szCs w:val="32"/>
              <w:lang w:val="en-US" w:eastAsia="zh-CN"/>
            </w:rPr>
            <w:instrText xml:space="preserve"> HYPERLINK \l _Toc15025 </w:instrText>
          </w:r>
          <w:r>
            <w:rPr>
              <w:rFonts w:hint="eastAsia" w:ascii="仿宋_GB2312" w:hAnsi="仿宋_GB2312" w:eastAsia="仿宋_GB2312" w:cs="仿宋_GB2312"/>
              <w:b/>
              <w:szCs w:val="32"/>
              <w:lang w:val="en-US" w:eastAsia="zh-CN"/>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_Toc15025 \h </w:instrText>
          </w:r>
          <w:r>
            <w:rPr>
              <w:b/>
            </w:rPr>
            <w:fldChar w:fldCharType="separate"/>
          </w:r>
          <w:r>
            <w:rPr>
              <w:b/>
            </w:rPr>
            <w:t>10</w:t>
          </w:r>
          <w:r>
            <w:rPr>
              <w:b/>
            </w:rPr>
            <w:fldChar w:fldCharType="end"/>
          </w:r>
          <w:r>
            <w:rPr>
              <w:rFonts w:hint="eastAsia" w:ascii="仿宋_GB2312" w:hAnsi="仿宋_GB2312" w:eastAsia="仿宋_GB2312" w:cs="仿宋_GB2312"/>
              <w:b/>
              <w:szCs w:val="32"/>
              <w:lang w:val="en-US" w:eastAsia="zh-CN"/>
            </w:rPr>
            <w:fldChar w:fldCharType="end"/>
          </w:r>
        </w:p>
        <w:p>
          <w:pPr>
            <w:pStyle w:val="19"/>
            <w:tabs>
              <w:tab w:val="right" w:leader="dot" w:pos="8845"/>
            </w:tabs>
            <w:spacing w:line="360" w:lineRule="auto"/>
            <w:rPr>
              <w:b/>
            </w:rPr>
          </w:pPr>
          <w:r>
            <w:rPr>
              <w:rFonts w:hint="eastAsia" w:ascii="仿宋_GB2312" w:hAnsi="仿宋_GB2312" w:eastAsia="仿宋_GB2312" w:cs="仿宋_GB2312"/>
              <w:b/>
              <w:szCs w:val="32"/>
              <w:lang w:val="en-US" w:eastAsia="zh-CN"/>
            </w:rPr>
            <w:fldChar w:fldCharType="begin"/>
          </w:r>
          <w:r>
            <w:rPr>
              <w:rFonts w:hint="eastAsia" w:ascii="仿宋_GB2312" w:hAnsi="仿宋_GB2312" w:eastAsia="仿宋_GB2312" w:cs="仿宋_GB2312"/>
              <w:b/>
              <w:szCs w:val="32"/>
              <w:lang w:val="en-US" w:eastAsia="zh-CN"/>
            </w:rPr>
            <w:instrText xml:space="preserve"> HYPERLINK \l _Toc31255 </w:instrText>
          </w:r>
          <w:r>
            <w:rPr>
              <w:rFonts w:hint="eastAsia" w:ascii="仿宋_GB2312" w:hAnsi="仿宋_GB2312" w:eastAsia="仿宋_GB2312" w:cs="仿宋_GB2312"/>
              <w:b/>
              <w:szCs w:val="32"/>
              <w:lang w:val="en-US" w:eastAsia="zh-CN"/>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_Toc31255 \h </w:instrText>
          </w:r>
          <w:r>
            <w:rPr>
              <w:b/>
            </w:rPr>
            <w:fldChar w:fldCharType="separate"/>
          </w:r>
          <w:r>
            <w:rPr>
              <w:b/>
            </w:rPr>
            <w:t>11</w:t>
          </w:r>
          <w:r>
            <w:rPr>
              <w:b/>
            </w:rPr>
            <w:fldChar w:fldCharType="end"/>
          </w:r>
          <w:r>
            <w:rPr>
              <w:rFonts w:hint="eastAsia" w:ascii="仿宋_GB2312" w:hAnsi="仿宋_GB2312" w:eastAsia="仿宋_GB2312" w:cs="仿宋_GB2312"/>
              <w:b/>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_Toc27712 </w:instrText>
          </w:r>
          <w:r>
            <w:rPr>
              <w:rFonts w:hint="eastAsia" w:ascii="仿宋_GB2312" w:hAnsi="仿宋_GB2312" w:eastAsia="仿宋_GB2312" w:cs="仿宋_GB2312"/>
              <w:szCs w:val="32"/>
              <w:lang w:val="en-US" w:eastAsia="zh-CN"/>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_Toc27712 \h </w:instrText>
          </w:r>
          <w:r>
            <w:fldChar w:fldCharType="separate"/>
          </w:r>
          <w:r>
            <w:t>11</w:t>
          </w:r>
          <w:r>
            <w:fldChar w:fldCharType="end"/>
          </w:r>
          <w:r>
            <w:rPr>
              <w:rFonts w:hint="eastAsia" w:ascii="仿宋_GB2312" w:hAnsi="仿宋_GB2312" w:eastAsia="仿宋_GB2312" w:cs="仿宋_GB2312"/>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_Toc1764 </w:instrText>
          </w:r>
          <w:r>
            <w:rPr>
              <w:rFonts w:hint="eastAsia" w:ascii="仿宋_GB2312" w:hAnsi="仿宋_GB2312" w:eastAsia="仿宋_GB2312" w:cs="仿宋_GB2312"/>
              <w:szCs w:val="32"/>
              <w:lang w:val="en-US" w:eastAsia="zh-CN"/>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_Toc1764 \h </w:instrText>
          </w:r>
          <w:r>
            <w:fldChar w:fldCharType="separate"/>
          </w:r>
          <w:r>
            <w:t>11</w:t>
          </w:r>
          <w:r>
            <w:fldChar w:fldCharType="end"/>
          </w:r>
          <w:r>
            <w:rPr>
              <w:rFonts w:hint="eastAsia" w:ascii="仿宋_GB2312" w:hAnsi="仿宋_GB2312" w:eastAsia="仿宋_GB2312" w:cs="仿宋_GB2312"/>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_Toc7433 </w:instrText>
          </w:r>
          <w:r>
            <w:rPr>
              <w:rFonts w:hint="eastAsia" w:ascii="仿宋_GB2312" w:hAnsi="仿宋_GB2312" w:eastAsia="仿宋_GB2312" w:cs="仿宋_GB2312"/>
              <w:szCs w:val="32"/>
              <w:lang w:val="en-US" w:eastAsia="zh-CN"/>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_Toc7433 \h </w:instrText>
          </w:r>
          <w:r>
            <w:fldChar w:fldCharType="separate"/>
          </w:r>
          <w:r>
            <w:t>11</w:t>
          </w:r>
          <w:r>
            <w:fldChar w:fldCharType="end"/>
          </w:r>
          <w:r>
            <w:rPr>
              <w:rFonts w:hint="eastAsia" w:ascii="仿宋_GB2312" w:hAnsi="仿宋_GB2312" w:eastAsia="仿宋_GB2312" w:cs="仿宋_GB2312"/>
              <w:szCs w:val="32"/>
              <w:lang w:val="en-US" w:eastAsia="zh-CN"/>
            </w:rPr>
            <w:fldChar w:fldCharType="end"/>
          </w:r>
        </w:p>
        <w:p>
          <w:pPr>
            <w:pStyle w:val="20"/>
            <w:tabs>
              <w:tab w:val="right" w:leader="dot" w:pos="8845"/>
            </w:tabs>
            <w:spacing w:line="360" w:lineRule="auto"/>
          </w:pPr>
          <w:r>
            <w:rPr>
              <w:rFonts w:hint="eastAsia" w:ascii="仿宋_GB2312" w:hAnsi="仿宋_GB2312" w:eastAsia="仿宋_GB2312" w:cs="仿宋_GB2312"/>
              <w:szCs w:val="32"/>
              <w:lang w:val="en-US" w:eastAsia="zh-CN"/>
            </w:rPr>
            <w:fldChar w:fldCharType="begin"/>
          </w:r>
          <w:r>
            <w:rPr>
              <w:rFonts w:hint="eastAsia" w:ascii="仿宋_GB2312" w:hAnsi="仿宋_GB2312" w:eastAsia="仿宋_GB2312" w:cs="仿宋_GB2312"/>
              <w:szCs w:val="32"/>
              <w:lang w:val="en-US" w:eastAsia="zh-CN"/>
            </w:rPr>
            <w:instrText xml:space="preserve"> HYPERLINK \l _Toc15383 </w:instrText>
          </w:r>
          <w:r>
            <w:rPr>
              <w:rFonts w:hint="eastAsia" w:ascii="仿宋_GB2312" w:hAnsi="仿宋_GB2312" w:eastAsia="仿宋_GB2312" w:cs="仿宋_GB2312"/>
              <w:szCs w:val="32"/>
              <w:lang w:val="en-US" w:eastAsia="zh-CN"/>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_Toc15383 \h </w:instrText>
          </w:r>
          <w:r>
            <w:fldChar w:fldCharType="separate"/>
          </w:r>
          <w:r>
            <w:t>11</w:t>
          </w:r>
          <w:r>
            <w:fldChar w:fldCharType="end"/>
          </w:r>
          <w:r>
            <w:rPr>
              <w:rFonts w:hint="eastAsia" w:ascii="仿宋_GB2312" w:hAnsi="仿宋_GB2312" w:eastAsia="仿宋_GB2312" w:cs="仿宋_GB2312"/>
              <w:szCs w:val="32"/>
              <w:lang w:val="en-US" w:eastAsia="zh-CN"/>
            </w:rPr>
            <w:fldChar w:fldCharType="end"/>
          </w:r>
        </w:p>
        <w:p>
          <w:pPr>
            <w:pStyle w:val="19"/>
            <w:tabs>
              <w:tab w:val="right" w:leader="dot" w:pos="8845"/>
            </w:tabs>
            <w:spacing w:line="360" w:lineRule="auto"/>
            <w:rPr>
              <w:b/>
            </w:rPr>
          </w:pPr>
          <w:r>
            <w:rPr>
              <w:rFonts w:hint="eastAsia" w:ascii="仿宋_GB2312" w:hAnsi="仿宋_GB2312" w:eastAsia="仿宋_GB2312" w:cs="仿宋_GB2312"/>
              <w:b/>
              <w:szCs w:val="32"/>
              <w:lang w:val="en-US" w:eastAsia="zh-CN"/>
            </w:rPr>
            <w:fldChar w:fldCharType="begin"/>
          </w:r>
          <w:r>
            <w:rPr>
              <w:rFonts w:hint="eastAsia" w:ascii="仿宋_GB2312" w:hAnsi="仿宋_GB2312" w:eastAsia="仿宋_GB2312" w:cs="仿宋_GB2312"/>
              <w:b/>
              <w:szCs w:val="32"/>
              <w:lang w:val="en-US" w:eastAsia="zh-CN"/>
            </w:rPr>
            <w:instrText xml:space="preserve"> HYPERLINK \l _Toc16232 </w:instrText>
          </w:r>
          <w:r>
            <w:rPr>
              <w:rFonts w:hint="eastAsia" w:ascii="仿宋_GB2312" w:hAnsi="仿宋_GB2312" w:eastAsia="仿宋_GB2312" w:cs="仿宋_GB2312"/>
              <w:b/>
              <w:szCs w:val="32"/>
              <w:lang w:val="en-US" w:eastAsia="zh-CN"/>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_Toc16232 \h </w:instrText>
          </w:r>
          <w:r>
            <w:rPr>
              <w:b/>
            </w:rPr>
            <w:fldChar w:fldCharType="separate"/>
          </w:r>
          <w:r>
            <w:rPr>
              <w:b/>
            </w:rPr>
            <w:t>11</w:t>
          </w:r>
          <w:r>
            <w:rPr>
              <w:b/>
            </w:rPr>
            <w:fldChar w:fldCharType="end"/>
          </w:r>
          <w:r>
            <w:rPr>
              <w:rFonts w:hint="eastAsia" w:ascii="仿宋_GB2312" w:hAnsi="仿宋_GB2312" w:eastAsia="仿宋_GB2312" w:cs="仿宋_GB2312"/>
              <w:b/>
              <w:szCs w:val="32"/>
              <w:lang w:val="en-US" w:eastAsia="zh-CN"/>
            </w:rPr>
            <w:fldChar w:fldCharType="end"/>
          </w:r>
        </w:p>
        <w:p>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szCs w:val="32"/>
              <w:lang w:val="en-US" w:eastAsia="zh-CN"/>
            </w:rPr>
            <w:fldChar w:fldCharType="end"/>
          </w:r>
        </w:p>
      </w:sdtContent>
    </w:sdt>
    <w:p>
      <w:pPr>
        <w:pStyle w:val="2"/>
        <w:shd w:val="clear"/>
        <w:rPr>
          <w:rFonts w:hint="eastAsia"/>
          <w:lang w:val="en-US" w:eastAsia="zh-CN"/>
        </w:rPr>
      </w:pPr>
    </w:p>
    <w:p>
      <w:pPr>
        <w:shd w:val="clear"/>
        <w:rPr>
          <w:rFonts w:hint="eastAsia"/>
          <w:lang w:val="en-US" w:eastAsia="zh-CN"/>
        </w:rPr>
      </w:pP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3" w:name="_Toc30793"/>
      <w:r>
        <w:rPr>
          <w:rFonts w:hint="eastAsia" w:ascii="黑体" w:hAnsi="黑体" w:eastAsia="黑体" w:cs="黑体"/>
          <w:sz w:val="32"/>
          <w:szCs w:val="32"/>
          <w:lang w:val="en-US" w:eastAsia="zh-CN"/>
        </w:rPr>
        <w:t>基本职能及主要工作</w:t>
      </w:r>
      <w:bookmarkEnd w:id="2"/>
      <w:bookmarkEnd w:id="3"/>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11447"/>
      <w:bookmarkStart w:id="5" w:name="_Toc21714"/>
      <w:bookmarkStart w:id="6" w:name="_Toc32266"/>
      <w:r>
        <w:rPr>
          <w:rFonts w:hint="eastAsia" w:ascii="楷体_GB2312" w:hAnsi="楷体_GB2312" w:eastAsia="楷体_GB2312" w:cs="楷体_GB2312"/>
          <w:sz w:val="32"/>
          <w:szCs w:val="32"/>
          <w:lang w:val="en-US" w:eastAsia="zh-CN"/>
        </w:rPr>
        <w:t>市人大常委会</w:t>
      </w:r>
      <w:r>
        <w:rPr>
          <w:rFonts w:hint="eastAsia" w:ascii="楷体_GB2312" w:hAnsi="楷体_GB2312" w:eastAsia="楷体_GB2312" w:cs="楷体_GB2312"/>
          <w:sz w:val="32"/>
          <w:szCs w:val="32"/>
        </w:rPr>
        <w:t>职能简介</w:t>
      </w:r>
      <w:bookmarkEnd w:id="4"/>
      <w:bookmarkEnd w:id="5"/>
      <w:bookmarkEnd w:id="6"/>
    </w:p>
    <w:p>
      <w:pPr>
        <w:pStyle w:val="2"/>
        <w:numPr>
          <w:ilvl w:val="0"/>
          <w:numId w:val="0"/>
        </w:numPr>
        <w:shd w:val="clear"/>
        <w:ind w:firstLine="640" w:firstLineChars="200"/>
        <w:rPr>
          <w:rFonts w:hint="eastAsia"/>
          <w:lang w:val="en-US" w:eastAsia="zh-CN"/>
        </w:rPr>
      </w:pPr>
      <w:r>
        <w:rPr>
          <w:rFonts w:hint="eastAsia"/>
          <w:lang w:val="en-US" w:eastAsia="zh-CN"/>
        </w:rPr>
        <w:t>广元市人民代表大会常务委员会按照宪法法律的规定，依法履行立法、讨论决定重大事项、监督、选举任免国家机关工作人员的职能，在本行政区域内行使以下职权：</w:t>
      </w:r>
    </w:p>
    <w:p>
      <w:pPr>
        <w:pStyle w:val="2"/>
        <w:numPr>
          <w:ilvl w:val="0"/>
          <w:numId w:val="0"/>
        </w:numPr>
        <w:shd w:val="clear"/>
        <w:ind w:firstLine="640" w:firstLineChars="200"/>
        <w:rPr>
          <w:rFonts w:hint="eastAsia"/>
          <w:lang w:val="en-US" w:eastAsia="zh-CN"/>
        </w:rPr>
      </w:pPr>
      <w:r>
        <w:rPr>
          <w:rFonts w:hint="eastAsia"/>
          <w:lang w:val="en-US" w:eastAsia="zh-CN"/>
        </w:rPr>
        <w:t xml:space="preserve">1、在本行政区域内，保证宪法、法律、行政法规和上级人民代表大会及其常务委员会决议的遵守和执行； </w:t>
      </w:r>
    </w:p>
    <w:p>
      <w:pPr>
        <w:pStyle w:val="2"/>
        <w:numPr>
          <w:ilvl w:val="0"/>
          <w:numId w:val="0"/>
        </w:numPr>
        <w:shd w:val="clear"/>
        <w:ind w:firstLine="640" w:firstLineChars="200"/>
        <w:rPr>
          <w:rFonts w:hint="eastAsia"/>
          <w:lang w:val="en-US" w:eastAsia="zh-CN"/>
        </w:rPr>
      </w:pPr>
      <w:r>
        <w:rPr>
          <w:rFonts w:hint="eastAsia"/>
          <w:lang w:val="en-US" w:eastAsia="zh-CN"/>
        </w:rPr>
        <w:t>2、对本市经济和社会生活中的重大问题组织调查研究、视察和监督。</w:t>
      </w:r>
    </w:p>
    <w:p>
      <w:pPr>
        <w:pStyle w:val="2"/>
        <w:numPr>
          <w:ilvl w:val="0"/>
          <w:numId w:val="0"/>
        </w:numPr>
        <w:shd w:val="clear"/>
        <w:ind w:firstLine="640" w:firstLineChars="200"/>
        <w:rPr>
          <w:rFonts w:hint="eastAsia"/>
          <w:lang w:val="en-US" w:eastAsia="zh-CN"/>
        </w:rPr>
      </w:pPr>
      <w:r>
        <w:rPr>
          <w:rFonts w:hint="eastAsia"/>
          <w:lang w:val="en-US" w:eastAsia="zh-CN"/>
        </w:rPr>
        <w:t>3、组织人大代表评议市“一府一委两院”的工作。</w:t>
      </w:r>
    </w:p>
    <w:p>
      <w:pPr>
        <w:pStyle w:val="2"/>
        <w:numPr>
          <w:ilvl w:val="0"/>
          <w:numId w:val="0"/>
        </w:numPr>
        <w:shd w:val="clear"/>
        <w:ind w:firstLine="640" w:firstLineChars="200"/>
        <w:rPr>
          <w:rFonts w:hint="eastAsia"/>
          <w:lang w:val="en-US" w:eastAsia="zh-CN"/>
        </w:rPr>
      </w:pPr>
      <w:r>
        <w:rPr>
          <w:rFonts w:hint="eastAsia"/>
          <w:lang w:val="en-US" w:eastAsia="zh-CN"/>
        </w:rPr>
        <w:t>4、督促市人代会期间代表议案、意见和建议的办理工作。</w:t>
      </w:r>
    </w:p>
    <w:p>
      <w:pPr>
        <w:pStyle w:val="2"/>
        <w:numPr>
          <w:ilvl w:val="0"/>
          <w:numId w:val="0"/>
        </w:numPr>
        <w:shd w:val="clear"/>
        <w:ind w:firstLine="640" w:firstLineChars="200"/>
        <w:rPr>
          <w:rFonts w:hint="eastAsia"/>
          <w:lang w:val="en-US" w:eastAsia="zh-CN"/>
        </w:rPr>
      </w:pPr>
      <w:r>
        <w:rPr>
          <w:rFonts w:hint="eastAsia"/>
          <w:lang w:val="en-US" w:eastAsia="zh-CN"/>
        </w:rPr>
        <w:t>5、办理市人大常委会任免范围内的干部任免手续。</w:t>
      </w:r>
    </w:p>
    <w:p>
      <w:pPr>
        <w:pStyle w:val="2"/>
        <w:numPr>
          <w:ilvl w:val="0"/>
          <w:numId w:val="0"/>
        </w:numPr>
        <w:shd w:val="clear"/>
        <w:ind w:firstLine="640" w:firstLineChars="200"/>
        <w:rPr>
          <w:rFonts w:hint="eastAsia"/>
          <w:lang w:val="en-US" w:eastAsia="zh-CN"/>
        </w:rPr>
      </w:pPr>
      <w:r>
        <w:rPr>
          <w:rFonts w:hint="eastAsia"/>
          <w:lang w:val="en-US" w:eastAsia="zh-CN"/>
        </w:rPr>
        <w:t>6、领导或者主持本级人民代表大会代表的选举。</w:t>
      </w:r>
    </w:p>
    <w:p>
      <w:pPr>
        <w:pStyle w:val="2"/>
        <w:numPr>
          <w:ilvl w:val="0"/>
          <w:numId w:val="0"/>
        </w:numPr>
        <w:shd w:val="clear"/>
        <w:ind w:firstLine="640" w:firstLineChars="200"/>
        <w:rPr>
          <w:rFonts w:hint="eastAsia"/>
          <w:lang w:val="en-US" w:eastAsia="zh-CN"/>
        </w:rPr>
      </w:pPr>
      <w:r>
        <w:rPr>
          <w:rFonts w:hint="eastAsia"/>
          <w:lang w:val="en-US" w:eastAsia="zh-CN"/>
        </w:rPr>
        <w:t>7、联系市人大代表，组织代表视察、检查和接访选民活动，督促代表视察、检查和接访活动中提出意见、建议的办理工作。</w:t>
      </w:r>
    </w:p>
    <w:p>
      <w:pPr>
        <w:pStyle w:val="2"/>
        <w:numPr>
          <w:ilvl w:val="0"/>
          <w:numId w:val="0"/>
        </w:numPr>
        <w:shd w:val="clear"/>
        <w:ind w:firstLine="640" w:firstLineChars="200"/>
        <w:rPr>
          <w:rFonts w:hint="eastAsia"/>
          <w:lang w:val="en-US" w:eastAsia="zh-CN"/>
        </w:rPr>
      </w:pPr>
      <w:r>
        <w:rPr>
          <w:rFonts w:hint="eastAsia"/>
          <w:lang w:val="en-US" w:eastAsia="zh-CN"/>
        </w:rPr>
        <w:t>8、联系在广元工作的全国人大代表及省人大代表，协助开展视察活动。</w:t>
      </w:r>
    </w:p>
    <w:p>
      <w:pPr>
        <w:pStyle w:val="2"/>
        <w:numPr>
          <w:ilvl w:val="0"/>
          <w:numId w:val="0"/>
        </w:numPr>
        <w:shd w:val="clear"/>
        <w:ind w:firstLine="640" w:firstLineChars="200"/>
        <w:rPr>
          <w:rFonts w:hint="eastAsia"/>
          <w:lang w:val="en-US" w:eastAsia="zh-CN"/>
        </w:rPr>
      </w:pPr>
      <w:r>
        <w:rPr>
          <w:rFonts w:hint="eastAsia"/>
          <w:lang w:val="en-US" w:eastAsia="zh-CN"/>
        </w:rPr>
        <w:t>9、负责市人代会、市人大常委会、主任会议等会议的组织和服务工作。</w:t>
      </w:r>
    </w:p>
    <w:p>
      <w:pPr>
        <w:pStyle w:val="2"/>
        <w:numPr>
          <w:ilvl w:val="0"/>
          <w:numId w:val="0"/>
        </w:numPr>
        <w:shd w:val="clear"/>
        <w:ind w:firstLine="640" w:firstLineChars="200"/>
        <w:rPr>
          <w:rFonts w:hint="eastAsia"/>
        </w:rPr>
      </w:pPr>
      <w:r>
        <w:rPr>
          <w:rFonts w:hint="eastAsia"/>
          <w:lang w:val="en-US" w:eastAsia="zh-CN"/>
        </w:rPr>
        <w:t>10、负责市人大常委会文件、报告的起草、印发，常委会公报、人大工作简报等的编辑印发和人大工作的宣传报道。</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4111"/>
      <w:bookmarkStart w:id="8" w:name="_Toc8176"/>
      <w:bookmarkStart w:id="9" w:name="_Toc6633"/>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市人大常委会</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7"/>
      <w:bookmarkEnd w:id="8"/>
      <w:bookmarkEnd w:id="9"/>
    </w:p>
    <w:p>
      <w:pPr>
        <w:pStyle w:val="2"/>
        <w:shd w:val="clear"/>
        <w:rPr>
          <w:rFonts w:hint="default"/>
          <w:lang w:val="en-US" w:eastAsia="zh-CN"/>
        </w:rPr>
      </w:pPr>
      <w:r>
        <w:rPr>
          <w:rFonts w:hint="default"/>
          <w:lang w:val="en-US" w:eastAsia="zh-CN"/>
        </w:rPr>
        <w:t>2024年，市人大常委会工作的总体要求是：在市委的坚强领导下，坚定以习近平新时代中国特色社会主义思想为指导，深入贯彻习近平法治思想、习近平总书记关于坚持和完善人民代表大会制度的重要思想、习近平总书记来川来广视察重要指示精神，全面落实党的二十大精神和省委、市委决策部署，坚持党的领导、人民当家作主、依法治国有机统一，深入践行全过程人民民主，聚焦实施“1345”发展战略，集全民之智、汇代表之力，立管用之法、履监督之职、行决定之权，奋力推动人大工作高质量发展，为加快建设川陕甘结合部现代化中心城市贡献人大力量。重点抓好以下几个方面工作：</w:t>
      </w:r>
    </w:p>
    <w:p>
      <w:pPr>
        <w:pStyle w:val="2"/>
        <w:shd w:val="clear"/>
        <w:rPr>
          <w:rFonts w:hint="default"/>
          <w:lang w:val="en-US" w:eastAsia="zh-CN"/>
        </w:rPr>
      </w:pPr>
      <w:r>
        <w:rPr>
          <w:rFonts w:hint="default"/>
          <w:lang w:val="en-US" w:eastAsia="zh-CN"/>
        </w:rPr>
        <w:t>一、以更高站位强化理论武装，铸牢政治忠诚。巩固拓展主题教育成果，进一步学深悟透习近平新时代中国特色社会主义思想，更加深刻领悟“两个确立”的决定性意义，切实增强“四个意识”、坚定“四个自信”、做到“两个维护”，以理论清醒铸就绝对忠诚。严格执行党全面领导人大工作的各项制度，及时向市委请示报告重大事项，主动围绕市委决策部署研究谋划人大工作，保证把党的领导贯穿于人大工作各方面全过程。</w:t>
      </w:r>
    </w:p>
    <w:p>
      <w:pPr>
        <w:pStyle w:val="2"/>
        <w:shd w:val="clear"/>
        <w:rPr>
          <w:rFonts w:hint="default"/>
          <w:lang w:val="en-US" w:eastAsia="zh-CN"/>
        </w:rPr>
      </w:pPr>
      <w:r>
        <w:rPr>
          <w:rFonts w:hint="default"/>
          <w:lang w:val="en-US" w:eastAsia="zh-CN"/>
        </w:rPr>
        <w:t>二、以更高标准提升履职实效，维护宪法权威。更好地发挥立法引领推动作用，完成优化营商环境条例、城市绿化管理条例立法，推进皇泽寺千佛崖摩崖造像保护条例立法，加大已出台法规的宣传、监督和执行力度，营造全社会尊法、学法、守法、用法的良好氛围。更好地发挥监督支持促进作用，自觉把人大工作放到全市大局中谋划和推动，聚焦城乡融合发展、历史文化传承、经济高质量发展、生态文明建设等重点领域，打好人大监督组合拳，写好依法履职新篇章。</w:t>
      </w:r>
    </w:p>
    <w:p>
      <w:pPr>
        <w:pStyle w:val="2"/>
        <w:shd w:val="clear"/>
        <w:rPr>
          <w:rFonts w:hint="default"/>
          <w:lang w:val="en-US" w:eastAsia="zh-CN"/>
        </w:rPr>
      </w:pPr>
      <w:r>
        <w:rPr>
          <w:rFonts w:hint="default"/>
          <w:lang w:val="en-US" w:eastAsia="zh-CN"/>
        </w:rPr>
        <w:t>三、以更实举措支持代表履职，保障人民权益。深入践行全过程人民民主的重大理念，持续推进民生实事项目人大代表票决制工作，不断深化“我为群众办实事——人大代表在行动”“三联三助”、代表“进家入站”等履职实践活动，进一步扩大代表参与常委会工作的深度和广度，不断丰富拓展基层民主实践。牢固树立宗旨意识，聚焦民心所愿所盼，高质量做好代表述职、专题调研、集中视察、建议办理等工作，加强代表履职服务保障，确保代表为民代言、为民谋利、为民履职。</w:t>
      </w:r>
    </w:p>
    <w:p>
      <w:pPr>
        <w:pStyle w:val="2"/>
        <w:shd w:val="clear"/>
        <w:rPr>
          <w:rFonts w:hint="default"/>
          <w:lang w:val="en-US" w:eastAsia="zh-CN"/>
        </w:rPr>
      </w:pPr>
      <w:r>
        <w:rPr>
          <w:rFonts w:hint="default"/>
          <w:lang w:val="en-US" w:eastAsia="zh-CN"/>
        </w:rPr>
        <w:t>四、以更大力度加强自身建设，提升履职水平。落实“四个机关”定位要求，始终保持“不服输、敢争先”的精气神，着力打造“政治坚定、服务人民、尊崇法治、发扬民主、勤勉尽责”的人大工作队伍。不断完善符合人大特点、保障人大作用发挥的组织制度、工作制度和运行机制，着力提升常委会及机关运行质效。加强与县乡人大的联动协作，全面提升人大工作质量和水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lang w:val="en-US" w:eastAsia="zh-CN"/>
        </w:rPr>
      </w:pPr>
      <w:bookmarkStart w:id="10" w:name="_Toc25769"/>
      <w:bookmarkStart w:id="11" w:name="_Toc23361"/>
      <w:r>
        <w:rPr>
          <w:rFonts w:hint="eastAsia" w:ascii="黑体" w:hAnsi="黑体" w:eastAsia="黑体" w:cs="黑体"/>
          <w:sz w:val="32"/>
          <w:szCs w:val="32"/>
          <w:lang w:val="en-US" w:eastAsia="zh-CN"/>
        </w:rPr>
        <w:t>二、部门预算单位构成</w:t>
      </w:r>
      <w:bookmarkEnd w:id="10"/>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市人大常委会办公室</w:t>
      </w:r>
      <w:r>
        <w:rPr>
          <w:rFonts w:hint="eastAsia" w:ascii="仿宋_GB2312" w:hAnsi="仿宋_GB2312" w:eastAsia="仿宋_GB2312" w:cs="仿宋_GB2312"/>
          <w:sz w:val="32"/>
          <w:szCs w:val="32"/>
          <w:lang w:val="en-US" w:eastAsia="zh-CN"/>
        </w:rPr>
        <w:t>无下属二级预算单位。下属二级单位人大常委会办公室信息中心、信息与预算联网监督事务中心未单独编报预算。</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25200"/>
      <w:bookmarkStart w:id="13" w:name="_Toc17230"/>
      <w:r>
        <w:rPr>
          <w:rFonts w:hint="eastAsia" w:ascii="黑体" w:hAnsi="黑体" w:eastAsia="黑体" w:cs="黑体"/>
          <w:sz w:val="32"/>
          <w:szCs w:val="32"/>
          <w:lang w:val="en-US" w:eastAsia="zh-CN"/>
        </w:rPr>
        <w:t>三、收支预算情况说明</w:t>
      </w:r>
      <w:bookmarkEnd w:id="12"/>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市人大常委会办公室所有收入和支出均纳入部门预算管理。收入包括：一般公共预算拨款收入；支出包括：一般公共服务支出、社会保障和就业支出、卫生健康支出、住房保障支出。市人大常委会办公室2024年收支预算总数2719.98，元,比2023年收支预算总数增加34.1万元，主要原因是：增加年度考核奖；其他津贴补贴（含工改、审计等）。</w:t>
      </w:r>
    </w:p>
    <w:p>
      <w:pPr>
        <w:keepNext w:val="0"/>
        <w:keepLines w:val="0"/>
        <w:pageBreakBefore w:val="0"/>
        <w:widowControl w:val="0"/>
        <w:shd w:val="clear"/>
        <w:kinsoku/>
        <w:wordWrap/>
        <w:overflowPunct/>
        <w:topLinePunct w:val="0"/>
        <w:autoSpaceDE/>
        <w:autoSpaceDN/>
        <w:bidi w:val="0"/>
        <w:adjustRightInd/>
        <w:snapToGrid/>
        <w:spacing w:line="576" w:lineRule="exact"/>
        <w:ind w:firstLine="320" w:firstLineChars="100"/>
        <w:textAlignment w:val="auto"/>
        <w:outlineLvl w:val="1"/>
        <w:rPr>
          <w:rFonts w:hint="eastAsia" w:ascii="楷体_GB2312" w:hAnsi="楷体_GB2312" w:eastAsia="楷体_GB2312" w:cs="楷体_GB2312"/>
          <w:sz w:val="32"/>
          <w:szCs w:val="32"/>
          <w:lang w:val="en-US" w:eastAsia="zh-CN"/>
        </w:rPr>
      </w:pPr>
      <w:bookmarkStart w:id="14" w:name="_Toc11547"/>
      <w:bookmarkStart w:id="15" w:name="_Toc25514"/>
      <w:r>
        <w:rPr>
          <w:rFonts w:hint="eastAsia" w:ascii="楷体_GB2312" w:hAnsi="楷体_GB2312" w:eastAsia="楷体_GB2312" w:cs="楷体_GB2312"/>
          <w:sz w:val="32"/>
          <w:szCs w:val="32"/>
          <w:lang w:val="en-US" w:eastAsia="zh-CN"/>
        </w:rPr>
        <w:t>（一）收入预算情况</w:t>
      </w:r>
      <w:bookmarkEnd w:id="14"/>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市人大常委会办公室2024年收入预算2719.98万元，一般公共预算拨款收入2719.98万元，占100%。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320" w:firstLineChars="100"/>
        <w:textAlignment w:val="auto"/>
        <w:outlineLvl w:val="1"/>
        <w:rPr>
          <w:rFonts w:hint="eastAsia" w:ascii="楷体_GB2312" w:hAnsi="楷体_GB2312" w:eastAsia="楷体_GB2312" w:cs="楷体_GB2312"/>
          <w:sz w:val="32"/>
          <w:szCs w:val="32"/>
          <w:lang w:val="en-US" w:eastAsia="zh-CN"/>
        </w:rPr>
      </w:pPr>
      <w:bookmarkStart w:id="16" w:name="_Toc9663"/>
      <w:bookmarkStart w:id="17" w:name="_Toc22343"/>
      <w:r>
        <w:rPr>
          <w:rFonts w:hint="eastAsia" w:ascii="楷体_GB2312" w:hAnsi="楷体_GB2312" w:eastAsia="楷体_GB2312" w:cs="楷体_GB2312"/>
          <w:sz w:val="32"/>
          <w:szCs w:val="32"/>
          <w:lang w:val="en-US" w:eastAsia="zh-CN"/>
        </w:rPr>
        <w:t>（二）支出预算情况</w:t>
      </w:r>
      <w:bookmarkEnd w:id="16"/>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市人大常委会办公室2024年支出预算2719.98万元，其中：基本支出2125.30万元，占78%；项目支出594.68万元，占22%</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8" w:name="_Toc11748"/>
      <w:bookmarkStart w:id="19" w:name="_Toc31163"/>
      <w:r>
        <w:rPr>
          <w:rFonts w:hint="eastAsia" w:ascii="黑体" w:hAnsi="黑体" w:eastAsia="黑体" w:cs="黑体"/>
          <w:sz w:val="32"/>
          <w:szCs w:val="32"/>
          <w:lang w:val="en-US" w:eastAsia="zh-CN"/>
        </w:rPr>
        <w:t>四、财政拨款收支预算情况说明</w:t>
      </w:r>
      <w:bookmarkEnd w:id="18"/>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市人大常委会办公室2024年财政拨款收支预算总数2719.98，元,比2023年财政拨款收支预算总数增加34.1万元，主要原因是：增加年度考核奖；其他津贴补贴（含工改、审计等）。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收入包括：本年一般公共预算拨款收入2719.98万元；支出包括：一般公共服务支出2319.47万元、社会保障和就业支出187.02万元、卫生健康支出60.24万元、住房保障支出153.26万元）。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0" w:name="_Toc26723"/>
      <w:bookmarkStart w:id="21" w:name="_Toc2875"/>
      <w:r>
        <w:rPr>
          <w:rFonts w:hint="eastAsia" w:ascii="黑体" w:hAnsi="黑体" w:eastAsia="黑体" w:cs="黑体"/>
          <w:sz w:val="32"/>
          <w:szCs w:val="32"/>
          <w:lang w:val="en-US" w:eastAsia="zh-CN"/>
        </w:rPr>
        <w:t>五、一般公共预算当年拨款情况说明</w:t>
      </w:r>
      <w:bookmarkEnd w:id="20"/>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2052"/>
      <w:bookmarkStart w:id="23" w:name="_Toc12175"/>
      <w:r>
        <w:rPr>
          <w:rFonts w:hint="eastAsia" w:ascii="楷体_GB2312" w:hAnsi="楷体_GB2312" w:eastAsia="楷体_GB2312" w:cs="楷体_GB2312"/>
          <w:sz w:val="32"/>
          <w:szCs w:val="32"/>
          <w:lang w:val="en-US" w:eastAsia="zh-CN"/>
        </w:rPr>
        <w:t>（一）一般公共预算当年拨款规模变化情况</w:t>
      </w:r>
      <w:bookmarkEnd w:id="22"/>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市人大常委会办公室2024年一般公共预算当年拨款2719.98万元，比2023年预算数增加34.1万元，主要原因是：增加年度考核奖；其他津贴补贴（含工改、审计等）。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30810"/>
      <w:bookmarkStart w:id="25" w:name="_Toc8459"/>
      <w:r>
        <w:rPr>
          <w:rFonts w:hint="eastAsia" w:ascii="楷体_GB2312" w:hAnsi="楷体_GB2312" w:eastAsia="楷体_GB2312" w:cs="楷体_GB2312"/>
          <w:sz w:val="32"/>
          <w:szCs w:val="32"/>
          <w:lang w:val="en-US" w:eastAsia="zh-CN"/>
        </w:rPr>
        <w:t>（二）一般公共预算当年拨款结构情况</w:t>
      </w:r>
      <w:bookmarkEnd w:id="24"/>
      <w:bookmarkEnd w:id="2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一般公共服务支出2319.47万元，占85%；社会保障和就业支出187.02万元，占7%；卫生健康支出60.24万元，占2%；住房保障支出153.26万元，占6%。</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Chars="200" w:firstLine="320" w:firstLineChars="100"/>
        <w:textAlignment w:val="auto"/>
        <w:outlineLvl w:val="1"/>
        <w:rPr>
          <w:rFonts w:hint="default"/>
          <w:lang w:val="en-US" w:eastAsia="zh-CN"/>
        </w:rPr>
      </w:pPr>
      <w:bookmarkStart w:id="26" w:name="_Toc13896"/>
      <w:bookmarkStart w:id="27" w:name="_Toc1219"/>
      <w:r>
        <w:rPr>
          <w:rFonts w:hint="eastAsia" w:ascii="楷体_GB2312" w:hAnsi="楷体_GB2312" w:eastAsia="楷体_GB2312" w:cs="楷体_GB2312"/>
          <w:sz w:val="32"/>
          <w:szCs w:val="32"/>
          <w:lang w:val="en-US" w:eastAsia="zh-CN"/>
        </w:rPr>
        <w:t>（三）一般公共预算当年拨款具体使用情况</w:t>
      </w:r>
      <w:bookmarkEnd w:id="26"/>
      <w:bookmarkEnd w:id="27"/>
    </w:p>
    <w:p>
      <w:pPr>
        <w:pStyle w:val="2"/>
        <w:numPr>
          <w:ilvl w:val="0"/>
          <w:numId w:val="3"/>
        </w:numPr>
        <w:shd w:val="clear"/>
        <w:ind w:left="0" w:leftChars="0" w:firstLine="400" w:firstLineChars="0"/>
        <w:rPr>
          <w:rFonts w:hint="default"/>
          <w:lang w:val="en-US" w:eastAsia="zh-CN"/>
        </w:rPr>
      </w:pPr>
      <w:r>
        <w:rPr>
          <w:rFonts w:hint="default"/>
          <w:lang w:val="en-US" w:eastAsia="zh-CN"/>
        </w:rPr>
        <w:t>一般公共服务（类）人大事务（款）行政运行（项）202</w:t>
      </w:r>
      <w:r>
        <w:rPr>
          <w:rFonts w:hint="eastAsia"/>
          <w:lang w:val="en-US" w:eastAsia="zh-CN"/>
        </w:rPr>
        <w:t>4</w:t>
      </w:r>
      <w:r>
        <w:rPr>
          <w:rFonts w:hint="default"/>
          <w:lang w:val="en-US" w:eastAsia="zh-CN"/>
        </w:rPr>
        <w:t>年预算数1689.94万元，主要用于：</w:t>
      </w:r>
      <w:r>
        <w:rPr>
          <w:rFonts w:hint="eastAsia"/>
          <w:lang w:val="en-US" w:eastAsia="zh-CN"/>
        </w:rPr>
        <w:t>行政</w:t>
      </w:r>
      <w:r>
        <w:rPr>
          <w:rFonts w:hint="default"/>
          <w:lang w:val="en-US" w:eastAsia="zh-CN"/>
        </w:rPr>
        <w:t>人员工资福利；水电物业管理费、办公费、差旅费等公用经费支出，保障人大机关正常运行。</w:t>
      </w:r>
    </w:p>
    <w:p>
      <w:pPr>
        <w:pStyle w:val="2"/>
        <w:numPr>
          <w:ilvl w:val="0"/>
          <w:numId w:val="3"/>
        </w:numPr>
        <w:shd w:val="clear"/>
        <w:ind w:left="0" w:leftChars="0" w:firstLine="400" w:firstLineChars="0"/>
        <w:rPr>
          <w:rFonts w:hint="default"/>
          <w:lang w:val="en-US" w:eastAsia="zh-CN"/>
        </w:rPr>
      </w:pPr>
      <w:r>
        <w:rPr>
          <w:rFonts w:hint="default"/>
          <w:lang w:val="en-US" w:eastAsia="zh-CN"/>
        </w:rPr>
        <w:t>一般公共服务（类）人大事务（款）一般行政管理事务（项）202</w:t>
      </w:r>
      <w:r>
        <w:rPr>
          <w:rFonts w:hint="eastAsia"/>
          <w:lang w:val="en-US" w:eastAsia="zh-CN"/>
        </w:rPr>
        <w:t>4</w:t>
      </w:r>
      <w:r>
        <w:rPr>
          <w:rFonts w:hint="default"/>
          <w:lang w:val="en-US" w:eastAsia="zh-CN"/>
        </w:rPr>
        <w:t>年预算数为427.37万元，主要用于：完成在基本支出之外为完成特定行政任务所发生的支出；</w:t>
      </w:r>
    </w:p>
    <w:p>
      <w:pPr>
        <w:pStyle w:val="2"/>
        <w:numPr>
          <w:ilvl w:val="0"/>
          <w:numId w:val="3"/>
        </w:numPr>
        <w:shd w:val="clear"/>
        <w:ind w:left="0" w:leftChars="0" w:firstLine="400" w:firstLineChars="0"/>
        <w:rPr>
          <w:rFonts w:hint="default"/>
          <w:lang w:val="en-US" w:eastAsia="zh-CN"/>
        </w:rPr>
      </w:pPr>
      <w:r>
        <w:rPr>
          <w:rFonts w:hint="default"/>
          <w:lang w:val="en-US" w:eastAsia="zh-CN"/>
        </w:rPr>
        <w:t>一般公共服务（类）人大事务（款）人大会议（项）202</w:t>
      </w:r>
      <w:r>
        <w:rPr>
          <w:rFonts w:hint="eastAsia"/>
          <w:lang w:val="en-US" w:eastAsia="zh-CN"/>
        </w:rPr>
        <w:t>4</w:t>
      </w:r>
      <w:r>
        <w:rPr>
          <w:rFonts w:hint="default"/>
          <w:lang w:val="en-US" w:eastAsia="zh-CN"/>
        </w:rPr>
        <w:t>年预算数为9万元，主要用于：人大常委会会议、中心组学习会议等；</w:t>
      </w:r>
    </w:p>
    <w:p>
      <w:pPr>
        <w:pStyle w:val="2"/>
        <w:numPr>
          <w:ilvl w:val="0"/>
          <w:numId w:val="3"/>
        </w:numPr>
        <w:shd w:val="clear"/>
        <w:ind w:left="0" w:leftChars="0" w:firstLine="400" w:firstLineChars="0"/>
        <w:rPr>
          <w:rFonts w:hint="default"/>
          <w:lang w:val="en-US" w:eastAsia="zh-CN"/>
        </w:rPr>
      </w:pPr>
      <w:r>
        <w:rPr>
          <w:rFonts w:hint="default"/>
          <w:lang w:val="en-US" w:eastAsia="zh-CN"/>
        </w:rPr>
        <w:t>一般公共服务（类）人大事务（款）人大立法（项）202</w:t>
      </w:r>
      <w:r>
        <w:rPr>
          <w:rFonts w:hint="eastAsia"/>
          <w:lang w:val="en-US" w:eastAsia="zh-CN"/>
        </w:rPr>
        <w:t>4</w:t>
      </w:r>
      <w:r>
        <w:rPr>
          <w:rFonts w:hint="default"/>
          <w:lang w:val="en-US" w:eastAsia="zh-CN"/>
        </w:rPr>
        <w:t>年预算数为25万元，主要用于：地方立法</w:t>
      </w:r>
      <w:r>
        <w:rPr>
          <w:rFonts w:hint="eastAsia"/>
          <w:lang w:val="en-US" w:eastAsia="zh-CN"/>
        </w:rPr>
        <w:t>经</w:t>
      </w:r>
      <w:r>
        <w:rPr>
          <w:rFonts w:hint="default"/>
          <w:lang w:val="en-US" w:eastAsia="zh-CN"/>
        </w:rPr>
        <w:t>费；</w:t>
      </w:r>
    </w:p>
    <w:p>
      <w:pPr>
        <w:pStyle w:val="2"/>
        <w:numPr>
          <w:ilvl w:val="0"/>
          <w:numId w:val="3"/>
        </w:numPr>
        <w:shd w:val="clear"/>
        <w:ind w:left="0" w:leftChars="0" w:firstLine="400" w:firstLineChars="0"/>
        <w:rPr>
          <w:rFonts w:hint="default"/>
          <w:lang w:val="en-US" w:eastAsia="zh-CN"/>
        </w:rPr>
      </w:pPr>
      <w:r>
        <w:rPr>
          <w:rFonts w:hint="default"/>
          <w:lang w:val="en-US" w:eastAsia="zh-CN"/>
        </w:rPr>
        <w:t>一般公共服务（类）人大事务（款）人大监督（项）202</w:t>
      </w:r>
      <w:r>
        <w:rPr>
          <w:rFonts w:hint="eastAsia"/>
          <w:lang w:val="en-US" w:eastAsia="zh-CN"/>
        </w:rPr>
        <w:t>4</w:t>
      </w:r>
      <w:r>
        <w:rPr>
          <w:rFonts w:hint="default"/>
          <w:lang w:val="en-US" w:eastAsia="zh-CN"/>
        </w:rPr>
        <w:t>年预算数为43万元，主要用于：对“一府一委两院”的监督工作支出；</w:t>
      </w:r>
    </w:p>
    <w:p>
      <w:pPr>
        <w:pStyle w:val="2"/>
        <w:numPr>
          <w:ilvl w:val="0"/>
          <w:numId w:val="3"/>
        </w:numPr>
        <w:shd w:val="clear"/>
        <w:ind w:left="0" w:leftChars="0" w:firstLine="400" w:firstLineChars="0"/>
        <w:rPr>
          <w:rFonts w:hint="default"/>
          <w:lang w:val="en-US" w:eastAsia="zh-CN"/>
        </w:rPr>
      </w:pPr>
      <w:r>
        <w:rPr>
          <w:rFonts w:hint="default"/>
          <w:lang w:val="en-US" w:eastAsia="zh-CN"/>
        </w:rPr>
        <w:t>一般公共服务（类）人大事务（款）人大代表履职能力提升（项）202</w:t>
      </w:r>
      <w:r>
        <w:rPr>
          <w:rFonts w:hint="eastAsia"/>
          <w:lang w:val="en-US" w:eastAsia="zh-CN"/>
        </w:rPr>
        <w:t>4</w:t>
      </w:r>
      <w:r>
        <w:rPr>
          <w:rFonts w:hint="default"/>
          <w:lang w:val="en-US" w:eastAsia="zh-CN"/>
        </w:rPr>
        <w:t>年预算数为27万元，主要用于：提升各级人大代表履职能力的学习培训方面的支出；</w:t>
      </w:r>
    </w:p>
    <w:p>
      <w:pPr>
        <w:pStyle w:val="2"/>
        <w:numPr>
          <w:ilvl w:val="0"/>
          <w:numId w:val="3"/>
        </w:numPr>
        <w:shd w:val="clear"/>
        <w:ind w:left="0" w:leftChars="0" w:firstLine="400" w:firstLineChars="0"/>
        <w:rPr>
          <w:rFonts w:hint="default"/>
          <w:lang w:val="en-US" w:eastAsia="zh-CN"/>
        </w:rPr>
      </w:pPr>
      <w:r>
        <w:rPr>
          <w:rFonts w:hint="default"/>
          <w:lang w:val="en-US" w:eastAsia="zh-CN"/>
        </w:rPr>
        <w:t>一般公共服务（类）人大事务（款）代表工作（项）202</w:t>
      </w:r>
      <w:r>
        <w:rPr>
          <w:rFonts w:hint="eastAsia"/>
          <w:lang w:val="en-US" w:eastAsia="zh-CN"/>
        </w:rPr>
        <w:t>4</w:t>
      </w:r>
      <w:r>
        <w:rPr>
          <w:rFonts w:hint="default"/>
          <w:lang w:val="en-US" w:eastAsia="zh-CN"/>
        </w:rPr>
        <w:t>年预算数为58.81万元，主要用于：代表视察、调研等活动支出；</w:t>
      </w:r>
    </w:p>
    <w:p>
      <w:pPr>
        <w:pStyle w:val="2"/>
        <w:numPr>
          <w:ilvl w:val="0"/>
          <w:numId w:val="3"/>
        </w:numPr>
        <w:shd w:val="clear"/>
        <w:ind w:left="0" w:leftChars="0" w:firstLine="400" w:firstLineChars="0"/>
        <w:rPr>
          <w:rFonts w:hint="default"/>
          <w:lang w:val="en-US" w:eastAsia="zh-CN"/>
        </w:rPr>
      </w:pPr>
      <w:r>
        <w:rPr>
          <w:rFonts w:hint="default"/>
          <w:lang w:val="en-US" w:eastAsia="zh-CN"/>
        </w:rPr>
        <w:t>一般公共服务（类）人大事务（款）人大信访工作（项）202</w:t>
      </w:r>
      <w:r>
        <w:rPr>
          <w:rFonts w:hint="eastAsia"/>
          <w:lang w:val="en-US" w:eastAsia="zh-CN"/>
        </w:rPr>
        <w:t>4</w:t>
      </w:r>
      <w:r>
        <w:rPr>
          <w:rFonts w:hint="default"/>
          <w:lang w:val="en-US" w:eastAsia="zh-CN"/>
        </w:rPr>
        <w:t>年预算数为4.5万元，主要用于信访接待、督办等支出；</w:t>
      </w:r>
    </w:p>
    <w:p>
      <w:pPr>
        <w:pStyle w:val="2"/>
        <w:numPr>
          <w:ilvl w:val="0"/>
          <w:numId w:val="3"/>
        </w:numPr>
        <w:shd w:val="clear"/>
        <w:ind w:left="0" w:leftChars="0" w:firstLine="400" w:firstLineChars="0"/>
        <w:rPr>
          <w:rFonts w:hint="default"/>
          <w:lang w:val="en-US" w:eastAsia="zh-CN"/>
        </w:rPr>
      </w:pPr>
      <w:r>
        <w:rPr>
          <w:rFonts w:hint="default"/>
          <w:lang w:val="en-US" w:eastAsia="zh-CN"/>
        </w:rPr>
        <w:t>一般公共服务（类）人大事务（款）</w:t>
      </w:r>
      <w:r>
        <w:rPr>
          <w:rFonts w:hint="eastAsia"/>
          <w:lang w:val="en-US" w:eastAsia="zh-CN"/>
        </w:rPr>
        <w:t>事业</w:t>
      </w:r>
      <w:r>
        <w:rPr>
          <w:rFonts w:hint="default"/>
          <w:lang w:val="en-US" w:eastAsia="zh-CN"/>
        </w:rPr>
        <w:t>运行（项）2024年预算数34.84万元，主要用于：</w:t>
      </w:r>
      <w:r>
        <w:rPr>
          <w:rFonts w:hint="eastAsia"/>
          <w:lang w:val="en-US" w:eastAsia="zh-CN"/>
        </w:rPr>
        <w:t>事业</w:t>
      </w:r>
      <w:r>
        <w:rPr>
          <w:rFonts w:hint="default"/>
          <w:lang w:val="en-US" w:eastAsia="zh-CN"/>
        </w:rPr>
        <w:t>人员工资福利；办公费、差旅费等公用经费支出，保障人大机关正常运行。</w:t>
      </w:r>
    </w:p>
    <w:p>
      <w:pPr>
        <w:pStyle w:val="2"/>
        <w:numPr>
          <w:ilvl w:val="0"/>
          <w:numId w:val="3"/>
        </w:numPr>
        <w:shd w:val="clear"/>
        <w:ind w:left="0" w:leftChars="0" w:firstLine="400" w:firstLineChars="0"/>
        <w:rPr>
          <w:rFonts w:hint="default"/>
          <w:lang w:val="en-US" w:eastAsia="zh-CN"/>
        </w:rPr>
      </w:pPr>
      <w:r>
        <w:rPr>
          <w:rFonts w:hint="default"/>
          <w:lang w:val="en-US" w:eastAsia="zh-CN"/>
        </w:rPr>
        <w:t>社会保障和就业（类）行政事业单位养老支出（款）机关事业单位基本养老保险缴费支出（项）2024年预算数为185.62万元，主要用于：实施养老保险制度由单位缴纳的基本养老保险支出。</w:t>
      </w:r>
    </w:p>
    <w:p>
      <w:pPr>
        <w:pStyle w:val="2"/>
        <w:numPr>
          <w:ilvl w:val="0"/>
          <w:numId w:val="3"/>
        </w:numPr>
        <w:shd w:val="clear"/>
        <w:ind w:left="0" w:leftChars="0" w:firstLine="400" w:firstLineChars="0"/>
        <w:rPr>
          <w:rFonts w:hint="eastAsia"/>
          <w:lang w:val="en-US" w:eastAsia="zh-CN"/>
        </w:rPr>
      </w:pPr>
      <w:r>
        <w:rPr>
          <w:rFonts w:hint="default"/>
          <w:lang w:val="en-US" w:eastAsia="zh-CN"/>
        </w:rPr>
        <w:t>社会保障和就业（类）</w:t>
      </w:r>
      <w:r>
        <w:rPr>
          <w:rFonts w:hint="eastAsia"/>
          <w:lang w:val="en-US" w:eastAsia="zh-CN"/>
        </w:rPr>
        <w:t>其他</w:t>
      </w:r>
      <w:r>
        <w:rPr>
          <w:rFonts w:hint="default"/>
          <w:lang w:val="en-US" w:eastAsia="zh-CN"/>
        </w:rPr>
        <w:t>社会保障和就业支出（款）</w:t>
      </w:r>
      <w:r>
        <w:rPr>
          <w:rFonts w:hint="eastAsia"/>
          <w:lang w:val="en-US" w:eastAsia="zh-CN"/>
        </w:rPr>
        <w:t>其他社会保障和就业支出</w:t>
      </w:r>
      <w:r>
        <w:rPr>
          <w:rFonts w:hint="default"/>
          <w:lang w:val="en-US" w:eastAsia="zh-CN"/>
        </w:rPr>
        <w:t>（项）202</w:t>
      </w:r>
      <w:r>
        <w:rPr>
          <w:rFonts w:hint="eastAsia"/>
          <w:lang w:val="en-US" w:eastAsia="zh-CN"/>
        </w:rPr>
        <w:t>4</w:t>
      </w:r>
      <w:r>
        <w:rPr>
          <w:rFonts w:hint="default"/>
          <w:lang w:val="en-US" w:eastAsia="zh-CN"/>
        </w:rPr>
        <w:t>年预算数为</w:t>
      </w:r>
      <w:r>
        <w:rPr>
          <w:rFonts w:hint="eastAsia"/>
          <w:lang w:val="en-US" w:eastAsia="zh-CN"/>
        </w:rPr>
        <w:t>1.4</w:t>
      </w:r>
      <w:r>
        <w:rPr>
          <w:rFonts w:hint="default"/>
          <w:lang w:val="en-US" w:eastAsia="zh-CN"/>
        </w:rPr>
        <w:t>万元</w:t>
      </w:r>
      <w:r>
        <w:rPr>
          <w:rFonts w:hint="eastAsia"/>
          <w:lang w:val="en-US" w:eastAsia="zh-CN"/>
        </w:rPr>
        <w:t>，主要用于：工伤保险支出，事业人员失业保险缴费。</w:t>
      </w:r>
    </w:p>
    <w:p>
      <w:pPr>
        <w:pStyle w:val="2"/>
        <w:numPr>
          <w:ilvl w:val="0"/>
          <w:numId w:val="3"/>
        </w:numPr>
        <w:shd w:val="clear"/>
        <w:ind w:left="0" w:leftChars="0" w:firstLine="400" w:firstLineChars="0"/>
        <w:rPr>
          <w:rFonts w:hint="default"/>
          <w:lang w:val="en-US" w:eastAsia="zh-CN"/>
        </w:rPr>
      </w:pPr>
      <w:r>
        <w:rPr>
          <w:rFonts w:hint="default"/>
          <w:lang w:val="en-US" w:eastAsia="zh-CN"/>
        </w:rPr>
        <w:t>卫生健康（类）行政事业单位医疗（款）行政单位医疗（项）202</w:t>
      </w:r>
      <w:r>
        <w:rPr>
          <w:rFonts w:hint="eastAsia"/>
          <w:lang w:val="en-US" w:eastAsia="zh-CN"/>
        </w:rPr>
        <w:t>4</w:t>
      </w:r>
      <w:r>
        <w:rPr>
          <w:rFonts w:hint="default"/>
          <w:lang w:val="en-US" w:eastAsia="zh-CN"/>
        </w:rPr>
        <w:t>年预算数为60.24万元，主要用于：机关及参公管理事业单位按规定由单位缴纳的基本医疗保险支出。</w:t>
      </w:r>
    </w:p>
    <w:p>
      <w:pPr>
        <w:pStyle w:val="2"/>
        <w:numPr>
          <w:ilvl w:val="0"/>
          <w:numId w:val="3"/>
        </w:numPr>
        <w:shd w:val="clear"/>
        <w:ind w:left="0" w:leftChars="0" w:firstLine="400" w:firstLineChars="0"/>
        <w:rPr>
          <w:rFonts w:hint="default"/>
          <w:lang w:val="en-US" w:eastAsia="zh-CN"/>
        </w:rPr>
      </w:pPr>
      <w:r>
        <w:rPr>
          <w:rFonts w:hint="default"/>
          <w:lang w:val="en-US" w:eastAsia="zh-CN"/>
        </w:rPr>
        <w:t>住房保障（类）住房改革支出（款）住房公积金（项）202</w:t>
      </w:r>
      <w:r>
        <w:rPr>
          <w:rFonts w:hint="eastAsia"/>
          <w:lang w:val="en-US" w:eastAsia="zh-CN"/>
        </w:rPr>
        <w:t>4</w:t>
      </w:r>
      <w:r>
        <w:rPr>
          <w:rFonts w:hint="default"/>
          <w:lang w:val="en-US" w:eastAsia="zh-CN"/>
        </w:rPr>
        <w:t>年预算数为153.26万元，主要用于：部门按规定为职工缴纳的住房公积金支出。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8" w:name="_Toc15729"/>
      <w:bookmarkStart w:id="29" w:name="_Toc21195"/>
      <w:r>
        <w:rPr>
          <w:rFonts w:hint="eastAsia" w:ascii="黑体" w:hAnsi="黑体" w:eastAsia="黑体" w:cs="黑体"/>
          <w:sz w:val="32"/>
          <w:szCs w:val="32"/>
          <w:lang w:val="en-US" w:eastAsia="zh-CN"/>
        </w:rPr>
        <w:t>六、一般公共预算基本支出情况说明</w:t>
      </w:r>
      <w:bookmarkEnd w:id="28"/>
      <w:bookmarkEnd w:id="2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市人大常委会办公室2024年一般公共预算基本支出2125.3万元，其中：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人员经费1798.85万元，主要包括：基本工资、津贴补贴、奖金、绩效工资、机关事业单位基本养老保障缴费、职工基本医疗保障缴费、其他社会保障缴费、住房公积金、生活补助等支出。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326.46万元，主要包括：办公费、印刷费、水费、电费、邮电费、物业管理费、差旅费、维修（护）费、会议费、培训费、公务接待费、劳务费、工会经费、福利费、公务用车运行维护费、其他交通费用、其他商品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0" w:name="_Toc1928"/>
      <w:bookmarkStart w:id="31" w:name="_Toc19231"/>
      <w:r>
        <w:rPr>
          <w:rFonts w:hint="eastAsia" w:ascii="黑体" w:hAnsi="黑体" w:eastAsia="黑体" w:cs="黑体"/>
          <w:sz w:val="32"/>
          <w:szCs w:val="32"/>
          <w:lang w:val="en-US" w:eastAsia="zh-CN"/>
        </w:rPr>
        <w:t>七、“三公”经费财政拨款预算安排情况说明</w:t>
      </w:r>
      <w:bookmarkEnd w:id="30"/>
      <w:bookmarkEnd w:id="3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市人大常委会办公室2024年“三公”经费财政拨款预算数19.33万元，其中：公务接待费2.33万元，公务用车购置及运行维护费17万元，因公出国（境）经费0万元。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2" w:name="_Toc17999"/>
      <w:bookmarkStart w:id="33" w:name="_Toc11774"/>
      <w:r>
        <w:rPr>
          <w:rFonts w:hint="eastAsia" w:ascii="楷体_GB2312" w:hAnsi="楷体_GB2312" w:eastAsia="楷体_GB2312" w:cs="楷体_GB2312"/>
          <w:sz w:val="32"/>
          <w:szCs w:val="32"/>
          <w:lang w:val="en-US" w:eastAsia="zh-CN"/>
        </w:rPr>
        <w:t>（一）公务接待费</w:t>
      </w:r>
      <w:bookmarkEnd w:id="32"/>
      <w:bookmarkEnd w:id="3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4" w:name="_Toc17899"/>
      <w:bookmarkStart w:id="35" w:name="_Toc543"/>
      <w:r>
        <w:rPr>
          <w:rFonts w:hint="eastAsia" w:ascii="楷体_GB2312" w:hAnsi="楷体_GB2312" w:eastAsia="楷体_GB2312" w:cs="楷体_GB2312"/>
          <w:sz w:val="32"/>
          <w:szCs w:val="32"/>
          <w:lang w:val="en-US" w:eastAsia="zh-CN"/>
        </w:rPr>
        <w:t>公务用车购置及运行维护费</w:t>
      </w:r>
      <w:bookmarkEnd w:id="34"/>
      <w:bookmarkEnd w:id="3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公务用车购置及运行维护费与2023年预算相比持平。单位现有公务用车2辆，其中：越野车2辆。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2024年安排公务用车运行维护费17万元，用于2辆公务用车燃油、过路（桥）、维修、保险等方面支出，主要保障机关工作人员外出市区公务活动及应急、通讯等。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default" w:ascii="仿宋_GB2312" w:hAnsi="仿宋_GB2312" w:eastAsia="仿宋_GB2312" w:cs="仿宋_GB2312"/>
          <w:sz w:val="32"/>
          <w:szCs w:val="32"/>
          <w:lang w:val="en-US" w:eastAsia="zh-CN"/>
        </w:rPr>
      </w:pPr>
      <w:bookmarkStart w:id="36" w:name="_Toc28193"/>
      <w:bookmarkStart w:id="37" w:name="_Toc23166"/>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36"/>
      <w:bookmarkEnd w:id="3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因公出国（境）经费与2023年预算相比持平，未安排预算资金。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8" w:name="_Toc28091"/>
      <w:bookmarkStart w:id="39" w:name="_Toc29720"/>
      <w:r>
        <w:rPr>
          <w:rFonts w:hint="eastAsia" w:ascii="黑体" w:hAnsi="黑体" w:eastAsia="黑体" w:cs="黑体"/>
          <w:sz w:val="32"/>
          <w:szCs w:val="32"/>
          <w:lang w:val="en-US" w:eastAsia="zh-CN"/>
        </w:rPr>
        <w:t>八、政府性基金预算支出情况说明</w:t>
      </w:r>
      <w:bookmarkEnd w:id="38"/>
      <w:bookmarkEnd w:id="3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市人大常委会办公室2024年没有使用政府性基金预算拨款安排的支出。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0" w:name="_Toc15025"/>
      <w:bookmarkStart w:id="41" w:name="_Toc24470"/>
      <w:r>
        <w:rPr>
          <w:rFonts w:hint="eastAsia" w:ascii="黑体" w:hAnsi="黑体" w:eastAsia="黑体" w:cs="黑体"/>
          <w:sz w:val="32"/>
          <w:szCs w:val="32"/>
          <w:lang w:val="en-US" w:eastAsia="zh-CN"/>
        </w:rPr>
        <w:t>九、国有资本经营预算支出情况说明</w:t>
      </w:r>
      <w:bookmarkEnd w:id="40"/>
      <w:bookmarkEnd w:id="4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市人大常委会办公室2024年无国有资本经营预算拨款安排的支出。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2" w:name="_Toc31255"/>
      <w:bookmarkStart w:id="43" w:name="_Toc27650"/>
      <w:r>
        <w:rPr>
          <w:rFonts w:hint="eastAsia" w:ascii="黑体" w:hAnsi="黑体" w:eastAsia="黑体" w:cs="黑体"/>
          <w:sz w:val="32"/>
          <w:szCs w:val="32"/>
          <w:lang w:val="en-US" w:eastAsia="zh-CN"/>
        </w:rPr>
        <w:t>十、其他重要事项的情况说明</w:t>
      </w:r>
      <w:bookmarkEnd w:id="42"/>
      <w:bookmarkEnd w:id="4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4" w:name="_Toc12986"/>
      <w:bookmarkStart w:id="45" w:name="_Toc27712"/>
      <w:r>
        <w:rPr>
          <w:rFonts w:hint="eastAsia" w:ascii="楷体_GB2312" w:hAnsi="楷体_GB2312" w:eastAsia="楷体_GB2312" w:cs="楷体_GB2312"/>
          <w:sz w:val="32"/>
          <w:szCs w:val="32"/>
          <w:lang w:val="en-US" w:eastAsia="zh-CN"/>
        </w:rPr>
        <w:t>（一）机关运行经费</w:t>
      </w:r>
      <w:bookmarkEnd w:id="44"/>
      <w:bookmarkEnd w:id="4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2024年，市人大常委会办公室机关运行经费财政拨款预算为326.46万元，比2023年预算减少3.16万元，增下降1%。主要原因人员减少。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6" w:name="_Toc1764"/>
      <w:bookmarkStart w:id="47" w:name="_Toc9420"/>
      <w:r>
        <w:rPr>
          <w:rFonts w:hint="eastAsia" w:ascii="楷体_GB2312" w:hAnsi="楷体_GB2312" w:eastAsia="楷体_GB2312" w:cs="楷体_GB2312"/>
          <w:sz w:val="32"/>
          <w:szCs w:val="32"/>
          <w:lang w:val="en-US" w:eastAsia="zh-CN"/>
        </w:rPr>
        <w:t>（二）政府采购情况</w:t>
      </w:r>
      <w:bookmarkEnd w:id="46"/>
      <w:bookmarkEnd w:id="4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2024年，市人大常委会办公室安排政府采购预算0万元。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8" w:name="_Toc7512"/>
      <w:bookmarkStart w:id="49" w:name="_Toc7433"/>
      <w:r>
        <w:rPr>
          <w:rFonts w:hint="eastAsia" w:ascii="楷体_GB2312" w:hAnsi="楷体_GB2312" w:eastAsia="楷体_GB2312" w:cs="楷体_GB2312"/>
          <w:sz w:val="32"/>
          <w:szCs w:val="32"/>
          <w:lang w:val="en-US" w:eastAsia="zh-CN"/>
        </w:rPr>
        <w:t>（三）国有资产占有使用情况</w:t>
      </w:r>
      <w:bookmarkEnd w:id="48"/>
      <w:bookmarkEnd w:id="4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截至2023年底，市人大常委会办公室共有车辆2辆，其中，定向保障用车2辆。单位无价值200万元以上的大型设备。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0" w:name="_Toc8988"/>
      <w:bookmarkStart w:id="51" w:name="_Toc15383"/>
      <w:r>
        <w:rPr>
          <w:rFonts w:hint="eastAsia" w:ascii="楷体_GB2312" w:hAnsi="楷体_GB2312" w:eastAsia="楷体_GB2312" w:cs="楷体_GB2312"/>
          <w:sz w:val="32"/>
          <w:szCs w:val="32"/>
          <w:lang w:val="en-US" w:eastAsia="zh-CN"/>
        </w:rPr>
        <w:t>（四）绩效目标设置情况</w:t>
      </w:r>
      <w:bookmarkEnd w:id="50"/>
      <w:bookmarkEnd w:id="5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2024年市人大常委会办公室开展绩效目标管理的项目24个，涉及预算2719.98万元。其中：人员类项目10个，涉及预算2125.3万元；运转类项目0个，涉及预算0万元；特定目标类项目14个，涉及预算594.68万元。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2" w:name="_Toc16232"/>
      <w:bookmarkStart w:id="53" w:name="_Toc28811"/>
      <w:r>
        <w:rPr>
          <w:rFonts w:hint="eastAsia" w:ascii="黑体" w:hAnsi="黑体" w:eastAsia="黑体" w:cs="黑体"/>
          <w:sz w:val="32"/>
          <w:szCs w:val="32"/>
          <w:lang w:val="en-US" w:eastAsia="zh-CN"/>
        </w:rPr>
        <w:t>十一、名词解释</w:t>
      </w:r>
      <w:bookmarkEnd w:id="52"/>
      <w:bookmarkEnd w:id="53"/>
    </w:p>
    <w:p>
      <w:pPr>
        <w:keepNext w:val="0"/>
        <w:keepLines w:val="0"/>
        <w:pageBreakBefore w:val="0"/>
        <w:widowControl w:val="0"/>
        <w:numPr>
          <w:ilvl w:val="0"/>
          <w:numId w:val="5"/>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lang w:val="en-US" w:eastAsia="zh-CN"/>
        </w:rPr>
      </w:pPr>
      <w:r>
        <w:rPr>
          <w:rFonts w:hint="eastAsia" w:ascii="仿宋_GB2312" w:hAnsi="Times New Roman" w:eastAsia="仿宋_GB2312" w:cs="Times New Roman"/>
          <w:color w:val="auto"/>
          <w:kern w:val="2"/>
          <w:sz w:val="32"/>
          <w:szCs w:val="24"/>
          <w:lang w:val="en-US" w:eastAsia="zh-CN" w:bidi="ar-SA"/>
        </w:rPr>
        <w:t>财政拨款收入：指</w:t>
      </w:r>
      <w:r>
        <w:rPr>
          <w:rFonts w:hint="eastAsia" w:ascii="仿宋_GB2312" w:hAnsi="仿宋_GB2312" w:eastAsia="仿宋_GB2312" w:cs="仿宋_GB2312"/>
          <w:sz w:val="32"/>
          <w:szCs w:val="32"/>
          <w:lang w:val="en-US" w:eastAsia="zh-CN"/>
        </w:rPr>
        <w:t>市财政当年安排的财政预算收入。按现行管理制度，部门预算中反映的财政拨款包括一般公共预算拨款和政府性基金预算拨款。</w:t>
      </w:r>
    </w:p>
    <w:p>
      <w:pPr>
        <w:pStyle w:val="2"/>
        <w:numPr>
          <w:ilvl w:val="0"/>
          <w:numId w:val="5"/>
        </w:numPr>
        <w:shd w:val="clear"/>
        <w:ind w:left="0" w:leftChars="0" w:firstLine="420" w:firstLineChars="0"/>
        <w:rPr>
          <w:rFonts w:hint="eastAsia"/>
          <w:lang w:val="en-US" w:eastAsia="zh-CN"/>
        </w:rPr>
      </w:pPr>
      <w:r>
        <w:rPr>
          <w:rFonts w:hint="eastAsia"/>
          <w:lang w:val="en-US" w:eastAsia="zh-CN"/>
        </w:rPr>
        <w:t>一般公共服务（类）人大事务（款）行政运行（项）：指机关单位用于保障机构正常运行、开展日常工作的基本支出。</w:t>
      </w:r>
    </w:p>
    <w:p>
      <w:pPr>
        <w:pStyle w:val="2"/>
        <w:numPr>
          <w:ilvl w:val="0"/>
          <w:numId w:val="5"/>
        </w:numPr>
        <w:shd w:val="clear"/>
        <w:ind w:left="0" w:leftChars="0" w:firstLine="420" w:firstLineChars="0"/>
        <w:rPr>
          <w:rFonts w:hint="eastAsia"/>
          <w:lang w:val="en-US" w:eastAsia="zh-CN"/>
        </w:rPr>
      </w:pPr>
      <w:r>
        <w:rPr>
          <w:rFonts w:hint="eastAsia"/>
          <w:lang w:val="en-US" w:eastAsia="zh-CN"/>
        </w:rPr>
        <w:t>一般公共服务（类）人大事务（款）一般行政管理事务（项）：指机关单位开展项目管理工作的项目支出。</w:t>
      </w:r>
    </w:p>
    <w:p>
      <w:pPr>
        <w:pStyle w:val="2"/>
        <w:numPr>
          <w:ilvl w:val="0"/>
          <w:numId w:val="5"/>
        </w:numPr>
        <w:shd w:val="clear"/>
        <w:ind w:left="0" w:leftChars="0" w:firstLine="420" w:firstLineChars="0"/>
        <w:rPr>
          <w:rFonts w:hint="eastAsia"/>
          <w:lang w:val="en-US" w:eastAsia="zh-CN"/>
        </w:rPr>
      </w:pPr>
      <w:r>
        <w:rPr>
          <w:rFonts w:hint="eastAsia"/>
          <w:lang w:val="en-US" w:eastAsia="zh-CN"/>
        </w:rPr>
        <w:t>一般公共服务（类）人大事务（款）人大会议（项）：指人大常委会会议、中心组学习会议等支出。</w:t>
      </w:r>
    </w:p>
    <w:p>
      <w:pPr>
        <w:pStyle w:val="2"/>
        <w:numPr>
          <w:ilvl w:val="0"/>
          <w:numId w:val="5"/>
        </w:numPr>
        <w:shd w:val="clear"/>
        <w:ind w:left="0" w:leftChars="0" w:firstLine="420" w:firstLineChars="0"/>
        <w:rPr>
          <w:rFonts w:hint="eastAsia"/>
          <w:lang w:val="en-US" w:eastAsia="zh-CN"/>
        </w:rPr>
      </w:pPr>
      <w:r>
        <w:rPr>
          <w:rFonts w:hint="eastAsia"/>
          <w:lang w:val="en-US" w:eastAsia="zh-CN"/>
        </w:rPr>
        <w:t>一般公共服务（类）人大事务（款）人大立法：指地方立法所有支出。</w:t>
      </w:r>
    </w:p>
    <w:p>
      <w:pPr>
        <w:pStyle w:val="2"/>
        <w:numPr>
          <w:ilvl w:val="0"/>
          <w:numId w:val="5"/>
        </w:numPr>
        <w:shd w:val="clear"/>
        <w:ind w:left="0" w:leftChars="0" w:firstLine="420" w:firstLineChars="0"/>
        <w:rPr>
          <w:rFonts w:hint="eastAsia"/>
          <w:lang w:val="en-US" w:eastAsia="zh-CN"/>
        </w:rPr>
      </w:pPr>
      <w:r>
        <w:rPr>
          <w:rFonts w:hint="eastAsia"/>
          <w:lang w:val="en-US" w:eastAsia="zh-CN"/>
        </w:rPr>
        <w:t>一般公共服务（类）人大事务（款）人大监督（项）：指对“一府一委两院”的监督工作支出。</w:t>
      </w:r>
    </w:p>
    <w:p>
      <w:pPr>
        <w:pStyle w:val="2"/>
        <w:numPr>
          <w:ilvl w:val="0"/>
          <w:numId w:val="5"/>
        </w:numPr>
        <w:shd w:val="clear"/>
        <w:ind w:left="0" w:leftChars="0" w:firstLine="420" w:firstLineChars="0"/>
        <w:rPr>
          <w:rFonts w:hint="eastAsia"/>
          <w:lang w:val="en-US" w:eastAsia="zh-CN"/>
        </w:rPr>
      </w:pPr>
      <w:r>
        <w:rPr>
          <w:rFonts w:hint="eastAsia"/>
          <w:lang w:val="en-US" w:eastAsia="zh-CN"/>
        </w:rPr>
        <w:t>一般公共服务（类）人大事务（款）人大代表履职能力提升（项）：指提升各级人大代表履职能力的学习培训方面的支出。</w:t>
      </w:r>
    </w:p>
    <w:p>
      <w:pPr>
        <w:pStyle w:val="2"/>
        <w:numPr>
          <w:ilvl w:val="0"/>
          <w:numId w:val="5"/>
        </w:numPr>
        <w:shd w:val="clear"/>
        <w:ind w:left="0" w:leftChars="0" w:firstLine="420" w:firstLineChars="0"/>
        <w:rPr>
          <w:rFonts w:hint="eastAsia"/>
          <w:lang w:val="en-US" w:eastAsia="zh-CN"/>
        </w:rPr>
      </w:pPr>
      <w:r>
        <w:rPr>
          <w:rFonts w:hint="eastAsia"/>
          <w:lang w:val="en-US" w:eastAsia="zh-CN"/>
        </w:rPr>
        <w:t>一般公共服务（类）人大事务（款）代表工作（项）：指各级代表视察、调研等活动支出。</w:t>
      </w:r>
    </w:p>
    <w:p>
      <w:pPr>
        <w:pStyle w:val="2"/>
        <w:numPr>
          <w:ilvl w:val="0"/>
          <w:numId w:val="5"/>
        </w:numPr>
        <w:shd w:val="clear"/>
        <w:ind w:left="0" w:leftChars="0" w:firstLine="420" w:firstLineChars="0"/>
        <w:rPr>
          <w:rFonts w:hint="eastAsia"/>
          <w:lang w:val="en-US" w:eastAsia="zh-CN"/>
        </w:rPr>
      </w:pPr>
      <w:r>
        <w:rPr>
          <w:rFonts w:hint="eastAsia"/>
          <w:lang w:val="en-US" w:eastAsia="zh-CN"/>
        </w:rPr>
        <w:t>一般公共服务（类）人大事务（款）人大信访工作（项）：指信访接待、督办等支出。</w:t>
      </w:r>
      <w:bookmarkStart w:id="54" w:name="_GoBack"/>
      <w:bookmarkEnd w:id="54"/>
    </w:p>
    <w:p>
      <w:pPr>
        <w:numPr>
          <w:ilvl w:val="0"/>
          <w:numId w:val="5"/>
        </w:numPr>
        <w:shd w:val="clear"/>
        <w:ind w:left="0" w:leftChars="0" w:firstLine="420" w:firstLineChars="0"/>
        <w:rPr>
          <w:rFonts w:hint="eastAsia" w:ascii="仿宋_GB2312" w:hAnsi="Times New Roman" w:eastAsia="仿宋_GB2312" w:cs="Times New Roman"/>
          <w:color w:val="auto"/>
          <w:kern w:val="2"/>
          <w:sz w:val="32"/>
          <w:szCs w:val="24"/>
          <w:lang w:val="en-US" w:eastAsia="zh-CN" w:bidi="ar-SA"/>
        </w:rPr>
      </w:pPr>
      <w:r>
        <w:rPr>
          <w:rFonts w:hint="eastAsia" w:ascii="仿宋_GB2312" w:hAnsi="Times New Roman" w:eastAsia="仿宋_GB2312" w:cs="Times New Roman"/>
          <w:color w:val="auto"/>
          <w:kern w:val="2"/>
          <w:sz w:val="32"/>
          <w:szCs w:val="24"/>
          <w:lang w:val="en-US" w:eastAsia="zh-CN" w:bidi="ar-SA"/>
        </w:rPr>
        <w:t>一般公共服务（类）人大事务（款）事业运行（项）：指机关事业单位用于保障机构正常运行、开展日常工作的基本支出。</w:t>
      </w:r>
    </w:p>
    <w:p>
      <w:pPr>
        <w:pStyle w:val="2"/>
        <w:numPr>
          <w:ilvl w:val="0"/>
          <w:numId w:val="5"/>
        </w:numPr>
        <w:shd w:val="clear"/>
        <w:ind w:left="0" w:leftChars="0" w:firstLine="420" w:firstLineChars="0"/>
        <w:rPr>
          <w:rFonts w:hint="eastAsia"/>
          <w:lang w:val="en-US" w:eastAsia="zh-CN"/>
        </w:rPr>
      </w:pPr>
      <w:r>
        <w:rPr>
          <w:rFonts w:hint="eastAsia"/>
          <w:lang w:val="en-US" w:eastAsia="zh-CN"/>
        </w:rPr>
        <w:t>社会保障和就业（类）行政事业单位养老支出（款）机关事业单位基本养老保险缴费支出（项）：指部门实施养老保险制度由单位缴纳的养老保险的支出；</w:t>
      </w:r>
    </w:p>
    <w:p>
      <w:pPr>
        <w:pStyle w:val="2"/>
        <w:numPr>
          <w:ilvl w:val="0"/>
          <w:numId w:val="5"/>
        </w:numPr>
        <w:shd w:val="clear"/>
        <w:ind w:left="0" w:leftChars="0" w:firstLine="420" w:firstLineChars="0"/>
        <w:rPr>
          <w:rFonts w:hint="eastAsia"/>
          <w:lang w:val="en-US" w:eastAsia="zh-CN"/>
        </w:rPr>
      </w:pPr>
      <w:r>
        <w:rPr>
          <w:rFonts w:hint="eastAsia"/>
          <w:lang w:val="en-US" w:eastAsia="zh-CN"/>
        </w:rPr>
        <w:t>社会保障和就业（类）其他社会保障和就业支出（款）其他社会保障和就业支出（项）：指部门实施保险制度由单位缴纳的工伤、失业保险的支出；</w:t>
      </w:r>
    </w:p>
    <w:p>
      <w:pPr>
        <w:pStyle w:val="2"/>
        <w:numPr>
          <w:ilvl w:val="0"/>
          <w:numId w:val="5"/>
        </w:numPr>
        <w:shd w:val="clear"/>
        <w:ind w:left="0" w:leftChars="0" w:firstLine="420" w:firstLineChars="0"/>
        <w:rPr>
          <w:rFonts w:hint="eastAsia"/>
          <w:lang w:val="en-US" w:eastAsia="zh-CN"/>
        </w:rPr>
      </w:pPr>
      <w:r>
        <w:rPr>
          <w:rFonts w:hint="eastAsia"/>
          <w:lang w:val="en-US" w:eastAsia="zh-CN"/>
        </w:rPr>
        <w:t>卫生健康（类）行政事业单位医疗（款）行政单位医疗（项）：指机关及参公管理事业单位用于单位应缴纳基本医疗保险支出；</w:t>
      </w:r>
    </w:p>
    <w:p>
      <w:pPr>
        <w:pStyle w:val="2"/>
        <w:numPr>
          <w:ilvl w:val="0"/>
          <w:numId w:val="5"/>
        </w:numPr>
        <w:shd w:val="clear"/>
        <w:ind w:left="0" w:leftChars="0" w:firstLine="420" w:firstLineChars="0"/>
        <w:rPr>
          <w:rFonts w:hint="eastAsia"/>
          <w:lang w:val="en-US" w:eastAsia="zh-CN"/>
        </w:rPr>
      </w:pPr>
      <w:r>
        <w:rPr>
          <w:rFonts w:hint="eastAsia"/>
          <w:lang w:val="en-US" w:eastAsia="zh-CN"/>
        </w:rPr>
        <w:t>住房保障（类）住房改革支出（款）住房公积金（项）：指按照《住房公积金管理条例》的规定，由单位及其在职职工缴存的长期住房储金。</w:t>
      </w:r>
    </w:p>
    <w:p>
      <w:pPr>
        <w:pStyle w:val="2"/>
        <w:numPr>
          <w:ilvl w:val="0"/>
          <w:numId w:val="5"/>
        </w:numPr>
        <w:shd w:val="clear"/>
        <w:ind w:left="0" w:leftChars="0" w:firstLine="420" w:firstLineChars="0"/>
        <w:rPr>
          <w:rFonts w:hint="eastAsia"/>
          <w:lang w:val="en-US" w:eastAsia="zh-CN"/>
        </w:rPr>
      </w:pPr>
      <w:r>
        <w:rPr>
          <w:rFonts w:hint="eastAsia"/>
          <w:lang w:val="en-US" w:eastAsia="zh-CN"/>
        </w:rPr>
        <w:t>基本支出：指为保证机构正常运转，完成日常工作任务而发生的人员支出和公用支出。</w:t>
      </w:r>
    </w:p>
    <w:p>
      <w:pPr>
        <w:pStyle w:val="2"/>
        <w:numPr>
          <w:ilvl w:val="0"/>
          <w:numId w:val="5"/>
        </w:numPr>
        <w:shd w:val="clear"/>
        <w:ind w:left="0" w:leftChars="0" w:firstLine="420" w:firstLineChars="0"/>
        <w:rPr>
          <w:rFonts w:hint="eastAsia"/>
          <w:lang w:val="en-US" w:eastAsia="zh-CN"/>
        </w:rPr>
      </w:pPr>
      <w:r>
        <w:rPr>
          <w:rFonts w:hint="eastAsia"/>
          <w:lang w:val="en-US" w:eastAsia="zh-CN"/>
        </w:rPr>
        <w:t>项目支出：指在基本支出之外为完成特定行政任务和事业发展目标所发生的支出。</w:t>
      </w:r>
    </w:p>
    <w:p>
      <w:pPr>
        <w:pStyle w:val="2"/>
        <w:numPr>
          <w:ilvl w:val="0"/>
          <w:numId w:val="5"/>
        </w:numPr>
        <w:shd w:val="clear"/>
        <w:ind w:left="0" w:leftChars="0" w:firstLine="420" w:firstLineChars="0"/>
        <w:rPr>
          <w:rFonts w:hint="eastAsia"/>
          <w:lang w:val="en-US" w:eastAsia="zh-CN"/>
        </w:rPr>
      </w:pPr>
      <w:r>
        <w:rPr>
          <w:rFonts w:hint="eastAsia"/>
          <w:lang w:val="en-US" w:eastAsia="zh-CN"/>
        </w:rPr>
        <w:t>“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
        <w:numPr>
          <w:ilvl w:val="0"/>
          <w:numId w:val="5"/>
        </w:numPr>
        <w:shd w:val="clear"/>
        <w:ind w:left="0" w:leftChars="0" w:firstLine="420" w:firstLineChars="0"/>
        <w:rPr>
          <w:rFonts w:hint="eastAsia" w:ascii="仿宋_GB2312" w:hAnsi="仿宋_GB2312" w:eastAsia="仿宋_GB2312" w:cs="仿宋_GB2312"/>
          <w:sz w:val="32"/>
          <w:szCs w:val="32"/>
          <w:lang w:val="en-US" w:eastAsia="zh-CN"/>
        </w:rPr>
      </w:pPr>
      <w:r>
        <w:rPr>
          <w:rFonts w:hint="eastAsia"/>
          <w:lang w:val="en-US" w:eastAsia="zh-CN"/>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附件：部门预算公开表</w:t>
      </w: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_GB2312">
    <w:panose1 w:val="02010609030101010101"/>
    <w:charset w:val="86"/>
    <w:family w:val="modern"/>
    <w:pitch w:val="default"/>
    <w:sig w:usb0="00000001" w:usb1="080E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877410"/>
    <w:multiLevelType w:val="singleLevel"/>
    <w:tmpl w:val="E2877410"/>
    <w:lvl w:ilvl="0" w:tentative="0">
      <w:start w:val="1"/>
      <w:numFmt w:val="decimal"/>
      <w:suff w:val="nothing"/>
      <w:lvlText w:val="%1．"/>
      <w:lvlJc w:val="left"/>
      <w:pPr>
        <w:ind w:left="0" w:firstLine="400"/>
      </w:pPr>
      <w:rPr>
        <w:rFonts w:hint="default"/>
      </w:rPr>
    </w:lvl>
  </w:abstractNum>
  <w:abstractNum w:abstractNumId="1">
    <w:nsid w:val="E470CD54"/>
    <w:multiLevelType w:val="singleLevel"/>
    <w:tmpl w:val="E470CD54"/>
    <w:lvl w:ilvl="0" w:tentative="0">
      <w:start w:val="1"/>
      <w:numFmt w:val="chineseCounting"/>
      <w:suff w:val="nothing"/>
      <w:lvlText w:val="（%1）"/>
      <w:lvlJc w:val="left"/>
      <w:rPr>
        <w:rFonts w:hint="eastAsia"/>
      </w:rPr>
    </w:lvl>
  </w:abstractNum>
  <w:abstractNum w:abstractNumId="2">
    <w:nsid w:val="55C48316"/>
    <w:multiLevelType w:val="singleLevel"/>
    <w:tmpl w:val="55C48316"/>
    <w:lvl w:ilvl="0" w:tentative="0">
      <w:start w:val="1"/>
      <w:numFmt w:val="chineseCounting"/>
      <w:suff w:val="nothing"/>
      <w:lvlText w:val="（%1）"/>
      <w:lvlJc w:val="left"/>
      <w:pPr>
        <w:ind w:left="0" w:firstLine="420"/>
      </w:pPr>
      <w:rPr>
        <w:rFonts w:hint="eastAsia" w:ascii="宋体" w:hAnsi="宋体" w:eastAsia="宋体" w:cs="宋体"/>
        <w:sz w:val="28"/>
        <w:szCs w:val="28"/>
      </w:rPr>
    </w:lvl>
  </w:abstractNum>
  <w:abstractNum w:abstractNumId="3">
    <w:nsid w:val="5BFCE1D6"/>
    <w:multiLevelType w:val="singleLevel"/>
    <w:tmpl w:val="5BFCE1D6"/>
    <w:lvl w:ilvl="0" w:tentative="0">
      <w:start w:val="2"/>
      <w:numFmt w:val="chineseCounting"/>
      <w:suff w:val="nothing"/>
      <w:lvlText w:val="（%1）"/>
      <w:lvlJc w:val="left"/>
      <w:rPr>
        <w:rFonts w:hint="eastAsia"/>
      </w:rPr>
    </w:lvl>
  </w:abstractNum>
  <w:abstractNum w:abstractNumId="4">
    <w:nsid w:val="7AF14AEC"/>
    <w:multiLevelType w:val="singleLevel"/>
    <w:tmpl w:val="7AF14AEC"/>
    <w:lvl w:ilvl="0" w:tentative="0">
      <w:start w:val="1"/>
      <w:numFmt w:val="chineseCounting"/>
      <w:suff w:val="nothing"/>
      <w:lvlText w:val="%1、"/>
      <w:lvlJc w:val="left"/>
      <w:rPr>
        <w:rFonts w:hint="eastAsia"/>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8D51B22"/>
    <w:rsid w:val="11067B95"/>
    <w:rsid w:val="1A901EC4"/>
    <w:rsid w:val="1CDAFAF7"/>
    <w:rsid w:val="1F7BF06F"/>
    <w:rsid w:val="1FEE4B73"/>
    <w:rsid w:val="21D14A83"/>
    <w:rsid w:val="23CE9849"/>
    <w:rsid w:val="2B321B21"/>
    <w:rsid w:val="35784CBC"/>
    <w:rsid w:val="39F304DD"/>
    <w:rsid w:val="3BFFA328"/>
    <w:rsid w:val="3EA03A5D"/>
    <w:rsid w:val="3F593C0C"/>
    <w:rsid w:val="41A3548F"/>
    <w:rsid w:val="4F2315D1"/>
    <w:rsid w:val="54244390"/>
    <w:rsid w:val="54662A63"/>
    <w:rsid w:val="58064E12"/>
    <w:rsid w:val="5B180231"/>
    <w:rsid w:val="5BFEE015"/>
    <w:rsid w:val="5EF59CC7"/>
    <w:rsid w:val="60340051"/>
    <w:rsid w:val="61F10D0C"/>
    <w:rsid w:val="62F05B22"/>
    <w:rsid w:val="63EDCF55"/>
    <w:rsid w:val="63FBFBCF"/>
    <w:rsid w:val="669360FD"/>
    <w:rsid w:val="68FF6A83"/>
    <w:rsid w:val="6FBBC9CF"/>
    <w:rsid w:val="72BDE561"/>
    <w:rsid w:val="78047EB1"/>
    <w:rsid w:val="78462278"/>
    <w:rsid w:val="7997EA6C"/>
    <w:rsid w:val="7AEAE675"/>
    <w:rsid w:val="7BAFCE5D"/>
    <w:rsid w:val="7D46598C"/>
    <w:rsid w:val="7DFB240B"/>
    <w:rsid w:val="7E0935ED"/>
    <w:rsid w:val="7FCF2AF7"/>
    <w:rsid w:val="9FEF033D"/>
    <w:rsid w:val="A27FF1E5"/>
    <w:rsid w:val="AFDEB5A7"/>
    <w:rsid w:val="AFEA7FBF"/>
    <w:rsid w:val="B83F4767"/>
    <w:rsid w:val="BDEFCF70"/>
    <w:rsid w:val="BF930F07"/>
    <w:rsid w:val="BFCE8436"/>
    <w:rsid w:val="BFFD106E"/>
    <w:rsid w:val="C3F7EB7A"/>
    <w:rsid w:val="CFF5FEEC"/>
    <w:rsid w:val="D3DD9064"/>
    <w:rsid w:val="D6F76A0C"/>
    <w:rsid w:val="D7ECE8D2"/>
    <w:rsid w:val="DBBB5F66"/>
    <w:rsid w:val="DFDD4FB5"/>
    <w:rsid w:val="E77DCACE"/>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4">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line="600" w:lineRule="exact"/>
      <w:ind w:firstLine="640" w:firstLineChars="200"/>
    </w:pPr>
    <w:rPr>
      <w:rFonts w:ascii="仿宋_GB2312" w:hAnsi="Times New Roman" w:eastAsia="仿宋_GB2312"/>
      <w:sz w:val="32"/>
      <w:szCs w:val="24"/>
    </w:rPr>
  </w:style>
  <w:style w:type="paragraph" w:styleId="4">
    <w:name w:val="Body Text"/>
    <w:basedOn w:val="1"/>
    <w:next w:val="1"/>
    <w:qFormat/>
    <w:uiPriority w:val="0"/>
    <w:pPr>
      <w:spacing w:before="0" w:after="140" w:line="276" w:lineRule="auto"/>
    </w:pPr>
  </w:style>
  <w:style w:type="paragraph" w:styleId="5">
    <w:name w:val="caption"/>
    <w:basedOn w:val="1"/>
    <w:qFormat/>
    <w:uiPriority w:val="0"/>
    <w:pPr>
      <w:widowControl w:val="0"/>
      <w:suppressLineNumbers/>
      <w:suppressAutoHyphens/>
      <w:spacing w:before="120" w:after="120"/>
    </w:pPr>
    <w:rPr>
      <w:i/>
      <w:iCs/>
      <w:sz w:val="24"/>
      <w:szCs w:val="24"/>
    </w:rPr>
  </w:style>
  <w:style w:type="paragraph" w:styleId="6">
    <w:name w:val="Salutation"/>
    <w:basedOn w:val="1"/>
    <w:next w:val="1"/>
    <w:qFormat/>
    <w:uiPriority w:val="0"/>
    <w:rPr>
      <w:rFonts w:ascii="Times New Roman" w:hAnsi="Times New Roma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List"/>
    <w:basedOn w:val="4"/>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rPr>
      <w:sz w:val="24"/>
    </w:rPr>
  </w:style>
  <w:style w:type="character" w:customStyle="1" w:styleId="15">
    <w:name w:val="默认段落字体1"/>
    <w:qFormat/>
    <w:uiPriority w:val="0"/>
  </w:style>
  <w:style w:type="paragraph" w:customStyle="1" w:styleId="16">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7">
    <w:name w:val="Index"/>
    <w:basedOn w:val="1"/>
    <w:qFormat/>
    <w:uiPriority w:val="0"/>
    <w:pPr>
      <w:widowControl w:val="0"/>
      <w:suppressLineNumbers/>
      <w:suppressAutoHyphens/>
    </w:pPr>
  </w:style>
  <w:style w:type="paragraph" w:customStyle="1" w:styleId="18">
    <w:name w:val="样式1"/>
    <w:basedOn w:val="1"/>
    <w:qFormat/>
    <w:uiPriority w:val="0"/>
    <w:rPr>
      <w:b/>
      <w:color w:val="538135"/>
      <w:sz w:val="28"/>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33</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dcterms:modified xsi:type="dcterms:W3CDTF">2024-02-18T11:45:15Z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