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15378441"/>
      <w:bookmarkStart w:id="1" w:name="_Toc15377425"/>
      <w:bookmarkStart w:id="2" w:name="_Toc15396597"/>
      <w:bookmarkStart w:id="3" w:name="_Toc15377193"/>
      <w:bookmarkStart w:id="4" w:name="_Toc15396475"/>
      <w:bookmarkStart w:id="5" w:name="_Toc15306267"/>
    </w:p>
    <w:p>
      <w:pPr>
        <w:pStyle w:val="2"/>
        <w:spacing w:before="93" w:beforeLines="0"/>
        <w:jc w:val="center"/>
        <w:rPr>
          <w:rFonts w:ascii="Times New Roman" w:hAnsi="Times New Roman" w:eastAsia="方正小标宋简体"/>
          <w:kern w:val="2"/>
          <w:sz w:val="44"/>
          <w:szCs w:val="44"/>
        </w:rPr>
      </w:pPr>
    </w:p>
    <w:p>
      <w:pPr>
        <w:pStyle w:val="2"/>
        <w:spacing w:before="93" w:beforeLines="0"/>
        <w:jc w:val="center"/>
        <w:rPr>
          <w:rFonts w:ascii="Times New Roman" w:hAnsi="Times New Roman" w:eastAsia="方正小标宋简体"/>
          <w:kern w:val="2"/>
          <w:sz w:val="44"/>
          <w:szCs w:val="44"/>
        </w:rPr>
      </w:pPr>
    </w:p>
    <w:p>
      <w:pPr>
        <w:pStyle w:val="2"/>
        <w:spacing w:before="93" w:beforeLines="0"/>
        <w:jc w:val="center"/>
        <w:rPr>
          <w:rFonts w:ascii="Times New Roman" w:hAnsi="Times New Roman" w:eastAsia="方正小标宋简体"/>
          <w:kern w:val="2"/>
          <w:sz w:val="44"/>
          <w:szCs w:val="44"/>
        </w:rPr>
      </w:pPr>
    </w:p>
    <w:p>
      <w:pPr>
        <w:pStyle w:val="2"/>
        <w:spacing w:before="93" w:beforeLines="0"/>
        <w:jc w:val="center"/>
        <w:rPr>
          <w:rFonts w:ascii="Times New Roman" w:hAnsi="Times New Roman" w:eastAsia="方正小标宋简体"/>
          <w:kern w:val="2"/>
          <w:sz w:val="44"/>
          <w:szCs w:val="44"/>
        </w:rPr>
      </w:pPr>
    </w:p>
    <w:bookmarkEnd w:id="0"/>
    <w:bookmarkEnd w:id="1"/>
    <w:bookmarkEnd w:id="2"/>
    <w:bookmarkEnd w:id="3"/>
    <w:bookmarkEnd w:id="4"/>
    <w:p>
      <w:pPr>
        <w:pStyle w:val="2"/>
        <w:spacing w:before="93" w:beforeLines="0"/>
        <w:jc w:val="center"/>
        <w:rPr>
          <w:rFonts w:ascii="Times New Roman" w:hAnsi="Times New Roman" w:eastAsia="方正小标宋简体"/>
          <w:color w:val="auto"/>
          <w:spacing w:val="45"/>
          <w:w w:val="95"/>
          <w:kern w:val="0"/>
          <w:sz w:val="72"/>
          <w:szCs w:val="72"/>
          <w:lang w:val="zh-CN"/>
        </w:rPr>
      </w:pPr>
      <w:bookmarkStart w:id="6" w:name="_Toc15396476"/>
      <w:bookmarkStart w:id="7" w:name="_Toc15377426"/>
      <w:bookmarkStart w:id="8" w:name="_Toc15396598"/>
      <w:bookmarkStart w:id="9" w:name="_Toc15377194"/>
      <w:bookmarkStart w:id="10" w:name="_Toc15378442"/>
      <w:r>
        <w:rPr>
          <w:rFonts w:ascii="Times New Roman" w:hAnsi="Times New Roman" w:eastAsia="方正小标宋简体"/>
          <w:kern w:val="2"/>
          <w:sz w:val="44"/>
          <w:szCs w:val="44"/>
        </w:rPr>
        <w:t>2024年度</w:t>
      </w:r>
      <w:bookmarkEnd w:id="5"/>
      <w:bookmarkStart w:id="11" w:name="_Toc15306268"/>
      <w:r>
        <w:rPr>
          <w:rFonts w:ascii="Times New Roman" w:hAnsi="Times New Roman" w:eastAsia="方正小标宋简体"/>
          <w:color w:val="auto"/>
          <w:spacing w:val="1"/>
          <w:w w:val="95"/>
          <w:kern w:val="0"/>
          <w:sz w:val="72"/>
          <w:szCs w:val="72"/>
          <w:fitText w:val="8280" w:id="5087"/>
          <w:lang w:val="zh-CN"/>
        </w:rPr>
        <w:t>广元国际铁路港管理委员</w:t>
      </w:r>
      <w:r>
        <w:rPr>
          <w:rFonts w:ascii="Times New Roman" w:hAnsi="Times New Roman" w:eastAsia="方正小标宋简体"/>
          <w:color w:val="auto"/>
          <w:spacing w:val="45"/>
          <w:w w:val="95"/>
          <w:kern w:val="0"/>
          <w:sz w:val="72"/>
          <w:szCs w:val="72"/>
          <w:fitText w:val="8280" w:id="5087"/>
          <w:lang w:val="zh-CN"/>
        </w:rPr>
        <w:t>会</w:t>
      </w:r>
    </w:p>
    <w:p>
      <w:pPr>
        <w:pStyle w:val="2"/>
        <w:spacing w:before="93" w:beforeLines="0"/>
        <w:jc w:val="center"/>
        <w:rPr>
          <w:rFonts w:ascii="Times New Roman" w:hAnsi="Times New Roman" w:eastAsia="方正小标宋简体"/>
          <w:kern w:val="2"/>
          <w:sz w:val="44"/>
          <w:szCs w:val="44"/>
        </w:rPr>
      </w:pPr>
      <w:r>
        <w:rPr>
          <w:rFonts w:ascii="Times New Roman" w:hAnsi="Times New Roman" w:eastAsia="方正小标宋简体"/>
          <w:kern w:val="2"/>
          <w:sz w:val="44"/>
          <w:szCs w:val="44"/>
        </w:rPr>
        <w:t>部门决算</w:t>
      </w:r>
      <w:bookmarkEnd w:id="6"/>
      <w:bookmarkEnd w:id="7"/>
      <w:bookmarkEnd w:id="8"/>
      <w:bookmarkEnd w:id="9"/>
      <w:bookmarkEnd w:id="10"/>
      <w:bookmarkEnd w:id="11"/>
    </w:p>
    <w:p>
      <w:pPr>
        <w:widowControl/>
        <w:jc w:val="center"/>
        <w:rPr>
          <w:rFonts w:eastAsia="黑体"/>
          <w:sz w:val="48"/>
          <w:szCs w:val="48"/>
        </w:rPr>
      </w:pPr>
      <w:r>
        <w:rPr>
          <w:rFonts w:eastAsia="方正小标宋简体"/>
          <w:sz w:val="36"/>
          <w:szCs w:val="36"/>
        </w:rPr>
        <w:br w:type="page"/>
      </w:r>
      <w:r>
        <w:rPr>
          <w:rFonts w:eastAsia="黑体"/>
          <w:sz w:val="48"/>
          <w:szCs w:val="48"/>
        </w:rPr>
        <w:t>目录</w:t>
      </w:r>
    </w:p>
    <w:p>
      <w:pPr>
        <w:widowControl/>
        <w:jc w:val="center"/>
        <w:rPr>
          <w:rFonts w:eastAsia="黑体"/>
          <w:sz w:val="28"/>
          <w:szCs w:val="28"/>
        </w:rPr>
      </w:pPr>
    </w:p>
    <w:p>
      <w:pPr>
        <w:pStyle w:val="13"/>
        <w:rPr>
          <w:rFonts w:ascii="Times New Roman" w:hAnsi="Times New Roman" w:eastAsia="仿宋_GB2312"/>
          <w:sz w:val="32"/>
          <w:szCs w:val="32"/>
        </w:rPr>
      </w:pPr>
      <w:r>
        <w:rPr>
          <w:rFonts w:ascii="Times New Roman" w:hAnsi="Times New Roman" w:eastAsia="仿宋_GB2312"/>
          <w:sz w:val="32"/>
          <w:szCs w:val="32"/>
        </w:rPr>
        <w:t>公开时间：2025年</w:t>
      </w:r>
      <w:r>
        <w:rPr>
          <w:rFonts w:hint="eastAsia" w:ascii="Times New Roman" w:hAnsi="Times New Roman" w:eastAsia="仿宋_GB2312"/>
          <w:sz w:val="32"/>
          <w:szCs w:val="32"/>
          <w:lang w:val="en-US" w:eastAsia="zh-CN"/>
        </w:rPr>
        <w:t>10</w:t>
      </w:r>
      <w:r>
        <w:rPr>
          <w:rFonts w:ascii="Times New Roman" w:hAnsi="Times New Roman" w:eastAsia="仿宋_GB2312"/>
          <w:sz w:val="32"/>
          <w:szCs w:val="32"/>
        </w:rPr>
        <w:t>月</w:t>
      </w: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日</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第一部分  部门概况</w:t>
      </w:r>
      <w:r>
        <w:rPr>
          <w:rFonts w:eastAsia="黑体"/>
          <w:b/>
          <w:bCs/>
          <w:kern w:val="0"/>
          <w:sz w:val="20"/>
          <w:szCs w:val="20"/>
          <w:shd w:val="clear" w:color="auto" w:fill="auto"/>
        </w:rPr>
        <w:t>.........................................................................................................................................</w:t>
      </w:r>
      <w:r>
        <w:rPr>
          <w:rFonts w:hint="eastAsia" w:eastAsia="黑体"/>
          <w:b/>
          <w:bCs/>
          <w:kern w:val="0"/>
          <w:sz w:val="20"/>
          <w:szCs w:val="20"/>
          <w:shd w:val="clear" w:color="auto" w:fill="auto"/>
        </w:rPr>
        <w:t>3</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一、 部门职责</w:t>
      </w:r>
      <w:r>
        <w:rPr>
          <w:rFonts w:eastAsia="黑体"/>
          <w:b/>
          <w:bCs/>
          <w:kern w:val="0"/>
          <w:sz w:val="20"/>
          <w:szCs w:val="20"/>
          <w:shd w:val="clear" w:color="auto" w:fill="auto"/>
        </w:rPr>
        <w:t>....................................................................................................................................................</w:t>
      </w:r>
      <w:r>
        <w:rPr>
          <w:rFonts w:hint="eastAsia" w:eastAsia="黑体"/>
          <w:b/>
          <w:bCs/>
          <w:kern w:val="0"/>
          <w:sz w:val="20"/>
          <w:szCs w:val="20"/>
          <w:shd w:val="clear" w:color="auto" w:fill="auto"/>
        </w:rPr>
        <w:t>3</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二、机构设置</w:t>
      </w:r>
      <w:r>
        <w:rPr>
          <w:rFonts w:eastAsia="黑体"/>
          <w:b/>
          <w:bCs/>
          <w:kern w:val="0"/>
          <w:sz w:val="20"/>
          <w:szCs w:val="20"/>
          <w:shd w:val="clear" w:color="auto" w:fill="auto"/>
        </w:rPr>
        <w:t>.......................................................................................................................................................</w:t>
      </w:r>
      <w:r>
        <w:rPr>
          <w:rFonts w:hint="eastAsia" w:eastAsia="黑体"/>
          <w:b/>
          <w:bCs/>
          <w:kern w:val="0"/>
          <w:sz w:val="20"/>
          <w:szCs w:val="20"/>
          <w:shd w:val="clear" w:color="auto" w:fill="auto"/>
        </w:rPr>
        <w:t>4</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第二部分  2024年度部门决算情况说明</w:t>
      </w:r>
      <w:r>
        <w:rPr>
          <w:rFonts w:eastAsia="黑体"/>
          <w:b/>
          <w:bCs/>
          <w:kern w:val="0"/>
          <w:sz w:val="20"/>
          <w:szCs w:val="20"/>
          <w:shd w:val="clear" w:color="auto" w:fill="auto"/>
        </w:rPr>
        <w:t>.........................................................................................................</w:t>
      </w:r>
      <w:r>
        <w:rPr>
          <w:rFonts w:hint="eastAsia" w:eastAsia="黑体"/>
          <w:b/>
          <w:bCs/>
          <w:kern w:val="0"/>
          <w:sz w:val="20"/>
          <w:szCs w:val="20"/>
          <w:shd w:val="clear" w:color="auto" w:fill="auto"/>
        </w:rPr>
        <w:t>5</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一、收入支出决算总体情况说明</w:t>
      </w:r>
      <w:r>
        <w:rPr>
          <w:rFonts w:eastAsia="黑体"/>
          <w:b/>
          <w:bCs/>
          <w:kern w:val="0"/>
          <w:sz w:val="20"/>
          <w:szCs w:val="20"/>
          <w:shd w:val="clear" w:color="auto" w:fill="auto"/>
        </w:rPr>
        <w:t>........................................................................................................................</w:t>
      </w:r>
      <w:r>
        <w:rPr>
          <w:rFonts w:hint="eastAsia" w:eastAsia="黑体"/>
          <w:b/>
          <w:bCs/>
          <w:kern w:val="0"/>
          <w:sz w:val="20"/>
          <w:szCs w:val="20"/>
          <w:shd w:val="clear" w:color="auto" w:fill="auto"/>
        </w:rPr>
        <w:t>5</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二、收入决算情况说明</w:t>
      </w:r>
      <w:r>
        <w:rPr>
          <w:rFonts w:eastAsia="黑体"/>
          <w:b/>
          <w:bCs/>
          <w:kern w:val="0"/>
          <w:sz w:val="20"/>
          <w:szCs w:val="20"/>
          <w:shd w:val="clear" w:color="auto" w:fill="auto"/>
        </w:rPr>
        <w:t>.....................................................................................................................................</w:t>
      </w:r>
      <w:r>
        <w:rPr>
          <w:rFonts w:hint="eastAsia" w:eastAsia="黑体"/>
          <w:b/>
          <w:bCs/>
          <w:kern w:val="0"/>
          <w:sz w:val="20"/>
          <w:szCs w:val="20"/>
          <w:shd w:val="clear" w:color="auto" w:fill="auto"/>
        </w:rPr>
        <w:t>5</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三、支出决算情况说明</w:t>
      </w:r>
      <w:r>
        <w:rPr>
          <w:rFonts w:eastAsia="黑体"/>
          <w:b/>
          <w:bCs/>
          <w:kern w:val="0"/>
          <w:sz w:val="20"/>
          <w:szCs w:val="20"/>
          <w:shd w:val="clear" w:color="auto" w:fill="auto"/>
        </w:rPr>
        <w:t>.....................................................................................................................................</w:t>
      </w:r>
      <w:r>
        <w:rPr>
          <w:rFonts w:hint="eastAsia" w:eastAsia="黑体"/>
          <w:b/>
          <w:bCs/>
          <w:kern w:val="0"/>
          <w:sz w:val="20"/>
          <w:szCs w:val="20"/>
          <w:shd w:val="clear" w:color="auto" w:fill="auto"/>
        </w:rPr>
        <w:t>6</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四、财政拨款收入支出决算总体情况说明</w:t>
      </w:r>
      <w:r>
        <w:rPr>
          <w:rFonts w:eastAsia="黑体"/>
          <w:b/>
          <w:bCs/>
          <w:kern w:val="0"/>
          <w:sz w:val="20"/>
          <w:szCs w:val="20"/>
          <w:shd w:val="clear" w:color="auto" w:fill="auto"/>
        </w:rPr>
        <w:t>........................................................................................................</w:t>
      </w:r>
      <w:r>
        <w:rPr>
          <w:rFonts w:hint="eastAsia" w:eastAsia="黑体"/>
          <w:b/>
          <w:bCs/>
          <w:kern w:val="0"/>
          <w:sz w:val="20"/>
          <w:szCs w:val="20"/>
          <w:shd w:val="clear" w:color="auto" w:fill="auto"/>
        </w:rPr>
        <w:t>7</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五、一般公共预算财政拨款支出决算情况说明</w:t>
      </w:r>
      <w:r>
        <w:rPr>
          <w:rFonts w:eastAsia="黑体"/>
          <w:b/>
          <w:bCs/>
          <w:kern w:val="0"/>
          <w:sz w:val="20"/>
          <w:szCs w:val="20"/>
          <w:shd w:val="clear" w:color="auto" w:fill="auto"/>
        </w:rPr>
        <w:t>................................................................................................</w:t>
      </w:r>
      <w:r>
        <w:rPr>
          <w:rFonts w:hint="eastAsia" w:eastAsia="黑体"/>
          <w:b/>
          <w:bCs/>
          <w:kern w:val="0"/>
          <w:sz w:val="20"/>
          <w:szCs w:val="20"/>
          <w:shd w:val="clear" w:color="auto" w:fill="auto"/>
        </w:rPr>
        <w:t>7</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六、一般公共预算财政拨款基本支出决算情况说明</w:t>
      </w:r>
      <w:r>
        <w:rPr>
          <w:rFonts w:eastAsia="黑体"/>
          <w:b/>
          <w:bCs/>
          <w:kern w:val="0"/>
          <w:sz w:val="20"/>
          <w:szCs w:val="20"/>
          <w:shd w:val="clear" w:color="auto" w:fill="auto"/>
        </w:rPr>
        <w:t>......................................................................................</w:t>
      </w:r>
      <w:r>
        <w:rPr>
          <w:rFonts w:hint="eastAsia" w:eastAsia="黑体"/>
          <w:b/>
          <w:bCs/>
          <w:kern w:val="0"/>
          <w:sz w:val="20"/>
          <w:szCs w:val="20"/>
          <w:shd w:val="clear" w:color="auto" w:fill="auto"/>
        </w:rPr>
        <w:t>10</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七、财政拨款“三公”经费支出决算情况说明</w:t>
      </w:r>
      <w:r>
        <w:rPr>
          <w:rFonts w:eastAsia="黑体"/>
          <w:b/>
          <w:bCs/>
          <w:kern w:val="0"/>
          <w:sz w:val="20"/>
          <w:szCs w:val="20"/>
          <w:shd w:val="clear" w:color="auto" w:fill="auto"/>
        </w:rPr>
        <w:t>............................................................................................</w:t>
      </w:r>
      <w:r>
        <w:rPr>
          <w:rFonts w:hint="eastAsia" w:eastAsia="黑体"/>
          <w:b/>
          <w:bCs/>
          <w:kern w:val="0"/>
          <w:sz w:val="20"/>
          <w:szCs w:val="20"/>
          <w:shd w:val="clear" w:color="auto" w:fill="auto"/>
        </w:rPr>
        <w:t>11</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八、政府性基金预算支出决算情况说明</w:t>
      </w:r>
      <w:r>
        <w:rPr>
          <w:rFonts w:eastAsia="黑体"/>
          <w:b/>
          <w:bCs/>
          <w:kern w:val="0"/>
          <w:sz w:val="20"/>
          <w:szCs w:val="20"/>
          <w:shd w:val="clear" w:color="auto" w:fill="auto"/>
        </w:rPr>
        <w:t>.........................................................................................................</w:t>
      </w:r>
      <w:r>
        <w:rPr>
          <w:rFonts w:hint="eastAsia" w:eastAsia="黑体"/>
          <w:b/>
          <w:bCs/>
          <w:kern w:val="0"/>
          <w:sz w:val="20"/>
          <w:szCs w:val="20"/>
          <w:shd w:val="clear" w:color="auto" w:fill="auto"/>
        </w:rPr>
        <w:t>12</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九、国有资本经营预算支出决算情况说明</w:t>
      </w:r>
      <w:r>
        <w:rPr>
          <w:rFonts w:eastAsia="黑体"/>
          <w:b/>
          <w:bCs/>
          <w:kern w:val="0"/>
          <w:sz w:val="20"/>
          <w:szCs w:val="20"/>
          <w:shd w:val="clear" w:color="auto" w:fill="auto"/>
        </w:rPr>
        <w:t>.....................................................................................................</w:t>
      </w:r>
      <w:r>
        <w:rPr>
          <w:rFonts w:hint="eastAsia" w:eastAsia="黑体"/>
          <w:b/>
          <w:bCs/>
          <w:kern w:val="0"/>
          <w:sz w:val="20"/>
          <w:szCs w:val="20"/>
          <w:shd w:val="clear" w:color="auto" w:fill="auto"/>
        </w:rPr>
        <w:t>12</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十、其他重要事项的情况说明</w:t>
      </w:r>
      <w:r>
        <w:rPr>
          <w:rFonts w:eastAsia="黑体"/>
          <w:b/>
          <w:bCs/>
          <w:kern w:val="0"/>
          <w:sz w:val="20"/>
          <w:szCs w:val="20"/>
          <w:shd w:val="clear" w:color="auto" w:fill="auto"/>
        </w:rPr>
        <w:t>.........................................................................................................................</w:t>
      </w:r>
      <w:r>
        <w:rPr>
          <w:rFonts w:hint="eastAsia" w:eastAsia="黑体"/>
          <w:b/>
          <w:bCs/>
          <w:kern w:val="0"/>
          <w:sz w:val="20"/>
          <w:szCs w:val="20"/>
          <w:shd w:val="clear" w:color="auto" w:fill="auto"/>
        </w:rPr>
        <w:t>12</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第三部分  名词解释</w:t>
      </w:r>
      <w:r>
        <w:rPr>
          <w:rFonts w:eastAsia="黑体"/>
          <w:b/>
          <w:bCs/>
          <w:kern w:val="0"/>
          <w:sz w:val="20"/>
          <w:szCs w:val="20"/>
          <w:shd w:val="clear" w:color="auto" w:fill="auto"/>
        </w:rPr>
        <w:t>........................................................................................................................................</w:t>
      </w:r>
      <w:r>
        <w:rPr>
          <w:rFonts w:hint="eastAsia" w:eastAsia="黑体"/>
          <w:b/>
          <w:bCs/>
          <w:kern w:val="0"/>
          <w:sz w:val="20"/>
          <w:szCs w:val="20"/>
          <w:shd w:val="clear" w:color="auto" w:fill="auto"/>
        </w:rPr>
        <w:t>17</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第四部分 附件</w:t>
      </w:r>
      <w:r>
        <w:rPr>
          <w:rFonts w:eastAsia="黑体"/>
          <w:b/>
          <w:bCs/>
          <w:kern w:val="0"/>
          <w:sz w:val="20"/>
          <w:szCs w:val="20"/>
          <w:shd w:val="clear" w:color="auto" w:fill="auto"/>
        </w:rPr>
        <w:t>..................................................................................................................................................19</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第五部分 附表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distribute"/>
        <w:rPr>
          <w:rFonts w:hint="eastAsia" w:eastAsia="黑体"/>
          <w:b/>
          <w:bCs/>
          <w:kern w:val="0"/>
          <w:sz w:val="20"/>
          <w:szCs w:val="20"/>
          <w:shd w:val="clear" w:color="auto" w:fill="auto"/>
        </w:rPr>
      </w:pPr>
      <w:r>
        <w:rPr>
          <w:rFonts w:hint="eastAsia" w:eastAsia="黑体"/>
          <w:b/>
          <w:bCs/>
          <w:kern w:val="0"/>
          <w:sz w:val="20"/>
          <w:szCs w:val="20"/>
          <w:shd w:val="clear" w:color="auto" w:fill="auto"/>
        </w:rPr>
        <w:t>一、收入支出决算总表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二、收入决算表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三、支出决算表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四、财政拨款收入支出决算总表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五、财政拨款支出决算明细表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六、一般公共预算财政拨款支出决算表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七、一般公共预算财政拨款支出决算明细表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八、一般公共预算财政拨款基本支出决算表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九、一般公共预算财政拨款项目支出决算表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十、政府性基金预算财政拨款收入支出决算表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十一、国有资本经营预算财政拨款收入支出决算表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十二、国有资本经营预算财政拨款支出决算表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tabs>
          <w:tab w:val="right" w:leader="dot" w:pos="0"/>
        </w:tabs>
        <w:spacing w:beforeAutospacing="0" w:afterAutospacing="0"/>
        <w:jc w:val="left"/>
        <w:rPr>
          <w:rFonts w:hint="eastAsia" w:eastAsia="黑体"/>
          <w:b/>
          <w:bCs/>
          <w:kern w:val="0"/>
          <w:sz w:val="20"/>
          <w:szCs w:val="20"/>
          <w:shd w:val="clear" w:color="auto" w:fill="auto"/>
        </w:rPr>
      </w:pPr>
      <w:r>
        <w:rPr>
          <w:rFonts w:hint="eastAsia" w:eastAsia="黑体"/>
          <w:b/>
          <w:bCs/>
          <w:kern w:val="0"/>
          <w:sz w:val="20"/>
          <w:szCs w:val="20"/>
          <w:shd w:val="clear" w:color="auto" w:fill="auto"/>
        </w:rPr>
        <w:t>十三、财政拨款“三公”经费支出决算表</w:t>
      </w:r>
      <w:r>
        <w:rPr>
          <w:rFonts w:eastAsia="黑体"/>
          <w:b/>
          <w:bCs/>
          <w:kern w:val="0"/>
          <w:sz w:val="20"/>
          <w:szCs w:val="20"/>
          <w:shd w:val="clear" w:color="auto" w:fill="auto"/>
        </w:rPr>
        <w:t>...................................................................................................</w:t>
      </w:r>
      <w:r>
        <w:rPr>
          <w:rFonts w:hint="eastAsia" w:eastAsia="黑体"/>
          <w:b/>
          <w:bCs/>
          <w:kern w:val="0"/>
          <w:sz w:val="20"/>
          <w:szCs w:val="20"/>
          <w:shd w:val="clear" w:color="auto" w:fill="auto"/>
        </w:rPr>
        <w:t>11</w:t>
      </w:r>
      <w:r>
        <w:rPr>
          <w:rFonts w:eastAsia="黑体"/>
          <w:b/>
          <w:bCs/>
          <w:kern w:val="0"/>
          <w:sz w:val="20"/>
          <w:szCs w:val="20"/>
          <w:shd w:val="clear" w:color="auto" w:fill="auto"/>
        </w:rPr>
        <w:t>8</w:t>
      </w:r>
    </w:p>
    <w:p>
      <w:pPr>
        <w:widowControl/>
        <w:spacing w:line="560" w:lineRule="exact"/>
        <w:jc w:val="left"/>
        <w:rPr>
          <w:rFonts w:eastAsia="仿宋_GB2312"/>
          <w:bCs/>
          <w:kern w:val="44"/>
          <w:sz w:val="32"/>
          <w:szCs w:val="32"/>
        </w:rPr>
      </w:pPr>
    </w:p>
    <w:p>
      <w:pPr>
        <w:widowControl/>
        <w:spacing w:line="560" w:lineRule="exact"/>
        <w:jc w:val="left"/>
        <w:rPr>
          <w:rFonts w:eastAsia="仿宋_GB2312"/>
          <w:bCs/>
          <w:kern w:val="44"/>
          <w:sz w:val="32"/>
          <w:szCs w:val="32"/>
        </w:rPr>
      </w:pPr>
      <w:bookmarkStart w:id="12" w:name="_Toc15396599"/>
      <w:bookmarkStart w:id="13" w:name="_Toc15377196"/>
    </w:p>
    <w:p>
      <w:pPr>
        <w:pStyle w:val="3"/>
        <w:pageBreakBefore w:val="0"/>
        <w:kinsoku/>
        <w:wordWrap/>
        <w:overflowPunct/>
        <w:topLinePunct w:val="0"/>
        <w:autoSpaceDE/>
        <w:autoSpaceDN/>
        <w:bidi w:val="0"/>
        <w:spacing w:before="0" w:after="0" w:line="576" w:lineRule="exact"/>
        <w:jc w:val="center"/>
        <w:textAlignment w:val="auto"/>
        <w:rPr>
          <w:rStyle w:val="23"/>
          <w:rFonts w:eastAsia="方正小标宋简体"/>
          <w:b/>
          <w:bCs w:val="0"/>
        </w:rPr>
      </w:pPr>
      <w:bookmarkStart w:id="14" w:name="_Toc83065372"/>
      <w:r>
        <w:rPr>
          <w:rFonts w:eastAsia="方正小标宋简体"/>
          <w:b w:val="0"/>
        </w:rPr>
        <w:t xml:space="preserve">第一部分  </w:t>
      </w:r>
      <w:r>
        <w:rPr>
          <w:rStyle w:val="23"/>
          <w:rFonts w:eastAsia="方正小标宋简体"/>
          <w:b w:val="0"/>
          <w:bCs w:val="0"/>
        </w:rPr>
        <w:t>部门概况</w:t>
      </w:r>
      <w:bookmarkEnd w:id="12"/>
      <w:bookmarkEnd w:id="13"/>
      <w:bookmarkEnd w:id="14"/>
    </w:p>
    <w:p>
      <w:pPr>
        <w:pageBreakBefore w:val="0"/>
        <w:widowControl/>
        <w:kinsoku/>
        <w:wordWrap/>
        <w:overflowPunct/>
        <w:topLinePunct w:val="0"/>
        <w:autoSpaceDE/>
        <w:autoSpaceDN/>
        <w:bidi w:val="0"/>
        <w:spacing w:line="576" w:lineRule="exact"/>
        <w:jc w:val="left"/>
        <w:textAlignment w:val="auto"/>
        <w:rPr>
          <w:rFonts w:eastAsia="黑体"/>
          <w:sz w:val="32"/>
          <w:szCs w:val="32"/>
        </w:rPr>
      </w:pPr>
    </w:p>
    <w:p>
      <w:pPr>
        <w:pStyle w:val="4"/>
        <w:pageBreakBefore w:val="0"/>
        <w:numPr>
          <w:ilvl w:val="0"/>
          <w:numId w:val="0"/>
        </w:numPr>
        <w:kinsoku/>
        <w:wordWrap/>
        <w:overflowPunct/>
        <w:topLinePunct w:val="0"/>
        <w:autoSpaceDE/>
        <w:autoSpaceDN/>
        <w:bidi w:val="0"/>
        <w:spacing w:before="0" w:after="0" w:line="576" w:lineRule="exact"/>
        <w:ind w:firstLine="640" w:firstLineChars="200"/>
        <w:textAlignment w:val="auto"/>
        <w:rPr>
          <w:rFonts w:ascii="Times New Roman" w:hAnsi="Times New Roman" w:eastAsia="黑体"/>
          <w:b w:val="0"/>
        </w:rPr>
      </w:pPr>
      <w:bookmarkStart w:id="15" w:name="_Toc15396600"/>
      <w:bookmarkEnd w:id="15"/>
      <w:bookmarkStart w:id="16" w:name="_Toc15377197"/>
      <w:bookmarkEnd w:id="16"/>
      <w:bookmarkStart w:id="17" w:name="_Toc83065373"/>
      <w:r>
        <w:rPr>
          <w:rFonts w:hint="eastAsia" w:ascii="Times New Roman" w:hAnsi="Times New Roman" w:eastAsia="黑体"/>
          <w:b w:val="0"/>
          <w:lang w:eastAsia="zh-CN"/>
        </w:rPr>
        <w:t>一、</w:t>
      </w:r>
      <w:r>
        <w:rPr>
          <w:rFonts w:ascii="Times New Roman" w:hAnsi="Times New Roman" w:eastAsia="黑体"/>
          <w:b w:val="0"/>
        </w:rPr>
        <w:t>部门职责</w:t>
      </w:r>
      <w:bookmarkEnd w:id="17"/>
    </w:p>
    <w:p>
      <w:pPr>
        <w:pageBreakBefore w:val="0"/>
        <w:numPr>
          <w:ilvl w:val="0"/>
          <w:numId w:val="1"/>
        </w:numPr>
        <w:shd w:val="clear" w:color="auto" w:fill="auto"/>
        <w:kinsoku/>
        <w:wordWrap/>
        <w:overflowPunct/>
        <w:topLinePunct w:val="0"/>
        <w:autoSpaceDE/>
        <w:autoSpaceDN/>
        <w:bidi w:val="0"/>
        <w:spacing w:line="576" w:lineRule="exact"/>
        <w:ind w:left="0" w:firstLine="640" w:firstLineChars="200"/>
        <w:textAlignment w:val="auto"/>
        <w:rPr>
          <w:rFonts w:eastAsia="仿宋_GB2312"/>
          <w:color w:val="auto"/>
          <w:sz w:val="32"/>
        </w:rPr>
      </w:pPr>
      <w:r>
        <w:rPr>
          <w:rFonts w:eastAsia="仿宋_GB2312"/>
          <w:color w:val="auto"/>
          <w:sz w:val="32"/>
        </w:rPr>
        <w:t>贯彻党的路线、方针、政策，执行中央和省委、市委关于园区和产业功能区规划建设与发展的法律、法规及政策规定；负责港区机关和企事业单位党的建设工作，推进党的政治建设、思想建设、组织建设、作风建设以及其他党务工作。负责港区内统战、工会、共青团和妇联等工作。</w:t>
      </w:r>
    </w:p>
    <w:p>
      <w:pPr>
        <w:pageBreakBefore w:val="0"/>
        <w:shd w:val="clear" w:color="auto" w:fill="auto"/>
        <w:kinsoku/>
        <w:wordWrap/>
        <w:overflowPunct/>
        <w:topLinePunct w:val="0"/>
        <w:autoSpaceDE/>
        <w:autoSpaceDN/>
        <w:bidi w:val="0"/>
        <w:spacing w:line="576" w:lineRule="exact"/>
        <w:ind w:left="0" w:firstLine="640" w:firstLineChars="200"/>
        <w:textAlignment w:val="auto"/>
        <w:rPr>
          <w:lang w:eastAsia="zh-CN"/>
        </w:rPr>
      </w:pPr>
      <w:r>
        <w:rPr>
          <w:rFonts w:eastAsia="仿宋_GB2312"/>
          <w:color w:val="auto"/>
          <w:sz w:val="32"/>
          <w:lang w:eastAsia="zh-CN"/>
        </w:rPr>
        <w:t>（二）</w:t>
      </w:r>
      <w:r>
        <w:rPr>
          <w:rFonts w:eastAsia="仿宋_GB2312"/>
          <w:color w:val="auto"/>
          <w:sz w:val="32"/>
        </w:rPr>
        <w:t>负责全市铁路建设的牵头协调工作。负责与国家、省有关单位和铁路部门的衔接，促进路地融合发展。牵头负责铁路项目的谋划争取工作，参与铁路项目涉及的国家政策和资金争取工作。</w:t>
      </w:r>
    </w:p>
    <w:p>
      <w:pPr>
        <w:pageBreakBefore w:val="0"/>
        <w:shd w:val="clear" w:color="auto" w:fill="auto"/>
        <w:kinsoku/>
        <w:wordWrap/>
        <w:overflowPunct/>
        <w:topLinePunct w:val="0"/>
        <w:autoSpaceDE/>
        <w:autoSpaceDN/>
        <w:bidi w:val="0"/>
        <w:spacing w:line="576" w:lineRule="exact"/>
        <w:ind w:left="0" w:firstLine="640" w:firstLineChars="200"/>
        <w:textAlignment w:val="auto"/>
        <w:rPr>
          <w:lang w:eastAsia="zh-CN"/>
        </w:rPr>
      </w:pPr>
      <w:r>
        <w:rPr>
          <w:rFonts w:eastAsia="仿宋_GB2312"/>
          <w:color w:val="auto"/>
          <w:sz w:val="32"/>
          <w:lang w:eastAsia="zh-CN"/>
        </w:rPr>
        <w:t>（三）</w:t>
      </w:r>
      <w:r>
        <w:rPr>
          <w:rFonts w:eastAsia="仿宋_GB2312"/>
          <w:color w:val="auto"/>
          <w:sz w:val="32"/>
        </w:rPr>
        <w:t>统筹协调铁路建设征地拆迁工作，指导使用铁路项目征地拆迁资金。协调解决铁路项目建设中的有关问题，牵头负责竣工铁路项目遗留问题处理工作。</w:t>
      </w:r>
    </w:p>
    <w:p>
      <w:pPr>
        <w:pageBreakBefore w:val="0"/>
        <w:shd w:val="clear" w:color="auto" w:fill="auto"/>
        <w:kinsoku/>
        <w:wordWrap/>
        <w:overflowPunct/>
        <w:topLinePunct w:val="0"/>
        <w:autoSpaceDE/>
        <w:autoSpaceDN/>
        <w:bidi w:val="0"/>
        <w:spacing w:line="576" w:lineRule="exact"/>
        <w:ind w:left="0" w:firstLine="640" w:firstLineChars="200"/>
        <w:textAlignment w:val="auto"/>
        <w:rPr>
          <w:lang w:eastAsia="zh-CN"/>
        </w:rPr>
      </w:pPr>
      <w:r>
        <w:rPr>
          <w:rFonts w:eastAsia="仿宋_GB2312"/>
          <w:color w:val="auto"/>
          <w:sz w:val="32"/>
          <w:lang w:eastAsia="zh-CN"/>
        </w:rPr>
        <w:t>（四）</w:t>
      </w:r>
      <w:r>
        <w:rPr>
          <w:rFonts w:eastAsia="仿宋_GB2312"/>
          <w:color w:val="auto"/>
          <w:sz w:val="32"/>
        </w:rPr>
        <w:t>负责配合编制广元国际铁路港国土详细空间规划和专项规划、港区土地利用总体规划，负责编制报送港区建设计划和用地计划。负责广元国际铁路港的统一建设和管理工作。负责统筹港区内片区综合开发利用和项目建设管理，按规定权限承担港区基础设施、配套设施的建设管理工作。负责牵头编制港区产业发展规划，优化港区发展环境，发展现代物流、贸易服务、进出口加工等主导产业，聚力发展枢纽经济。负责对港区企事业单位建设与营运进行指导、协调、服务。配合相关部门开展港区内涉铁项目的生态环境保护、安全生产、信访维稳等工作。</w:t>
      </w:r>
    </w:p>
    <w:p>
      <w:pPr>
        <w:pageBreakBefore w:val="0"/>
        <w:widowControl w:val="0"/>
        <w:shd w:val="clear" w:color="auto" w:fill="auto"/>
        <w:kinsoku/>
        <w:wordWrap/>
        <w:overflowPunct/>
        <w:topLinePunct w:val="0"/>
        <w:autoSpaceDE/>
        <w:autoSpaceDN/>
        <w:bidi w:val="0"/>
        <w:spacing w:line="576" w:lineRule="exact"/>
        <w:ind w:left="0" w:firstLine="640" w:firstLineChars="200"/>
        <w:textAlignment w:val="auto"/>
      </w:pPr>
      <w:r>
        <w:rPr>
          <w:rFonts w:eastAsia="仿宋_GB2312"/>
          <w:color w:val="auto"/>
          <w:sz w:val="32"/>
          <w:lang w:eastAsia="zh-CN"/>
        </w:rPr>
        <w:t>（五）</w:t>
      </w:r>
      <w:r>
        <w:rPr>
          <w:rFonts w:eastAsia="仿宋_GB2312"/>
          <w:color w:val="auto"/>
          <w:sz w:val="32"/>
        </w:rPr>
        <w:t>负责港区内招商引资、对外合作和宣传推介等投资促进工作。负责港区财务管理，部门收支预（决）算编制；负责港区内国有公司财务监管、铁路项目征拆资金监管工作；负责铁路港运转资金的筹集、使用和管理。完成市委、市政府交办的其他工作任务。</w:t>
      </w:r>
    </w:p>
    <w:p>
      <w:pPr>
        <w:pStyle w:val="4"/>
        <w:pageBreakBefore w:val="0"/>
        <w:widowControl w:val="0"/>
        <w:kinsoku/>
        <w:wordWrap/>
        <w:overflowPunct/>
        <w:topLinePunct w:val="0"/>
        <w:autoSpaceDE/>
        <w:autoSpaceDN/>
        <w:bidi w:val="0"/>
        <w:spacing w:before="0" w:after="0" w:line="576" w:lineRule="exact"/>
        <w:ind w:left="638" w:leftChars="304" w:firstLine="0" w:firstLineChars="0"/>
        <w:textAlignment w:val="auto"/>
        <w:rPr>
          <w:rStyle w:val="24"/>
          <w:rFonts w:ascii="Times New Roman" w:hAnsi="Times New Roman"/>
          <w:b w:val="0"/>
          <w:bCs w:val="0"/>
        </w:rPr>
      </w:pPr>
      <w:bookmarkStart w:id="18" w:name="_Toc15396601"/>
      <w:bookmarkStart w:id="19" w:name="_Toc83065374"/>
      <w:bookmarkStart w:id="20" w:name="_Toc15377200"/>
      <w:r>
        <w:rPr>
          <w:rFonts w:ascii="Times New Roman" w:hAnsi="Times New Roman" w:eastAsia="黑体"/>
          <w:b w:val="0"/>
        </w:rPr>
        <w:t>二、机</w:t>
      </w:r>
      <w:r>
        <w:rPr>
          <w:rStyle w:val="24"/>
          <w:rFonts w:ascii="Times New Roman" w:hAnsi="Times New Roman" w:eastAsia="黑体"/>
          <w:b w:val="0"/>
          <w:bCs w:val="0"/>
        </w:rPr>
        <w:t>构设置</w:t>
      </w:r>
      <w:bookmarkEnd w:id="18"/>
      <w:bookmarkEnd w:id="19"/>
      <w:bookmarkEnd w:id="20"/>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firstLine="640" w:firstLineChars="200"/>
        <w:contextualSpacing/>
        <w:jc w:val="left"/>
        <w:textAlignment w:val="auto"/>
        <w:rPr>
          <w:b w:val="0"/>
          <w:bCs w:val="0"/>
          <w:color w:val="auto"/>
          <w:sz w:val="32"/>
          <w:szCs w:val="32"/>
          <w:lang w:bidi="ar-SA"/>
        </w:rPr>
      </w:pPr>
      <w:r>
        <w:rPr>
          <w:rFonts w:eastAsia="仿宋_GB2312"/>
          <w:b w:val="0"/>
          <w:bCs w:val="0"/>
          <w:color w:val="auto"/>
          <w:kern w:val="0"/>
          <w:sz w:val="32"/>
          <w:szCs w:val="32"/>
          <w:shd w:val="clear" w:color="auto" w:fill="FFFFFF"/>
          <w:lang w:val="en-US" w:eastAsia="zh-CN" w:bidi="ar-SA"/>
        </w:rPr>
        <w:t>本单位为广元市人民政府派出机构，保留参公管理，正县级</w:t>
      </w:r>
      <w:r>
        <w:rPr>
          <w:rFonts w:eastAsia="仿宋_GB2312"/>
          <w:b w:val="0"/>
          <w:bCs w:val="0"/>
          <w:color w:val="auto"/>
          <w:sz w:val="32"/>
          <w:szCs w:val="30"/>
          <w:lang w:val="en-US" w:eastAsia="zh-CN"/>
        </w:rPr>
        <w:t>，下设7个内设机构，分别为：党群工作部、产业发展部、规划建设部、口岸物流部、投资促进部、财务部、协调服务部，</w:t>
      </w:r>
      <w:r>
        <w:rPr>
          <w:rFonts w:eastAsia="仿宋_GB2312"/>
          <w:b w:val="0"/>
          <w:bCs w:val="0"/>
          <w:color w:val="auto"/>
          <w:kern w:val="0"/>
          <w:sz w:val="32"/>
          <w:szCs w:val="32"/>
          <w:shd w:val="clear" w:color="auto" w:fill="FFFFFF"/>
          <w:lang w:val="en-US" w:eastAsia="zh-CN" w:bidi="ar-SA"/>
        </w:rPr>
        <w:t>无下属二级单位。</w:t>
      </w:r>
    </w:p>
    <w:p>
      <w:pPr>
        <w:pStyle w:val="2"/>
        <w:pageBreakBefore w:val="0"/>
        <w:kinsoku/>
        <w:wordWrap/>
        <w:overflowPunct/>
        <w:topLinePunct w:val="0"/>
        <w:autoSpaceDE/>
        <w:autoSpaceDN/>
        <w:bidi w:val="0"/>
        <w:adjustRightInd w:val="0"/>
        <w:snapToGrid w:val="0"/>
        <w:spacing w:before="0" w:beforeLines="0" w:line="576" w:lineRule="exact"/>
        <w:ind w:firstLine="672" w:firstLineChars="21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纳入</w:t>
      </w:r>
      <w:r>
        <w:rPr>
          <w:rFonts w:eastAsia="仿宋_GB2312"/>
          <w:sz w:val="32"/>
          <w:szCs w:val="32"/>
        </w:rPr>
        <w:t>广元国际铁路港管理委员会</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年度部门决算编制范围的二级预算单位</w:t>
      </w:r>
      <w:r>
        <w:rPr>
          <w:rFonts w:hint="eastAsia" w:hAnsi="仿宋_GB2312" w:cs="仿宋_GB2312"/>
          <w:color w:val="auto"/>
          <w:sz w:val="32"/>
          <w:szCs w:val="32"/>
          <w:highlight w:val="none"/>
          <w:lang w:val="en-US" w:eastAsia="zh-CN"/>
        </w:rPr>
        <w:t>0个</w:t>
      </w:r>
      <w:r>
        <w:rPr>
          <w:rFonts w:hint="eastAsia" w:hAnsi="仿宋_GB2312" w:cs="仿宋_GB2312"/>
          <w:color w:val="auto"/>
          <w:sz w:val="32"/>
          <w:szCs w:val="32"/>
          <w:highlight w:val="none"/>
          <w:lang w:eastAsia="zh-CN"/>
        </w:rPr>
        <w:t>。</w:t>
      </w:r>
    </w:p>
    <w:p>
      <w:pPr>
        <w:ind w:firstLine="800" w:firstLineChars="250"/>
        <w:rPr>
          <w:rFonts w:eastAsia="仿宋_GB2312"/>
          <w:sz w:val="32"/>
          <w:szCs w:val="32"/>
        </w:rPr>
      </w:pPr>
    </w:p>
    <w:p>
      <w:pPr>
        <w:widowControl/>
        <w:jc w:val="left"/>
        <w:rPr>
          <w:rFonts w:eastAsia="仿宋"/>
          <w:kern w:val="0"/>
          <w:sz w:val="32"/>
          <w:szCs w:val="32"/>
        </w:rPr>
      </w:pPr>
      <w:r>
        <w:rPr>
          <w:rFonts w:eastAsia="仿宋"/>
          <w:sz w:val="32"/>
          <w:szCs w:val="32"/>
        </w:rPr>
        <w:br w:type="page"/>
      </w:r>
    </w:p>
    <w:p>
      <w:pPr>
        <w:pStyle w:val="3"/>
        <w:jc w:val="center"/>
        <w:rPr>
          <w:rFonts w:eastAsia="方正小标宋简体"/>
          <w:b w:val="0"/>
        </w:rPr>
      </w:pPr>
      <w:bookmarkStart w:id="21" w:name="_Toc83065375"/>
      <w:bookmarkStart w:id="22" w:name="_Toc15377204"/>
      <w:bookmarkStart w:id="23" w:name="_Toc15396602"/>
      <w:r>
        <w:rPr>
          <w:rFonts w:eastAsia="方正小标宋简体"/>
          <w:b w:val="0"/>
        </w:rPr>
        <w:t>第二部分  2024年度部门决算情况说明</w:t>
      </w:r>
      <w:bookmarkEnd w:id="21"/>
      <w:bookmarkEnd w:id="22"/>
      <w:bookmarkEnd w:id="23"/>
    </w:p>
    <w:p/>
    <w:p>
      <w:pPr>
        <w:pStyle w:val="32"/>
        <w:spacing w:line="600" w:lineRule="exact"/>
        <w:outlineLvl w:val="1"/>
        <w:rPr>
          <w:rStyle w:val="24"/>
          <w:rFonts w:ascii="Times New Roman" w:hAnsi="Times New Roman" w:eastAsia="黑体"/>
          <w:b w:val="0"/>
        </w:rPr>
      </w:pPr>
      <w:bookmarkStart w:id="24" w:name="_Toc83065376"/>
      <w:bookmarkStart w:id="25" w:name="_Toc15396603"/>
      <w:bookmarkStart w:id="26" w:name="_Toc15377205"/>
      <w:r>
        <w:rPr>
          <w:rFonts w:eastAsia="黑体"/>
          <w:sz w:val="32"/>
          <w:szCs w:val="32"/>
        </w:rPr>
        <w:t>一、收</w:t>
      </w:r>
      <w:r>
        <w:rPr>
          <w:rStyle w:val="24"/>
          <w:rFonts w:ascii="Times New Roman" w:hAnsi="Times New Roman" w:eastAsia="黑体"/>
          <w:b w:val="0"/>
        </w:rPr>
        <w:t>入支出决算总体情况说明</w:t>
      </w:r>
      <w:bookmarkEnd w:id="24"/>
      <w:bookmarkEnd w:id="25"/>
      <w:bookmarkEnd w:id="26"/>
    </w:p>
    <w:p>
      <w:pPr>
        <w:pStyle w:val="32"/>
        <w:spacing w:line="600" w:lineRule="exact"/>
        <w:outlineLvl w:val="1"/>
        <w:rPr>
          <w:rFonts w:eastAsia="仿宋_GB2312"/>
          <w:sz w:val="32"/>
          <w:szCs w:val="32"/>
        </w:rPr>
      </w:pPr>
      <w:bookmarkStart w:id="27" w:name="_Toc83065071"/>
      <w:bookmarkStart w:id="28" w:name="_Toc83065377"/>
      <w:r>
        <w:rPr>
          <w:rFonts w:eastAsia="仿宋_GB2312"/>
          <w:sz w:val="32"/>
          <w:szCs w:val="32"/>
        </w:rPr>
        <w:t>2024年度收入、支出总计均为4212.91万元。与2023年度相比，收入、支出总计各增加2100.28万元，增长99.42%。主要变动原因是</w:t>
      </w:r>
      <w:r>
        <w:rPr>
          <w:rFonts w:eastAsia="仿宋_GB2312"/>
          <w:color w:val="auto"/>
          <w:sz w:val="32"/>
          <w:szCs w:val="32"/>
          <w:lang w:eastAsia="zh-CN"/>
        </w:rPr>
        <w:t>项目资金增加。</w:t>
      </w:r>
      <w:bookmarkEnd w:id="27"/>
      <w:bookmarkEnd w:id="28"/>
    </w:p>
    <w:p>
      <w:pPr>
        <w:pStyle w:val="32"/>
        <w:spacing w:line="600" w:lineRule="exact"/>
        <w:outlineLvl w:val="1"/>
        <w:rPr>
          <w:rFonts w:eastAsia="仿宋_GB2312"/>
          <w:sz w:val="32"/>
          <w:szCs w:val="32"/>
        </w:rPr>
      </w:pPr>
    </w:p>
    <w:p>
      <w:pPr>
        <w:pStyle w:val="32"/>
        <w:spacing w:line="600" w:lineRule="exact"/>
        <w:outlineLvl w:val="1"/>
        <w:rPr>
          <w:rFonts w:eastAsia="仿宋_GB2312"/>
          <w:sz w:val="32"/>
          <w:szCs w:val="32"/>
        </w:rPr>
      </w:pPr>
    </w:p>
    <w:p>
      <w:pPr>
        <w:pStyle w:val="32"/>
        <w:spacing w:line="600" w:lineRule="exact"/>
        <w:outlineLvl w:val="1"/>
        <w:rPr>
          <w:rFonts w:eastAsia="仿宋_GB2312"/>
          <w:sz w:val="32"/>
          <w:szCs w:val="32"/>
        </w:rPr>
      </w:pPr>
    </w:p>
    <w:p>
      <w:pPr>
        <w:pStyle w:val="32"/>
        <w:spacing w:line="600" w:lineRule="exact"/>
        <w:outlineLvl w:val="1"/>
        <w:rPr>
          <w:rFonts w:eastAsia="仿宋_GB2312"/>
          <w:sz w:val="32"/>
          <w:szCs w:val="32"/>
        </w:rPr>
      </w:pPr>
    </w:p>
    <w:p>
      <w:pPr>
        <w:pStyle w:val="32"/>
        <w:spacing w:line="600" w:lineRule="exact"/>
        <w:outlineLvl w:val="1"/>
        <w:rPr>
          <w:rFonts w:eastAsia="仿宋_GB2312"/>
          <w:sz w:val="32"/>
          <w:szCs w:val="32"/>
        </w:rPr>
      </w:pPr>
    </w:p>
    <w:p>
      <w:pPr>
        <w:pStyle w:val="32"/>
        <w:spacing w:line="600" w:lineRule="exact"/>
        <w:outlineLvl w:val="1"/>
        <w:rPr>
          <w:rFonts w:eastAsia="仿宋_GB2312"/>
          <w:sz w:val="32"/>
          <w:szCs w:val="32"/>
        </w:rPr>
      </w:pPr>
    </w:p>
    <w:p>
      <w:pPr>
        <w:pStyle w:val="32"/>
        <w:spacing w:line="600" w:lineRule="exact"/>
        <w:outlineLvl w:val="1"/>
        <w:rPr>
          <w:rFonts w:eastAsia="仿宋_GB2312"/>
          <w:sz w:val="32"/>
          <w:szCs w:val="32"/>
        </w:rPr>
      </w:pPr>
    </w:p>
    <w:p>
      <w:pPr>
        <w:pStyle w:val="32"/>
        <w:spacing w:line="600" w:lineRule="exact"/>
        <w:outlineLvl w:val="1"/>
        <w:rPr>
          <w:rFonts w:eastAsia="仿宋_GB2312"/>
          <w:sz w:val="32"/>
          <w:szCs w:val="32"/>
        </w:rPr>
      </w:pPr>
      <w:r>
        <w:rPr>
          <w:rFonts w:eastAsia="仿宋_GB2312"/>
          <w:sz w:val="32"/>
          <w:szCs w:val="32"/>
        </w:rPr>
        <w:drawing>
          <wp:anchor distT="0" distB="0" distL="85725" distR="85725" simplePos="0" relativeHeight="1024" behindDoc="0" locked="0" layoutInCell="1" allowOverlap="1">
            <wp:simplePos x="0" y="0"/>
            <wp:positionH relativeFrom="column">
              <wp:posOffset>406400</wp:posOffset>
            </wp:positionH>
            <wp:positionV relativeFrom="paragraph">
              <wp:posOffset>-2428875</wp:posOffset>
            </wp:positionV>
            <wp:extent cx="4572000" cy="2733675"/>
            <wp:effectExtent l="0" t="0" r="0" b="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ind w:firstLine="640" w:firstLineChars="200"/>
        <w:jc w:val="center"/>
        <w:rPr>
          <w:rFonts w:eastAsia="仿宋_GB2312"/>
          <w:sz w:val="32"/>
          <w:szCs w:val="32"/>
        </w:rPr>
      </w:pPr>
      <w:r>
        <w:rPr>
          <w:rFonts w:eastAsia="仿宋_GB2312"/>
          <w:sz w:val="32"/>
          <w:szCs w:val="32"/>
        </w:rPr>
        <w:t>（图1：收入、支出决算总计变动情况图）</w:t>
      </w:r>
    </w:p>
    <w:p>
      <w:pPr>
        <w:pStyle w:val="32"/>
        <w:spacing w:line="600" w:lineRule="exact"/>
        <w:outlineLvl w:val="1"/>
        <w:rPr>
          <w:rFonts w:eastAsia="黑体"/>
          <w:sz w:val="32"/>
          <w:szCs w:val="32"/>
        </w:rPr>
      </w:pPr>
      <w:bookmarkStart w:id="29" w:name="_Toc15396604"/>
      <w:bookmarkStart w:id="30" w:name="_Toc15377206"/>
      <w:bookmarkStart w:id="31" w:name="_Toc83065378"/>
      <w:r>
        <w:rPr>
          <w:rFonts w:eastAsia="黑体"/>
          <w:sz w:val="32"/>
          <w:szCs w:val="32"/>
        </w:rPr>
        <w:t>二、收入决算情况说明</w:t>
      </w:r>
      <w:bookmarkEnd w:id="29"/>
      <w:bookmarkEnd w:id="30"/>
      <w:bookmarkEnd w:id="31"/>
    </w:p>
    <w:p>
      <w:pPr>
        <w:pStyle w:val="32"/>
        <w:spacing w:line="600" w:lineRule="exact"/>
        <w:jc w:val="left"/>
        <w:outlineLvl w:val="1"/>
        <w:rPr>
          <w:rFonts w:eastAsia="仿宋_GB2312"/>
          <w:sz w:val="32"/>
          <w:szCs w:val="32"/>
        </w:rPr>
      </w:pPr>
      <w:bookmarkStart w:id="32" w:name="_Toc83065073"/>
      <w:bookmarkStart w:id="33" w:name="_Toc83065379"/>
      <w:r>
        <w:rPr>
          <w:rFonts w:eastAsia="仿宋_GB2312"/>
          <w:sz w:val="32"/>
          <w:szCs w:val="32"/>
        </w:rPr>
        <w:t>2024年度本年收入合计4212.91万元，其中：一般公共预算财政拨款收入4212.91万元，占100%。</w:t>
      </w:r>
      <w:bookmarkEnd w:id="32"/>
      <w:bookmarkEnd w:id="33"/>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p>
    <w:p>
      <w:pPr>
        <w:pStyle w:val="32"/>
        <w:spacing w:line="600" w:lineRule="exact"/>
        <w:jc w:val="left"/>
        <w:outlineLvl w:val="1"/>
        <w:rPr>
          <w:rFonts w:eastAsia="仿宋_GB2312"/>
          <w:b/>
          <w:bCs/>
          <w:sz w:val="32"/>
          <w:szCs w:val="32"/>
        </w:rPr>
      </w:pPr>
      <w:r>
        <w:rPr>
          <w:rFonts w:eastAsia="仿宋_GB2312"/>
          <w:b/>
          <w:bCs/>
          <w:sz w:val="32"/>
          <w:szCs w:val="32"/>
        </w:rPr>
        <w:drawing>
          <wp:anchor distT="0" distB="0" distL="85725" distR="85725" simplePos="0" relativeHeight="1024" behindDoc="0" locked="0" layoutInCell="1" allowOverlap="1">
            <wp:simplePos x="0" y="0"/>
            <wp:positionH relativeFrom="column">
              <wp:posOffset>406400</wp:posOffset>
            </wp:positionH>
            <wp:positionV relativeFrom="paragraph">
              <wp:posOffset>-2438400</wp:posOffset>
            </wp:positionV>
            <wp:extent cx="4572000" cy="2743200"/>
            <wp:effectExtent l="0" t="0" r="0" b="0"/>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800" w:firstLineChars="250"/>
        <w:jc w:val="center"/>
        <w:rPr>
          <w:rFonts w:eastAsia="仿宋_GB2312"/>
          <w:sz w:val="32"/>
          <w:szCs w:val="32"/>
        </w:rPr>
      </w:pPr>
      <w:r>
        <w:rPr>
          <w:rFonts w:eastAsia="仿宋_GB2312"/>
          <w:sz w:val="32"/>
          <w:szCs w:val="32"/>
        </w:rPr>
        <w:t>（图2：收入决算结构图）</w:t>
      </w:r>
    </w:p>
    <w:p>
      <w:pPr>
        <w:pStyle w:val="32"/>
        <w:spacing w:line="600" w:lineRule="exact"/>
        <w:outlineLvl w:val="1"/>
        <w:rPr>
          <w:rStyle w:val="24"/>
          <w:rFonts w:ascii="Times New Roman" w:hAnsi="Times New Roman" w:eastAsia="黑体"/>
          <w:b w:val="0"/>
        </w:rPr>
      </w:pPr>
      <w:bookmarkStart w:id="34" w:name="_Toc15377207"/>
      <w:bookmarkStart w:id="35" w:name="_Toc15396605"/>
      <w:bookmarkStart w:id="36" w:name="_Toc83065380"/>
      <w:r>
        <w:rPr>
          <w:rFonts w:eastAsia="黑体"/>
          <w:sz w:val="32"/>
          <w:szCs w:val="32"/>
        </w:rPr>
        <w:t>三、支</w:t>
      </w:r>
      <w:r>
        <w:rPr>
          <w:rStyle w:val="24"/>
          <w:rFonts w:ascii="Times New Roman" w:hAnsi="Times New Roman" w:eastAsia="黑体"/>
          <w:b w:val="0"/>
        </w:rPr>
        <w:t>出决算情况说明</w:t>
      </w:r>
      <w:bookmarkEnd w:id="34"/>
      <w:bookmarkEnd w:id="35"/>
      <w:bookmarkEnd w:id="36"/>
    </w:p>
    <w:p>
      <w:pPr>
        <w:pStyle w:val="32"/>
        <w:spacing w:line="600" w:lineRule="exact"/>
        <w:jc w:val="left"/>
        <w:outlineLvl w:val="1"/>
        <w:rPr>
          <w:rFonts w:eastAsia="仿宋_GB2312"/>
          <w:sz w:val="32"/>
          <w:szCs w:val="32"/>
        </w:rPr>
      </w:pPr>
      <w:bookmarkStart w:id="37" w:name="_Toc83065381"/>
      <w:bookmarkStart w:id="38" w:name="_Toc83065075"/>
      <w:r>
        <w:rPr>
          <w:rFonts w:eastAsia="仿宋_GB2312"/>
          <w:sz w:val="32"/>
          <w:szCs w:val="32"/>
        </w:rPr>
        <w:t>2024年度本年支出合计4212.91万元，其中：基本支出780.22万元，占18.51%；项目支出3432.69万元，占81.48%。</w:t>
      </w:r>
      <w:bookmarkEnd w:id="37"/>
      <w:bookmarkEnd w:id="38"/>
    </w:p>
    <w:p>
      <w:pPr>
        <w:pStyle w:val="32"/>
        <w:spacing w:line="600" w:lineRule="exact"/>
        <w:jc w:val="left"/>
        <w:outlineLvl w:val="1"/>
        <w:rPr>
          <w:rFonts w:eastAsia="仿宋_GB2312"/>
          <w:sz w:val="32"/>
          <w:szCs w:val="32"/>
        </w:rPr>
      </w:pPr>
      <w:r>
        <w:rPr>
          <w:rFonts w:eastAsia="仿宋_GB2312"/>
          <w:sz w:val="32"/>
          <w:szCs w:val="32"/>
        </w:rPr>
        <w:drawing>
          <wp:anchor distT="0" distB="0" distL="85725" distR="85725" simplePos="0" relativeHeight="1024" behindDoc="0" locked="0" layoutInCell="1" allowOverlap="1">
            <wp:simplePos x="0" y="0"/>
            <wp:positionH relativeFrom="column">
              <wp:posOffset>396875</wp:posOffset>
            </wp:positionH>
            <wp:positionV relativeFrom="paragraph">
              <wp:posOffset>228600</wp:posOffset>
            </wp:positionV>
            <wp:extent cx="4354830" cy="2327275"/>
            <wp:effectExtent l="6350" t="6350" r="20320" b="9525"/>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32"/>
        <w:spacing w:line="600" w:lineRule="exact"/>
        <w:jc w:val="left"/>
        <w:outlineLvl w:val="1"/>
        <w:rPr>
          <w:rFonts w:eastAsia="仿宋_GB2312"/>
          <w:sz w:val="32"/>
          <w:szCs w:val="32"/>
        </w:rPr>
      </w:pPr>
    </w:p>
    <w:p>
      <w:pPr>
        <w:pStyle w:val="32"/>
        <w:spacing w:line="600" w:lineRule="exact"/>
        <w:jc w:val="left"/>
        <w:outlineLvl w:val="1"/>
        <w:rPr>
          <w:rFonts w:eastAsia="仿宋_GB2312"/>
          <w:sz w:val="32"/>
          <w:szCs w:val="32"/>
        </w:rPr>
      </w:pPr>
    </w:p>
    <w:p>
      <w:pPr>
        <w:pStyle w:val="32"/>
        <w:spacing w:line="600" w:lineRule="exact"/>
        <w:jc w:val="left"/>
        <w:outlineLvl w:val="1"/>
        <w:rPr>
          <w:rFonts w:eastAsia="仿宋_GB2312"/>
          <w:sz w:val="32"/>
          <w:szCs w:val="32"/>
        </w:rPr>
      </w:pPr>
    </w:p>
    <w:p>
      <w:pPr>
        <w:pStyle w:val="32"/>
        <w:spacing w:line="600" w:lineRule="exact"/>
        <w:jc w:val="left"/>
        <w:outlineLvl w:val="1"/>
        <w:rPr>
          <w:rFonts w:eastAsia="仿宋_GB2312"/>
          <w:sz w:val="32"/>
          <w:szCs w:val="32"/>
        </w:rPr>
      </w:pPr>
    </w:p>
    <w:p>
      <w:pPr>
        <w:jc w:val="both"/>
        <w:rPr>
          <w:rFonts w:eastAsia="仿宋_GB2312"/>
          <w:sz w:val="32"/>
          <w:szCs w:val="32"/>
        </w:rPr>
      </w:pPr>
    </w:p>
    <w:p>
      <w:pPr>
        <w:jc w:val="both"/>
        <w:rPr>
          <w:rFonts w:eastAsia="仿宋_GB2312"/>
          <w:sz w:val="32"/>
          <w:szCs w:val="32"/>
        </w:rPr>
      </w:pPr>
    </w:p>
    <w:p>
      <w:pPr>
        <w:jc w:val="center"/>
        <w:rPr>
          <w:rFonts w:eastAsia="仿宋_GB2312"/>
          <w:sz w:val="32"/>
          <w:szCs w:val="32"/>
        </w:rPr>
      </w:pPr>
      <w:r>
        <w:rPr>
          <w:rFonts w:eastAsia="仿宋_GB2312"/>
          <w:sz w:val="32"/>
          <w:szCs w:val="32"/>
        </w:rPr>
        <w:t>（图3：支出决算结构图）</w:t>
      </w:r>
    </w:p>
    <w:p>
      <w:pPr>
        <w:spacing w:line="600" w:lineRule="exact"/>
        <w:ind w:firstLine="640" w:firstLineChars="200"/>
        <w:outlineLvl w:val="1"/>
        <w:rPr>
          <w:rStyle w:val="24"/>
          <w:rFonts w:ascii="Times New Roman" w:hAnsi="Times New Roman" w:eastAsia="黑体"/>
          <w:b w:val="0"/>
        </w:rPr>
      </w:pPr>
      <w:bookmarkStart w:id="39" w:name="_Toc15396606"/>
      <w:bookmarkStart w:id="40" w:name="_Toc15377208"/>
      <w:bookmarkStart w:id="41" w:name="_Toc83065382"/>
      <w:r>
        <w:rPr>
          <w:rFonts w:eastAsia="黑体"/>
          <w:sz w:val="32"/>
          <w:szCs w:val="32"/>
        </w:rPr>
        <w:t>四、财</w:t>
      </w:r>
      <w:r>
        <w:rPr>
          <w:rStyle w:val="24"/>
          <w:rFonts w:ascii="Times New Roman" w:hAnsi="Times New Roman" w:eastAsia="黑体"/>
          <w:b w:val="0"/>
        </w:rPr>
        <w:t>政拨款收入支出决算总体情况说明</w:t>
      </w:r>
      <w:bookmarkEnd w:id="39"/>
      <w:bookmarkEnd w:id="40"/>
      <w:bookmarkEnd w:id="41"/>
    </w:p>
    <w:p>
      <w:pPr>
        <w:spacing w:line="600" w:lineRule="exact"/>
        <w:ind w:firstLine="640"/>
        <w:rPr>
          <w:rFonts w:eastAsia="仿宋_GB2312"/>
          <w:color w:val="auto"/>
          <w:sz w:val="32"/>
          <w:szCs w:val="32"/>
          <w:lang w:eastAsia="zh-CN"/>
        </w:rPr>
      </w:pPr>
      <w:r>
        <w:rPr>
          <w:rFonts w:eastAsia="仿宋_GB2312"/>
          <w:sz w:val="32"/>
          <w:szCs w:val="32"/>
        </w:rPr>
        <w:t>2024年度财政拨款收入、支出总计均为4212.91万元。与2023年度相比，财政拨款收入总计、支出总计各增加2101.53万元，增长99.53%。主要变动原因是</w:t>
      </w:r>
      <w:r>
        <w:rPr>
          <w:rFonts w:eastAsia="仿宋_GB2312"/>
          <w:color w:val="auto"/>
          <w:sz w:val="32"/>
          <w:szCs w:val="32"/>
          <w:lang w:eastAsia="zh-CN"/>
        </w:rPr>
        <w:t>项目资金增加。</w:t>
      </w:r>
    </w:p>
    <w:p>
      <w:pPr>
        <w:pStyle w:val="15"/>
      </w:pPr>
    </w:p>
    <w:p>
      <w:pPr>
        <w:pStyle w:val="7"/>
        <w:rPr>
          <w:rFonts w:ascii="Times New Roman" w:hAnsi="Times New Roman"/>
        </w:rPr>
      </w:pPr>
      <w:r>
        <w:rPr>
          <w:rFonts w:ascii="Times New Roman" w:hAnsi="Times New Roman"/>
        </w:rPr>
        <w:drawing>
          <wp:inline distT="0" distB="0" distL="85725" distR="85725">
            <wp:extent cx="4572000" cy="274320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rPr>
          <w:rFonts w:eastAsia="仿宋_GB2312"/>
          <w:sz w:val="32"/>
          <w:szCs w:val="32"/>
        </w:rPr>
      </w:pPr>
      <w:r>
        <w:rPr>
          <w:rFonts w:eastAsia="仿宋_GB2312"/>
          <w:sz w:val="32"/>
          <w:szCs w:val="32"/>
        </w:rPr>
        <w:t>（图4：财政拨款收、支决算总计变动情况）</w:t>
      </w:r>
    </w:p>
    <w:p>
      <w:pPr>
        <w:spacing w:line="600" w:lineRule="exact"/>
        <w:ind w:firstLine="640" w:firstLineChars="200"/>
        <w:outlineLvl w:val="1"/>
        <w:rPr>
          <w:rStyle w:val="24"/>
          <w:rFonts w:ascii="Times New Roman" w:hAnsi="Times New Roman" w:eastAsia="黑体"/>
          <w:b w:val="0"/>
        </w:rPr>
      </w:pPr>
      <w:bookmarkStart w:id="42" w:name="_Toc15396607"/>
      <w:bookmarkStart w:id="43" w:name="_Toc15377209"/>
      <w:bookmarkStart w:id="44" w:name="_Toc83065383"/>
      <w:r>
        <w:rPr>
          <w:rFonts w:eastAsia="黑体"/>
          <w:sz w:val="32"/>
          <w:szCs w:val="32"/>
        </w:rPr>
        <w:t>五、</w:t>
      </w:r>
      <w:r>
        <w:rPr>
          <w:rFonts w:eastAsia="黑体"/>
          <w:b/>
          <w:sz w:val="32"/>
          <w:szCs w:val="32"/>
        </w:rPr>
        <w:t>一</w:t>
      </w:r>
      <w:r>
        <w:rPr>
          <w:rStyle w:val="24"/>
          <w:rFonts w:ascii="Times New Roman" w:hAnsi="Times New Roman" w:eastAsia="黑体"/>
          <w:b w:val="0"/>
        </w:rPr>
        <w:t>般公共预算财政拨款支出决算情况说明</w:t>
      </w:r>
      <w:bookmarkEnd w:id="42"/>
      <w:bookmarkEnd w:id="43"/>
      <w:bookmarkEnd w:id="44"/>
    </w:p>
    <w:p>
      <w:pPr>
        <w:spacing w:line="600" w:lineRule="exact"/>
        <w:ind w:firstLine="642" w:firstLineChars="200"/>
        <w:outlineLvl w:val="2"/>
        <w:rPr>
          <w:rFonts w:eastAsia="楷体_GB2312"/>
          <w:b/>
          <w:sz w:val="32"/>
          <w:szCs w:val="32"/>
        </w:rPr>
      </w:pPr>
      <w:bookmarkStart w:id="45" w:name="_Toc83065384"/>
      <w:bookmarkStart w:id="46" w:name="_Toc15377210"/>
      <w:r>
        <w:rPr>
          <w:rFonts w:eastAsia="楷体_GB2312"/>
          <w:b/>
          <w:sz w:val="32"/>
          <w:szCs w:val="32"/>
        </w:rPr>
        <w:t>（一）一般公共预算财政拨款支出决算总体情况</w:t>
      </w:r>
      <w:bookmarkEnd w:id="45"/>
      <w:bookmarkEnd w:id="46"/>
    </w:p>
    <w:p>
      <w:pPr>
        <w:spacing w:line="600" w:lineRule="exact"/>
        <w:ind w:firstLine="640"/>
        <w:rPr>
          <w:rFonts w:eastAsia="仿宋_GB2312"/>
          <w:sz w:val="32"/>
          <w:szCs w:val="32"/>
        </w:rPr>
      </w:pPr>
      <w:r>
        <w:rPr>
          <w:rFonts w:eastAsia="仿宋_GB2312"/>
          <w:sz w:val="32"/>
          <w:szCs w:val="32"/>
        </w:rPr>
        <w:t>2024年度一般公共预算财政拨款支出4212.91万元，占本年支出合计的100%。与2023年度相比，一般公共预算财政拨款支出增加2101.53万元，增长99.53%。主要变动原因是项目资金增加。</w:t>
      </w:r>
    </w:p>
    <w:p>
      <w:pPr>
        <w:pStyle w:val="15"/>
      </w:pPr>
    </w:p>
    <w:p>
      <w:pPr>
        <w:pStyle w:val="7"/>
        <w:rPr>
          <w:rFonts w:ascii="Times New Roman" w:hAnsi="Times New Roman"/>
        </w:rPr>
      </w:pPr>
    </w:p>
    <w:p>
      <w:pPr>
        <w:pStyle w:val="7"/>
        <w:rPr>
          <w:rFonts w:ascii="Times New Roman" w:hAnsi="Times New Roman"/>
        </w:rPr>
      </w:pPr>
    </w:p>
    <w:p>
      <w:pPr>
        <w:pStyle w:val="7"/>
        <w:rPr>
          <w:rFonts w:ascii="Times New Roman" w:hAnsi="Times New Roman"/>
        </w:rPr>
      </w:pPr>
      <w:r>
        <w:rPr>
          <w:rFonts w:ascii="Times New Roman" w:hAnsi="Times New Roman"/>
        </w:rPr>
        <w:drawing>
          <wp:inline distT="0" distB="0" distL="85725" distR="85725">
            <wp:extent cx="4306570" cy="2296160"/>
            <wp:effectExtent l="6350" t="6350" r="11430" b="2159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15"/>
      </w:pPr>
    </w:p>
    <w:p>
      <w:pPr>
        <w:spacing w:line="600" w:lineRule="exact"/>
        <w:ind w:firstLine="640"/>
        <w:rPr>
          <w:rFonts w:eastAsia="仿宋_GB2312"/>
          <w:sz w:val="32"/>
          <w:szCs w:val="32"/>
        </w:rPr>
      </w:pPr>
      <w:r>
        <w:rPr>
          <w:rFonts w:eastAsia="仿宋_GB2312"/>
          <w:sz w:val="32"/>
          <w:szCs w:val="32"/>
        </w:rPr>
        <w:t>（图5：一般公共预算财政拨款支出决算变动情况）</w:t>
      </w:r>
    </w:p>
    <w:p>
      <w:pPr>
        <w:spacing w:line="600" w:lineRule="exact"/>
        <w:ind w:firstLine="642" w:firstLineChars="200"/>
        <w:outlineLvl w:val="2"/>
        <w:rPr>
          <w:rFonts w:eastAsia="楷体_GB2312"/>
          <w:b/>
          <w:sz w:val="32"/>
          <w:szCs w:val="32"/>
        </w:rPr>
      </w:pPr>
      <w:bookmarkStart w:id="47" w:name="_Toc83065385"/>
      <w:bookmarkStart w:id="48" w:name="_Toc15377211"/>
      <w:r>
        <w:rPr>
          <w:rFonts w:eastAsia="楷体_GB2312"/>
          <w:b/>
          <w:sz w:val="32"/>
          <w:szCs w:val="32"/>
        </w:rPr>
        <w:t>（二）一般公共预算财政拨款支出决算结构情况</w:t>
      </w:r>
      <w:bookmarkEnd w:id="47"/>
      <w:bookmarkEnd w:id="48"/>
    </w:p>
    <w:p>
      <w:pPr>
        <w:spacing w:line="600" w:lineRule="exact"/>
        <w:ind w:firstLine="640"/>
        <w:rPr>
          <w:rFonts w:eastAsia="仿宋_GB2312"/>
          <w:sz w:val="32"/>
          <w:szCs w:val="32"/>
        </w:rPr>
      </w:pPr>
      <w:r>
        <w:rPr>
          <w:rFonts w:eastAsia="仿宋_GB2312"/>
          <w:sz w:val="32"/>
          <w:szCs w:val="32"/>
        </w:rPr>
        <w:t>2024年度一般公共预算财政拨款支出4212.91万元，主要用于以下方面：一般公共服务支出988.5万元，占23.46%；社会保障和就业支出103.42万元，占2.45%；卫生健康支出21.98万元，占0.52%；交通运输支出3044.02万元，占72.25%；住房保障支出55万元，占1.3%。</w:t>
      </w:r>
    </w:p>
    <w:p>
      <w:pPr>
        <w:pStyle w:val="15"/>
      </w:pPr>
    </w:p>
    <w:p>
      <w:pPr>
        <w:pStyle w:val="7"/>
        <w:rPr>
          <w:rFonts w:eastAsia="仿宋_GB2312"/>
          <w:sz w:val="32"/>
          <w:szCs w:val="32"/>
        </w:rPr>
      </w:pPr>
      <w:r>
        <w:rPr>
          <w:rFonts w:ascii="Times New Roman" w:hAnsi="Times New Roman"/>
        </w:rPr>
        <w:drawing>
          <wp:anchor distT="0" distB="0" distL="85725" distR="85725" simplePos="0" relativeHeight="2048" behindDoc="0" locked="0" layoutInCell="1" allowOverlap="1">
            <wp:simplePos x="0" y="0"/>
            <wp:positionH relativeFrom="column">
              <wp:posOffset>539750</wp:posOffset>
            </wp:positionH>
            <wp:positionV relativeFrom="paragraph">
              <wp:posOffset>79375</wp:posOffset>
            </wp:positionV>
            <wp:extent cx="4125595" cy="2153285"/>
            <wp:effectExtent l="6350" t="6350" r="20955" b="1206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Times New Roman" w:hAnsi="Times New Roman"/>
        </w:rPr>
        <w:t xml:space="preserve"> </w:t>
      </w:r>
      <w:r>
        <w:rPr>
          <w:rFonts w:eastAsia="仿宋_GB2312"/>
          <w:sz w:val="32"/>
          <w:szCs w:val="32"/>
        </w:rPr>
        <w:t>（图6：一般公共预算财政拨款支出决算结构）</w:t>
      </w:r>
    </w:p>
    <w:p>
      <w:pPr>
        <w:spacing w:line="600" w:lineRule="exact"/>
        <w:ind w:firstLine="642" w:firstLineChars="200"/>
        <w:outlineLvl w:val="2"/>
        <w:rPr>
          <w:rFonts w:eastAsia="楷体_GB2312"/>
          <w:b/>
          <w:sz w:val="32"/>
          <w:szCs w:val="32"/>
        </w:rPr>
      </w:pPr>
      <w:bookmarkStart w:id="49" w:name="_Toc83065386"/>
      <w:bookmarkStart w:id="50" w:name="_Toc15377212"/>
      <w:r>
        <w:rPr>
          <w:rFonts w:eastAsia="楷体_GB2312"/>
          <w:b/>
          <w:sz w:val="32"/>
          <w:szCs w:val="32"/>
        </w:rPr>
        <w:t>（三）一般公共预算财政拨款支出决算具体情况</w:t>
      </w:r>
      <w:bookmarkEnd w:id="49"/>
      <w:bookmarkEnd w:id="50"/>
    </w:p>
    <w:p>
      <w:pPr>
        <w:spacing w:line="600" w:lineRule="exact"/>
        <w:ind w:firstLine="640"/>
        <w:rPr>
          <w:rFonts w:eastAsia="仿宋_GB2312"/>
          <w:sz w:val="32"/>
          <w:szCs w:val="32"/>
        </w:rPr>
      </w:pPr>
      <w:bookmarkStart w:id="51" w:name="_Toc15377444"/>
      <w:bookmarkStart w:id="52" w:name="_Toc15378460"/>
      <w:bookmarkStart w:id="53" w:name="_Toc15377213"/>
      <w:r>
        <w:rPr>
          <w:rFonts w:eastAsia="仿宋_GB2312"/>
          <w:sz w:val="32"/>
          <w:szCs w:val="32"/>
        </w:rPr>
        <w:t>2024年度一般公共预算财政拨款支出决算数为4212.91，完成预算100%。其中：</w:t>
      </w:r>
      <w:bookmarkEnd w:id="51"/>
      <w:bookmarkEnd w:id="52"/>
      <w:bookmarkEnd w:id="53"/>
    </w:p>
    <w:p>
      <w:pPr>
        <w:spacing w:line="600" w:lineRule="exact"/>
        <w:ind w:firstLine="640"/>
      </w:pPr>
      <w:r>
        <w:rPr>
          <w:rFonts w:eastAsia="仿宋_GB2312"/>
          <w:sz w:val="32"/>
          <w:szCs w:val="32"/>
        </w:rPr>
        <w:t>1.一般公共服务（类）海关事务（款）海关监管（项）：支出决算为200万元，完成预算100%。</w:t>
      </w:r>
    </w:p>
    <w:p>
      <w:pPr>
        <w:spacing w:line="600" w:lineRule="exact"/>
        <w:ind w:firstLine="640"/>
        <w:rPr>
          <w:rFonts w:eastAsia="仿宋_GB2312"/>
          <w:sz w:val="32"/>
          <w:szCs w:val="32"/>
        </w:rPr>
      </w:pPr>
      <w:r>
        <w:rPr>
          <w:rFonts w:eastAsia="仿宋_GB2312"/>
          <w:sz w:val="32"/>
          <w:szCs w:val="32"/>
        </w:rPr>
        <w:t>2.一般公共服务（类）其他一般公共服务支出（款）其他一般公共服务支出（项）：支出决算为200万元，完成预算100%。</w:t>
      </w:r>
    </w:p>
    <w:p>
      <w:pPr>
        <w:spacing w:line="600" w:lineRule="exact"/>
        <w:ind w:firstLine="640"/>
        <w:rPr>
          <w:rFonts w:eastAsia="仿宋_GB2312"/>
          <w:sz w:val="32"/>
          <w:szCs w:val="32"/>
        </w:rPr>
      </w:pPr>
      <w:r>
        <w:rPr>
          <w:rFonts w:eastAsia="仿宋_GB2312"/>
          <w:sz w:val="32"/>
          <w:szCs w:val="32"/>
        </w:rPr>
        <w:t>3.社会保障和就业（类）人力资源和社会保障管理事务（款）引进人才费用（项）：支出决算为36.8万元，完成预算100%。</w:t>
      </w:r>
    </w:p>
    <w:p>
      <w:pPr>
        <w:spacing w:line="600" w:lineRule="exact"/>
        <w:ind w:firstLine="640"/>
        <w:rPr>
          <w:rFonts w:eastAsia="仿宋_GB2312"/>
          <w:sz w:val="32"/>
          <w:szCs w:val="32"/>
        </w:rPr>
      </w:pPr>
      <w:r>
        <w:rPr>
          <w:rFonts w:eastAsia="仿宋_GB2312"/>
          <w:sz w:val="32"/>
          <w:szCs w:val="32"/>
        </w:rPr>
        <w:t>4.社会保障和就业（类）行政事业单位养老支出（款）机关事业单位基本养老保险缴费支出（项）：支出决算为66.62万元，完成预算100%。</w:t>
      </w:r>
    </w:p>
    <w:p>
      <w:pPr>
        <w:spacing w:line="600" w:lineRule="exact"/>
        <w:ind w:firstLine="640"/>
        <w:rPr>
          <w:rFonts w:eastAsia="仿宋_GB2312"/>
          <w:sz w:val="32"/>
          <w:szCs w:val="32"/>
        </w:rPr>
      </w:pPr>
      <w:r>
        <w:rPr>
          <w:rFonts w:eastAsia="仿宋_GB2312"/>
          <w:sz w:val="32"/>
          <w:szCs w:val="32"/>
        </w:rPr>
        <w:t>5.卫生健康（类）行政事业单位医疗（款）行政单位医疗（项）：支出决算为21.98万元，完成预算100%。</w:t>
      </w:r>
    </w:p>
    <w:p>
      <w:pPr>
        <w:spacing w:line="600" w:lineRule="exact"/>
        <w:ind w:firstLine="640"/>
        <w:rPr>
          <w:rFonts w:eastAsia="仿宋_GB2312"/>
          <w:sz w:val="32"/>
          <w:szCs w:val="32"/>
        </w:rPr>
      </w:pPr>
      <w:r>
        <w:rPr>
          <w:rFonts w:eastAsia="仿宋_GB2312"/>
          <w:sz w:val="32"/>
          <w:szCs w:val="32"/>
        </w:rPr>
        <w:t>6.交通运输（类）公路水路运输（款）交通运输信息化建设（项）：支出决算为30万元，完成预算100%。</w:t>
      </w:r>
    </w:p>
    <w:p>
      <w:pPr>
        <w:spacing w:line="600" w:lineRule="exact"/>
        <w:ind w:firstLine="640"/>
        <w:rPr>
          <w:rFonts w:eastAsia="仿宋_GB2312"/>
          <w:sz w:val="32"/>
          <w:szCs w:val="32"/>
        </w:rPr>
      </w:pPr>
      <w:r>
        <w:rPr>
          <w:rFonts w:eastAsia="仿宋_GB2312"/>
          <w:sz w:val="32"/>
          <w:szCs w:val="32"/>
        </w:rPr>
        <w:t>7.交通运输（类）铁路运输（款）铁路专项运输（项）：支出决算为1410万元，完成预算100%。</w:t>
      </w:r>
    </w:p>
    <w:p>
      <w:pPr>
        <w:spacing w:line="600" w:lineRule="exact"/>
        <w:ind w:firstLine="640"/>
        <w:rPr>
          <w:rFonts w:eastAsia="仿宋_GB2312"/>
          <w:sz w:val="32"/>
          <w:szCs w:val="32"/>
        </w:rPr>
      </w:pPr>
      <w:r>
        <w:rPr>
          <w:rFonts w:eastAsia="仿宋_GB2312"/>
          <w:sz w:val="32"/>
          <w:szCs w:val="32"/>
        </w:rPr>
        <w:t>8.交通运输（类）铁路运输（款）其他铁路运输支出（项）：支出决算为1604.02万元，完成预算100%。</w:t>
      </w:r>
    </w:p>
    <w:p>
      <w:pPr>
        <w:spacing w:line="600" w:lineRule="exact"/>
        <w:ind w:firstLine="640"/>
        <w:rPr>
          <w:rFonts w:eastAsia="仿宋_GB2312"/>
          <w:sz w:val="32"/>
          <w:szCs w:val="32"/>
        </w:rPr>
      </w:pPr>
      <w:r>
        <w:rPr>
          <w:rFonts w:eastAsia="仿宋_GB2312"/>
          <w:sz w:val="32"/>
          <w:szCs w:val="32"/>
        </w:rPr>
        <w:t>9.住房保障（类）住房改革支出（款）住房公积金（项）：支出决算为55万元，完成预算100%。</w:t>
      </w:r>
    </w:p>
    <w:p>
      <w:pPr>
        <w:tabs>
          <w:tab w:val="right" w:pos="8306"/>
        </w:tabs>
        <w:spacing w:line="600" w:lineRule="exact"/>
        <w:ind w:firstLine="640"/>
        <w:outlineLvl w:val="1"/>
        <w:rPr>
          <w:rStyle w:val="24"/>
          <w:rFonts w:ascii="Times New Roman" w:hAnsi="Times New Roman"/>
        </w:rPr>
      </w:pPr>
      <w:bookmarkStart w:id="54" w:name="_Toc15377214"/>
      <w:bookmarkStart w:id="55" w:name="_Toc15396608"/>
      <w:bookmarkStart w:id="56" w:name="_Toc83065387"/>
      <w:r>
        <w:rPr>
          <w:rFonts w:eastAsia="黑体"/>
          <w:sz w:val="32"/>
          <w:szCs w:val="32"/>
        </w:rPr>
        <w:t>六</w:t>
      </w:r>
      <w:r>
        <w:rPr>
          <w:rFonts w:eastAsia="黑体"/>
          <w:b/>
          <w:sz w:val="32"/>
          <w:szCs w:val="32"/>
        </w:rPr>
        <w:t>、一</w:t>
      </w:r>
      <w:r>
        <w:rPr>
          <w:rStyle w:val="24"/>
          <w:rFonts w:ascii="Times New Roman" w:hAnsi="Times New Roman" w:eastAsia="黑体"/>
          <w:b w:val="0"/>
        </w:rPr>
        <w:t>般公共预算财政拨款基本支出决算情况说明</w:t>
      </w:r>
      <w:bookmarkEnd w:id="54"/>
      <w:bookmarkEnd w:id="55"/>
      <w:r>
        <w:rPr>
          <w:rStyle w:val="24"/>
          <w:rFonts w:ascii="Times New Roman" w:hAnsi="Times New Roman" w:eastAsia="黑体"/>
          <w:b w:val="0"/>
        </w:rPr>
        <w:tab/>
      </w:r>
      <w:bookmarkEnd w:id="56"/>
    </w:p>
    <w:p>
      <w:pPr>
        <w:spacing w:line="600" w:lineRule="exact"/>
        <w:ind w:firstLine="640"/>
        <w:rPr>
          <w:rFonts w:eastAsia="仿宋_GB2312"/>
          <w:sz w:val="32"/>
          <w:szCs w:val="32"/>
        </w:rPr>
      </w:pPr>
      <w:r>
        <w:rPr>
          <w:rFonts w:eastAsia="仿宋_GB2312"/>
          <w:sz w:val="32"/>
          <w:szCs w:val="32"/>
        </w:rPr>
        <w:t>2024年度一般公共预算财政拨款基本支出780.22万元，其中：</w:t>
      </w:r>
    </w:p>
    <w:p>
      <w:pPr>
        <w:spacing w:line="600" w:lineRule="exact"/>
        <w:ind w:firstLine="640"/>
        <w:rPr>
          <w:rFonts w:eastAsia="仿宋_GB2312"/>
          <w:sz w:val="32"/>
          <w:szCs w:val="32"/>
        </w:rPr>
      </w:pPr>
      <w:r>
        <w:rPr>
          <w:rFonts w:eastAsia="仿宋_GB2312"/>
          <w:sz w:val="32"/>
          <w:szCs w:val="32"/>
        </w:rPr>
        <w:t>人员经费676.02万元，主要包括：</w:t>
      </w:r>
      <w:r>
        <w:rPr>
          <w:rFonts w:eastAsia="仿宋_GB2312"/>
          <w:color w:val="auto"/>
          <w:sz w:val="32"/>
          <w:szCs w:val="32"/>
        </w:rPr>
        <w:t>基本工资、津贴补贴、奖金、绩效工资、机关事业单位基本养老保险缴费、职业年金缴费、职工基本医疗保险缴费</w:t>
      </w:r>
      <w:r>
        <w:rPr>
          <w:rFonts w:eastAsia="仿宋_GB2312"/>
          <w:color w:val="auto"/>
          <w:sz w:val="32"/>
          <w:szCs w:val="32"/>
          <w:lang w:eastAsia="zh-CN"/>
        </w:rPr>
        <w:t>、</w:t>
      </w:r>
      <w:r>
        <w:rPr>
          <w:rFonts w:eastAsia="仿宋_GB2312"/>
          <w:color w:val="auto"/>
          <w:sz w:val="32"/>
          <w:szCs w:val="32"/>
        </w:rPr>
        <w:t>住房公积金</w:t>
      </w:r>
      <w:r>
        <w:rPr>
          <w:rFonts w:eastAsia="仿宋_GB2312"/>
          <w:color w:val="auto"/>
          <w:sz w:val="32"/>
          <w:szCs w:val="32"/>
          <w:lang w:eastAsia="zh-CN"/>
        </w:rPr>
        <w:t>、</w:t>
      </w:r>
      <w:r>
        <w:rPr>
          <w:rFonts w:eastAsia="仿宋_GB2312"/>
          <w:color w:val="auto"/>
          <w:sz w:val="32"/>
          <w:szCs w:val="32"/>
        </w:rPr>
        <w:t>生活补助</w:t>
      </w:r>
      <w:r>
        <w:rPr>
          <w:rFonts w:hint="eastAsia" w:eastAsia="仿宋_GB2312"/>
          <w:color w:val="auto"/>
          <w:sz w:val="32"/>
          <w:szCs w:val="32"/>
          <w:lang w:eastAsia="zh-CN"/>
        </w:rPr>
        <w:t>、奖励金</w:t>
      </w:r>
      <w:r>
        <w:rPr>
          <w:rFonts w:eastAsia="仿宋_GB2312"/>
          <w:sz w:val="32"/>
          <w:szCs w:val="32"/>
        </w:rPr>
        <w:t>。</w:t>
      </w:r>
      <w:r>
        <w:rPr>
          <w:rFonts w:eastAsia="仿宋_GB2312"/>
          <w:sz w:val="32"/>
          <w:szCs w:val="32"/>
        </w:rPr>
        <w:br w:type="textWrapping"/>
      </w:r>
      <w:r>
        <w:rPr>
          <w:rFonts w:eastAsia="仿宋_GB2312"/>
          <w:sz w:val="32"/>
          <w:szCs w:val="32"/>
        </w:rPr>
        <w:t>　　公用经费104.2万元，主要包括：</w:t>
      </w:r>
      <w:r>
        <w:rPr>
          <w:rFonts w:eastAsia="仿宋_GB2312"/>
          <w:color w:val="auto"/>
          <w:sz w:val="32"/>
          <w:szCs w:val="32"/>
        </w:rPr>
        <w:t>办公费、印刷费、</w:t>
      </w:r>
      <w:r>
        <w:rPr>
          <w:rFonts w:hint="eastAsia" w:eastAsia="仿宋_GB2312"/>
          <w:color w:val="auto"/>
          <w:sz w:val="32"/>
          <w:szCs w:val="32"/>
          <w:lang w:eastAsia="zh-CN"/>
        </w:rPr>
        <w:t>物业管理费、</w:t>
      </w:r>
      <w:r>
        <w:rPr>
          <w:rFonts w:eastAsia="仿宋_GB2312"/>
          <w:color w:val="auto"/>
          <w:sz w:val="32"/>
          <w:szCs w:val="32"/>
        </w:rPr>
        <w:t>差旅费、会议费、培训费、公务接待费、劳务费、委托业务费、工会经费、福利费、其他交通费</w:t>
      </w:r>
      <w:r>
        <w:rPr>
          <w:rFonts w:eastAsia="仿宋_GB2312"/>
          <w:color w:val="auto"/>
          <w:sz w:val="32"/>
          <w:szCs w:val="32"/>
          <w:lang w:val="en-US" w:eastAsia="zh-CN"/>
        </w:rPr>
        <w:t>用</w:t>
      </w:r>
      <w:r>
        <w:rPr>
          <w:rFonts w:eastAsia="仿宋_GB2312"/>
          <w:color w:val="auto"/>
          <w:sz w:val="32"/>
          <w:szCs w:val="32"/>
        </w:rPr>
        <w:t>、其他商品和服务支出</w:t>
      </w:r>
      <w:r>
        <w:rPr>
          <w:rFonts w:eastAsia="仿宋_GB2312"/>
          <w:sz w:val="32"/>
          <w:szCs w:val="32"/>
        </w:rPr>
        <w:t>。</w:t>
      </w:r>
    </w:p>
    <w:p>
      <w:pPr>
        <w:spacing w:line="600" w:lineRule="exact"/>
        <w:ind w:firstLine="640"/>
        <w:outlineLvl w:val="1"/>
        <w:rPr>
          <w:rStyle w:val="24"/>
          <w:rFonts w:ascii="Times New Roman" w:hAnsi="Times New Roman" w:eastAsia="黑体"/>
          <w:b w:val="0"/>
        </w:rPr>
      </w:pPr>
      <w:bookmarkStart w:id="57" w:name="_Toc83065388"/>
      <w:bookmarkStart w:id="58" w:name="_Toc15396609"/>
      <w:bookmarkStart w:id="59" w:name="_Toc15377215"/>
      <w:r>
        <w:rPr>
          <w:rFonts w:eastAsia="黑体"/>
          <w:sz w:val="32"/>
          <w:szCs w:val="32"/>
        </w:rPr>
        <w:t>七、</w:t>
      </w:r>
      <w:r>
        <w:rPr>
          <w:rStyle w:val="24"/>
          <w:rFonts w:ascii="Times New Roman" w:hAnsi="Times New Roman" w:eastAsia="黑体"/>
          <w:b w:val="0"/>
        </w:rPr>
        <w:t>财政拨款</w:t>
      </w:r>
      <w:r>
        <w:rPr>
          <w:rStyle w:val="24"/>
          <w:rFonts w:ascii="Times New Roman" w:hAnsi="Times New Roman" w:eastAsia="黑体"/>
        </w:rPr>
        <w:t>“</w:t>
      </w:r>
      <w:r>
        <w:rPr>
          <w:rStyle w:val="24"/>
          <w:rFonts w:ascii="Times New Roman" w:hAnsi="Times New Roman" w:eastAsia="黑体"/>
          <w:b w:val="0"/>
        </w:rPr>
        <w:t>三公”经费支出决算情况说明</w:t>
      </w:r>
      <w:bookmarkEnd w:id="57"/>
      <w:bookmarkEnd w:id="58"/>
      <w:bookmarkEnd w:id="59"/>
    </w:p>
    <w:p>
      <w:pPr>
        <w:spacing w:line="600" w:lineRule="exact"/>
        <w:ind w:firstLine="642" w:firstLineChars="200"/>
        <w:outlineLvl w:val="2"/>
        <w:rPr>
          <w:rFonts w:eastAsia="楷体_GB2312"/>
          <w:b/>
          <w:sz w:val="32"/>
          <w:szCs w:val="32"/>
        </w:rPr>
      </w:pPr>
      <w:bookmarkStart w:id="60" w:name="_Toc83065389"/>
      <w:bookmarkStart w:id="61" w:name="_Toc15377216"/>
      <w:r>
        <w:rPr>
          <w:rFonts w:eastAsia="楷体_GB2312"/>
          <w:b/>
          <w:sz w:val="32"/>
          <w:szCs w:val="32"/>
        </w:rPr>
        <w:t>（一）“三公”经费财政拨款支出决算总体情况说明</w:t>
      </w:r>
      <w:bookmarkEnd w:id="60"/>
      <w:bookmarkEnd w:id="61"/>
    </w:p>
    <w:p>
      <w:pPr>
        <w:spacing w:line="600" w:lineRule="exact"/>
        <w:ind w:firstLine="640"/>
        <w:rPr>
          <w:rFonts w:eastAsia="仿宋_GB2312"/>
          <w:sz w:val="32"/>
          <w:szCs w:val="32"/>
        </w:rPr>
      </w:pPr>
      <w:r>
        <w:rPr>
          <w:rFonts w:eastAsia="仿宋_GB2312"/>
          <w:sz w:val="32"/>
          <w:szCs w:val="32"/>
        </w:rPr>
        <w:t>2024年度“三公”经费财政拨款支出决算为4.8万元，完成预算100%，较上年度增加0万元，增长0%。决算数与预算数持平。</w:t>
      </w:r>
    </w:p>
    <w:p>
      <w:pPr>
        <w:spacing w:line="600" w:lineRule="exact"/>
        <w:ind w:firstLine="642" w:firstLineChars="200"/>
        <w:outlineLvl w:val="2"/>
        <w:rPr>
          <w:rFonts w:eastAsia="楷体_GB2312"/>
          <w:b/>
          <w:sz w:val="32"/>
          <w:szCs w:val="32"/>
        </w:rPr>
      </w:pPr>
      <w:bookmarkStart w:id="62" w:name="_Toc15377217"/>
      <w:bookmarkStart w:id="63" w:name="_Toc83065390"/>
      <w:r>
        <w:rPr>
          <w:rFonts w:eastAsia="楷体_GB2312"/>
          <w:b/>
          <w:sz w:val="32"/>
          <w:szCs w:val="32"/>
        </w:rPr>
        <w:t>（二）“三公”经费财政拨款支出决算具体情况说明</w:t>
      </w:r>
      <w:bookmarkEnd w:id="62"/>
      <w:bookmarkEnd w:id="63"/>
    </w:p>
    <w:p>
      <w:pPr>
        <w:spacing w:line="600" w:lineRule="exact"/>
        <w:ind w:firstLine="640"/>
        <w:rPr>
          <w:rFonts w:eastAsia="仿宋_GB2312"/>
          <w:sz w:val="32"/>
          <w:szCs w:val="32"/>
        </w:rPr>
      </w:pPr>
      <w:r>
        <w:rPr>
          <w:rFonts w:eastAsia="仿宋_GB2312"/>
          <w:sz w:val="32"/>
          <w:szCs w:val="32"/>
        </w:rPr>
        <w:t>2024年度“三公”经费财政拨款支出决算中，因公出国（境）费支出决算0万元，占0%；公务用车购置及运行维护费支出决算0万元，占0%；公务接待费支出决算4.8万元，占100%。具体情况如下：</w:t>
      </w:r>
    </w:p>
    <w:p>
      <w:pPr>
        <w:pStyle w:val="15"/>
      </w:pPr>
    </w:p>
    <w:p>
      <w:pPr>
        <w:pStyle w:val="7"/>
        <w:rPr>
          <w:rFonts w:ascii="Times New Roman" w:hAnsi="Times New Roman"/>
        </w:rPr>
      </w:pPr>
      <w:r>
        <w:rPr>
          <w:rFonts w:ascii="Times New Roman" w:hAnsi="Times New Roman"/>
        </w:rPr>
        <w:drawing>
          <wp:inline distT="0" distB="0" distL="85725" distR="85725">
            <wp:extent cx="4572000" cy="274320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15"/>
      </w:pPr>
    </w:p>
    <w:p>
      <w:pPr>
        <w:spacing w:line="600" w:lineRule="exact"/>
        <w:ind w:firstLine="640"/>
        <w:jc w:val="center"/>
        <w:rPr>
          <w:rFonts w:eastAsia="仿宋_GB2312"/>
          <w:sz w:val="32"/>
          <w:szCs w:val="32"/>
        </w:rPr>
      </w:pPr>
      <w:r>
        <w:rPr>
          <w:rFonts w:eastAsia="仿宋_GB2312"/>
          <w:sz w:val="32"/>
          <w:szCs w:val="32"/>
        </w:rPr>
        <w:t>（图7：“三公”经费财政拨款支出结构）</w:t>
      </w:r>
    </w:p>
    <w:p>
      <w:pPr>
        <w:spacing w:line="600" w:lineRule="exact"/>
        <w:ind w:firstLine="640"/>
        <w:rPr>
          <w:rFonts w:eastAsia="仿宋_GB2312"/>
          <w:sz w:val="32"/>
          <w:szCs w:val="32"/>
        </w:rPr>
      </w:pPr>
      <w:r>
        <w:rPr>
          <w:rFonts w:eastAsia="仿宋_GB2312"/>
          <w:b/>
          <w:bCs/>
          <w:sz w:val="32"/>
          <w:szCs w:val="32"/>
        </w:rPr>
        <w:t>1.因公出国（境）经费支出0万元，</w:t>
      </w:r>
      <w:r>
        <w:rPr>
          <w:rFonts w:eastAsia="仿宋_GB2312"/>
          <w:color w:val="auto"/>
          <w:sz w:val="32"/>
          <w:szCs w:val="32"/>
          <w:lang w:val="en-US" w:eastAsia="zh-CN"/>
        </w:rPr>
        <w:t>年初未安排预算</w:t>
      </w:r>
      <w:r>
        <w:rPr>
          <w:rFonts w:eastAsia="仿宋_GB2312"/>
          <w:b/>
          <w:bCs/>
          <w:sz w:val="32"/>
          <w:szCs w:val="32"/>
        </w:rPr>
        <w:t>。</w:t>
      </w:r>
      <w:r>
        <w:rPr>
          <w:rFonts w:eastAsia="仿宋_GB2312"/>
          <w:sz w:val="32"/>
          <w:szCs w:val="32"/>
        </w:rPr>
        <w:t>全年安排因公出国（境）团组0次，出国（境）0人。</w:t>
      </w:r>
      <w:r>
        <w:rPr>
          <w:rFonts w:eastAsia="仿宋_GB2312"/>
          <w:color w:val="auto"/>
          <w:sz w:val="32"/>
          <w:szCs w:val="32"/>
          <w:lang w:val="en-US" w:eastAsia="zh-CN"/>
        </w:rPr>
        <w:t>因公出国</w:t>
      </w:r>
      <w:r>
        <w:rPr>
          <w:rFonts w:eastAsia="仿宋_GB2312"/>
          <w:color w:val="auto"/>
          <w:sz w:val="32"/>
          <w:szCs w:val="32"/>
        </w:rPr>
        <w:t>（境）</w:t>
      </w:r>
      <w:r>
        <w:rPr>
          <w:rFonts w:eastAsia="仿宋_GB2312"/>
          <w:color w:val="auto"/>
          <w:sz w:val="32"/>
          <w:szCs w:val="32"/>
          <w:lang w:val="en-US" w:eastAsia="zh-CN"/>
        </w:rPr>
        <w:t>支出决算较2023年无变化</w:t>
      </w:r>
      <w:r>
        <w:rPr>
          <w:rFonts w:eastAsia="仿宋_GB2312"/>
          <w:color w:val="auto"/>
          <w:sz w:val="32"/>
          <w:szCs w:val="32"/>
        </w:rPr>
        <w:t>。</w:t>
      </w:r>
    </w:p>
    <w:p>
      <w:pPr>
        <w:spacing w:line="600" w:lineRule="exact"/>
        <w:ind w:firstLine="640"/>
        <w:rPr>
          <w:rFonts w:eastAsia="仿宋_GB2312"/>
          <w:color w:val="auto"/>
          <w:sz w:val="32"/>
          <w:szCs w:val="32"/>
        </w:rPr>
      </w:pPr>
      <w:r>
        <w:rPr>
          <w:rFonts w:eastAsia="仿宋_GB2312"/>
          <w:b/>
          <w:bCs/>
          <w:sz w:val="32"/>
          <w:szCs w:val="32"/>
        </w:rPr>
        <w:t>2.公务用车购置及运行维护费支出0万元，</w:t>
      </w:r>
      <w:r>
        <w:rPr>
          <w:rFonts w:eastAsia="仿宋_GB2312"/>
          <w:color w:val="auto"/>
          <w:sz w:val="32"/>
          <w:szCs w:val="32"/>
          <w:lang w:val="en-US" w:eastAsia="zh-CN"/>
        </w:rPr>
        <w:t>年初未安排预算</w:t>
      </w:r>
      <w:r>
        <w:rPr>
          <w:rFonts w:eastAsia="仿宋_GB2312"/>
          <w:b/>
          <w:bCs/>
          <w:sz w:val="32"/>
          <w:szCs w:val="32"/>
        </w:rPr>
        <w:t>。</w:t>
      </w:r>
      <w:r>
        <w:rPr>
          <w:rFonts w:eastAsia="仿宋_GB2312"/>
          <w:color w:val="auto"/>
          <w:sz w:val="32"/>
          <w:szCs w:val="32"/>
        </w:rPr>
        <w:t>公务用车购置及运行维护费支出决算</w:t>
      </w:r>
      <w:r>
        <w:rPr>
          <w:rFonts w:eastAsia="仿宋_GB2312"/>
          <w:color w:val="auto"/>
          <w:sz w:val="32"/>
          <w:szCs w:val="32"/>
          <w:lang w:val="en-US" w:eastAsia="zh-CN"/>
        </w:rPr>
        <w:t>较2023年无变化</w:t>
      </w:r>
      <w:r>
        <w:rPr>
          <w:rFonts w:eastAsia="仿宋_GB2312"/>
          <w:color w:val="auto"/>
          <w:sz w:val="32"/>
          <w:szCs w:val="32"/>
        </w:rPr>
        <w:t>。</w:t>
      </w:r>
    </w:p>
    <w:p>
      <w:pPr>
        <w:spacing w:line="600" w:lineRule="exact"/>
        <w:ind w:firstLine="640"/>
        <w:rPr>
          <w:rFonts w:eastAsia="仿宋_GB2312"/>
          <w:sz w:val="32"/>
          <w:szCs w:val="32"/>
        </w:rPr>
      </w:pPr>
      <w:r>
        <w:rPr>
          <w:rFonts w:eastAsia="仿宋_GB2312"/>
          <w:color w:val="auto"/>
          <w:sz w:val="32"/>
          <w:szCs w:val="32"/>
        </w:rPr>
        <w:t>其中：公务用车购置支出</w:t>
      </w:r>
      <w:r>
        <w:rPr>
          <w:rFonts w:eastAsia="仿宋_GB2312"/>
          <w:color w:val="auto"/>
          <w:sz w:val="32"/>
          <w:szCs w:val="32"/>
          <w:lang w:val="en-US" w:eastAsia="zh-CN"/>
        </w:rPr>
        <w:t>0</w:t>
      </w:r>
      <w:r>
        <w:rPr>
          <w:rFonts w:eastAsia="仿宋_GB2312"/>
          <w:color w:val="auto"/>
          <w:sz w:val="32"/>
          <w:szCs w:val="32"/>
        </w:rPr>
        <w:t>万元。</w:t>
      </w:r>
      <w:r>
        <w:rPr>
          <w:rFonts w:eastAsia="仿宋_GB2312"/>
          <w:color w:val="auto"/>
          <w:sz w:val="32"/>
          <w:szCs w:val="32"/>
          <w:lang w:eastAsia="zh-CN"/>
        </w:rPr>
        <w:t>全年</w:t>
      </w:r>
      <w:r>
        <w:rPr>
          <w:rFonts w:eastAsia="仿宋_GB2312"/>
          <w:color w:val="auto"/>
          <w:sz w:val="32"/>
          <w:szCs w:val="32"/>
          <w:lang w:val="en-US" w:eastAsia="zh-CN"/>
        </w:rPr>
        <w:t>未购置公务用车。</w:t>
      </w:r>
      <w:r>
        <w:rPr>
          <w:rFonts w:eastAsia="仿宋_GB2312"/>
          <w:color w:val="auto"/>
          <w:sz w:val="32"/>
          <w:szCs w:val="32"/>
        </w:rPr>
        <w:t>截至</w:t>
      </w:r>
      <w:r>
        <w:rPr>
          <w:rFonts w:eastAsia="仿宋_GB2312"/>
          <w:color w:val="auto"/>
          <w:sz w:val="32"/>
          <w:szCs w:val="32"/>
          <w:lang w:eastAsia="zh-CN"/>
        </w:rPr>
        <w:t>2024</w:t>
      </w:r>
      <w:r>
        <w:rPr>
          <w:rFonts w:eastAsia="仿宋_GB2312"/>
          <w:color w:val="auto"/>
          <w:sz w:val="32"/>
          <w:szCs w:val="32"/>
        </w:rPr>
        <w:t>年12月</w:t>
      </w:r>
      <w:r>
        <w:rPr>
          <w:rFonts w:eastAsia="仿宋_GB2312"/>
          <w:color w:val="auto"/>
          <w:sz w:val="32"/>
          <w:szCs w:val="32"/>
          <w:lang w:val="en-US" w:eastAsia="zh-CN"/>
        </w:rPr>
        <w:t>31日</w:t>
      </w:r>
      <w:r>
        <w:rPr>
          <w:rFonts w:eastAsia="仿宋_GB2312"/>
          <w:color w:val="auto"/>
          <w:sz w:val="32"/>
          <w:szCs w:val="32"/>
        </w:rPr>
        <w:t>，单位共有公务用车</w:t>
      </w:r>
      <w:r>
        <w:rPr>
          <w:rFonts w:eastAsia="仿宋_GB2312"/>
          <w:color w:val="auto"/>
          <w:sz w:val="32"/>
          <w:szCs w:val="32"/>
          <w:lang w:val="en-US" w:eastAsia="zh-CN"/>
        </w:rPr>
        <w:t>0</w:t>
      </w:r>
      <w:r>
        <w:rPr>
          <w:rFonts w:eastAsia="仿宋_GB2312"/>
          <w:color w:val="auto"/>
          <w:sz w:val="32"/>
          <w:szCs w:val="32"/>
        </w:rPr>
        <w:t>辆。</w:t>
      </w:r>
    </w:p>
    <w:p>
      <w:pPr>
        <w:spacing w:line="600" w:lineRule="exact"/>
        <w:ind w:firstLine="640"/>
        <w:rPr>
          <w:rFonts w:eastAsia="仿宋_GB2312"/>
          <w:sz w:val="32"/>
          <w:szCs w:val="32"/>
        </w:rPr>
      </w:pPr>
      <w:r>
        <w:rPr>
          <w:rFonts w:eastAsia="仿宋_GB2312"/>
          <w:sz w:val="32"/>
          <w:szCs w:val="32"/>
        </w:rPr>
        <w:t>公务用车运行维护费支出0万元</w:t>
      </w:r>
    </w:p>
    <w:p>
      <w:pPr>
        <w:numPr>
          <w:ilvl w:val="0"/>
          <w:numId w:val="0"/>
        </w:numPr>
        <w:spacing w:line="600" w:lineRule="exact"/>
        <w:ind w:firstLine="642" w:firstLineChars="200"/>
        <w:rPr>
          <w:rFonts w:hint="eastAsia" w:eastAsia="仿宋_GB2312"/>
          <w:sz w:val="32"/>
          <w:szCs w:val="32"/>
          <w:lang w:eastAsia="zh-CN"/>
        </w:rPr>
      </w:pPr>
      <w:r>
        <w:rPr>
          <w:rFonts w:hint="eastAsia" w:eastAsia="仿宋_GB2312"/>
          <w:b/>
          <w:bCs/>
          <w:sz w:val="32"/>
          <w:szCs w:val="32"/>
          <w:lang w:val="en-US" w:eastAsia="zh-CN"/>
        </w:rPr>
        <w:t>3.</w:t>
      </w:r>
      <w:r>
        <w:rPr>
          <w:rFonts w:eastAsia="仿宋_GB2312"/>
          <w:b/>
          <w:bCs/>
          <w:sz w:val="32"/>
          <w:szCs w:val="32"/>
        </w:rPr>
        <w:t>公务接待费支出4.8万元，完成预算100%。</w:t>
      </w:r>
      <w:r>
        <w:rPr>
          <w:rFonts w:eastAsia="仿宋_GB2312"/>
          <w:sz w:val="32"/>
          <w:szCs w:val="32"/>
        </w:rPr>
        <w:t>公务接待费支出决算</w:t>
      </w:r>
      <w:r>
        <w:rPr>
          <w:rFonts w:hint="eastAsia" w:eastAsia="仿宋_GB2312"/>
          <w:sz w:val="32"/>
          <w:szCs w:val="32"/>
          <w:lang w:eastAsia="zh-CN"/>
        </w:rPr>
        <w:t>较</w:t>
      </w:r>
      <w:r>
        <w:rPr>
          <w:rFonts w:eastAsia="仿宋_GB2312"/>
          <w:sz w:val="32"/>
          <w:szCs w:val="32"/>
        </w:rPr>
        <w:t>2023年度</w:t>
      </w:r>
      <w:r>
        <w:rPr>
          <w:rFonts w:hint="eastAsia" w:eastAsia="仿宋_GB2312"/>
          <w:sz w:val="32"/>
          <w:szCs w:val="32"/>
          <w:lang w:eastAsia="zh-CN"/>
        </w:rPr>
        <w:t>无变化。</w:t>
      </w:r>
    </w:p>
    <w:p>
      <w:pPr>
        <w:numPr>
          <w:ilvl w:val="0"/>
          <w:numId w:val="0"/>
        </w:numPr>
        <w:spacing w:line="600" w:lineRule="exact"/>
        <w:ind w:firstLine="640" w:firstLineChars="200"/>
        <w:rPr>
          <w:rFonts w:eastAsia="仿宋_GB2312"/>
          <w:sz w:val="32"/>
          <w:szCs w:val="32"/>
        </w:rPr>
      </w:pPr>
      <w:r>
        <w:rPr>
          <w:rFonts w:eastAsia="仿宋_GB2312"/>
          <w:sz w:val="32"/>
          <w:szCs w:val="32"/>
        </w:rPr>
        <w:t>国内公务接待支出4.8万元，主要用于</w:t>
      </w:r>
      <w:r>
        <w:rPr>
          <w:rFonts w:eastAsia="仿宋_GB2312"/>
          <w:bCs/>
          <w:color w:val="auto"/>
          <w:sz w:val="32"/>
          <w:szCs w:val="32"/>
        </w:rPr>
        <w:t>港区内</w:t>
      </w:r>
      <w:r>
        <w:rPr>
          <w:rFonts w:eastAsia="仿宋_GB2312"/>
          <w:bCs/>
          <w:color w:val="auto"/>
          <w:sz w:val="32"/>
          <w:szCs w:val="32"/>
          <w:lang w:eastAsia="zh-CN"/>
        </w:rPr>
        <w:t>接待</w:t>
      </w:r>
      <w:r>
        <w:rPr>
          <w:rFonts w:eastAsia="仿宋_GB2312"/>
          <w:bCs/>
          <w:color w:val="auto"/>
          <w:sz w:val="32"/>
          <w:szCs w:val="32"/>
        </w:rPr>
        <w:t>项目考察、开展业务活动开支的交通费、用餐费等</w:t>
      </w:r>
      <w:r>
        <w:rPr>
          <w:rFonts w:eastAsia="仿宋_GB2312"/>
          <w:sz w:val="32"/>
          <w:szCs w:val="32"/>
        </w:rPr>
        <w:t>。国内公务接待38批次，320人次（不包括陪同人员），共计支出4.8万元，具体内容包括：圆通速递来广接待餐费1636元、中铁快运来广接待餐费1606元、四川能投来广接待餐费683元、中交一公院来广接待餐费1442元、港投新通道来广接待费1128元等共计4.8万元。</w:t>
      </w:r>
    </w:p>
    <w:p>
      <w:pPr>
        <w:spacing w:line="600" w:lineRule="exact"/>
        <w:ind w:firstLine="640"/>
        <w:rPr>
          <w:rFonts w:eastAsia="仿宋_GB2312"/>
          <w:sz w:val="32"/>
          <w:szCs w:val="32"/>
        </w:rPr>
      </w:pPr>
      <w:r>
        <w:rPr>
          <w:rFonts w:eastAsia="仿宋_GB2312"/>
          <w:sz w:val="32"/>
          <w:szCs w:val="32"/>
        </w:rPr>
        <w:t>外事接待支出0万元。</w:t>
      </w:r>
      <w:bookmarkStart w:id="64" w:name="_Toc15377218"/>
      <w:bookmarkStart w:id="65" w:name="_Toc15396610"/>
    </w:p>
    <w:p>
      <w:pPr>
        <w:spacing w:line="600" w:lineRule="exact"/>
        <w:ind w:firstLine="640"/>
        <w:outlineLvl w:val="1"/>
        <w:rPr>
          <w:rStyle w:val="24"/>
          <w:rFonts w:ascii="Times New Roman" w:hAnsi="Times New Roman" w:eastAsia="黑体"/>
        </w:rPr>
      </w:pPr>
      <w:bookmarkStart w:id="66" w:name="_Toc83065391"/>
      <w:r>
        <w:rPr>
          <w:rFonts w:eastAsia="黑体"/>
          <w:sz w:val="32"/>
          <w:szCs w:val="32"/>
        </w:rPr>
        <w:t>八、</w:t>
      </w:r>
      <w:r>
        <w:rPr>
          <w:rStyle w:val="24"/>
          <w:rFonts w:ascii="Times New Roman" w:hAnsi="Times New Roman" w:eastAsia="黑体"/>
          <w:b w:val="0"/>
        </w:rPr>
        <w:t>政府性基金预算支出决算情况说明</w:t>
      </w:r>
      <w:bookmarkEnd w:id="64"/>
      <w:bookmarkEnd w:id="65"/>
      <w:bookmarkEnd w:id="66"/>
    </w:p>
    <w:p>
      <w:pPr>
        <w:spacing w:line="600" w:lineRule="exact"/>
        <w:ind w:firstLine="640"/>
        <w:rPr>
          <w:rFonts w:eastAsia="仿宋_GB2312"/>
          <w:sz w:val="32"/>
          <w:szCs w:val="32"/>
        </w:rPr>
      </w:pPr>
      <w:r>
        <w:rPr>
          <w:rFonts w:eastAsia="仿宋_GB2312"/>
          <w:sz w:val="32"/>
          <w:szCs w:val="32"/>
        </w:rPr>
        <w:t>2024年度政府性基金预算财政拨款支出0万元。</w:t>
      </w:r>
    </w:p>
    <w:p>
      <w:pPr>
        <w:spacing w:line="600" w:lineRule="exact"/>
        <w:ind w:left="630"/>
        <w:outlineLvl w:val="1"/>
        <w:rPr>
          <w:rStyle w:val="24"/>
          <w:rFonts w:ascii="Times New Roman" w:hAnsi="Times New Roman" w:eastAsia="黑体"/>
          <w:b w:val="0"/>
        </w:rPr>
      </w:pPr>
      <w:bookmarkStart w:id="67" w:name="_Toc15396611"/>
      <w:bookmarkStart w:id="68" w:name="_Toc83065392"/>
      <w:bookmarkStart w:id="69" w:name="_Toc15377219"/>
      <w:r>
        <w:rPr>
          <w:rStyle w:val="24"/>
          <w:rFonts w:ascii="Times New Roman" w:hAnsi="Times New Roman" w:eastAsia="黑体"/>
          <w:b w:val="0"/>
        </w:rPr>
        <w:t>九、国有资本经营预算支出决算情况说明</w:t>
      </w:r>
      <w:bookmarkEnd w:id="67"/>
      <w:bookmarkEnd w:id="68"/>
      <w:bookmarkEnd w:id="69"/>
    </w:p>
    <w:p>
      <w:pPr>
        <w:spacing w:line="600" w:lineRule="exact"/>
        <w:ind w:firstLine="640"/>
        <w:rPr>
          <w:rFonts w:eastAsia="仿宋_GB2312"/>
          <w:sz w:val="32"/>
          <w:szCs w:val="32"/>
        </w:rPr>
      </w:pPr>
      <w:r>
        <w:rPr>
          <w:rFonts w:eastAsia="仿宋_GB2312"/>
          <w:sz w:val="32"/>
          <w:szCs w:val="32"/>
        </w:rPr>
        <w:t>2024年度国有资本经营预算财政拨款支出0万元。</w:t>
      </w:r>
    </w:p>
    <w:p>
      <w:pPr>
        <w:spacing w:line="600" w:lineRule="exact"/>
        <w:ind w:left="630"/>
        <w:outlineLvl w:val="1"/>
        <w:rPr>
          <w:rStyle w:val="24"/>
          <w:rFonts w:ascii="Times New Roman" w:hAnsi="Times New Roman" w:eastAsia="黑体"/>
          <w:b w:val="0"/>
        </w:rPr>
      </w:pPr>
      <w:bookmarkStart w:id="70" w:name="_Toc83065393"/>
      <w:bookmarkStart w:id="71" w:name="_Toc15396612"/>
      <w:bookmarkStart w:id="72" w:name="_Toc15377221"/>
      <w:r>
        <w:rPr>
          <w:rStyle w:val="24"/>
          <w:rFonts w:ascii="Times New Roman" w:hAnsi="Times New Roman" w:eastAsia="黑体"/>
          <w:b w:val="0"/>
        </w:rPr>
        <w:t>十、其他重要事项的情况说明</w:t>
      </w:r>
      <w:bookmarkEnd w:id="70"/>
      <w:bookmarkEnd w:id="71"/>
      <w:bookmarkEnd w:id="72"/>
    </w:p>
    <w:p>
      <w:pPr>
        <w:spacing w:line="600" w:lineRule="exact"/>
        <w:ind w:firstLine="642" w:firstLineChars="200"/>
        <w:outlineLvl w:val="2"/>
        <w:rPr>
          <w:rFonts w:eastAsia="楷体_GB2312"/>
          <w:b/>
          <w:sz w:val="32"/>
          <w:szCs w:val="32"/>
        </w:rPr>
      </w:pPr>
      <w:bookmarkStart w:id="73" w:name="_Toc15377222"/>
      <w:bookmarkStart w:id="74" w:name="_Toc83065394"/>
      <w:r>
        <w:rPr>
          <w:rFonts w:eastAsia="楷体_GB2312"/>
          <w:b/>
          <w:sz w:val="32"/>
          <w:szCs w:val="32"/>
        </w:rPr>
        <w:t>（一）机关运行经费支出情况</w:t>
      </w:r>
      <w:bookmarkEnd w:id="73"/>
      <w:bookmarkEnd w:id="74"/>
    </w:p>
    <w:p>
      <w:pPr>
        <w:spacing w:line="600" w:lineRule="exact"/>
        <w:ind w:firstLine="640"/>
        <w:rPr>
          <w:rFonts w:eastAsia="仿宋_GB2312"/>
          <w:sz w:val="32"/>
          <w:szCs w:val="32"/>
        </w:rPr>
      </w:pPr>
      <w:r>
        <w:rPr>
          <w:rFonts w:eastAsia="仿宋_GB2312"/>
          <w:sz w:val="32"/>
          <w:szCs w:val="32"/>
        </w:rPr>
        <w:t>2024年度，广元国际铁路港管理委员会机关运行经费支出104.2万元，比2023年度增加4.54万元，增长4.6%。主要原因是</w:t>
      </w:r>
      <w:r>
        <w:rPr>
          <w:rFonts w:eastAsia="仿宋_GB2312"/>
          <w:color w:val="auto"/>
          <w:kern w:val="2"/>
          <w:sz w:val="32"/>
          <w:szCs w:val="32"/>
          <w:lang w:val="zh-CN"/>
        </w:rPr>
        <w:t>单位业务量</w:t>
      </w:r>
      <w:r>
        <w:rPr>
          <w:rFonts w:hint="eastAsia" w:eastAsia="仿宋_GB2312"/>
          <w:color w:val="auto"/>
          <w:kern w:val="2"/>
          <w:sz w:val="32"/>
          <w:szCs w:val="32"/>
          <w:lang w:val="zh-CN"/>
        </w:rPr>
        <w:t>增加，导致运行成本增加</w:t>
      </w:r>
      <w:r>
        <w:rPr>
          <w:rFonts w:eastAsia="仿宋_GB2312"/>
          <w:color w:val="auto"/>
          <w:kern w:val="2"/>
          <w:sz w:val="32"/>
          <w:szCs w:val="32"/>
          <w:lang w:val="zh-CN"/>
        </w:rPr>
        <w:t>。</w:t>
      </w:r>
    </w:p>
    <w:p>
      <w:pPr>
        <w:spacing w:line="600" w:lineRule="exact"/>
        <w:ind w:firstLine="642" w:firstLineChars="200"/>
        <w:outlineLvl w:val="2"/>
        <w:rPr>
          <w:rFonts w:eastAsia="楷体_GB2312"/>
          <w:b/>
          <w:sz w:val="32"/>
          <w:szCs w:val="32"/>
        </w:rPr>
      </w:pPr>
      <w:bookmarkStart w:id="75" w:name="_Toc15377223"/>
      <w:bookmarkStart w:id="76" w:name="_Toc83065395"/>
      <w:r>
        <w:rPr>
          <w:rFonts w:eastAsia="楷体_GB2312"/>
          <w:b/>
          <w:sz w:val="32"/>
          <w:szCs w:val="32"/>
        </w:rPr>
        <w:t>（二）政府采购支出情况</w:t>
      </w:r>
      <w:bookmarkEnd w:id="75"/>
      <w:bookmarkEnd w:id="76"/>
    </w:p>
    <w:p>
      <w:pPr>
        <w:spacing w:line="600" w:lineRule="exact"/>
        <w:ind w:firstLine="640"/>
        <w:rPr>
          <w:rFonts w:eastAsia="仿宋_GB2312"/>
          <w:sz w:val="32"/>
          <w:szCs w:val="32"/>
        </w:rPr>
      </w:pPr>
      <w:r>
        <w:rPr>
          <w:rFonts w:eastAsia="仿宋_GB2312"/>
          <w:sz w:val="32"/>
          <w:szCs w:val="32"/>
        </w:rPr>
        <w:t>2024年度，广元国际铁路港管理委员会政府采购支出总额49.28万元，其中：政府采购服务支出49.28万元。主要用于广元国际铁路港基础设施配套工程前期研究。授予中小企业合同金额0万元，占政府采购支出总额的0%，其中：授予小微企业合同金额0万元，占政府采购支出总额的0%。</w:t>
      </w:r>
    </w:p>
    <w:p>
      <w:pPr>
        <w:spacing w:line="600" w:lineRule="exact"/>
        <w:ind w:firstLine="642" w:firstLineChars="200"/>
        <w:outlineLvl w:val="2"/>
        <w:rPr>
          <w:rFonts w:eastAsia="楷体_GB2312"/>
          <w:b/>
          <w:sz w:val="32"/>
          <w:szCs w:val="32"/>
        </w:rPr>
      </w:pPr>
      <w:bookmarkStart w:id="77" w:name="_Toc15377224"/>
      <w:bookmarkStart w:id="78" w:name="_Toc83065396"/>
      <w:r>
        <w:rPr>
          <w:rFonts w:eastAsia="楷体_GB2312"/>
          <w:b/>
          <w:sz w:val="32"/>
          <w:szCs w:val="32"/>
        </w:rPr>
        <w:t>（三）国有资产占有使用情况</w:t>
      </w:r>
      <w:bookmarkEnd w:id="77"/>
      <w:bookmarkEnd w:id="78"/>
    </w:p>
    <w:p>
      <w:pPr>
        <w:spacing w:line="600" w:lineRule="exact"/>
        <w:ind w:firstLine="640"/>
        <w:rPr>
          <w:rFonts w:eastAsia="仿宋_GB2312"/>
          <w:sz w:val="32"/>
          <w:szCs w:val="32"/>
        </w:rPr>
      </w:pPr>
      <w:r>
        <w:rPr>
          <w:rFonts w:eastAsia="仿宋_GB2312"/>
          <w:sz w:val="32"/>
          <w:szCs w:val="32"/>
        </w:rPr>
        <w:t>截至2024年12月31日，广元国际铁路港管理委员会共有车辆0辆。单价100万元（含）以上设备（不含车辆）0台（套）。</w:t>
      </w:r>
    </w:p>
    <w:p>
      <w:pPr>
        <w:spacing w:line="600" w:lineRule="exact"/>
        <w:ind w:firstLine="642" w:firstLineChars="200"/>
        <w:outlineLvl w:val="2"/>
        <w:rPr>
          <w:rFonts w:eastAsia="楷体_GB2312"/>
          <w:b/>
          <w:sz w:val="32"/>
          <w:szCs w:val="32"/>
        </w:rPr>
      </w:pPr>
      <w:bookmarkStart w:id="79" w:name="_Toc83065397"/>
      <w:r>
        <w:rPr>
          <w:rFonts w:eastAsia="楷体_GB2312"/>
          <w:b/>
          <w:sz w:val="32"/>
          <w:szCs w:val="32"/>
        </w:rPr>
        <w:t>（四）预算绩效管理情况</w:t>
      </w:r>
      <w:bookmarkEnd w:id="79"/>
    </w:p>
    <w:p>
      <w:pPr>
        <w:spacing w:line="600" w:lineRule="exact"/>
        <w:ind w:firstLine="640"/>
        <w:rPr>
          <w:rFonts w:eastAsia="仿宋_GB2312"/>
          <w:sz w:val="32"/>
          <w:szCs w:val="32"/>
        </w:rPr>
      </w:pPr>
      <w:r>
        <w:rPr>
          <w:rFonts w:eastAsia="仿宋_GB2312"/>
          <w:sz w:val="32"/>
          <w:szCs w:val="32"/>
        </w:rPr>
        <w:t>根据预算绩效管理要求，广元国际铁路港管理委员会在2024年度预算编制阶段，组织对</w:t>
      </w:r>
      <w:r>
        <w:rPr>
          <w:rFonts w:eastAsia="仿宋_GB2312"/>
          <w:b w:val="0"/>
          <w:bCs w:val="0"/>
          <w:color w:val="auto"/>
          <w:sz w:val="32"/>
          <w:szCs w:val="32"/>
          <w:lang w:val="en-US" w:eastAsia="zh-CN" w:bidi="ar-SA"/>
        </w:rPr>
        <w:t>高铁快运动车运营费用</w:t>
      </w:r>
      <w:r>
        <w:rPr>
          <w:rFonts w:eastAsia="仿宋_GB2312"/>
          <w:sz w:val="32"/>
          <w:szCs w:val="32"/>
        </w:rPr>
        <w:t>等15个项目开展了预算事前绩效评估，对15个项目编制了绩效目标，预算执行过程中，选取15个项目开展绩效监控。</w:t>
      </w:r>
    </w:p>
    <w:p>
      <w:pPr>
        <w:spacing w:line="600" w:lineRule="exact"/>
        <w:ind w:firstLine="640"/>
        <w:rPr>
          <w:rFonts w:eastAsia="仿宋_GB2312"/>
          <w:sz w:val="32"/>
          <w:szCs w:val="32"/>
        </w:rPr>
      </w:pPr>
      <w:r>
        <w:rPr>
          <w:rFonts w:eastAsia="仿宋_GB2312"/>
          <w:sz w:val="32"/>
          <w:szCs w:val="32"/>
        </w:rPr>
        <w:t>组织对2024年度一般公共预算、政府性基金预算、国有资本经营预算、社会保险基金预算以及资本资产、债券资金等全面开展绩效自评，形成广元国际铁路港管理委员会部门整体（含部门预算项目）绩效自评报告、</w:t>
      </w:r>
      <w:r>
        <w:rPr>
          <w:rFonts w:eastAsia="仿宋_GB2312"/>
          <w:b w:val="0"/>
          <w:bCs w:val="0"/>
          <w:color w:val="auto"/>
          <w:sz w:val="32"/>
          <w:szCs w:val="32"/>
          <w:lang w:val="en-US" w:eastAsia="zh-CN" w:bidi="ar-SA"/>
        </w:rPr>
        <w:t>高铁快运动车运营费用</w:t>
      </w:r>
      <w:r>
        <w:rPr>
          <w:rFonts w:eastAsia="仿宋_GB2312"/>
          <w:sz w:val="32"/>
          <w:szCs w:val="32"/>
        </w:rPr>
        <w:t>等专项预算项目绩效自评报告，其中，广元国际铁路港管理委员会部门整体（含部门预算项目）绩效自评得分为</w:t>
      </w:r>
      <w:r>
        <w:rPr>
          <w:rFonts w:eastAsia="仿宋_GB2312"/>
          <w:b w:val="0"/>
          <w:bCs w:val="0"/>
          <w:color w:val="auto"/>
          <w:sz w:val="32"/>
          <w:szCs w:val="32"/>
          <w:lang w:val="en-US" w:eastAsia="zh-CN" w:bidi="ar-SA"/>
        </w:rPr>
        <w:t>98.8</w:t>
      </w:r>
      <w:r>
        <w:rPr>
          <w:rFonts w:eastAsia="仿宋_GB2312"/>
          <w:sz w:val="32"/>
          <w:szCs w:val="32"/>
        </w:rPr>
        <w:t>分，绩效自评综述：</w:t>
      </w:r>
      <w:r>
        <w:rPr>
          <w:rFonts w:eastAsia="仿宋_GB2312"/>
          <w:color w:val="auto"/>
          <w:sz w:val="32"/>
          <w:szCs w:val="32"/>
          <w:lang w:val="zh-CN"/>
        </w:rPr>
        <w:t>我单位严格按照预算绩效管理工作有关要求，做好事前、事中、事后全过程预算绩效管理，没有偏离绩效目标的情况，资金使用发挥了最大效益，自评结论为优秀</w:t>
      </w:r>
      <w:r>
        <w:rPr>
          <w:rFonts w:eastAsia="仿宋_GB2312"/>
          <w:sz w:val="32"/>
          <w:szCs w:val="32"/>
        </w:rPr>
        <w:t>；</w:t>
      </w:r>
      <w:r>
        <w:rPr>
          <w:rFonts w:eastAsia="仿宋_GB2312"/>
          <w:sz w:val="32"/>
          <w:szCs w:val="32"/>
          <w:lang w:val="en-US" w:eastAsia="zh-CN" w:bidi="ar-SA"/>
        </w:rPr>
        <w:t>高层次人才安家补助和工作补助</w:t>
      </w:r>
      <w:r>
        <w:rPr>
          <w:rFonts w:eastAsia="仿宋_GB2312"/>
          <w:sz w:val="32"/>
          <w:szCs w:val="32"/>
        </w:rPr>
        <w:t>专项预算项目绩效自评得分为100分，绩效自评综述：</w:t>
      </w:r>
      <w:r>
        <w:rPr>
          <w:rFonts w:eastAsia="仿宋_GB2312"/>
          <w:b w:val="0"/>
          <w:bCs w:val="0"/>
          <w:color w:val="auto"/>
          <w:kern w:val="0"/>
          <w:position w:val="0"/>
          <w:sz w:val="32"/>
          <w:szCs w:val="32"/>
          <w:lang w:val="en-US" w:eastAsia="zh-CN" w:bidi="ar-SA"/>
        </w:rPr>
        <w:t>通过发放安家补助和工作补助，所有新引进高层次人才干事热情持续高涨，人才支撑事业发展成效显著；</w:t>
      </w:r>
      <w:r>
        <w:rPr>
          <w:rFonts w:eastAsia="仿宋_GB2312"/>
          <w:kern w:val="0"/>
          <w:sz w:val="32"/>
          <w:szCs w:val="32"/>
          <w:lang w:val="en-US" w:eastAsia="zh-CN" w:bidi="ar-SA"/>
        </w:rPr>
        <w:t>国际班列运营补助经费</w:t>
      </w:r>
      <w:r>
        <w:rPr>
          <w:rFonts w:eastAsia="仿宋_GB2312"/>
          <w:sz w:val="32"/>
          <w:szCs w:val="32"/>
        </w:rPr>
        <w:t>专项预算项目绩效自评得分为100分，绩效自评综述：</w:t>
      </w:r>
      <w:r>
        <w:rPr>
          <w:rFonts w:eastAsia="仿宋_GB2312"/>
          <w:b w:val="0"/>
          <w:bCs w:val="0"/>
          <w:color w:val="auto"/>
          <w:kern w:val="0"/>
          <w:position w:val="0"/>
          <w:sz w:val="32"/>
          <w:szCs w:val="32"/>
          <w:lang w:val="en-US" w:eastAsia="zh-CN" w:bidi="ar-SA"/>
        </w:rPr>
        <w:t>项目实施超额完成开行目标任务，带动了外贸数据落地，为服务企业降低了综合成本。同时，预算经费得到高效运用，补助费用按照相关规定及程序按时补助给运营企业。综上总体评价优；</w:t>
      </w:r>
      <w:r>
        <w:rPr>
          <w:rFonts w:eastAsia="仿宋_GB2312"/>
          <w:sz w:val="32"/>
          <w:szCs w:val="32"/>
          <w:lang w:val="en-US" w:eastAsia="zh-CN"/>
        </w:rPr>
        <w:t>2024年高铁快运动车运营费用</w:t>
      </w:r>
      <w:r>
        <w:rPr>
          <w:rFonts w:eastAsia="仿宋_GB2312"/>
          <w:sz w:val="32"/>
          <w:szCs w:val="32"/>
        </w:rPr>
        <w:t>专项预算项目绩效自评得分为100分，绩效自评综述：</w:t>
      </w:r>
      <w:r>
        <w:rPr>
          <w:rFonts w:eastAsia="仿宋_GB2312"/>
          <w:b w:val="0"/>
          <w:bCs w:val="0"/>
          <w:color w:val="auto"/>
          <w:kern w:val="2"/>
          <w:position w:val="0"/>
          <w:sz w:val="32"/>
          <w:szCs w:val="32"/>
          <w:lang w:val="en-US" w:eastAsia="zh-CN" w:bidi="ar-SA"/>
        </w:rPr>
        <w:t>2024年以来，积极组织对本地及周边地区适运企业货源摸排调研，积极引导企业选择高铁运输货物，有力助推了广元的红心猕猴桃、食用菌、土鸡等鲜货农特产品走向各地，广元及周边地区的电商快递和冷链制品等货物也搭乘高铁卖向全国，进一步助力广元打造川陕甘渝食品饮料及冷链制品生产基地；</w:t>
      </w:r>
      <w:r>
        <w:rPr>
          <w:rFonts w:eastAsia="仿宋_GB2312"/>
          <w:sz w:val="32"/>
          <w:szCs w:val="32"/>
          <w:lang w:val="en-US" w:eastAsia="zh-CN"/>
        </w:rPr>
        <w:t>广元国际铁路港海关监管中心运营补助经费</w:t>
      </w:r>
      <w:r>
        <w:rPr>
          <w:rFonts w:eastAsia="仿宋_GB2312"/>
          <w:sz w:val="32"/>
          <w:szCs w:val="32"/>
        </w:rPr>
        <w:t>专项预算项目绩效自评得分为100分，绩效自评综述：</w:t>
      </w:r>
      <w:r>
        <w:rPr>
          <w:rFonts w:eastAsia="仿宋_GB2312"/>
          <w:b w:val="0"/>
          <w:bCs w:val="0"/>
          <w:color w:val="auto"/>
          <w:kern w:val="2"/>
          <w:sz w:val="32"/>
          <w:szCs w:val="32"/>
          <w:lang w:val="en-US" w:eastAsia="zh-CN" w:bidi="ar-SA"/>
        </w:rPr>
        <w:t>海关监管中心自</w:t>
      </w:r>
      <w:r>
        <w:rPr>
          <w:rFonts w:eastAsia="仿宋_GB2312"/>
          <w:b w:val="0"/>
          <w:bCs w:val="0"/>
          <w:color w:val="auto"/>
          <w:kern w:val="2"/>
          <w:sz w:val="32"/>
          <w:szCs w:val="32"/>
          <w:lang w:val="zh-CN" w:eastAsia="zh-CN" w:bidi="ar-SA"/>
        </w:rPr>
        <w:t>投运以来，有效填补了川陕甘结合部通关查验、海关监管等功能空白，极大提高了国际班列开行效率，为外贸企业提供时间更短、成本更低、效率更高的全方位服务，进一步助推我市在高水平开放中促进高质量发展；</w:t>
      </w:r>
      <w:r>
        <w:rPr>
          <w:rFonts w:eastAsia="仿宋_GB2312"/>
          <w:sz w:val="32"/>
          <w:szCs w:val="32"/>
          <w:lang w:val="en-US" w:eastAsia="zh-CN"/>
        </w:rPr>
        <w:t>“两优一先”表彰对象奖金</w:t>
      </w:r>
      <w:r>
        <w:rPr>
          <w:rFonts w:eastAsia="仿宋_GB2312"/>
          <w:sz w:val="32"/>
          <w:szCs w:val="32"/>
        </w:rPr>
        <w:t>专项预算项目绩效自评得分为100分，绩效自评综述：</w:t>
      </w:r>
      <w:r>
        <w:rPr>
          <w:rFonts w:eastAsia="仿宋_GB2312"/>
          <w:b w:val="0"/>
          <w:bCs w:val="0"/>
          <w:color w:val="auto"/>
          <w:kern w:val="0"/>
          <w:position w:val="0"/>
          <w:sz w:val="32"/>
          <w:szCs w:val="32"/>
          <w:lang w:val="en-US" w:eastAsia="zh-CN" w:bidi="ar-SA"/>
        </w:rPr>
        <w:t>通过发放表彰金，党员干部“不服输、敢争先”的干事热情持续高涨，党建引领港区高质量发展成效进一步突显；</w:t>
      </w:r>
      <w:r>
        <w:rPr>
          <w:rFonts w:eastAsia="仿宋_GB2312"/>
          <w:sz w:val="32"/>
          <w:szCs w:val="32"/>
          <w:lang w:val="en-US" w:eastAsia="zh-CN"/>
        </w:rPr>
        <w:t>2024年物流枢纽承载城市申请工作经费</w:t>
      </w:r>
      <w:r>
        <w:rPr>
          <w:rFonts w:eastAsia="仿宋_GB2312"/>
          <w:sz w:val="32"/>
          <w:szCs w:val="32"/>
        </w:rPr>
        <w:t>专项预算项目绩效自评得分为100分，绩效自评综述：</w:t>
      </w:r>
      <w:r>
        <w:rPr>
          <w:rFonts w:eastAsia="仿宋_GB2312"/>
          <w:b w:val="0"/>
          <w:bCs w:val="0"/>
          <w:color w:val="auto"/>
          <w:sz w:val="32"/>
          <w:szCs w:val="32"/>
          <w:lang w:val="en-US" w:eastAsia="zh-CN"/>
        </w:rPr>
        <w:t>围绕“一区两中心两基地”总体目标，高效运营广元国际铁路港海关监管作业场所和铁路综合物流基地，持续开行中老、中欧、中亚等国际班列，创新开行“广元—成都—贵阳”跨省高铁货运，明显带动城市和枢纽经济发展水平和改善区域交通物流水平</w:t>
      </w:r>
      <w:r>
        <w:rPr>
          <w:rFonts w:eastAsia="仿宋_GB2312"/>
          <w:b w:val="0"/>
          <w:bCs w:val="0"/>
          <w:color w:val="auto"/>
          <w:kern w:val="0"/>
          <w:position w:val="0"/>
          <w:sz w:val="32"/>
          <w:szCs w:val="32"/>
          <w:lang w:val="en-US" w:eastAsia="zh-CN" w:bidi="ar-SA"/>
        </w:rPr>
        <w:t>；</w:t>
      </w:r>
      <w:r>
        <w:rPr>
          <w:rFonts w:eastAsia="仿宋_GB2312"/>
          <w:sz w:val="32"/>
          <w:szCs w:val="32"/>
          <w:lang w:val="en-US" w:eastAsia="zh-CN"/>
        </w:rPr>
        <w:t>川陕甘多式联运智慧服务平台数据融合</w:t>
      </w:r>
      <w:r>
        <w:rPr>
          <w:rFonts w:eastAsia="仿宋_GB2312"/>
          <w:sz w:val="32"/>
          <w:szCs w:val="32"/>
          <w:lang w:eastAsia="zh-CN"/>
        </w:rPr>
        <w:t>经费</w:t>
      </w:r>
      <w:r>
        <w:rPr>
          <w:rFonts w:eastAsia="仿宋_GB2312"/>
          <w:sz w:val="32"/>
          <w:szCs w:val="32"/>
        </w:rPr>
        <w:t>专项预算项目绩效自评得分为100分，绩效自评综述：</w:t>
      </w:r>
      <w:r>
        <w:rPr>
          <w:rFonts w:eastAsia="仿宋_GB2312"/>
          <w:b w:val="0"/>
          <w:bCs w:val="0"/>
          <w:color w:val="auto"/>
          <w:kern w:val="2"/>
          <w:sz w:val="32"/>
          <w:szCs w:val="24"/>
          <w:lang w:val="zh-CN" w:eastAsia="zh-CN" w:bidi="ar-SA"/>
        </w:rPr>
        <w:t>自</w:t>
      </w:r>
      <w:r>
        <w:rPr>
          <w:rFonts w:eastAsia="仿宋_GB2312"/>
          <w:b w:val="0"/>
          <w:bCs w:val="0"/>
          <w:color w:val="auto"/>
          <w:kern w:val="0"/>
          <w:sz w:val="32"/>
          <w:szCs w:val="32"/>
          <w:lang w:val="en-US" w:eastAsia="zh-CN" w:bidi="ar-SA"/>
        </w:rPr>
        <w:t>四川广运沙师弟网络科技有限公司将平台接入到川陕甘多式联运综合服务平台以来，加快</w:t>
      </w:r>
      <w:r>
        <w:rPr>
          <w:rFonts w:eastAsia="仿宋_GB2312"/>
          <w:b w:val="0"/>
          <w:bCs w:val="0"/>
          <w:color w:val="auto"/>
          <w:kern w:val="2"/>
          <w:sz w:val="32"/>
          <w:szCs w:val="32"/>
          <w:lang w:val="en-US" w:eastAsia="zh-CN" w:bidi="ar-SA"/>
        </w:rPr>
        <w:t>推动</w:t>
      </w:r>
      <w:r>
        <w:rPr>
          <w:rFonts w:eastAsia="仿宋_GB2312"/>
          <w:b w:val="0"/>
          <w:bCs w:val="0"/>
          <w:color w:val="auto"/>
          <w:kern w:val="0"/>
          <w:sz w:val="32"/>
          <w:szCs w:val="32"/>
          <w:lang w:val="en-US" w:eastAsia="zh-CN" w:bidi="ar-SA"/>
        </w:rPr>
        <w:t>公铁联运的物流信息数据互联互通，为多式联运综合服务平台赋能增势，逐步</w:t>
      </w:r>
      <w:r>
        <w:rPr>
          <w:rFonts w:eastAsia="仿宋_GB2312"/>
          <w:b w:val="0"/>
          <w:bCs w:val="0"/>
          <w:color w:val="auto"/>
          <w:kern w:val="2"/>
          <w:sz w:val="32"/>
          <w:szCs w:val="32"/>
          <w:lang w:val="en-US" w:eastAsia="zh-CN" w:bidi="ar-SA"/>
        </w:rPr>
        <w:t>构建全市“物流一张网”，在促进物流业降本增效中发挥了积极作用</w:t>
      </w:r>
      <w:r>
        <w:rPr>
          <w:rFonts w:eastAsia="仿宋_GB2312"/>
          <w:b w:val="0"/>
          <w:bCs w:val="0"/>
          <w:color w:val="auto"/>
          <w:kern w:val="0"/>
          <w:position w:val="0"/>
          <w:sz w:val="32"/>
          <w:szCs w:val="32"/>
          <w:lang w:val="en-US" w:eastAsia="zh-CN" w:bidi="ar-SA"/>
        </w:rPr>
        <w:t>；</w:t>
      </w:r>
      <w:r>
        <w:rPr>
          <w:rFonts w:eastAsia="仿宋_GB2312"/>
          <w:sz w:val="32"/>
          <w:szCs w:val="32"/>
          <w:lang w:val="en-US" w:eastAsia="zh-CN"/>
        </w:rPr>
        <w:t>广元市川陕甘铁路冷链及粮食供应链产业园区项目</w:t>
      </w:r>
      <w:r>
        <w:rPr>
          <w:rFonts w:eastAsia="仿宋_GB2312"/>
          <w:sz w:val="32"/>
          <w:szCs w:val="32"/>
        </w:rPr>
        <w:t>专项预算项目绩效自评得分为100分，绩效自评综述：</w:t>
      </w:r>
      <w:r>
        <w:rPr>
          <w:rFonts w:eastAsia="仿宋_GB2312"/>
          <w:b w:val="0"/>
          <w:bCs w:val="0"/>
          <w:color w:val="auto"/>
          <w:kern w:val="2"/>
          <w:position w:val="0"/>
          <w:sz w:val="32"/>
          <w:szCs w:val="32"/>
          <w:lang w:val="en-US" w:eastAsia="zh-CN" w:bidi="ar-SA"/>
        </w:rPr>
        <w:t>通过建立“仓干配、采购销”为一体的粮油供应链体系，项目运营周期内可累计节约成本2.2亿元，通过投资建设冷链及粮食物流园区并实施全自主运营，将极大增强新通道物流公司川陕甘地区供应链业务开展过程中对货权的掌控能力，进一步做实粮食大宗商品贸易，有效降低贸易风险</w:t>
      </w:r>
      <w:r>
        <w:rPr>
          <w:rFonts w:eastAsia="仿宋_GB2312"/>
          <w:sz w:val="32"/>
          <w:szCs w:val="32"/>
        </w:rPr>
        <w:t>。</w:t>
      </w:r>
    </w:p>
    <w:p>
      <w:pPr>
        <w:spacing w:line="600" w:lineRule="exact"/>
        <w:ind w:firstLine="640"/>
        <w:rPr>
          <w:rFonts w:eastAsia="仿宋_GB2312"/>
          <w:b/>
          <w:bCs/>
          <w:sz w:val="32"/>
          <w:szCs w:val="32"/>
        </w:rPr>
      </w:pPr>
      <w:r>
        <w:rPr>
          <w:rFonts w:eastAsia="仿宋_GB2312"/>
          <w:sz w:val="32"/>
          <w:szCs w:val="32"/>
        </w:rPr>
        <w:t>绩效自评报告详见附件。</w:t>
      </w:r>
    </w:p>
    <w:p>
      <w:pPr>
        <w:spacing w:line="600" w:lineRule="exact"/>
        <w:ind w:firstLine="640"/>
        <w:rPr>
          <w:rFonts w:eastAsia="仿宋_GB2312"/>
          <w:sz w:val="32"/>
          <w:szCs w:val="32"/>
        </w:rPr>
      </w:pPr>
    </w:p>
    <w:p>
      <w:pPr>
        <w:spacing w:line="600" w:lineRule="exact"/>
        <w:ind w:firstLine="640"/>
        <w:rPr>
          <w:rFonts w:eastAsia="仿宋_GB2312"/>
          <w:sz w:val="32"/>
          <w:szCs w:val="32"/>
        </w:rPr>
      </w:pPr>
    </w:p>
    <w:p>
      <w:pPr>
        <w:pStyle w:val="15"/>
      </w:pPr>
    </w:p>
    <w:p>
      <w:pPr>
        <w:pStyle w:val="7"/>
      </w:pPr>
    </w:p>
    <w:p>
      <w:pPr>
        <w:pStyle w:val="7"/>
      </w:pPr>
    </w:p>
    <w:p>
      <w:pPr>
        <w:pStyle w:val="7"/>
      </w:pPr>
    </w:p>
    <w:p>
      <w:pPr>
        <w:pStyle w:val="7"/>
      </w:pPr>
    </w:p>
    <w:p>
      <w:pPr>
        <w:pStyle w:val="7"/>
      </w:pPr>
    </w:p>
    <w:p>
      <w:pPr>
        <w:spacing w:line="600" w:lineRule="exact"/>
        <w:jc w:val="both"/>
        <w:outlineLvl w:val="0"/>
        <w:rPr>
          <w:rFonts w:eastAsia="黑体"/>
          <w:sz w:val="44"/>
          <w:szCs w:val="44"/>
        </w:rPr>
      </w:pPr>
      <w:bookmarkStart w:id="80" w:name="_Toc15377225"/>
      <w:bookmarkStart w:id="81" w:name="_Toc15396613"/>
      <w:bookmarkStart w:id="82" w:name="_Toc83065398"/>
    </w:p>
    <w:p>
      <w:pPr>
        <w:spacing w:line="600" w:lineRule="exact"/>
        <w:jc w:val="center"/>
        <w:outlineLvl w:val="0"/>
        <w:rPr>
          <w:rFonts w:eastAsia="黑体"/>
          <w:sz w:val="44"/>
          <w:szCs w:val="44"/>
        </w:rPr>
      </w:pPr>
      <w:r>
        <w:rPr>
          <w:rFonts w:eastAsia="黑体"/>
          <w:sz w:val="44"/>
          <w:szCs w:val="44"/>
        </w:rPr>
        <w:t>第三部分  名词解释</w:t>
      </w:r>
      <w:bookmarkEnd w:id="80"/>
      <w:bookmarkEnd w:id="81"/>
      <w:bookmarkEnd w:id="82"/>
    </w:p>
    <w:p>
      <w:pPr>
        <w:spacing w:line="600" w:lineRule="exact"/>
        <w:jc w:val="left"/>
        <w:rPr>
          <w:b/>
          <w:sz w:val="44"/>
          <w:szCs w:val="44"/>
        </w:rPr>
      </w:pP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bookmarkStart w:id="83" w:name="_Toc15377226"/>
      <w:r>
        <w:rPr>
          <w:rFonts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财政拨款收入：指单位从同级财政部门取得的财政预算资金。</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其他收入：指单位取得的除上述收入以外的各项收入。主要是</w:t>
      </w:r>
      <w:r>
        <w:rPr>
          <w:rFonts w:ascii="Times New Roman" w:hAnsi="Times New Roman" w:eastAsia="仿宋_GB2312" w:cs="Times New Roman"/>
          <w:color w:val="auto"/>
          <w:sz w:val="32"/>
          <w:szCs w:val="32"/>
          <w:lang w:eastAsia="zh-CN"/>
        </w:rPr>
        <w:t>利息收入</w:t>
      </w:r>
      <w:r>
        <w:rPr>
          <w:rFonts w:ascii="Times New Roman" w:hAnsi="Times New Roman" w:eastAsia="仿宋_GB2312" w:cs="Times New Roman"/>
          <w:color w:val="auto"/>
          <w:sz w:val="32"/>
          <w:szCs w:val="32"/>
        </w:rPr>
        <w:t xml:space="preserve">等。 </w:t>
      </w:r>
    </w:p>
    <w:p>
      <w:pPr>
        <w:keepNext w:val="0"/>
        <w:keepLines w:val="0"/>
        <w:pageBreakBefore w:val="0"/>
        <w:widowControl w:val="0"/>
        <w:suppressAutoHyphens/>
        <w:kinsoku/>
        <w:wordWrap/>
        <w:overflowPunct/>
        <w:topLinePunct w:val="0"/>
        <w:snapToGrid/>
        <w:ind w:firstLine="640" w:firstLineChars="200"/>
        <w:rPr>
          <w:rFonts w:eastAsia="仿宋_GB2312"/>
          <w:color w:val="auto"/>
          <w:sz w:val="32"/>
          <w:szCs w:val="32"/>
        </w:rPr>
      </w:pPr>
      <w:r>
        <w:rPr>
          <w:rFonts w:eastAsia="仿宋_GB2312"/>
          <w:color w:val="auto"/>
          <w:sz w:val="32"/>
          <w:szCs w:val="32"/>
          <w:lang w:val="en-US" w:eastAsia="zh-CN"/>
        </w:rPr>
        <w:t>3.</w:t>
      </w:r>
      <w:r>
        <w:rPr>
          <w:rFonts w:eastAsia="仿宋_GB2312"/>
          <w:color w:val="auto"/>
          <w:sz w:val="32"/>
          <w:szCs w:val="32"/>
        </w:rPr>
        <w:t>一般公共服务支出（类）其他一般公共服务支出（款）其他一般公共服务支出（项）：指除人大事务等项目以外的其他一般公共服务支出。</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4.</w:t>
      </w:r>
      <w:r>
        <w:rPr>
          <w:rFonts w:ascii="Times New Roman" w:hAnsi="Times New Roman" w:eastAsia="仿宋_GB2312" w:cs="Times New Roman"/>
          <w:color w:val="auto"/>
          <w:sz w:val="32"/>
          <w:szCs w:val="32"/>
        </w:rPr>
        <w:t>社会保障和就业（类）行政事业单位养老支出（款）行政单位离退休（项）</w:t>
      </w:r>
      <w:r>
        <w:rPr>
          <w:rFonts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 xml:space="preserve"> 指反映</w:t>
      </w:r>
      <w:r>
        <w:rPr>
          <w:rFonts w:ascii="Times New Roman" w:hAnsi="Times New Roman" w:eastAsia="仿宋_GB2312" w:cs="Times New Roman"/>
          <w:color w:val="auto"/>
          <w:sz w:val="32"/>
          <w:szCs w:val="32"/>
          <w:lang w:eastAsia="zh-CN"/>
        </w:rPr>
        <w:t>行政单位（包括实行公务员管理的事业单位）开支的离退休经费</w:t>
      </w:r>
      <w:r>
        <w:rPr>
          <w:rFonts w:ascii="Times New Roman" w:hAnsi="Times New Roman" w:eastAsia="仿宋_GB2312" w:cs="Times New Roman"/>
          <w:color w:val="auto"/>
          <w:sz w:val="32"/>
          <w:szCs w:val="32"/>
        </w:rPr>
        <w:t>。</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5.</w:t>
      </w:r>
      <w:r>
        <w:rPr>
          <w:rFonts w:ascii="Times New Roman" w:hAnsi="Times New Roman" w:eastAsia="仿宋_GB2312" w:cs="Times New Roman"/>
          <w:color w:val="auto"/>
          <w:sz w:val="32"/>
          <w:szCs w:val="32"/>
        </w:rPr>
        <w:t>社会保障和就业支出（类）行政事业单位养老支出（款）机关事业单位基本养老保险缴费支出（项）：指反映机关事业单位实施养老保险制度由单位缴纳的基本养老保险费支出。</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6.</w:t>
      </w:r>
      <w:r>
        <w:rPr>
          <w:rFonts w:ascii="Times New Roman" w:hAnsi="Times New Roman" w:eastAsia="仿宋_GB2312" w:cs="Times New Roman"/>
          <w:color w:val="auto"/>
          <w:sz w:val="32"/>
          <w:szCs w:val="32"/>
        </w:rPr>
        <w:t>社会保障和就业支出（类）行政事业单位养老支出（款）机关事业单位职业年金缴费支出（项）：反映机关事业单位实施养老保险制度由单位实际缴纳的职业年金支出。</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lang w:val="en-US" w:eastAsia="zh-CN"/>
        </w:rPr>
        <w:t>7.</w:t>
      </w:r>
      <w:r>
        <w:rPr>
          <w:rFonts w:ascii="Times New Roman" w:hAnsi="Times New Roman" w:eastAsia="仿宋_GB2312" w:cs="Times New Roman"/>
          <w:color w:val="auto"/>
          <w:sz w:val="32"/>
          <w:szCs w:val="32"/>
        </w:rPr>
        <w:t>社会保障和就业（类）其他社会保障和就业支出（款）其他社会保障和就业支出（项）</w:t>
      </w:r>
      <w:r>
        <w:rPr>
          <w:rFonts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指反映</w:t>
      </w:r>
      <w:r>
        <w:rPr>
          <w:rFonts w:ascii="Times New Roman" w:hAnsi="Times New Roman" w:eastAsia="仿宋_GB2312" w:cs="Times New Roman"/>
          <w:color w:val="auto"/>
          <w:sz w:val="32"/>
          <w:szCs w:val="32"/>
          <w:lang w:eastAsia="zh-CN"/>
        </w:rPr>
        <w:t>除上述项目以外其他用于社会保障和就业方面的支出。</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8.</w:t>
      </w:r>
      <w:r>
        <w:rPr>
          <w:rFonts w:ascii="Times New Roman" w:hAnsi="Times New Roman" w:eastAsia="仿宋_GB2312" w:cs="Times New Roman"/>
          <w:color w:val="auto"/>
          <w:sz w:val="32"/>
          <w:szCs w:val="32"/>
        </w:rPr>
        <w:t>卫生健康（类）行政事业单位医疗（款）行政单位医疗（项）：指反映财政部门集中安排的行政单位基本医疗保险缴费经费，未参加医疗保险的行政事业单位的公费医疗经费，按国家规定享受离休人员、红军老战士待遇人员的医疗经费。</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9.</w:t>
      </w:r>
      <w:r>
        <w:rPr>
          <w:rFonts w:ascii="Times New Roman" w:hAnsi="Times New Roman" w:eastAsia="仿宋_GB2312" w:cs="Times New Roman"/>
          <w:color w:val="auto"/>
          <w:sz w:val="32"/>
          <w:szCs w:val="32"/>
        </w:rPr>
        <w:t>交通运输（类）铁路运输（款）铁路专项运输（项）</w:t>
      </w:r>
      <w:r>
        <w:rPr>
          <w:rFonts w:ascii="Times New Roman" w:hAnsi="Times New Roman" w:eastAsia="仿宋_GB2312" w:cs="Times New Roman"/>
          <w:color w:val="auto"/>
          <w:sz w:val="32"/>
          <w:szCs w:val="32"/>
          <w:lang w:eastAsia="zh-CN"/>
        </w:rPr>
        <w:t>：指反映铁路专项运输支出</w:t>
      </w:r>
      <w:r>
        <w:rPr>
          <w:rFonts w:ascii="Times New Roman" w:hAnsi="Times New Roman" w:eastAsia="仿宋_GB2312" w:cs="Times New Roman"/>
          <w:color w:val="auto"/>
          <w:sz w:val="32"/>
          <w:szCs w:val="32"/>
        </w:rPr>
        <w:t>。</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10.</w:t>
      </w:r>
      <w:r>
        <w:rPr>
          <w:rFonts w:ascii="Times New Roman" w:hAnsi="Times New Roman" w:eastAsia="仿宋_GB2312" w:cs="Times New Roman"/>
          <w:color w:val="auto"/>
          <w:sz w:val="32"/>
          <w:szCs w:val="32"/>
        </w:rPr>
        <w:t>交通运输（类）其他铁路运输支出（款）其他铁路运输支出（项）</w:t>
      </w:r>
      <w:r>
        <w:rPr>
          <w:rFonts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指反映</w:t>
      </w:r>
      <w:r>
        <w:rPr>
          <w:rFonts w:ascii="Times New Roman" w:hAnsi="Times New Roman" w:eastAsia="仿宋_GB2312" w:cs="Times New Roman"/>
          <w:color w:val="auto"/>
          <w:sz w:val="32"/>
          <w:szCs w:val="32"/>
          <w:lang w:eastAsia="zh-CN"/>
        </w:rPr>
        <w:t>除上述项目以外其他用于铁路运输方面的支出</w:t>
      </w:r>
      <w:r>
        <w:rPr>
          <w:rFonts w:ascii="Times New Roman" w:hAnsi="Times New Roman" w:eastAsia="仿宋_GB2312" w:cs="Times New Roman"/>
          <w:color w:val="auto"/>
          <w:sz w:val="32"/>
          <w:szCs w:val="32"/>
        </w:rPr>
        <w:t>。</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11.</w:t>
      </w:r>
      <w:r>
        <w:rPr>
          <w:rFonts w:ascii="Times New Roman" w:hAnsi="Times New Roman" w:eastAsia="仿宋_GB2312" w:cs="Times New Roman"/>
          <w:color w:val="auto"/>
          <w:sz w:val="32"/>
          <w:szCs w:val="32"/>
        </w:rPr>
        <w:t>住房保障支出（类）住房改革支出（款）住房公积金（项）：指反映行政事业单位按人力资源的社会保障部、财政部规定的基本工资和津贴补贴以及规定比例为职工缴纳的住房公积金。</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12.</w:t>
      </w:r>
      <w:r>
        <w:rPr>
          <w:rFonts w:ascii="Times New Roman" w:hAnsi="Times New Roman" w:eastAsia="仿宋_GB2312" w:cs="Times New Roman"/>
          <w:color w:val="auto"/>
          <w:sz w:val="32"/>
          <w:szCs w:val="32"/>
        </w:rPr>
        <w:t>基本支出：指为保障机构正常运转、完成日常工作任务而发生的人员支出和公用支出。</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13.</w:t>
      </w:r>
      <w:r>
        <w:rPr>
          <w:rFonts w:ascii="Times New Roman" w:hAnsi="Times New Roman" w:eastAsia="仿宋_GB2312" w:cs="Times New Roman"/>
          <w:color w:val="auto"/>
          <w:sz w:val="32"/>
          <w:szCs w:val="32"/>
        </w:rPr>
        <w:t xml:space="preserve">项目支出：指在基本支出之外为完成特定行政任务和事业发展目标所发生的支出。 </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14.</w:t>
      </w:r>
      <w:r>
        <w:rPr>
          <w:rFonts w:ascii="Times New Roman" w:hAnsi="Times New Roman" w:eastAsia="仿宋_GB2312" w:cs="Times New Roman"/>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0"/>
        <w:keepNext w:val="0"/>
        <w:keepLines w:val="0"/>
        <w:pageBreakBefore w:val="0"/>
        <w:widowControl w:val="0"/>
        <w:kinsoku/>
        <w:wordWrap/>
        <w:overflowPunct/>
        <w:topLinePunct w:val="0"/>
        <w:autoSpaceDE w:val="0"/>
        <w:autoSpaceDN w:val="0"/>
        <w:adjustRightInd w:val="0"/>
        <w:snapToGrid/>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lang w:val="en-US" w:eastAsia="zh-CN"/>
        </w:rPr>
        <w:t>15.</w:t>
      </w:r>
      <w:r>
        <w:rPr>
          <w:rFonts w:ascii="Times New Roman" w:hAnsi="Times New Roman" w:eastAsia="仿宋_GB2312" w:cs="Times New Roman"/>
          <w:color w:val="auto"/>
          <w:sz w:val="32"/>
          <w:szCs w:val="32"/>
        </w:rPr>
        <w:t>机关运行经费：为保障行政单位（含参照公务员法管理的事业单位）运行用于购买货物和服务的各项资金，包括办公及印刷费、邮电费、差旅费、会议费、福利费、日常维修费、办公用房水电费、办公用房取暖费、办公用房物业管理费、公务用车运行维护费以及其他费用。</w:t>
      </w:r>
    </w:p>
    <w:p>
      <w:pPr>
        <w:spacing w:line="600" w:lineRule="exact"/>
        <w:ind w:firstLine="640" w:firstLineChars="200"/>
        <w:jc w:val="both"/>
        <w:rPr>
          <w:rFonts w:hint="eastAsia" w:eastAsia="仿宋_GB2312"/>
          <w:sz w:val="32"/>
          <w:szCs w:val="32"/>
          <w:lang w:eastAsia="zh-CN"/>
        </w:rPr>
      </w:pPr>
      <w:r>
        <w:rPr>
          <w:rFonts w:hint="eastAsia" w:eastAsia="仿宋_GB2312"/>
          <w:sz w:val="32"/>
          <w:szCs w:val="32"/>
          <w:lang w:val="en-US" w:eastAsia="zh-CN"/>
        </w:rPr>
        <w:t>16.一</w:t>
      </w:r>
      <w:r>
        <w:rPr>
          <w:rFonts w:hint="eastAsia" w:eastAsia="仿宋_GB2312"/>
          <w:sz w:val="32"/>
          <w:szCs w:val="32"/>
        </w:rPr>
        <w:t>般公共服务(类)海关事务(款)海关监管(项):指</w:t>
      </w:r>
      <w:r>
        <w:rPr>
          <w:rFonts w:hint="eastAsia" w:eastAsia="仿宋_GB2312"/>
          <w:sz w:val="32"/>
          <w:szCs w:val="32"/>
          <w:lang w:eastAsia="zh-CN"/>
        </w:rPr>
        <w:t>反映海关用于监管执法、业务管理及相关设备、技术支持方面的支出。</w:t>
      </w:r>
    </w:p>
    <w:p>
      <w:pPr>
        <w:spacing w:line="600" w:lineRule="exact"/>
        <w:ind w:firstLine="640" w:firstLineChars="200"/>
        <w:jc w:val="both"/>
        <w:rPr>
          <w:rFonts w:hint="eastAsia" w:eastAsia="仿宋_GB2312"/>
          <w:sz w:val="32"/>
          <w:szCs w:val="32"/>
          <w:lang w:eastAsia="zh-CN"/>
        </w:rPr>
      </w:pPr>
      <w:r>
        <w:rPr>
          <w:rFonts w:hint="eastAsia" w:eastAsia="仿宋_GB2312"/>
          <w:sz w:val="32"/>
          <w:szCs w:val="32"/>
          <w:lang w:val="en-US" w:eastAsia="zh-CN"/>
        </w:rPr>
        <w:t>17.</w:t>
      </w:r>
      <w:r>
        <w:rPr>
          <w:rFonts w:hint="eastAsia" w:eastAsia="仿宋_GB2312"/>
          <w:sz w:val="32"/>
          <w:szCs w:val="32"/>
        </w:rPr>
        <w:t>社会保障和就业(类)人力资源和社会保障管理事务(款)引进人才费用(项):指</w:t>
      </w:r>
      <w:r>
        <w:rPr>
          <w:rFonts w:hint="eastAsia" w:eastAsia="仿宋_GB2312"/>
          <w:sz w:val="32"/>
          <w:szCs w:val="32"/>
          <w:lang w:eastAsia="zh-CN"/>
        </w:rPr>
        <w:t>用于引进专家补助、引智成果推广等方面的支出。</w:t>
      </w:r>
    </w:p>
    <w:p>
      <w:pPr>
        <w:spacing w:line="600" w:lineRule="exact"/>
        <w:ind w:firstLine="640" w:firstLineChars="200"/>
        <w:jc w:val="both"/>
        <w:rPr>
          <w:rFonts w:hint="eastAsia" w:eastAsia="仿宋_GB2312"/>
          <w:sz w:val="32"/>
          <w:szCs w:val="32"/>
          <w:lang w:eastAsia="zh-CN"/>
        </w:rPr>
      </w:pPr>
      <w:r>
        <w:rPr>
          <w:rFonts w:hint="eastAsia" w:eastAsia="仿宋_GB2312"/>
          <w:sz w:val="32"/>
          <w:szCs w:val="32"/>
          <w:lang w:val="en-US" w:eastAsia="zh-CN"/>
        </w:rPr>
        <w:t>18.</w:t>
      </w:r>
      <w:r>
        <w:rPr>
          <w:rFonts w:hint="eastAsia" w:eastAsia="仿宋_GB2312"/>
          <w:sz w:val="32"/>
          <w:szCs w:val="32"/>
        </w:rPr>
        <w:t>交通运输(类)公路水路运输(款)交通运输信息化建设(项):指</w:t>
      </w:r>
      <w:bookmarkStart w:id="84" w:name="_Toc15396614"/>
      <w:r>
        <w:rPr>
          <w:rFonts w:hint="eastAsia" w:eastAsia="仿宋_GB2312"/>
          <w:sz w:val="32"/>
          <w:szCs w:val="32"/>
          <w:lang w:eastAsia="zh-CN"/>
        </w:rPr>
        <w:t>交通运输信息化建设支出。</w:t>
      </w:r>
    </w:p>
    <w:p>
      <w:pPr>
        <w:spacing w:line="600" w:lineRule="exact"/>
        <w:ind w:firstLine="640" w:firstLineChars="200"/>
        <w:jc w:val="both"/>
        <w:rPr>
          <w:rFonts w:hint="eastAsia" w:eastAsia="仿宋_GB2312"/>
          <w:sz w:val="32"/>
          <w:szCs w:val="32"/>
        </w:rPr>
      </w:pPr>
    </w:p>
    <w:p>
      <w:pPr>
        <w:spacing w:line="600" w:lineRule="exact"/>
        <w:ind w:firstLine="640" w:firstLineChars="200"/>
        <w:jc w:val="both"/>
        <w:rPr>
          <w:rFonts w:hint="eastAsia" w:eastAsia="仿宋_GB2312"/>
          <w:sz w:val="32"/>
          <w:szCs w:val="32"/>
        </w:rPr>
      </w:pPr>
    </w:p>
    <w:p>
      <w:pPr>
        <w:spacing w:line="600" w:lineRule="exact"/>
        <w:ind w:firstLine="640" w:firstLineChars="200"/>
        <w:jc w:val="both"/>
        <w:rPr>
          <w:rFonts w:hint="eastAsia" w:eastAsia="仿宋_GB2312"/>
          <w:sz w:val="32"/>
          <w:szCs w:val="32"/>
        </w:rPr>
      </w:pPr>
    </w:p>
    <w:p>
      <w:pPr>
        <w:spacing w:line="600" w:lineRule="exact"/>
        <w:ind w:firstLine="640" w:firstLineChars="200"/>
        <w:jc w:val="both"/>
        <w:rPr>
          <w:rFonts w:hint="eastAsia" w:eastAsia="仿宋_GB2312"/>
          <w:sz w:val="32"/>
          <w:szCs w:val="32"/>
        </w:rPr>
      </w:pPr>
    </w:p>
    <w:p>
      <w:pPr>
        <w:spacing w:line="600" w:lineRule="exact"/>
        <w:ind w:firstLine="640" w:firstLineChars="200"/>
        <w:jc w:val="both"/>
        <w:rPr>
          <w:rFonts w:hint="eastAsia" w:eastAsia="仿宋_GB2312"/>
          <w:sz w:val="32"/>
          <w:szCs w:val="32"/>
        </w:rPr>
      </w:pPr>
    </w:p>
    <w:p>
      <w:pPr>
        <w:spacing w:line="600" w:lineRule="exact"/>
        <w:ind w:firstLine="640" w:firstLineChars="200"/>
        <w:jc w:val="both"/>
        <w:rPr>
          <w:rFonts w:hint="eastAsia" w:eastAsia="仿宋_GB2312"/>
          <w:sz w:val="32"/>
          <w:szCs w:val="32"/>
        </w:rPr>
      </w:pPr>
    </w:p>
    <w:p>
      <w:pPr>
        <w:spacing w:line="600" w:lineRule="exact"/>
        <w:ind w:firstLine="640" w:firstLineChars="200"/>
        <w:jc w:val="both"/>
        <w:rPr>
          <w:rFonts w:hint="eastAsia" w:eastAsia="仿宋_GB2312"/>
          <w:sz w:val="32"/>
          <w:szCs w:val="32"/>
        </w:rPr>
      </w:pPr>
    </w:p>
    <w:p>
      <w:pPr>
        <w:spacing w:line="600" w:lineRule="exact"/>
        <w:ind w:firstLine="640" w:firstLineChars="200"/>
        <w:jc w:val="both"/>
        <w:rPr>
          <w:rFonts w:hint="eastAsia" w:eastAsia="仿宋_GB2312"/>
          <w:sz w:val="32"/>
          <w:szCs w:val="32"/>
        </w:rPr>
      </w:pPr>
    </w:p>
    <w:p>
      <w:pPr>
        <w:spacing w:line="600" w:lineRule="exact"/>
        <w:ind w:firstLine="640" w:firstLineChars="200"/>
        <w:jc w:val="both"/>
        <w:rPr>
          <w:rFonts w:hint="eastAsia" w:eastAsia="仿宋_GB2312"/>
          <w:sz w:val="32"/>
          <w:szCs w:val="32"/>
        </w:rPr>
      </w:pPr>
    </w:p>
    <w:p>
      <w:pPr>
        <w:spacing w:line="600" w:lineRule="exact"/>
        <w:jc w:val="center"/>
        <w:rPr>
          <w:rStyle w:val="23"/>
          <w:rFonts w:eastAsia="黑体"/>
          <w:b w:val="0"/>
        </w:rPr>
      </w:pPr>
      <w:r>
        <w:rPr>
          <w:rFonts w:eastAsia="黑体"/>
          <w:sz w:val="44"/>
          <w:szCs w:val="44"/>
          <w:shd w:val="clear" w:color="auto" w:fill="auto"/>
        </w:rPr>
        <w:t>第四部分</w:t>
      </w:r>
      <w:r>
        <w:rPr>
          <w:rFonts w:eastAsia="黑体"/>
          <w:sz w:val="44"/>
          <w:szCs w:val="44"/>
        </w:rPr>
        <w:t xml:space="preserve">  附件</w:t>
      </w:r>
      <w:bookmarkEnd w:id="84"/>
    </w:p>
    <w:p>
      <w:pPr>
        <w:spacing w:line="572" w:lineRule="exact"/>
        <w:jc w:val="left"/>
        <w:outlineLvl w:val="0"/>
        <w:rPr>
          <w:rFonts w:eastAsia="黑体"/>
          <w:color w:val="FF0000"/>
          <w:sz w:val="32"/>
          <w:szCs w:val="32"/>
        </w:rPr>
      </w:pPr>
    </w:p>
    <w:p>
      <w:pPr>
        <w:spacing w:line="572" w:lineRule="exact"/>
        <w:jc w:val="left"/>
        <w:outlineLvl w:val="0"/>
        <w:rPr>
          <w:rFonts w:hint="eastAsia" w:ascii="方正黑体_GBK" w:eastAsia="方正黑体_GBK" w:cs="方正黑体_GBK"/>
          <w:sz w:val="44"/>
          <w:szCs w:val="44"/>
        </w:rPr>
      </w:pPr>
      <w:bookmarkStart w:id="85" w:name="_Toc83065399"/>
      <w:r>
        <w:rPr>
          <w:rFonts w:hint="eastAsia" w:ascii="方正黑体_GBK" w:eastAsia="方正黑体_GBK" w:cs="方正黑体_GBK"/>
          <w:sz w:val="32"/>
          <w:szCs w:val="32"/>
        </w:rPr>
        <w:t>附件1</w:t>
      </w:r>
      <w:bookmarkEnd w:id="85"/>
    </w:p>
    <w:p>
      <w:pPr>
        <w:keepNext w:val="0"/>
        <w:keepLines w:val="0"/>
        <w:pageBreakBefore w:val="0"/>
        <w:widowControl w:val="0"/>
        <w:suppressAutoHyphens/>
        <w:kinsoku/>
        <w:wordWrap/>
        <w:overflowPunct/>
        <w:topLinePunct w:val="0"/>
        <w:autoSpaceDE/>
        <w:autoSpaceDN/>
        <w:spacing w:line="576" w:lineRule="exact"/>
        <w:contextualSpacing/>
        <w:jc w:val="center"/>
        <w:rPr>
          <w:rFonts w:eastAsia="方正小标宋简体"/>
          <w:b w:val="0"/>
          <w:bCs w:val="0"/>
          <w:color w:val="auto"/>
          <w:sz w:val="44"/>
          <w:szCs w:val="44"/>
          <w:shd w:val="clear" w:color="auto" w:fill="FFFFFF"/>
          <w:lang w:val="en-US" w:eastAsia="zh-CN" w:bidi="ar-SA"/>
        </w:rPr>
      </w:pPr>
      <w:r>
        <w:rPr>
          <w:rFonts w:eastAsia="方正小标宋简体"/>
          <w:b w:val="0"/>
          <w:bCs w:val="0"/>
          <w:color w:val="auto"/>
          <w:sz w:val="44"/>
          <w:szCs w:val="44"/>
          <w:shd w:val="clear" w:color="auto" w:fill="FFFFFF"/>
          <w:lang w:val="en-US" w:eastAsia="zh-CN" w:bidi="ar-SA"/>
        </w:rPr>
        <w:t>广元国际铁路港管理委员会</w:t>
      </w:r>
    </w:p>
    <w:p>
      <w:pPr>
        <w:keepNext w:val="0"/>
        <w:keepLines w:val="0"/>
        <w:pageBreakBefore w:val="0"/>
        <w:widowControl w:val="0"/>
        <w:suppressAutoHyphens/>
        <w:kinsoku/>
        <w:wordWrap/>
        <w:overflowPunct/>
        <w:topLinePunct w:val="0"/>
        <w:autoSpaceDE/>
        <w:autoSpaceDN/>
        <w:spacing w:line="576" w:lineRule="exact"/>
        <w:contextualSpacing/>
        <w:jc w:val="center"/>
        <w:rPr>
          <w:rFonts w:eastAsia="方正小标宋简体"/>
          <w:b w:val="0"/>
          <w:bCs w:val="0"/>
          <w:color w:val="auto"/>
          <w:sz w:val="44"/>
          <w:szCs w:val="44"/>
          <w:shd w:val="clear" w:color="auto" w:fill="FFFFFF"/>
          <w:lang w:bidi="ar-SA"/>
        </w:rPr>
      </w:pPr>
      <w:r>
        <w:rPr>
          <w:rFonts w:eastAsia="方正小标宋简体"/>
          <w:b w:val="0"/>
          <w:bCs w:val="0"/>
          <w:color w:val="auto"/>
          <w:sz w:val="44"/>
          <w:szCs w:val="44"/>
          <w:shd w:val="clear" w:color="auto" w:fill="FFFFFF"/>
          <w:lang w:val="en-US" w:eastAsia="zh-CN" w:bidi="ar-SA"/>
        </w:rPr>
        <w:t>2024年</w:t>
      </w:r>
      <w:r>
        <w:rPr>
          <w:rFonts w:eastAsia="方正小标宋简体"/>
          <w:b w:val="0"/>
          <w:bCs w:val="0"/>
          <w:color w:val="auto"/>
          <w:sz w:val="44"/>
          <w:szCs w:val="44"/>
          <w:shd w:val="clear" w:color="auto" w:fill="FFFFFF"/>
          <w:lang w:bidi="ar-SA"/>
        </w:rPr>
        <w:t>部门</w:t>
      </w:r>
      <w:r>
        <w:rPr>
          <w:rFonts w:eastAsia="方正小标宋简体"/>
          <w:b w:val="0"/>
          <w:bCs w:val="0"/>
          <w:color w:val="auto"/>
          <w:sz w:val="44"/>
          <w:szCs w:val="44"/>
          <w:shd w:val="clear" w:color="auto" w:fill="FFFFFF"/>
          <w:lang w:eastAsia="zh-CN" w:bidi="ar-SA"/>
        </w:rPr>
        <w:t>预算</w:t>
      </w:r>
      <w:r>
        <w:rPr>
          <w:rFonts w:eastAsia="方正小标宋简体"/>
          <w:b w:val="0"/>
          <w:bCs w:val="0"/>
          <w:color w:val="auto"/>
          <w:sz w:val="44"/>
          <w:szCs w:val="44"/>
          <w:shd w:val="clear" w:color="auto" w:fill="FFFFFF"/>
          <w:lang w:bidi="ar-SA"/>
        </w:rPr>
        <w:t>绩效</w:t>
      </w:r>
      <w:r>
        <w:rPr>
          <w:rFonts w:eastAsia="方正小标宋简体"/>
          <w:b w:val="0"/>
          <w:bCs w:val="0"/>
          <w:color w:val="auto"/>
          <w:sz w:val="44"/>
          <w:szCs w:val="44"/>
          <w:shd w:val="clear" w:color="auto" w:fill="FFFFFF"/>
          <w:lang w:eastAsia="zh-CN" w:bidi="ar-SA"/>
        </w:rPr>
        <w:t>自评</w:t>
      </w:r>
      <w:r>
        <w:rPr>
          <w:rFonts w:eastAsia="方正小标宋简体"/>
          <w:b w:val="0"/>
          <w:bCs w:val="0"/>
          <w:color w:val="auto"/>
          <w:sz w:val="44"/>
          <w:szCs w:val="44"/>
          <w:shd w:val="clear" w:color="auto" w:fill="FFFFFF"/>
          <w:lang w:bidi="ar-SA"/>
        </w:rPr>
        <w:t>报告</w:t>
      </w:r>
    </w:p>
    <w:p>
      <w:pPr>
        <w:keepNext w:val="0"/>
        <w:keepLines w:val="0"/>
        <w:pageBreakBefore w:val="0"/>
        <w:widowControl w:val="0"/>
        <w:suppressAutoHyphens/>
        <w:kinsoku/>
        <w:wordWrap/>
        <w:overflowPunct/>
        <w:topLinePunct w:val="0"/>
        <w:autoSpaceDE/>
        <w:autoSpaceDN/>
        <w:adjustRightInd w:val="0"/>
        <w:snapToGrid w:val="0"/>
        <w:spacing w:line="576" w:lineRule="exact"/>
        <w:contextualSpacing/>
        <w:jc w:val="left"/>
        <w:rPr>
          <w:rFonts w:eastAsia="黑体"/>
          <w:b w:val="0"/>
          <w:bCs w:val="0"/>
          <w:color w:val="auto"/>
          <w:kern w:val="0"/>
          <w:sz w:val="32"/>
          <w:szCs w:val="32"/>
          <w:shd w:val="clear" w:color="auto" w:fill="FFFFFF"/>
          <w:lang w:bidi="ar-SA"/>
        </w:rPr>
      </w:pP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outlineLvl w:val="0"/>
        <w:rPr>
          <w:rFonts w:eastAsia="黑体"/>
          <w:b w:val="0"/>
          <w:bCs w:val="0"/>
          <w:color w:val="auto"/>
          <w:sz w:val="32"/>
          <w:szCs w:val="32"/>
          <w:lang w:bidi="ar-SA"/>
        </w:rPr>
      </w:pPr>
      <w:bookmarkStart w:id="86" w:name="_Toc83065400"/>
      <w:r>
        <w:rPr>
          <w:rFonts w:eastAsia="黑体"/>
          <w:b w:val="0"/>
          <w:bCs w:val="0"/>
          <w:color w:val="auto"/>
          <w:kern w:val="0"/>
          <w:sz w:val="32"/>
          <w:szCs w:val="32"/>
          <w:shd w:val="clear" w:color="auto" w:fill="FFFFFF"/>
          <w:lang w:val="zh-CN" w:eastAsia="zh-CN" w:bidi="ar-SA"/>
        </w:rPr>
        <w:t>一、部门（单位）基本情况</w:t>
      </w:r>
      <w:bookmarkEnd w:id="86"/>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outlineLvl w:val="1"/>
        <w:rPr>
          <w:rFonts w:eastAsia="楷体_GB2312"/>
          <w:b w:val="0"/>
          <w:bCs w:val="0"/>
          <w:color w:val="auto"/>
          <w:kern w:val="0"/>
          <w:sz w:val="32"/>
          <w:szCs w:val="32"/>
          <w:shd w:val="clear" w:color="auto" w:fill="FFFFFF"/>
          <w:lang w:val="zh-CN" w:eastAsia="zh-CN" w:bidi="ar-SA"/>
        </w:rPr>
      </w:pPr>
      <w:bookmarkStart w:id="87" w:name="_Toc83065401"/>
      <w:r>
        <w:rPr>
          <w:rFonts w:eastAsia="楷体_GB2312"/>
          <w:b w:val="0"/>
          <w:bCs w:val="0"/>
          <w:color w:val="auto"/>
          <w:kern w:val="0"/>
          <w:sz w:val="32"/>
          <w:szCs w:val="32"/>
          <w:shd w:val="clear" w:color="auto" w:fill="FFFFFF"/>
          <w:lang w:val="zh-CN" w:eastAsia="zh-CN" w:bidi="ar-SA"/>
        </w:rPr>
        <w:t>（一）机构组成</w:t>
      </w:r>
      <w:bookmarkEnd w:id="87"/>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rPr>
          <w:b w:val="0"/>
          <w:bCs w:val="0"/>
          <w:color w:val="auto"/>
          <w:sz w:val="32"/>
          <w:szCs w:val="32"/>
          <w:lang w:bidi="ar-SA"/>
        </w:rPr>
      </w:pPr>
      <w:r>
        <w:rPr>
          <w:rFonts w:eastAsia="仿宋_GB2312"/>
          <w:b w:val="0"/>
          <w:bCs w:val="0"/>
          <w:color w:val="auto"/>
          <w:kern w:val="0"/>
          <w:sz w:val="32"/>
          <w:szCs w:val="32"/>
          <w:shd w:val="clear" w:color="auto" w:fill="FFFFFF"/>
          <w:lang w:val="en-US" w:eastAsia="zh-CN" w:bidi="ar-SA"/>
        </w:rPr>
        <w:t>本单位为广元市人民政府派出机构，保留参公管理，正县级</w:t>
      </w:r>
      <w:r>
        <w:rPr>
          <w:rFonts w:eastAsia="仿宋_GB2312"/>
          <w:b w:val="0"/>
          <w:bCs w:val="0"/>
          <w:color w:val="auto"/>
          <w:sz w:val="32"/>
          <w:szCs w:val="30"/>
          <w:lang w:val="en-US" w:eastAsia="zh-CN"/>
        </w:rPr>
        <w:t>，下设7个内设机构，分别为：党群工作部、产业发展部、规划建设部、口岸物流部、投资促进部、财务部、协调服务部，</w:t>
      </w:r>
      <w:r>
        <w:rPr>
          <w:rFonts w:eastAsia="仿宋_GB2312"/>
          <w:b w:val="0"/>
          <w:bCs w:val="0"/>
          <w:color w:val="auto"/>
          <w:kern w:val="0"/>
          <w:sz w:val="32"/>
          <w:szCs w:val="32"/>
          <w:shd w:val="clear" w:color="auto" w:fill="FFFFFF"/>
          <w:lang w:val="en-US" w:eastAsia="zh-CN" w:bidi="ar-SA"/>
        </w:rPr>
        <w:t>无下属二级单位。</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1"/>
        <w:rPr>
          <w:rFonts w:eastAsia="楷体_GB2312"/>
          <w:b w:val="0"/>
          <w:bCs w:val="0"/>
          <w:color w:val="auto"/>
          <w:kern w:val="0"/>
          <w:sz w:val="32"/>
          <w:szCs w:val="32"/>
          <w:shd w:val="clear" w:color="auto" w:fill="FFFFFF"/>
          <w:lang w:val="zh-CN" w:eastAsia="zh-CN" w:bidi="ar-SA"/>
        </w:rPr>
      </w:pPr>
      <w:bookmarkStart w:id="88" w:name="_Toc83065402"/>
      <w:r>
        <w:rPr>
          <w:rFonts w:eastAsia="楷体_GB2312"/>
          <w:b w:val="0"/>
          <w:bCs w:val="0"/>
          <w:color w:val="auto"/>
          <w:kern w:val="0"/>
          <w:sz w:val="32"/>
          <w:szCs w:val="32"/>
          <w:shd w:val="clear" w:color="auto" w:fill="FFFFFF"/>
          <w:lang w:val="zh-CN" w:eastAsia="zh-CN" w:bidi="ar-SA"/>
        </w:rPr>
        <w:t>（二）机构职能</w:t>
      </w:r>
      <w:bookmarkEnd w:id="88"/>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zh-CN" w:eastAsia="zh-CN" w:bidi="ar-SA"/>
        </w:rPr>
        <w:t>1．贯彻执行党中央和省委、市委关于园区和产业功能区的法律、法规和政策。</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zh-CN" w:eastAsia="zh-CN" w:bidi="ar-SA"/>
        </w:rPr>
        <w:t>2．负责机关党建和广元国际铁路港规划区企事业单位党的建设、组织建设等工作。</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zh-CN" w:eastAsia="zh-CN" w:bidi="ar-SA"/>
        </w:rPr>
        <w:t>3．负责广元国际铁路港发展建设的总体推进。</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zh-CN" w:eastAsia="zh-CN" w:bidi="ar-SA"/>
        </w:rPr>
        <w:t>4．负责现代物流、国际贸易、保税加工等主导产业的发展。</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zh-CN" w:eastAsia="zh-CN" w:bidi="ar-SA"/>
        </w:rPr>
        <w:t>5．负责项目招商引资、对外合作和宣传推介等工作。</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zh-CN" w:eastAsia="zh-CN" w:bidi="ar-SA"/>
        </w:rPr>
        <w:t>6．统筹协调全市铁路建设。负责争取铁路项目。统筹协调铁路建设征地拆迁。负责竣工铁路项目遗留问题处理。负责铁路港运转资金的筹集、使用和管理。</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zh-CN" w:eastAsia="zh-CN" w:bidi="ar-SA"/>
        </w:rPr>
        <w:t>7．负责港区综合开发利用和基础设施建设管理。配合有关部门编制国土空间规划。负责港区建设用地计划的申报。</w:t>
      </w:r>
    </w:p>
    <w:p>
      <w:pPr>
        <w:keepNext w:val="0"/>
        <w:keepLines w:val="0"/>
        <w:pageBreakBefore w:val="0"/>
        <w:widowControl w:val="0"/>
        <w:suppressAutoHyphens/>
        <w:kinsoku/>
        <w:wordWrap/>
        <w:overflowPunct/>
        <w:topLinePunct w:val="0"/>
        <w:autoSpaceDE/>
        <w:autoSpaceDN/>
        <w:adjustRightInd/>
        <w:snapToGrid/>
        <w:spacing w:line="576" w:lineRule="exact"/>
        <w:ind w:firstLine="640" w:firstLineChars="200"/>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zh-CN" w:eastAsia="zh-CN" w:bidi="ar-SA"/>
        </w:rPr>
        <w:t>8．负责港区企业服务、经济指标考核。配合有关部门开展生态环境保护、企业安全生产、信访维稳等工作。</w:t>
      </w:r>
    </w:p>
    <w:p>
      <w:pPr>
        <w:keepNext w:val="0"/>
        <w:keepLines w:val="0"/>
        <w:pageBreakBefore w:val="0"/>
        <w:widowControl w:val="0"/>
        <w:suppressAutoHyphens/>
        <w:kinsoku/>
        <w:wordWrap/>
        <w:overflowPunct/>
        <w:topLinePunct w:val="0"/>
        <w:autoSpaceDE/>
        <w:autoSpaceDN/>
        <w:adjustRightInd/>
        <w:snapToGrid/>
        <w:spacing w:line="576" w:lineRule="exact"/>
        <w:ind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9．协调有关部门派出机构、分支机构和国有平台公司。</w:t>
      </w:r>
    </w:p>
    <w:p>
      <w:pPr>
        <w:keepNext w:val="0"/>
        <w:keepLines w:val="0"/>
        <w:pageBreakBefore w:val="0"/>
        <w:widowControl w:val="0"/>
        <w:suppressAutoHyphens/>
        <w:kinsoku/>
        <w:wordWrap/>
        <w:overflowPunct/>
        <w:topLinePunct w:val="0"/>
        <w:autoSpaceDE/>
        <w:autoSpaceDN/>
        <w:adjustRightInd/>
        <w:snapToGrid/>
        <w:spacing w:line="576" w:lineRule="exact"/>
        <w:ind w:firstLine="640" w:firstLineChars="200"/>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position w:val="0"/>
          <w:sz w:val="32"/>
          <w:szCs w:val="32"/>
          <w:lang w:val="en-US" w:eastAsia="zh-CN" w:bidi="ar-SA"/>
        </w:rPr>
        <w:t>10．完成市委、市政府交办的其他工作任务。</w:t>
      </w:r>
    </w:p>
    <w:p>
      <w:pPr>
        <w:keepNext w:val="0"/>
        <w:keepLines w:val="0"/>
        <w:pageBreakBefore w:val="0"/>
        <w:widowControl w:val="0"/>
        <w:suppressAutoHyphens/>
        <w:kinsoku/>
        <w:wordWrap/>
        <w:overflowPunct/>
        <w:topLinePunct w:val="0"/>
        <w:autoSpaceDE/>
        <w:autoSpaceDN/>
        <w:adjustRightInd/>
        <w:snapToGrid/>
        <w:spacing w:line="576" w:lineRule="exact"/>
        <w:ind w:firstLine="640" w:firstLineChars="200"/>
        <w:outlineLvl w:val="1"/>
        <w:rPr>
          <w:rFonts w:eastAsia="楷体_GB2312"/>
          <w:b w:val="0"/>
          <w:bCs w:val="0"/>
          <w:color w:val="auto"/>
          <w:kern w:val="0"/>
          <w:sz w:val="32"/>
          <w:szCs w:val="32"/>
          <w:shd w:val="clear" w:color="auto" w:fill="FFFFFF"/>
          <w:lang w:val="zh-CN" w:eastAsia="zh-CN" w:bidi="ar-SA"/>
        </w:rPr>
      </w:pPr>
      <w:bookmarkStart w:id="89" w:name="_Toc83065403"/>
      <w:r>
        <w:rPr>
          <w:rFonts w:eastAsia="楷体_GB2312"/>
          <w:b w:val="0"/>
          <w:bCs w:val="0"/>
          <w:color w:val="auto"/>
          <w:kern w:val="0"/>
          <w:sz w:val="32"/>
          <w:szCs w:val="32"/>
          <w:shd w:val="clear" w:color="auto" w:fill="FFFFFF"/>
          <w:lang w:val="zh-CN" w:eastAsia="zh-CN" w:bidi="ar-SA"/>
        </w:rPr>
        <w:t>（三）人员概况</w:t>
      </w:r>
      <w:bookmarkEnd w:id="89"/>
    </w:p>
    <w:p>
      <w:pPr>
        <w:keepNext w:val="0"/>
        <w:keepLines w:val="0"/>
        <w:pageBreakBefore w:val="0"/>
        <w:widowControl w:val="0"/>
        <w:suppressAutoHyphens/>
        <w:kinsoku/>
        <w:wordWrap/>
        <w:overflowPunct/>
        <w:topLinePunct w:val="0"/>
        <w:autoSpaceDE/>
        <w:autoSpaceDN/>
        <w:adjustRightInd/>
        <w:snapToGrid/>
        <w:spacing w:line="576" w:lineRule="exact"/>
        <w:ind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zh-CN" w:eastAsia="zh-CN" w:bidi="ar-SA"/>
        </w:rPr>
        <w:t>截至202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年末，</w:t>
      </w:r>
      <w:r>
        <w:rPr>
          <w:rFonts w:eastAsia="仿宋_GB2312"/>
          <w:b w:val="0"/>
          <w:bCs w:val="0"/>
          <w:color w:val="auto"/>
          <w:kern w:val="0"/>
          <w:position w:val="0"/>
          <w:sz w:val="32"/>
          <w:szCs w:val="32"/>
          <w:lang w:val="en-US" w:eastAsia="zh-CN" w:bidi="ar-SA"/>
        </w:rPr>
        <w:t>我单位现有人员编制39个，其中：行政编制27个，机关工勤编制2个,事业编制10个。实有在职人员38人，其中：行政人员27人，工勤人员2人,事业人员9人；退休人员9人。</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0"/>
        <w:rPr>
          <w:rFonts w:eastAsia="黑体"/>
          <w:b w:val="0"/>
          <w:bCs w:val="0"/>
          <w:color w:val="auto"/>
          <w:kern w:val="0"/>
          <w:sz w:val="32"/>
          <w:szCs w:val="32"/>
          <w:shd w:val="clear" w:color="auto" w:fill="FFFFFF"/>
          <w:lang w:bidi="ar-SA"/>
        </w:rPr>
      </w:pPr>
      <w:bookmarkStart w:id="90" w:name="_Toc83065404"/>
      <w:r>
        <w:rPr>
          <w:rFonts w:eastAsia="黑体"/>
          <w:b w:val="0"/>
          <w:bCs w:val="0"/>
          <w:color w:val="auto"/>
          <w:kern w:val="0"/>
          <w:sz w:val="32"/>
          <w:szCs w:val="32"/>
          <w:shd w:val="clear" w:color="auto" w:fill="FFFFFF"/>
          <w:lang w:bidi="ar-SA"/>
        </w:rPr>
        <w:t>二、</w:t>
      </w:r>
      <w:r>
        <w:rPr>
          <w:rFonts w:eastAsia="黑体"/>
          <w:b w:val="0"/>
          <w:bCs w:val="0"/>
          <w:color w:val="auto"/>
          <w:kern w:val="0"/>
          <w:sz w:val="32"/>
          <w:szCs w:val="32"/>
          <w:shd w:val="clear" w:color="auto" w:fill="FFFFFF"/>
          <w:lang w:eastAsia="zh-CN" w:bidi="ar-SA"/>
        </w:rPr>
        <w:t>部门</w:t>
      </w:r>
      <w:r>
        <w:rPr>
          <w:rFonts w:eastAsia="黑体"/>
          <w:b w:val="0"/>
          <w:bCs w:val="0"/>
          <w:color w:val="auto"/>
          <w:kern w:val="0"/>
          <w:sz w:val="32"/>
          <w:szCs w:val="32"/>
          <w:shd w:val="clear" w:color="auto" w:fill="FFFFFF"/>
          <w:lang w:bidi="ar-SA"/>
        </w:rPr>
        <w:t>资金收支情况</w:t>
      </w:r>
      <w:bookmarkEnd w:id="90"/>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1"/>
        <w:rPr>
          <w:rFonts w:eastAsia="楷体_GB2312"/>
          <w:b w:val="0"/>
          <w:bCs w:val="0"/>
          <w:color w:val="auto"/>
          <w:kern w:val="0"/>
          <w:sz w:val="32"/>
          <w:szCs w:val="32"/>
          <w:shd w:val="clear" w:color="auto" w:fill="FFFFFF"/>
          <w:lang w:val="zh-CN" w:eastAsia="zh-CN" w:bidi="ar-SA"/>
        </w:rPr>
      </w:pPr>
      <w:bookmarkStart w:id="91" w:name="_Toc83065405"/>
      <w:r>
        <w:rPr>
          <w:rFonts w:eastAsia="楷体_GB2312"/>
          <w:b w:val="0"/>
          <w:bCs w:val="0"/>
          <w:color w:val="auto"/>
          <w:kern w:val="0"/>
          <w:sz w:val="32"/>
          <w:szCs w:val="32"/>
          <w:shd w:val="clear" w:color="auto" w:fill="FFFFFF"/>
          <w:lang w:val="zh-CN" w:eastAsia="zh-CN" w:bidi="ar-SA"/>
        </w:rPr>
        <w:t>（一）收入情况</w:t>
      </w:r>
      <w:bookmarkEnd w:id="91"/>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rPr>
          <w:rFonts w:eastAsia="仿宋_GB2312"/>
          <w:b w:val="0"/>
          <w:bCs w:val="0"/>
          <w:color w:val="auto"/>
          <w:kern w:val="0"/>
          <w:sz w:val="32"/>
          <w:szCs w:val="32"/>
          <w:shd w:val="clear" w:color="auto" w:fill="FFFFFF"/>
          <w:lang w:val="en-US" w:eastAsia="zh-CN" w:bidi="ar-SA"/>
        </w:rPr>
      </w:pPr>
      <w:r>
        <w:rPr>
          <w:rFonts w:eastAsia="仿宋_GB2312"/>
          <w:b w:val="0"/>
          <w:bCs w:val="0"/>
          <w:color w:val="auto"/>
          <w:kern w:val="0"/>
          <w:sz w:val="32"/>
          <w:szCs w:val="32"/>
          <w:shd w:val="clear" w:color="auto" w:fill="FFFFFF"/>
          <w:lang w:val="en-US" w:eastAsia="zh-CN" w:bidi="ar-SA"/>
        </w:rPr>
        <w:t>按照综合预算的原则，我单位所有收入均纳入部门预算管理。2024年年初收入总预算797.94万元，均为一般公共预算拨款收入。2024年决算报表收入合计4212.91万元，其中：一般公共预算财政拨款收入4212.91万元，占100%。</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1"/>
        <w:rPr>
          <w:rFonts w:eastAsia="楷体_GB2312"/>
          <w:b w:val="0"/>
          <w:bCs w:val="0"/>
          <w:color w:val="auto"/>
          <w:kern w:val="0"/>
          <w:sz w:val="32"/>
          <w:szCs w:val="32"/>
          <w:shd w:val="clear" w:color="auto" w:fill="FFFFFF"/>
          <w:lang w:val="zh-CN" w:eastAsia="zh-CN" w:bidi="ar-SA"/>
        </w:rPr>
      </w:pPr>
      <w:bookmarkStart w:id="92" w:name="_Toc83065406"/>
      <w:r>
        <w:rPr>
          <w:rFonts w:eastAsia="楷体_GB2312"/>
          <w:b w:val="0"/>
          <w:bCs w:val="0"/>
          <w:color w:val="auto"/>
          <w:kern w:val="0"/>
          <w:sz w:val="32"/>
          <w:szCs w:val="32"/>
          <w:shd w:val="clear" w:color="auto" w:fill="FFFFFF"/>
          <w:lang w:val="zh-CN" w:eastAsia="zh-CN" w:bidi="ar-SA"/>
        </w:rPr>
        <w:t>（二）支出情况</w:t>
      </w:r>
      <w:bookmarkEnd w:id="92"/>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sz w:val="32"/>
          <w:szCs w:val="32"/>
          <w:shd w:val="clear" w:color="auto" w:fill="FFFFFF"/>
          <w:lang w:val="en-US" w:eastAsia="zh-CN" w:bidi="ar-SA"/>
        </w:rPr>
        <w:t>按照综合预算的原则，我单位所有支出均纳入部门预算管理。2024年年初支出总预算797.94万元，支出包括：一般公共服务支出、社会保障和就业支出、卫生健康支出、住房保障支出。2024年决算报表支出合计4212.91万元，其中：一般公共预算财政拨款收入支出4212.91万元。</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1"/>
        <w:rPr>
          <w:rFonts w:eastAsia="楷体_GB2312"/>
          <w:b w:val="0"/>
          <w:bCs w:val="0"/>
          <w:color w:val="auto"/>
          <w:sz w:val="32"/>
          <w:szCs w:val="32"/>
          <w:lang w:eastAsia="zh-CN" w:bidi="ar-SA"/>
        </w:rPr>
      </w:pPr>
      <w:bookmarkStart w:id="93" w:name="_Toc83065407"/>
      <w:r>
        <w:rPr>
          <w:rFonts w:eastAsia="楷体_GB2312"/>
          <w:b w:val="0"/>
          <w:bCs w:val="0"/>
          <w:color w:val="auto"/>
          <w:kern w:val="0"/>
          <w:sz w:val="32"/>
          <w:szCs w:val="32"/>
          <w:shd w:val="clear" w:color="auto" w:fill="FFFFFF"/>
          <w:lang w:val="zh-CN" w:eastAsia="zh-CN" w:bidi="ar-SA"/>
        </w:rPr>
        <w:t>（三）</w:t>
      </w:r>
      <w:r>
        <w:rPr>
          <w:rFonts w:eastAsia="楷体_GB2312"/>
          <w:b w:val="0"/>
          <w:bCs w:val="0"/>
          <w:color w:val="auto"/>
          <w:sz w:val="32"/>
          <w:szCs w:val="32"/>
          <w:lang w:bidi="ar-SA"/>
        </w:rPr>
        <w:t>结余分配和结转结余情况</w:t>
      </w:r>
      <w:bookmarkEnd w:id="93"/>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rPr>
          <w:rFonts w:eastAsia="仿宋_GB2312"/>
          <w:b w:val="0"/>
          <w:bCs w:val="0"/>
          <w:color w:val="auto"/>
          <w:kern w:val="0"/>
          <w:sz w:val="32"/>
          <w:szCs w:val="32"/>
          <w:shd w:val="clear" w:color="auto" w:fill="FFFFFF"/>
          <w:lang w:val="zh-CN" w:eastAsia="zh-CN" w:bidi="ar-SA"/>
        </w:rPr>
      </w:pPr>
      <w:r>
        <w:rPr>
          <w:rFonts w:eastAsia="仿宋_GB2312"/>
          <w:b w:val="0"/>
          <w:bCs w:val="0"/>
          <w:color w:val="auto"/>
          <w:kern w:val="0"/>
          <w:position w:val="0"/>
          <w:sz w:val="32"/>
          <w:szCs w:val="32"/>
          <w:lang w:val="en-US" w:eastAsia="zh-CN" w:bidi="ar-SA"/>
        </w:rPr>
        <w:t>我单位2024年决算报表无结转结余情况。</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0"/>
        <w:rPr>
          <w:rFonts w:eastAsia="黑体"/>
          <w:b w:val="0"/>
          <w:bCs w:val="0"/>
          <w:color w:val="auto"/>
          <w:kern w:val="0"/>
          <w:sz w:val="32"/>
          <w:szCs w:val="32"/>
          <w:shd w:val="clear" w:color="auto" w:fill="FFFFFF"/>
          <w:lang w:val="en-US" w:bidi="ar-SA"/>
        </w:rPr>
      </w:pPr>
      <w:bookmarkStart w:id="94" w:name="_Toc83065408"/>
      <w:r>
        <w:rPr>
          <w:rFonts w:eastAsia="黑体"/>
          <w:b w:val="0"/>
          <w:bCs w:val="0"/>
          <w:color w:val="auto"/>
          <w:kern w:val="0"/>
          <w:sz w:val="32"/>
          <w:szCs w:val="32"/>
          <w:shd w:val="clear" w:color="auto" w:fill="FFFFFF"/>
          <w:lang w:bidi="ar-SA"/>
        </w:rPr>
        <w:t>三、</w:t>
      </w:r>
      <w:r>
        <w:rPr>
          <w:rFonts w:eastAsia="黑体"/>
          <w:b w:val="0"/>
          <w:bCs w:val="0"/>
          <w:color w:val="auto"/>
          <w:kern w:val="0"/>
          <w:sz w:val="32"/>
          <w:szCs w:val="32"/>
          <w:u w:val="none"/>
          <w:shd w:val="clear" w:color="auto" w:fill="FFFFFF"/>
          <w:lang w:bidi="ar-SA"/>
        </w:rPr>
        <w:t>部门</w:t>
      </w:r>
      <w:r>
        <w:rPr>
          <w:rFonts w:eastAsia="黑体"/>
          <w:b w:val="0"/>
          <w:bCs w:val="0"/>
          <w:color w:val="auto"/>
          <w:kern w:val="0"/>
          <w:sz w:val="32"/>
          <w:szCs w:val="32"/>
          <w:u w:val="none"/>
          <w:shd w:val="clear" w:color="auto" w:fill="FFFFFF"/>
          <w:lang w:eastAsia="zh-CN" w:bidi="ar-SA"/>
        </w:rPr>
        <w:t>预算</w:t>
      </w:r>
      <w:r>
        <w:rPr>
          <w:rFonts w:eastAsia="黑体"/>
          <w:b w:val="0"/>
          <w:bCs w:val="0"/>
          <w:color w:val="auto"/>
          <w:kern w:val="0"/>
          <w:sz w:val="32"/>
          <w:szCs w:val="32"/>
          <w:u w:val="none"/>
          <w:shd w:val="clear" w:color="auto" w:fill="FFFFFF"/>
          <w:lang w:bidi="ar-SA"/>
        </w:rPr>
        <w:t>绩效</w:t>
      </w:r>
      <w:r>
        <w:rPr>
          <w:rFonts w:eastAsia="黑体"/>
          <w:b w:val="0"/>
          <w:bCs w:val="0"/>
          <w:color w:val="auto"/>
          <w:kern w:val="0"/>
          <w:sz w:val="32"/>
          <w:szCs w:val="32"/>
          <w:u w:val="none"/>
          <w:shd w:val="clear" w:color="auto" w:fill="FFFFFF"/>
          <w:lang w:eastAsia="zh-CN" w:bidi="ar-SA"/>
        </w:rPr>
        <w:t>分析</w:t>
      </w:r>
      <w:bookmarkEnd w:id="94"/>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jc w:val="left"/>
        <w:outlineLvl w:val="1"/>
        <w:rPr>
          <w:rFonts w:eastAsia="仿宋_GB2312"/>
          <w:b w:val="0"/>
          <w:bCs w:val="0"/>
          <w:color w:val="auto"/>
          <w:kern w:val="0"/>
          <w:sz w:val="32"/>
          <w:szCs w:val="32"/>
          <w:shd w:val="clear" w:color="auto" w:fill="FFFFFF"/>
          <w:lang w:val="zh-CN" w:eastAsia="zh-CN" w:bidi="ar-SA"/>
        </w:rPr>
      </w:pPr>
      <w:bookmarkStart w:id="95" w:name="_Toc83065409"/>
      <w:r>
        <w:rPr>
          <w:rFonts w:eastAsia="楷体_GB2312"/>
          <w:b w:val="0"/>
          <w:bCs w:val="0"/>
          <w:color w:val="auto"/>
          <w:kern w:val="0"/>
          <w:sz w:val="32"/>
          <w:szCs w:val="32"/>
          <w:shd w:val="clear" w:color="auto" w:fill="FFFFFF"/>
          <w:lang w:val="zh-CN" w:eastAsia="zh-CN" w:bidi="ar-SA"/>
        </w:rPr>
        <w:t>（一）部门预算总体绩效分析</w:t>
      </w:r>
      <w:bookmarkEnd w:id="95"/>
    </w:p>
    <w:p>
      <w:pPr>
        <w:widowControl w:val="0"/>
        <w:suppressAutoHyphens/>
        <w:ind w:firstLine="640" w:firstLineChars="200"/>
        <w:outlineLvl w:val="2"/>
        <w:rPr>
          <w:rFonts w:eastAsia="仿宋_GB2312"/>
          <w:b w:val="0"/>
          <w:bCs w:val="0"/>
          <w:color w:val="auto"/>
          <w:kern w:val="0"/>
          <w:position w:val="0"/>
          <w:sz w:val="32"/>
          <w:szCs w:val="32"/>
          <w:lang w:val="en-US" w:eastAsia="zh-CN" w:bidi="ar-SA"/>
        </w:rPr>
      </w:pPr>
      <w:bookmarkStart w:id="96" w:name="_Toc83065410"/>
      <w:r>
        <w:rPr>
          <w:rFonts w:eastAsia="仿宋_GB2312"/>
          <w:b w:val="0"/>
          <w:bCs w:val="0"/>
          <w:color w:val="auto"/>
          <w:kern w:val="0"/>
          <w:position w:val="0"/>
          <w:sz w:val="32"/>
          <w:szCs w:val="32"/>
          <w:lang w:val="en-US" w:eastAsia="zh-CN" w:bidi="ar-SA"/>
        </w:rPr>
        <w:t>1.</w:t>
      </w:r>
      <w:r>
        <w:rPr>
          <w:rFonts w:eastAsia="仿宋_GB2312"/>
          <w:b w:val="0"/>
          <w:bCs w:val="0"/>
          <w:color w:val="auto"/>
          <w:kern w:val="0"/>
          <w:position w:val="0"/>
          <w:sz w:val="32"/>
          <w:szCs w:val="32"/>
          <w:lang w:val="zh-CN" w:eastAsia="zh-CN" w:bidi="ar-SA"/>
        </w:rPr>
        <w:t>履职效能</w:t>
      </w:r>
      <w:bookmarkEnd w:id="96"/>
    </w:p>
    <w:p>
      <w:pPr>
        <w:widowControl w:val="0"/>
        <w:suppressAutoHyphens/>
        <w:ind w:firstLine="640" w:firstLineChars="200"/>
        <w:rPr>
          <w:rFonts w:eastAsia="仿宋_GB2312"/>
          <w:b w:val="0"/>
          <w:bCs w:val="0"/>
          <w:color w:val="auto"/>
          <w:kern w:val="0"/>
          <w:position w:val="0"/>
          <w:sz w:val="32"/>
          <w:szCs w:val="32"/>
          <w:lang w:val="zh-CN" w:eastAsia="zh-CN" w:bidi="ar-SA"/>
        </w:rPr>
      </w:pPr>
      <w:r>
        <w:rPr>
          <w:rFonts w:eastAsia="仿宋_GB2312"/>
          <w:b w:val="0"/>
          <w:bCs w:val="0"/>
          <w:color w:val="auto"/>
          <w:sz w:val="32"/>
          <w:szCs w:val="32"/>
          <w:lang w:val="zh-CN" w:eastAsia="zh-CN" w:bidi="ar-SA"/>
        </w:rPr>
        <w:t>（1）开行国际班列</w:t>
      </w:r>
      <w:r>
        <w:rPr>
          <w:rFonts w:eastAsia="仿宋_GB2312"/>
          <w:b w:val="0"/>
          <w:bCs w:val="0"/>
          <w:color w:val="auto"/>
          <w:kern w:val="0"/>
          <w:position w:val="0"/>
          <w:sz w:val="32"/>
          <w:szCs w:val="32"/>
          <w:lang w:val="zh-CN" w:eastAsia="zh-CN" w:bidi="ar-SA"/>
        </w:rPr>
        <w:t>：指标赋分5分。202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年该目标任务为：常态化开行国际班列，开行国际班列</w:t>
      </w:r>
      <w:r>
        <w:rPr>
          <w:rFonts w:eastAsia="仿宋_GB2312"/>
          <w:b w:val="0"/>
          <w:bCs w:val="0"/>
          <w:color w:val="auto"/>
          <w:kern w:val="0"/>
          <w:position w:val="0"/>
          <w:sz w:val="32"/>
          <w:szCs w:val="32"/>
          <w:lang w:val="en-US" w:eastAsia="zh-CN" w:bidi="ar-SA"/>
        </w:rPr>
        <w:t>12</w:t>
      </w:r>
      <w:r>
        <w:rPr>
          <w:rFonts w:eastAsia="仿宋_GB2312"/>
          <w:b w:val="0"/>
          <w:bCs w:val="0"/>
          <w:color w:val="auto"/>
          <w:kern w:val="0"/>
          <w:position w:val="0"/>
          <w:sz w:val="32"/>
          <w:szCs w:val="32"/>
          <w:lang w:val="zh-CN" w:eastAsia="zh-CN" w:bidi="ar-SA"/>
        </w:rPr>
        <w:t>列以上。全年实际累计开行中亚、中老、中越、西部陆海新通道等国际班列</w:t>
      </w:r>
      <w:r>
        <w:rPr>
          <w:rFonts w:eastAsia="仿宋_GB2312"/>
          <w:b w:val="0"/>
          <w:bCs w:val="0"/>
          <w:color w:val="auto"/>
          <w:kern w:val="0"/>
          <w:position w:val="0"/>
          <w:sz w:val="32"/>
          <w:szCs w:val="32"/>
          <w:lang w:val="en-US" w:eastAsia="zh-CN" w:bidi="ar-SA"/>
        </w:rPr>
        <w:t>15</w:t>
      </w:r>
      <w:r>
        <w:rPr>
          <w:rFonts w:eastAsia="仿宋_GB2312"/>
          <w:b w:val="0"/>
          <w:bCs w:val="0"/>
          <w:color w:val="auto"/>
          <w:kern w:val="0"/>
          <w:position w:val="0"/>
          <w:sz w:val="32"/>
          <w:szCs w:val="32"/>
          <w:lang w:val="zh-CN" w:eastAsia="zh-CN" w:bidi="ar-SA"/>
        </w:rPr>
        <w:t>列，达到目标任务</w:t>
      </w:r>
      <w:r>
        <w:rPr>
          <w:rFonts w:eastAsia="仿宋_GB2312"/>
          <w:b w:val="0"/>
          <w:bCs w:val="0"/>
          <w:color w:val="auto"/>
          <w:kern w:val="0"/>
          <w:position w:val="0"/>
          <w:sz w:val="32"/>
          <w:szCs w:val="32"/>
          <w:lang w:val="en-US" w:eastAsia="zh-CN" w:bidi="ar-SA"/>
        </w:rPr>
        <w:t>12列</w:t>
      </w:r>
      <w:r>
        <w:rPr>
          <w:rFonts w:eastAsia="仿宋_GB2312"/>
          <w:b w:val="0"/>
          <w:bCs w:val="0"/>
          <w:color w:val="auto"/>
          <w:kern w:val="0"/>
          <w:position w:val="0"/>
          <w:sz w:val="32"/>
          <w:szCs w:val="32"/>
          <w:lang w:val="zh-CN" w:eastAsia="zh-CN" w:bidi="ar-SA"/>
        </w:rPr>
        <w:t>的</w:t>
      </w:r>
      <w:r>
        <w:rPr>
          <w:rFonts w:eastAsia="仿宋_GB2312"/>
          <w:b w:val="0"/>
          <w:bCs w:val="0"/>
          <w:color w:val="auto"/>
          <w:kern w:val="0"/>
          <w:position w:val="0"/>
          <w:sz w:val="32"/>
          <w:szCs w:val="32"/>
          <w:lang w:val="en-US" w:eastAsia="zh-CN" w:bidi="ar-SA"/>
        </w:rPr>
        <w:t>125</w:t>
      </w:r>
      <w:r>
        <w:rPr>
          <w:rFonts w:eastAsia="仿宋_GB2312"/>
          <w:b w:val="0"/>
          <w:bCs w:val="0"/>
          <w:color w:val="auto"/>
          <w:kern w:val="0"/>
          <w:position w:val="0"/>
          <w:sz w:val="32"/>
          <w:szCs w:val="32"/>
          <w:lang w:val="zh-CN" w:eastAsia="zh-CN" w:bidi="ar-SA"/>
        </w:rPr>
        <w:t>%。该项指标得分为5分。</w:t>
      </w:r>
    </w:p>
    <w:p>
      <w:pPr>
        <w:widowControl w:val="0"/>
        <w:suppressAutoHyphens/>
        <w:ind w:firstLine="640" w:firstLineChars="200"/>
        <w:rPr>
          <w:rFonts w:eastAsia="仿宋_GB2312"/>
          <w:b w:val="0"/>
          <w:bCs w:val="0"/>
          <w:color w:val="auto"/>
          <w:kern w:val="0"/>
          <w:position w:val="0"/>
          <w:sz w:val="32"/>
          <w:szCs w:val="32"/>
          <w:lang w:val="zh-CN" w:eastAsia="zh-CN" w:bidi="ar-SA"/>
        </w:rPr>
      </w:pPr>
      <w:r>
        <w:rPr>
          <w:rFonts w:eastAsia="仿宋_GB2312"/>
          <w:b w:val="0"/>
          <w:bCs w:val="0"/>
          <w:color w:val="auto"/>
          <w:sz w:val="32"/>
          <w:szCs w:val="32"/>
          <w:lang w:val="zh-CN" w:eastAsia="zh-CN" w:bidi="ar-SA"/>
        </w:rPr>
        <w:t>（2）固定资产投资</w:t>
      </w:r>
      <w:r>
        <w:rPr>
          <w:rFonts w:eastAsia="仿宋_GB2312"/>
          <w:b w:val="0"/>
          <w:bCs w:val="0"/>
          <w:color w:val="auto"/>
          <w:kern w:val="0"/>
          <w:position w:val="0"/>
          <w:sz w:val="32"/>
          <w:szCs w:val="32"/>
          <w:lang w:val="zh-CN" w:eastAsia="zh-CN" w:bidi="ar-SA"/>
        </w:rPr>
        <w:t>：指标赋分5分。202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年市下达目标任务为：固定资产投资</w:t>
      </w:r>
      <w:r>
        <w:rPr>
          <w:rFonts w:eastAsia="仿宋_GB2312"/>
          <w:b w:val="0"/>
          <w:bCs w:val="0"/>
          <w:color w:val="auto"/>
          <w:kern w:val="0"/>
          <w:position w:val="0"/>
          <w:sz w:val="32"/>
          <w:szCs w:val="32"/>
          <w:lang w:val="en-US" w:eastAsia="zh-CN" w:bidi="ar-SA"/>
        </w:rPr>
        <w:t>7.5</w:t>
      </w:r>
      <w:r>
        <w:rPr>
          <w:rFonts w:eastAsia="仿宋_GB2312"/>
          <w:b w:val="0"/>
          <w:bCs w:val="0"/>
          <w:color w:val="auto"/>
          <w:kern w:val="0"/>
          <w:position w:val="0"/>
          <w:sz w:val="32"/>
          <w:szCs w:val="32"/>
          <w:lang w:val="zh-CN" w:eastAsia="zh-CN" w:bidi="ar-SA"/>
        </w:rPr>
        <w:t>亿元。实际完成固定资产投资</w:t>
      </w:r>
      <w:r>
        <w:rPr>
          <w:rFonts w:eastAsia="仿宋_GB2312"/>
          <w:b w:val="0"/>
          <w:bCs w:val="0"/>
          <w:color w:val="auto"/>
          <w:kern w:val="0"/>
          <w:position w:val="0"/>
          <w:sz w:val="32"/>
          <w:szCs w:val="32"/>
          <w:lang w:val="en-US" w:eastAsia="zh-CN" w:bidi="ar-SA"/>
        </w:rPr>
        <w:t>7.65</w:t>
      </w:r>
      <w:r>
        <w:rPr>
          <w:rFonts w:eastAsia="仿宋_GB2312"/>
          <w:b w:val="0"/>
          <w:bCs w:val="0"/>
          <w:color w:val="auto"/>
          <w:kern w:val="0"/>
          <w:position w:val="0"/>
          <w:sz w:val="32"/>
          <w:szCs w:val="32"/>
          <w:lang w:val="zh-CN" w:eastAsia="zh-CN" w:bidi="ar-SA"/>
        </w:rPr>
        <w:t>亿元，达到目标任务</w:t>
      </w:r>
      <w:r>
        <w:rPr>
          <w:rFonts w:eastAsia="仿宋_GB2312"/>
          <w:b w:val="0"/>
          <w:bCs w:val="0"/>
          <w:color w:val="auto"/>
          <w:kern w:val="0"/>
          <w:position w:val="0"/>
          <w:sz w:val="32"/>
          <w:szCs w:val="32"/>
          <w:lang w:val="en-US" w:eastAsia="zh-CN" w:bidi="ar-SA"/>
        </w:rPr>
        <w:t>7.5</w:t>
      </w:r>
      <w:r>
        <w:rPr>
          <w:rFonts w:eastAsia="仿宋_GB2312"/>
          <w:b w:val="0"/>
          <w:bCs w:val="0"/>
          <w:color w:val="auto"/>
          <w:kern w:val="0"/>
          <w:position w:val="0"/>
          <w:sz w:val="32"/>
          <w:szCs w:val="32"/>
          <w:lang w:val="zh-CN" w:eastAsia="zh-CN" w:bidi="ar-SA"/>
        </w:rPr>
        <w:t>亿元的10</w:t>
      </w:r>
      <w:r>
        <w:rPr>
          <w:rFonts w:eastAsia="仿宋_GB2312"/>
          <w:b w:val="0"/>
          <w:bCs w:val="0"/>
          <w:color w:val="auto"/>
          <w:kern w:val="0"/>
          <w:position w:val="0"/>
          <w:sz w:val="32"/>
          <w:szCs w:val="32"/>
          <w:lang w:val="en-US" w:eastAsia="zh-CN" w:bidi="ar-SA"/>
        </w:rPr>
        <w:t>2</w:t>
      </w:r>
      <w:r>
        <w:rPr>
          <w:rFonts w:eastAsia="仿宋_GB2312"/>
          <w:b w:val="0"/>
          <w:bCs w:val="0"/>
          <w:color w:val="auto"/>
          <w:kern w:val="0"/>
          <w:position w:val="0"/>
          <w:sz w:val="32"/>
          <w:szCs w:val="32"/>
          <w:lang w:val="zh-CN" w:eastAsia="zh-CN" w:bidi="ar-SA"/>
        </w:rPr>
        <w:t>%。该项指标得分为5分。</w:t>
      </w:r>
    </w:p>
    <w:p>
      <w:pPr>
        <w:widowControl w:val="0"/>
        <w:suppressAutoHyphens/>
        <w:ind w:firstLine="640" w:firstLineChars="200"/>
        <w:rPr>
          <w:rFonts w:eastAsia="仿宋_GB2312"/>
          <w:b w:val="0"/>
          <w:bCs w:val="0"/>
          <w:color w:val="auto"/>
          <w:kern w:val="0"/>
          <w:position w:val="0"/>
          <w:sz w:val="32"/>
          <w:szCs w:val="32"/>
          <w:lang w:val="zh-CN" w:eastAsia="zh-CN" w:bidi="ar-SA"/>
        </w:rPr>
      </w:pPr>
      <w:r>
        <w:rPr>
          <w:rFonts w:eastAsia="仿宋_GB2312"/>
          <w:b w:val="0"/>
          <w:bCs w:val="0"/>
          <w:color w:val="auto"/>
          <w:sz w:val="32"/>
          <w:szCs w:val="32"/>
          <w:lang w:val="zh-CN" w:eastAsia="zh-CN" w:bidi="ar-SA"/>
        </w:rPr>
        <w:t>（3）招商引资</w:t>
      </w:r>
      <w:r>
        <w:rPr>
          <w:rFonts w:eastAsia="仿宋_GB2312"/>
          <w:b w:val="0"/>
          <w:bCs w:val="0"/>
          <w:color w:val="auto"/>
          <w:kern w:val="0"/>
          <w:position w:val="0"/>
          <w:sz w:val="32"/>
          <w:szCs w:val="32"/>
          <w:lang w:val="zh-CN" w:eastAsia="zh-CN" w:bidi="ar-SA"/>
        </w:rPr>
        <w:t>：指标赋分5分。202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年目标任务为：全年自主洽谈项目8个、参与洽谈项目2个；签约项目</w:t>
      </w:r>
      <w:r>
        <w:rPr>
          <w:rFonts w:eastAsia="仿宋_GB2312"/>
          <w:b w:val="0"/>
          <w:bCs w:val="0"/>
          <w:color w:val="auto"/>
          <w:kern w:val="0"/>
          <w:position w:val="0"/>
          <w:sz w:val="32"/>
          <w:szCs w:val="32"/>
          <w:lang w:val="en-US" w:eastAsia="zh-CN" w:bidi="ar-SA"/>
        </w:rPr>
        <w:t>2</w:t>
      </w:r>
      <w:r>
        <w:rPr>
          <w:rFonts w:eastAsia="仿宋_GB2312"/>
          <w:b w:val="0"/>
          <w:bCs w:val="0"/>
          <w:color w:val="auto"/>
          <w:kern w:val="0"/>
          <w:position w:val="0"/>
          <w:sz w:val="32"/>
          <w:szCs w:val="32"/>
          <w:lang w:val="zh-CN" w:eastAsia="zh-CN" w:bidi="ar-SA"/>
        </w:rPr>
        <w:t>个，其中5—10亿元项目1个；主要领导外出招商12次。实际完成情况为：全年累计自主洽谈项目</w:t>
      </w:r>
      <w:r>
        <w:rPr>
          <w:rFonts w:eastAsia="仿宋_GB2312"/>
          <w:b w:val="0"/>
          <w:bCs w:val="0"/>
          <w:color w:val="auto"/>
          <w:kern w:val="0"/>
          <w:position w:val="0"/>
          <w:sz w:val="32"/>
          <w:szCs w:val="32"/>
          <w:lang w:val="en-US" w:eastAsia="zh-CN" w:bidi="ar-SA"/>
        </w:rPr>
        <w:t>10</w:t>
      </w:r>
      <w:r>
        <w:rPr>
          <w:rFonts w:eastAsia="仿宋_GB2312"/>
          <w:b w:val="0"/>
          <w:bCs w:val="0"/>
          <w:color w:val="auto"/>
          <w:kern w:val="0"/>
          <w:position w:val="0"/>
          <w:sz w:val="32"/>
          <w:szCs w:val="32"/>
          <w:lang w:val="zh-CN" w:eastAsia="zh-CN" w:bidi="ar-SA"/>
        </w:rPr>
        <w:t>个；参与洽谈项目</w:t>
      </w:r>
      <w:r>
        <w:rPr>
          <w:rFonts w:eastAsia="仿宋_GB2312"/>
          <w:b w:val="0"/>
          <w:bCs w:val="0"/>
          <w:color w:val="auto"/>
          <w:kern w:val="0"/>
          <w:position w:val="0"/>
          <w:sz w:val="32"/>
          <w:szCs w:val="32"/>
          <w:lang w:val="en-US" w:eastAsia="zh-CN" w:bidi="ar-SA"/>
        </w:rPr>
        <w:t>2</w:t>
      </w:r>
      <w:r>
        <w:rPr>
          <w:rFonts w:eastAsia="仿宋_GB2312"/>
          <w:b w:val="0"/>
          <w:bCs w:val="0"/>
          <w:color w:val="auto"/>
          <w:kern w:val="0"/>
          <w:position w:val="0"/>
          <w:sz w:val="32"/>
          <w:szCs w:val="32"/>
          <w:lang w:val="zh-CN" w:eastAsia="zh-CN" w:bidi="ar-SA"/>
        </w:rPr>
        <w:t>个；签约项目</w:t>
      </w:r>
      <w:r>
        <w:rPr>
          <w:rFonts w:eastAsia="仿宋_GB2312"/>
          <w:b w:val="0"/>
          <w:bCs w:val="0"/>
          <w:color w:val="auto"/>
          <w:kern w:val="0"/>
          <w:position w:val="0"/>
          <w:sz w:val="32"/>
          <w:szCs w:val="32"/>
          <w:lang w:val="en-US" w:eastAsia="zh-CN" w:bidi="ar-SA"/>
        </w:rPr>
        <w:t>2</w:t>
      </w:r>
      <w:r>
        <w:rPr>
          <w:rFonts w:eastAsia="仿宋_GB2312"/>
          <w:b w:val="0"/>
          <w:bCs w:val="0"/>
          <w:color w:val="auto"/>
          <w:kern w:val="0"/>
          <w:position w:val="0"/>
          <w:sz w:val="32"/>
          <w:szCs w:val="32"/>
          <w:lang w:val="zh-CN" w:eastAsia="zh-CN" w:bidi="ar-SA"/>
        </w:rPr>
        <w:t>个；其中5-10亿元项目</w:t>
      </w:r>
      <w:r>
        <w:rPr>
          <w:rFonts w:eastAsia="仿宋_GB2312"/>
          <w:b w:val="0"/>
          <w:bCs w:val="0"/>
          <w:color w:val="auto"/>
          <w:kern w:val="0"/>
          <w:position w:val="0"/>
          <w:sz w:val="32"/>
          <w:szCs w:val="32"/>
          <w:lang w:val="en-US" w:eastAsia="zh-CN" w:bidi="ar-SA"/>
        </w:rPr>
        <w:t>1</w:t>
      </w:r>
      <w:r>
        <w:rPr>
          <w:rFonts w:eastAsia="仿宋_GB2312"/>
          <w:b w:val="0"/>
          <w:bCs w:val="0"/>
          <w:color w:val="auto"/>
          <w:kern w:val="0"/>
          <w:position w:val="0"/>
          <w:sz w:val="32"/>
          <w:szCs w:val="32"/>
          <w:lang w:val="zh-CN" w:eastAsia="zh-CN" w:bidi="ar-SA"/>
        </w:rPr>
        <w:t>个；主要领导累计外出招商</w:t>
      </w:r>
      <w:r>
        <w:rPr>
          <w:rFonts w:eastAsia="仿宋_GB2312"/>
          <w:b w:val="0"/>
          <w:bCs w:val="0"/>
          <w:color w:val="auto"/>
          <w:kern w:val="0"/>
          <w:position w:val="0"/>
          <w:sz w:val="32"/>
          <w:szCs w:val="32"/>
          <w:lang w:val="en-US" w:eastAsia="zh-CN" w:bidi="ar-SA"/>
        </w:rPr>
        <w:t>15</w:t>
      </w:r>
      <w:r>
        <w:rPr>
          <w:rFonts w:eastAsia="仿宋_GB2312"/>
          <w:b w:val="0"/>
          <w:bCs w:val="0"/>
          <w:color w:val="auto"/>
          <w:kern w:val="0"/>
          <w:position w:val="0"/>
          <w:sz w:val="32"/>
          <w:szCs w:val="32"/>
          <w:lang w:val="zh-CN" w:eastAsia="zh-CN" w:bidi="ar-SA"/>
        </w:rPr>
        <w:t>次。该项指标得分为5分。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zh-CN" w:eastAsia="zh-CN" w:bidi="ar-SA"/>
        </w:rPr>
      </w:pPr>
      <w:bookmarkStart w:id="97" w:name="_Toc83065411"/>
      <w:r>
        <w:rPr>
          <w:rFonts w:eastAsia="仿宋_GB2312"/>
          <w:b w:val="0"/>
          <w:bCs w:val="0"/>
          <w:color w:val="auto"/>
          <w:kern w:val="0"/>
          <w:position w:val="0"/>
          <w:sz w:val="32"/>
          <w:szCs w:val="32"/>
          <w:lang w:val="en-US" w:eastAsia="zh-CN" w:bidi="ar-SA"/>
        </w:rPr>
        <w:t>2.</w:t>
      </w:r>
      <w:r>
        <w:rPr>
          <w:rFonts w:eastAsia="仿宋_GB2312"/>
          <w:b w:val="0"/>
          <w:bCs w:val="0"/>
          <w:color w:val="auto"/>
          <w:kern w:val="0"/>
          <w:position w:val="0"/>
          <w:sz w:val="32"/>
          <w:szCs w:val="32"/>
          <w:lang w:val="zh-CN" w:eastAsia="zh-CN" w:bidi="ar-SA"/>
        </w:rPr>
        <w:t>预算管理</w:t>
      </w:r>
      <w:bookmarkEnd w:id="97"/>
    </w:p>
    <w:p>
      <w:pPr>
        <w:widowControl w:val="0"/>
        <w:suppressAutoHyphens/>
        <w:ind w:firstLine="640" w:firstLineChars="200"/>
        <w:rPr>
          <w:rFonts w:eastAsia="仿宋_GB2312"/>
          <w:b w:val="0"/>
          <w:bCs w:val="0"/>
          <w:color w:val="auto"/>
          <w:sz w:val="32"/>
          <w:szCs w:val="32"/>
          <w:shd w:val="clear" w:color="auto" w:fill="FFFFFF"/>
          <w:lang w:val="zh-CN" w:eastAsia="zh-CN" w:bidi="ar-SA"/>
        </w:rPr>
      </w:pPr>
      <w:r>
        <w:rPr>
          <w:rFonts w:eastAsia="仿宋_GB2312"/>
          <w:b w:val="0"/>
          <w:bCs w:val="0"/>
          <w:color w:val="auto"/>
          <w:sz w:val="32"/>
          <w:szCs w:val="32"/>
          <w:lang w:val="en-US" w:eastAsia="zh-CN" w:bidi="ar-SA"/>
        </w:rPr>
        <w:t>（1）预算编制质量：指标赋分8分。2024年我单位</w:t>
      </w:r>
      <w:r>
        <w:rPr>
          <w:rFonts w:eastAsia="仿宋_GB2312"/>
          <w:b w:val="0"/>
          <w:bCs w:val="0"/>
          <w:color w:val="auto"/>
          <w:sz w:val="32"/>
          <w:szCs w:val="32"/>
          <w:lang w:bidi="ar-SA"/>
        </w:rPr>
        <w:t>财政拨款年初预算</w:t>
      </w:r>
      <w:r>
        <w:rPr>
          <w:rFonts w:eastAsia="仿宋_GB2312"/>
          <w:b w:val="0"/>
          <w:bCs w:val="0"/>
          <w:color w:val="auto"/>
          <w:kern w:val="0"/>
          <w:sz w:val="32"/>
          <w:szCs w:val="32"/>
          <w:shd w:val="clear" w:color="auto" w:fill="FFFFFF"/>
          <w:lang w:val="en-US" w:eastAsia="zh-CN" w:bidi="ar-SA"/>
        </w:rPr>
        <w:t>797.94</w:t>
      </w:r>
      <w:r>
        <w:rPr>
          <w:rFonts w:eastAsia="仿宋_GB2312"/>
          <w:b w:val="0"/>
          <w:bCs w:val="0"/>
          <w:color w:val="auto"/>
          <w:sz w:val="32"/>
          <w:szCs w:val="32"/>
          <w:lang w:val="en-US" w:eastAsia="zh-CN" w:bidi="ar-SA"/>
        </w:rPr>
        <w:t>万元，年初预算执行数为</w:t>
      </w:r>
      <w:r>
        <w:rPr>
          <w:rFonts w:eastAsia="仿宋_GB2312"/>
          <w:b w:val="0"/>
          <w:bCs w:val="0"/>
          <w:color w:val="auto"/>
          <w:kern w:val="0"/>
          <w:sz w:val="32"/>
          <w:szCs w:val="32"/>
          <w:shd w:val="clear" w:color="auto" w:fill="FFFFFF"/>
          <w:lang w:val="en-US" w:eastAsia="zh-CN" w:bidi="ar-SA"/>
        </w:rPr>
        <w:t>797.94</w:t>
      </w:r>
      <w:r>
        <w:rPr>
          <w:rFonts w:eastAsia="仿宋_GB2312"/>
          <w:b w:val="0"/>
          <w:bCs w:val="0"/>
          <w:color w:val="auto"/>
          <w:sz w:val="32"/>
          <w:szCs w:val="32"/>
          <w:lang w:val="en-US" w:eastAsia="zh-CN" w:bidi="ar-SA"/>
        </w:rPr>
        <w:t>万元，财政拨款预算偏离度为0%。</w:t>
      </w:r>
      <w:r>
        <w:rPr>
          <w:rFonts w:eastAsia="仿宋_GB2312"/>
          <w:b w:val="0"/>
          <w:bCs w:val="0"/>
          <w:color w:val="auto"/>
          <w:sz w:val="32"/>
          <w:szCs w:val="32"/>
          <w:lang w:bidi="ar-SA"/>
        </w:rPr>
        <w:t>无资产配置和政府采购预算。</w:t>
      </w:r>
      <w:r>
        <w:rPr>
          <w:rFonts w:eastAsia="仿宋_GB2312"/>
          <w:b w:val="0"/>
          <w:bCs w:val="0"/>
          <w:color w:val="auto"/>
          <w:sz w:val="32"/>
          <w:szCs w:val="32"/>
          <w:shd w:val="clear" w:color="auto" w:fill="FFFFFF"/>
          <w:lang w:val="zh-CN" w:eastAsia="zh-CN" w:bidi="ar-SA"/>
        </w:rPr>
        <w:t>该项指标得分为</w:t>
      </w:r>
      <w:r>
        <w:rPr>
          <w:rFonts w:eastAsia="仿宋_GB2312"/>
          <w:b w:val="0"/>
          <w:bCs w:val="0"/>
          <w:color w:val="auto"/>
          <w:sz w:val="32"/>
          <w:szCs w:val="32"/>
          <w:shd w:val="clear" w:color="auto" w:fill="FFFFFF"/>
          <w:lang w:val="en-US" w:eastAsia="zh-CN" w:bidi="ar-SA"/>
        </w:rPr>
        <w:t>8</w:t>
      </w:r>
      <w:r>
        <w:rPr>
          <w:rFonts w:eastAsia="仿宋_GB2312"/>
          <w:b w:val="0"/>
          <w:bCs w:val="0"/>
          <w:color w:val="auto"/>
          <w:sz w:val="32"/>
          <w:szCs w:val="32"/>
          <w:shd w:val="clear" w:color="auto" w:fill="FFFFFF"/>
          <w:lang w:val="zh-CN" w:eastAsia="zh-CN" w:bidi="ar-SA"/>
        </w:rPr>
        <w:t>分。</w:t>
      </w:r>
    </w:p>
    <w:p>
      <w:pPr>
        <w:widowControl w:val="0"/>
        <w:suppressAutoHyphens/>
        <w:ind w:firstLine="640" w:firstLineChars="200"/>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2）支出执行进度：指标赋分6分。1-6月部门预算数1612.24万元，支出966.1万元，占比59.9%；1-10月部门预算数2173.27万元，支出1880.85万元，占比86.5%，无支出预警金额和违规金额。1-10月预算执行数为1699.91万元，1-10月无支出预警金额和违规金额。根据公式计算，该项指标得分6分。</w:t>
      </w:r>
    </w:p>
    <w:p>
      <w:pPr>
        <w:widowControl w:val="0"/>
        <w:suppressAutoHyphens/>
        <w:ind w:firstLine="640" w:firstLineChars="200"/>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（3）预算年终结余：指标赋分5分。2024年我单位无预算注销金额和结转金额。该项指标得分为5分。</w:t>
      </w:r>
    </w:p>
    <w:p>
      <w:pPr>
        <w:widowControl w:val="0"/>
        <w:suppressAutoHyphens/>
        <w:ind w:firstLine="640" w:firstLineChars="200"/>
        <w:rPr>
          <w:rFonts w:eastAsia="仿宋_GB2312"/>
          <w:b w:val="0"/>
          <w:bCs w:val="0"/>
          <w:color w:val="auto"/>
          <w:sz w:val="32"/>
          <w:szCs w:val="32"/>
          <w:shd w:val="clear" w:color="auto" w:fill="FFFFFF"/>
          <w:lang w:val="en-US" w:eastAsia="zh-CN" w:bidi="ar-SA"/>
        </w:rPr>
      </w:pPr>
      <w:r>
        <w:rPr>
          <w:rFonts w:eastAsia="仿宋_GB2312"/>
          <w:b w:val="0"/>
          <w:bCs w:val="0"/>
          <w:color w:val="auto"/>
          <w:sz w:val="32"/>
          <w:szCs w:val="32"/>
          <w:lang w:val="en-US" w:eastAsia="zh-CN" w:bidi="ar-SA"/>
        </w:rPr>
        <w:t>（4）严控一般性支出：指标赋分6分。2023年，我单位“三公”经费、会议、培训、差旅、办节办展、办公设备购置、信息网络及软件购置更新、课题经费等8项一般性支出</w:t>
      </w:r>
      <w:r>
        <w:rPr>
          <w:rFonts w:eastAsia="仿宋_GB2312"/>
          <w:b w:val="0"/>
          <w:bCs w:val="0"/>
          <w:color w:val="auto"/>
          <w:sz w:val="32"/>
          <w:szCs w:val="32"/>
          <w:shd w:val="clear" w:color="auto" w:fill="FFFFFF"/>
          <w:lang w:val="zh-CN" w:eastAsia="zh-CN" w:bidi="ar-SA"/>
        </w:rPr>
        <w:t>财政拨款年初预算</w:t>
      </w:r>
      <w:r>
        <w:rPr>
          <w:rFonts w:eastAsia="仿宋_GB2312"/>
          <w:b w:val="0"/>
          <w:bCs w:val="0"/>
          <w:color w:val="auto"/>
          <w:sz w:val="32"/>
          <w:szCs w:val="32"/>
          <w:shd w:val="clear" w:color="auto" w:fill="FFFFFF"/>
          <w:lang w:val="en-US" w:eastAsia="zh-CN" w:bidi="ar-SA"/>
        </w:rPr>
        <w:t>为23.8万元，预算执行数为26.23万元。</w:t>
      </w:r>
    </w:p>
    <w:p>
      <w:pPr>
        <w:widowControl w:val="0"/>
        <w:suppressAutoHyphens/>
        <w:ind w:firstLine="640" w:firstLineChars="200"/>
        <w:rPr>
          <w:rFonts w:eastAsia="仿宋_GB2312"/>
          <w:b w:val="0"/>
          <w:bCs w:val="0"/>
          <w:color w:val="auto"/>
          <w:sz w:val="32"/>
          <w:szCs w:val="32"/>
          <w:shd w:val="clear" w:color="auto" w:fill="FFFFFF"/>
          <w:lang w:val="en-US" w:eastAsia="zh-CN" w:bidi="ar-SA"/>
        </w:rPr>
      </w:pPr>
      <w:r>
        <w:rPr>
          <w:rFonts w:eastAsia="仿宋_GB2312"/>
          <w:b w:val="0"/>
          <w:bCs w:val="0"/>
          <w:color w:val="auto"/>
          <w:sz w:val="32"/>
          <w:szCs w:val="32"/>
          <w:shd w:val="clear" w:color="auto" w:fill="FFFFFF"/>
          <w:lang w:val="en-US" w:eastAsia="zh-CN" w:bidi="ar-SA"/>
        </w:rPr>
        <w:t>2024年，</w:t>
      </w:r>
      <w:r>
        <w:rPr>
          <w:rFonts w:eastAsia="仿宋_GB2312"/>
          <w:b w:val="0"/>
          <w:bCs w:val="0"/>
          <w:color w:val="auto"/>
          <w:sz w:val="32"/>
          <w:szCs w:val="32"/>
          <w:lang w:val="en-US" w:eastAsia="zh-CN" w:bidi="ar-SA"/>
        </w:rPr>
        <w:t>我单位“三公”经费、会议、培训、差旅、办节办展、办公设备购置、信息网络及软件购置更新、课题经费等8项一般性支出</w:t>
      </w:r>
      <w:r>
        <w:rPr>
          <w:rFonts w:eastAsia="仿宋_GB2312"/>
          <w:b w:val="0"/>
          <w:bCs w:val="0"/>
          <w:color w:val="auto"/>
          <w:sz w:val="32"/>
          <w:szCs w:val="32"/>
          <w:shd w:val="clear" w:color="auto" w:fill="FFFFFF"/>
          <w:lang w:val="zh-CN" w:eastAsia="zh-CN" w:bidi="ar-SA"/>
        </w:rPr>
        <w:t>财政拨款年初预算</w:t>
      </w:r>
      <w:r>
        <w:rPr>
          <w:rFonts w:eastAsia="仿宋_GB2312"/>
          <w:b w:val="0"/>
          <w:bCs w:val="0"/>
          <w:color w:val="auto"/>
          <w:sz w:val="32"/>
          <w:szCs w:val="32"/>
          <w:shd w:val="clear" w:color="auto" w:fill="FFFFFF"/>
          <w:lang w:val="en-US" w:eastAsia="zh-CN" w:bidi="ar-SA"/>
        </w:rPr>
        <w:t>为22.10万元，预算执行数为25.70万元。</w:t>
      </w:r>
    </w:p>
    <w:p>
      <w:pPr>
        <w:widowControl w:val="0"/>
        <w:suppressAutoHyphens/>
        <w:ind w:firstLine="640" w:firstLineChars="200"/>
        <w:rPr>
          <w:rFonts w:eastAsia="仿宋_GB2312"/>
          <w:b w:val="0"/>
          <w:bCs w:val="0"/>
          <w:color w:val="auto"/>
          <w:sz w:val="32"/>
          <w:szCs w:val="32"/>
          <w:shd w:val="clear" w:color="auto" w:fill="FFFFFF"/>
          <w:lang w:val="en-US" w:eastAsia="zh-CN" w:bidi="ar-SA"/>
        </w:rPr>
      </w:pPr>
      <w:r>
        <w:rPr>
          <w:rFonts w:eastAsia="仿宋_GB2312"/>
          <w:b w:val="0"/>
          <w:bCs w:val="0"/>
          <w:color w:val="auto"/>
          <w:sz w:val="32"/>
          <w:szCs w:val="32"/>
          <w:shd w:val="clear" w:color="auto" w:fill="FFFFFF"/>
          <w:lang w:val="en-US" w:eastAsia="zh-CN" w:bidi="ar-SA"/>
        </w:rPr>
        <w:t>其中：2024年一般性支出年初预算22.1万元，较2023年一般性支出年初预算23.8万元减少1.7万元，压减7%，得1分；2024年一般性支出预算执行数25.70万元，较2023年一般性支出预算执行数26.23万元减少0.53万元，压减2%，得0.8分。</w:t>
      </w:r>
    </w:p>
    <w:p>
      <w:pPr>
        <w:widowControl w:val="0"/>
        <w:suppressAutoHyphens/>
        <w:ind w:firstLine="640" w:firstLineChars="200"/>
        <w:rPr>
          <w:b w:val="0"/>
          <w:bCs w:val="0"/>
          <w:color w:val="auto"/>
          <w:sz w:val="32"/>
          <w:szCs w:val="32"/>
          <w:lang w:val="zh-CN" w:eastAsia="zh-CN"/>
        </w:rPr>
      </w:pPr>
      <w:r>
        <w:rPr>
          <w:rFonts w:eastAsia="仿宋_GB2312"/>
          <w:b w:val="0"/>
          <w:bCs w:val="0"/>
          <w:color w:val="auto"/>
          <w:sz w:val="32"/>
          <w:szCs w:val="32"/>
          <w:shd w:val="clear" w:color="auto" w:fill="FFFFFF"/>
          <w:lang w:val="en-US" w:eastAsia="zh-CN" w:bidi="ar-SA"/>
        </w:rPr>
        <w:t>该项指标得4.8分。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zh-CN" w:eastAsia="zh-CN" w:bidi="ar-SA"/>
        </w:rPr>
      </w:pPr>
      <w:bookmarkStart w:id="98" w:name="_Toc83065412"/>
      <w:r>
        <w:rPr>
          <w:rFonts w:eastAsia="仿宋_GB2312"/>
          <w:b w:val="0"/>
          <w:bCs w:val="0"/>
          <w:color w:val="auto"/>
          <w:kern w:val="0"/>
          <w:position w:val="0"/>
          <w:sz w:val="32"/>
          <w:szCs w:val="32"/>
          <w:lang w:val="en-US" w:eastAsia="zh-CN" w:bidi="ar-SA"/>
        </w:rPr>
        <w:t>3.</w:t>
      </w:r>
      <w:r>
        <w:rPr>
          <w:rFonts w:eastAsia="仿宋_GB2312"/>
          <w:b w:val="0"/>
          <w:bCs w:val="0"/>
          <w:color w:val="auto"/>
          <w:kern w:val="0"/>
          <w:position w:val="0"/>
          <w:sz w:val="32"/>
          <w:szCs w:val="32"/>
          <w:lang w:val="zh-CN" w:eastAsia="zh-CN" w:bidi="ar-SA"/>
        </w:rPr>
        <w:t>财务管理</w:t>
      </w:r>
      <w:bookmarkEnd w:id="98"/>
    </w:p>
    <w:p>
      <w:pPr>
        <w:widowControl w:val="0"/>
        <w:suppressAutoHyphens/>
        <w:spacing w:line="600" w:lineRule="exact"/>
        <w:ind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（1）财务管理制度：指标赋分4分。我单位制定了机关财务管理、预算绩效管理、采购内控管理、合同管理等制度。对经费审批和费用报销管理等内容进行了明确，财务管理制度基本健全。</w:t>
      </w:r>
      <w:r>
        <w:rPr>
          <w:rFonts w:eastAsia="仿宋_GB2312"/>
          <w:b w:val="0"/>
          <w:bCs w:val="0"/>
          <w:color w:val="auto"/>
          <w:kern w:val="0"/>
          <w:position w:val="0"/>
          <w:sz w:val="32"/>
          <w:szCs w:val="32"/>
          <w:lang w:val="zh-CN" w:eastAsia="zh-CN" w:bidi="ar-SA"/>
        </w:rPr>
        <w:t>相关财务管理制度要素完整、内容规范、权责明晰、流程明确、执行有效</w:t>
      </w:r>
      <w:r>
        <w:rPr>
          <w:rFonts w:eastAsia="仿宋_GB2312"/>
          <w:b w:val="0"/>
          <w:bCs w:val="0"/>
          <w:color w:val="auto"/>
          <w:kern w:val="0"/>
          <w:position w:val="0"/>
          <w:sz w:val="32"/>
          <w:szCs w:val="32"/>
          <w:lang w:val="en-US" w:eastAsia="zh-CN" w:bidi="ar-SA"/>
        </w:rPr>
        <w:t>。该项指标得分为4分。</w:t>
      </w:r>
    </w:p>
    <w:p>
      <w:pPr>
        <w:widowControl w:val="0"/>
        <w:suppressAutoHyphens/>
        <w:spacing w:line="600" w:lineRule="exact"/>
        <w:ind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2）财务岗位设置：指标赋分2分。我单位设置了出纳、会计，按照不相容岗位相分离的原则，对收款与会计核算、支出申请与审批、支出审批与付款、业务经办与会计核算等不相容岗位予以分离，并明确了相关职责权限。该项指标得分为2分。</w:t>
      </w:r>
    </w:p>
    <w:p>
      <w:pPr>
        <w:widowControl w:val="0"/>
        <w:suppressAutoHyphens/>
        <w:spacing w:line="600" w:lineRule="exact"/>
        <w:ind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3）资金使用规范：指标赋分4分。我单位严格执行《政府会计制度》、国家财经法规及财务管理办法规定，所有支出由财务人员统一管理、核算，项目资金单独核算，资金使用遵循“先审批后支出”原则。资金支出原始报账资料较为完整，审批流程较为规范，资料较为齐全，资金使用合规。该项指标得分为4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zh-CN" w:eastAsia="zh-CN" w:bidi="ar-SA"/>
        </w:rPr>
      </w:pPr>
      <w:bookmarkStart w:id="99" w:name="_Toc83065413"/>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资产管理</w:t>
      </w:r>
      <w:bookmarkEnd w:id="99"/>
    </w:p>
    <w:p>
      <w:pPr>
        <w:widowControl w:val="0"/>
        <w:suppressAutoHyphens/>
        <w:spacing w:line="600" w:lineRule="exact"/>
        <w:ind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（1）人均资产变化率：指标赋分3分。2024年我单位固定资产现值35.42万元，人均资产0.93万元，2023年固定资产现值55.28万元，人均资产1.58万元，人均资产变化率为-40.98%，</w:t>
      </w:r>
      <w:r>
        <w:rPr>
          <w:rFonts w:eastAsia="仿宋_GB2312"/>
          <w:b w:val="0"/>
          <w:bCs w:val="0"/>
          <w:color w:val="auto"/>
          <w:kern w:val="0"/>
          <w:position w:val="0"/>
          <w:sz w:val="32"/>
          <w:szCs w:val="32"/>
          <w:lang w:val="zh-CN" w:eastAsia="zh-CN" w:bidi="ar-SA"/>
        </w:rPr>
        <w:t>人均资产变化率</w:t>
      </w:r>
      <w:r>
        <w:rPr>
          <w:rFonts w:eastAsia="仿宋_GB2312"/>
          <w:b w:val="0"/>
          <w:bCs w:val="0"/>
          <w:color w:val="auto"/>
          <w:kern w:val="0"/>
          <w:position w:val="0"/>
          <w:sz w:val="32"/>
          <w:szCs w:val="32"/>
          <w:lang w:val="en-US" w:eastAsia="zh-CN" w:bidi="ar-SA"/>
        </w:rPr>
        <w:t>小</w:t>
      </w:r>
      <w:r>
        <w:rPr>
          <w:rFonts w:eastAsia="仿宋_GB2312"/>
          <w:b w:val="0"/>
          <w:bCs w:val="0"/>
          <w:color w:val="auto"/>
          <w:kern w:val="0"/>
          <w:position w:val="0"/>
          <w:sz w:val="32"/>
          <w:szCs w:val="32"/>
          <w:lang w:val="zh-CN" w:eastAsia="zh-CN" w:bidi="ar-SA"/>
        </w:rPr>
        <w:t>于202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w:t>
      </w:r>
      <w:r>
        <w:rPr>
          <w:rFonts w:eastAsia="仿宋_GB2312"/>
          <w:b w:val="0"/>
          <w:bCs w:val="0"/>
          <w:color w:val="auto"/>
          <w:kern w:val="0"/>
          <w:position w:val="0"/>
          <w:sz w:val="32"/>
          <w:szCs w:val="32"/>
          <w:lang w:val="en-US" w:eastAsia="zh-CN" w:bidi="ar-SA"/>
        </w:rPr>
        <w:t>广元市</w:t>
      </w:r>
      <w:r>
        <w:rPr>
          <w:rFonts w:eastAsia="仿宋_GB2312"/>
          <w:b w:val="0"/>
          <w:bCs w:val="0"/>
          <w:color w:val="auto"/>
          <w:kern w:val="0"/>
          <w:position w:val="0"/>
          <w:sz w:val="32"/>
          <w:szCs w:val="32"/>
          <w:lang w:val="zh-CN" w:eastAsia="zh-CN" w:bidi="ar-SA"/>
        </w:rPr>
        <w:t>行政事业单位人均资产变化率3</w:t>
      </w:r>
      <w:r>
        <w:rPr>
          <w:rFonts w:eastAsia="仿宋_GB2312"/>
          <w:b w:val="0"/>
          <w:bCs w:val="0"/>
          <w:color w:val="auto"/>
          <w:kern w:val="0"/>
          <w:position w:val="0"/>
          <w:sz w:val="32"/>
          <w:szCs w:val="32"/>
          <w:lang w:val="en-US" w:eastAsia="zh-CN" w:bidi="ar-SA"/>
        </w:rPr>
        <w:t>0</w:t>
      </w:r>
      <w:r>
        <w:rPr>
          <w:rFonts w:eastAsia="仿宋_GB2312"/>
          <w:b w:val="0"/>
          <w:bCs w:val="0"/>
          <w:color w:val="auto"/>
          <w:kern w:val="0"/>
          <w:position w:val="0"/>
          <w:sz w:val="32"/>
          <w:szCs w:val="32"/>
          <w:lang w:val="zh-CN" w:eastAsia="zh-CN" w:bidi="ar-SA"/>
        </w:rPr>
        <w:t>.</w:t>
      </w:r>
      <w:r>
        <w:rPr>
          <w:rFonts w:eastAsia="仿宋_GB2312"/>
          <w:b w:val="0"/>
          <w:bCs w:val="0"/>
          <w:color w:val="auto"/>
          <w:kern w:val="0"/>
          <w:position w:val="0"/>
          <w:sz w:val="32"/>
          <w:szCs w:val="32"/>
          <w:lang w:val="en-US" w:eastAsia="zh-CN" w:bidi="ar-SA"/>
        </w:rPr>
        <w:t>04</w:t>
      </w:r>
      <w:r>
        <w:rPr>
          <w:rFonts w:eastAsia="仿宋_GB2312"/>
          <w:b w:val="0"/>
          <w:bCs w:val="0"/>
          <w:color w:val="auto"/>
          <w:kern w:val="0"/>
          <w:position w:val="0"/>
          <w:sz w:val="32"/>
          <w:szCs w:val="32"/>
          <w:lang w:val="zh-CN" w:eastAsia="zh-CN" w:bidi="ar-SA"/>
        </w:rPr>
        <w:t>%，</w:t>
      </w:r>
      <w:r>
        <w:rPr>
          <w:rFonts w:eastAsia="仿宋_GB2312"/>
          <w:b w:val="0"/>
          <w:bCs w:val="0"/>
          <w:color w:val="auto"/>
          <w:kern w:val="0"/>
          <w:position w:val="0"/>
          <w:sz w:val="32"/>
          <w:szCs w:val="32"/>
          <w:lang w:val="en-US" w:eastAsia="zh-CN" w:bidi="ar-SA"/>
        </w:rPr>
        <w:t>得1.5分</w:t>
      </w:r>
      <w:r>
        <w:rPr>
          <w:rFonts w:eastAsia="仿宋_GB2312"/>
          <w:b w:val="0"/>
          <w:bCs w:val="0"/>
          <w:color w:val="auto"/>
          <w:kern w:val="0"/>
          <w:position w:val="0"/>
          <w:sz w:val="32"/>
          <w:szCs w:val="32"/>
          <w:lang w:val="zh-CN" w:eastAsia="zh-CN" w:bidi="ar-SA"/>
        </w:rPr>
        <w:t>；</w:t>
      </w:r>
      <w:r>
        <w:rPr>
          <w:rFonts w:eastAsia="仿宋_GB2312"/>
          <w:b w:val="0"/>
          <w:bCs w:val="0"/>
          <w:color w:val="auto"/>
          <w:kern w:val="0"/>
          <w:position w:val="0"/>
          <w:sz w:val="32"/>
          <w:szCs w:val="32"/>
          <w:lang w:val="en-US" w:eastAsia="zh-CN" w:bidi="ar-SA"/>
        </w:rPr>
        <w:t>同时人均资产增长率小于同期市级财政收入增长率7.68%</w:t>
      </w:r>
      <w:r>
        <w:rPr>
          <w:rFonts w:eastAsia="仿宋_GB2312"/>
          <w:b w:val="0"/>
          <w:bCs w:val="0"/>
          <w:color w:val="auto"/>
          <w:kern w:val="0"/>
          <w:position w:val="0"/>
          <w:sz w:val="32"/>
          <w:szCs w:val="32"/>
          <w:lang w:val="zh-CN" w:eastAsia="zh-CN" w:bidi="ar-SA"/>
        </w:rPr>
        <w:t>，</w:t>
      </w:r>
      <w:r>
        <w:rPr>
          <w:rFonts w:eastAsia="仿宋_GB2312"/>
          <w:b w:val="0"/>
          <w:bCs w:val="0"/>
          <w:color w:val="auto"/>
          <w:kern w:val="0"/>
          <w:position w:val="0"/>
          <w:sz w:val="32"/>
          <w:szCs w:val="32"/>
          <w:lang w:val="en-US" w:eastAsia="zh-CN" w:bidi="ar-SA"/>
        </w:rPr>
        <w:t>得1.5分。</w:t>
      </w:r>
      <w:r>
        <w:rPr>
          <w:rFonts w:eastAsia="仿宋_GB2312"/>
          <w:b w:val="0"/>
          <w:bCs w:val="0"/>
          <w:color w:val="auto"/>
          <w:kern w:val="0"/>
          <w:position w:val="0"/>
          <w:sz w:val="32"/>
          <w:szCs w:val="32"/>
          <w:lang w:val="zh-CN" w:eastAsia="zh-CN" w:bidi="ar-SA"/>
        </w:rPr>
        <w:t>该项指标得分为3分。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rPr>
          <w:rFonts w:eastAsia="仿宋_GB2312"/>
          <w:b w:val="0"/>
          <w:bCs w:val="0"/>
          <w:color w:val="auto"/>
          <w:kern w:val="0"/>
          <w:position w:val="0"/>
          <w:sz w:val="32"/>
          <w:szCs w:val="32"/>
          <w:lang w:val="zh-CN" w:eastAsia="zh-CN" w:bidi="ar-SA"/>
        </w:rPr>
      </w:pPr>
      <w:r>
        <w:rPr>
          <w:rFonts w:eastAsia="仿宋_GB2312"/>
          <w:b w:val="0"/>
          <w:bCs w:val="0"/>
          <w:color w:val="auto"/>
          <w:kern w:val="0"/>
          <w:position w:val="0"/>
          <w:sz w:val="32"/>
          <w:szCs w:val="32"/>
          <w:lang w:val="en-US" w:eastAsia="zh-CN" w:bidi="ar-SA"/>
        </w:rPr>
        <w:t>（2）资产利用率：指标赋分3分。我单位严格遵守相关资产管理制度，并结合单位实际情况，不断完善在资产购置、使用、处置等方面的管理措施，有效维护了国有资产的安全和完整，合理配置国有资产，提高资产的使用效益。</w:t>
      </w:r>
      <w:r>
        <w:rPr>
          <w:rFonts w:eastAsia="仿宋_GB2312"/>
          <w:b w:val="0"/>
          <w:bCs w:val="0"/>
          <w:color w:val="auto"/>
          <w:kern w:val="0"/>
          <w:position w:val="0"/>
          <w:sz w:val="32"/>
          <w:szCs w:val="32"/>
          <w:lang w:val="zh-CN" w:eastAsia="zh-CN" w:bidi="ar-SA"/>
        </w:rPr>
        <w:t>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年，办公家具账面价值</w:t>
      </w:r>
      <w:r>
        <w:rPr>
          <w:rFonts w:eastAsia="仿宋_GB2312"/>
          <w:b w:val="0"/>
          <w:bCs w:val="0"/>
          <w:color w:val="auto"/>
          <w:kern w:val="0"/>
          <w:position w:val="0"/>
          <w:sz w:val="32"/>
          <w:szCs w:val="32"/>
          <w:lang w:val="en-US" w:eastAsia="zh-CN" w:bidi="ar-SA"/>
        </w:rPr>
        <w:t>11.16万元，</w:t>
      </w:r>
      <w:r>
        <w:rPr>
          <w:rFonts w:eastAsia="仿宋_GB2312"/>
          <w:b w:val="0"/>
          <w:bCs w:val="0"/>
          <w:color w:val="auto"/>
          <w:kern w:val="0"/>
          <w:position w:val="0"/>
          <w:sz w:val="32"/>
          <w:szCs w:val="32"/>
          <w:lang w:val="zh-CN" w:eastAsia="zh-CN" w:bidi="ar-SA"/>
        </w:rPr>
        <w:t>办公设备账面价值</w:t>
      </w:r>
      <w:r>
        <w:rPr>
          <w:rFonts w:eastAsia="仿宋_GB2312"/>
          <w:b w:val="0"/>
          <w:bCs w:val="0"/>
          <w:color w:val="auto"/>
          <w:kern w:val="0"/>
          <w:position w:val="0"/>
          <w:sz w:val="32"/>
          <w:szCs w:val="32"/>
          <w:lang w:val="en-US" w:eastAsia="zh-CN" w:bidi="ar-SA"/>
        </w:rPr>
        <w:t>67.28万元。综上，该项指标得分3分。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（3）资产盘活率：指标赋分3分。我单位</w:t>
      </w:r>
      <w:r>
        <w:rPr>
          <w:rFonts w:eastAsia="仿宋_GB2312"/>
          <w:b w:val="0"/>
          <w:bCs w:val="0"/>
          <w:color w:val="auto"/>
          <w:kern w:val="0"/>
          <w:position w:val="0"/>
          <w:sz w:val="32"/>
          <w:szCs w:val="32"/>
          <w:lang w:val="zh-CN" w:eastAsia="zh-CN" w:bidi="ar-SA"/>
        </w:rPr>
        <w:t>202</w:t>
      </w:r>
      <w:r>
        <w:rPr>
          <w:rFonts w:eastAsia="仿宋_GB2312"/>
          <w:b w:val="0"/>
          <w:bCs w:val="0"/>
          <w:color w:val="auto"/>
          <w:kern w:val="0"/>
          <w:position w:val="0"/>
          <w:sz w:val="32"/>
          <w:szCs w:val="32"/>
          <w:lang w:val="en-US" w:eastAsia="zh-CN" w:bidi="ar-SA"/>
        </w:rPr>
        <w:t>3</w:t>
      </w:r>
      <w:r>
        <w:rPr>
          <w:rFonts w:eastAsia="仿宋_GB2312"/>
          <w:b w:val="0"/>
          <w:bCs w:val="0"/>
          <w:color w:val="auto"/>
          <w:kern w:val="0"/>
          <w:position w:val="0"/>
          <w:sz w:val="32"/>
          <w:szCs w:val="32"/>
          <w:lang w:val="zh-CN" w:eastAsia="zh-CN" w:bidi="ar-SA"/>
        </w:rPr>
        <w:t>年、202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年均无闲置资产。该项指标得分为3分。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zh-CN" w:eastAsia="zh-CN" w:bidi="ar-SA"/>
        </w:rPr>
      </w:pPr>
      <w:bookmarkStart w:id="100" w:name="_Toc83065414"/>
      <w:r>
        <w:rPr>
          <w:rFonts w:eastAsia="仿宋_GB2312"/>
          <w:b w:val="0"/>
          <w:bCs w:val="0"/>
          <w:color w:val="auto"/>
          <w:kern w:val="0"/>
          <w:position w:val="0"/>
          <w:sz w:val="32"/>
          <w:szCs w:val="32"/>
          <w:lang w:val="en-US" w:eastAsia="zh-CN" w:bidi="ar-SA"/>
        </w:rPr>
        <w:t>5.</w:t>
      </w:r>
      <w:r>
        <w:rPr>
          <w:rFonts w:eastAsia="仿宋_GB2312"/>
          <w:b w:val="0"/>
          <w:bCs w:val="0"/>
          <w:color w:val="auto"/>
          <w:kern w:val="0"/>
          <w:position w:val="0"/>
          <w:sz w:val="32"/>
          <w:szCs w:val="32"/>
          <w:lang w:val="zh-CN" w:eastAsia="zh-CN" w:bidi="ar-SA"/>
        </w:rPr>
        <w:t>采购管理</w:t>
      </w:r>
      <w:bookmarkEnd w:id="100"/>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（1）支持中小企业发展：指标赋分3分。我单位严格执行政府采购促进中小企业发展相关管理办法。</w:t>
      </w:r>
      <w:r>
        <w:rPr>
          <w:rFonts w:eastAsia="仿宋_GB2312"/>
          <w:b w:val="0"/>
          <w:bCs w:val="0"/>
          <w:color w:val="auto"/>
          <w:kern w:val="0"/>
          <w:position w:val="0"/>
          <w:sz w:val="32"/>
          <w:szCs w:val="32"/>
          <w:lang w:val="zh-CN" w:eastAsia="zh-CN" w:bidi="ar-SA"/>
        </w:rPr>
        <w:t>该项指标得分为3分。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rPr>
          <w:rFonts w:eastAsia="仿宋_GB2312"/>
          <w:b w:val="0"/>
          <w:bCs w:val="0"/>
          <w:color w:val="auto"/>
          <w:kern w:val="0"/>
          <w:position w:val="0"/>
          <w:sz w:val="32"/>
          <w:szCs w:val="32"/>
          <w:lang w:val="zh-CN" w:eastAsia="zh-CN" w:bidi="ar-SA"/>
        </w:rPr>
      </w:pPr>
      <w:r>
        <w:rPr>
          <w:rFonts w:eastAsia="仿宋_GB2312"/>
          <w:b w:val="0"/>
          <w:bCs w:val="0"/>
          <w:color w:val="auto"/>
          <w:kern w:val="0"/>
          <w:position w:val="0"/>
          <w:sz w:val="32"/>
          <w:szCs w:val="32"/>
          <w:lang w:val="en-US" w:eastAsia="zh-CN" w:bidi="ar-SA"/>
        </w:rPr>
        <w:t>（2）采购执行率：指标赋分3分。</w:t>
      </w:r>
      <w:r>
        <w:rPr>
          <w:rFonts w:eastAsia="仿宋_GB2312"/>
          <w:b w:val="0"/>
          <w:bCs w:val="0"/>
          <w:color w:val="auto"/>
          <w:kern w:val="0"/>
          <w:position w:val="0"/>
          <w:sz w:val="32"/>
          <w:szCs w:val="32"/>
          <w:lang w:val="zh-CN" w:eastAsia="zh-CN" w:bidi="ar-SA"/>
        </w:rPr>
        <w:t>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年我单位共有</w:t>
      </w:r>
      <w:r>
        <w:rPr>
          <w:rFonts w:eastAsia="仿宋_GB2312"/>
          <w:b w:val="0"/>
          <w:bCs w:val="0"/>
          <w:color w:val="auto"/>
          <w:kern w:val="0"/>
          <w:position w:val="0"/>
          <w:sz w:val="32"/>
          <w:szCs w:val="32"/>
          <w:lang w:val="en-US" w:eastAsia="zh-CN" w:bidi="ar-SA"/>
        </w:rPr>
        <w:t>1</w:t>
      </w:r>
      <w:r>
        <w:rPr>
          <w:rFonts w:eastAsia="仿宋_GB2312"/>
          <w:b w:val="0"/>
          <w:bCs w:val="0"/>
          <w:color w:val="auto"/>
          <w:kern w:val="0"/>
          <w:position w:val="0"/>
          <w:sz w:val="32"/>
          <w:szCs w:val="32"/>
          <w:lang w:val="zh-CN" w:eastAsia="zh-CN" w:bidi="ar-SA"/>
        </w:rPr>
        <w:t>个政府采购项目，为2023年省预算内基本建设资金（第七批）支出预算项目，预算数</w:t>
      </w:r>
      <w:r>
        <w:rPr>
          <w:rFonts w:eastAsia="仿宋_GB2312"/>
          <w:b w:val="0"/>
          <w:bCs w:val="0"/>
          <w:color w:val="auto"/>
          <w:kern w:val="0"/>
          <w:position w:val="0"/>
          <w:sz w:val="32"/>
          <w:szCs w:val="32"/>
          <w:lang w:val="en-US" w:eastAsia="zh-CN" w:bidi="ar-SA"/>
        </w:rPr>
        <w:t>50</w:t>
      </w:r>
      <w:r>
        <w:rPr>
          <w:rFonts w:eastAsia="仿宋_GB2312"/>
          <w:b w:val="0"/>
          <w:bCs w:val="0"/>
          <w:color w:val="auto"/>
          <w:kern w:val="0"/>
          <w:position w:val="0"/>
          <w:sz w:val="32"/>
          <w:szCs w:val="32"/>
          <w:lang w:val="zh-CN" w:eastAsia="zh-CN" w:bidi="ar-SA"/>
        </w:rPr>
        <w:t>万元，预算执行数</w:t>
      </w:r>
      <w:r>
        <w:rPr>
          <w:rFonts w:eastAsia="仿宋_GB2312"/>
          <w:b w:val="0"/>
          <w:bCs w:val="0"/>
          <w:color w:val="auto"/>
          <w:kern w:val="0"/>
          <w:position w:val="0"/>
          <w:sz w:val="32"/>
          <w:szCs w:val="32"/>
          <w:lang w:val="en-US" w:eastAsia="zh-CN" w:bidi="ar-SA"/>
        </w:rPr>
        <w:t>49.28</w:t>
      </w:r>
      <w:r>
        <w:rPr>
          <w:rFonts w:eastAsia="仿宋_GB2312"/>
          <w:b w:val="0"/>
          <w:bCs w:val="0"/>
          <w:color w:val="auto"/>
          <w:kern w:val="0"/>
          <w:position w:val="0"/>
          <w:sz w:val="32"/>
          <w:szCs w:val="32"/>
          <w:lang w:val="zh-CN" w:eastAsia="zh-CN" w:bidi="ar-SA"/>
        </w:rPr>
        <w:t>万元（因项目实际使用</w:t>
      </w:r>
      <w:r>
        <w:rPr>
          <w:rFonts w:eastAsia="仿宋_GB2312"/>
          <w:b w:val="0"/>
          <w:bCs w:val="0"/>
          <w:color w:val="auto"/>
          <w:kern w:val="0"/>
          <w:position w:val="0"/>
          <w:sz w:val="32"/>
          <w:szCs w:val="32"/>
          <w:lang w:val="en-US" w:eastAsia="zh-CN" w:bidi="ar-SA"/>
        </w:rPr>
        <w:t>49.28</w:t>
      </w:r>
      <w:r>
        <w:rPr>
          <w:rFonts w:eastAsia="仿宋_GB2312"/>
          <w:b w:val="0"/>
          <w:bCs w:val="0"/>
          <w:color w:val="auto"/>
          <w:kern w:val="0"/>
          <w:position w:val="0"/>
          <w:sz w:val="32"/>
          <w:szCs w:val="32"/>
          <w:lang w:val="zh-CN" w:eastAsia="zh-CN" w:bidi="ar-SA"/>
        </w:rPr>
        <w:t>万元，节约资金已收回），采购预算执行率100%。该项指标得分为3分。</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jc w:val="left"/>
        <w:textAlignment w:val="auto"/>
        <w:outlineLvl w:val="1"/>
        <w:rPr>
          <w:rFonts w:eastAsia="楷体_GB2312"/>
          <w:b w:val="0"/>
          <w:bCs w:val="0"/>
          <w:color w:val="auto"/>
          <w:kern w:val="0"/>
          <w:sz w:val="32"/>
          <w:szCs w:val="32"/>
          <w:shd w:val="clear" w:color="auto" w:fill="FFFFFF"/>
          <w:lang w:val="zh-CN" w:eastAsia="zh-CN" w:bidi="ar-SA"/>
        </w:rPr>
      </w:pPr>
      <w:bookmarkStart w:id="101" w:name="_Toc83065415"/>
      <w:r>
        <w:rPr>
          <w:rFonts w:eastAsia="楷体_GB2312"/>
          <w:b w:val="0"/>
          <w:bCs w:val="0"/>
          <w:color w:val="auto"/>
          <w:kern w:val="0"/>
          <w:sz w:val="32"/>
          <w:szCs w:val="32"/>
          <w:shd w:val="clear" w:color="auto" w:fill="FFFFFF"/>
          <w:lang w:val="zh-CN" w:eastAsia="zh-CN" w:bidi="ar-SA"/>
        </w:rPr>
        <w:t>（二）部门预算项目绩效分析</w:t>
      </w:r>
      <w:bookmarkEnd w:id="101"/>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textAlignment w:val="auto"/>
        <w:rPr>
          <w:rFonts w:eastAsia="仿宋_GB2312"/>
          <w:b w:val="0"/>
          <w:bCs w:val="0"/>
          <w:color w:val="auto"/>
          <w:kern w:val="0"/>
          <w:position w:val="0"/>
          <w:sz w:val="32"/>
          <w:szCs w:val="32"/>
          <w:lang w:val="zh-CN" w:eastAsia="zh-CN" w:bidi="ar-SA"/>
        </w:rPr>
      </w:pPr>
      <w:r>
        <w:rPr>
          <w:rFonts w:eastAsia="仿宋_GB2312"/>
          <w:b w:val="0"/>
          <w:bCs w:val="0"/>
          <w:color w:val="auto"/>
          <w:kern w:val="0"/>
          <w:position w:val="0"/>
          <w:sz w:val="32"/>
          <w:szCs w:val="32"/>
          <w:lang w:val="zh-CN" w:eastAsia="zh-CN" w:bidi="ar-SA"/>
        </w:rPr>
        <w:t>202</w:t>
      </w:r>
      <w:r>
        <w:rPr>
          <w:rFonts w:eastAsia="仿宋_GB2312"/>
          <w:b w:val="0"/>
          <w:bCs w:val="0"/>
          <w:color w:val="auto"/>
          <w:kern w:val="0"/>
          <w:position w:val="0"/>
          <w:sz w:val="32"/>
          <w:szCs w:val="32"/>
          <w:lang w:val="en-US" w:eastAsia="zh-CN" w:bidi="ar-SA"/>
        </w:rPr>
        <w:t>4</w:t>
      </w:r>
      <w:r>
        <w:rPr>
          <w:rFonts w:eastAsia="仿宋_GB2312"/>
          <w:b w:val="0"/>
          <w:bCs w:val="0"/>
          <w:color w:val="auto"/>
          <w:kern w:val="0"/>
          <w:position w:val="0"/>
          <w:sz w:val="32"/>
          <w:szCs w:val="32"/>
          <w:lang w:val="zh-CN" w:eastAsia="zh-CN" w:bidi="ar-SA"/>
        </w:rPr>
        <w:t>年度，我单位共有项目总数</w:t>
      </w:r>
      <w:r>
        <w:rPr>
          <w:rFonts w:eastAsia="仿宋_GB2312"/>
          <w:b w:val="0"/>
          <w:bCs w:val="0"/>
          <w:color w:val="auto"/>
          <w:kern w:val="0"/>
          <w:position w:val="0"/>
          <w:sz w:val="32"/>
          <w:szCs w:val="32"/>
          <w:lang w:val="en-US" w:eastAsia="zh-CN" w:bidi="ar-SA"/>
        </w:rPr>
        <w:t>15</w:t>
      </w:r>
      <w:r>
        <w:rPr>
          <w:rFonts w:eastAsia="仿宋_GB2312"/>
          <w:b w:val="0"/>
          <w:bCs w:val="0"/>
          <w:color w:val="auto"/>
          <w:kern w:val="0"/>
          <w:position w:val="0"/>
          <w:sz w:val="32"/>
          <w:szCs w:val="32"/>
          <w:lang w:val="zh-CN" w:eastAsia="zh-CN" w:bidi="ar-SA"/>
        </w:rPr>
        <w:t>个，涉及预算总金额3,454.11万元，1—12月预算执行总体进度为</w:t>
      </w:r>
      <w:r>
        <w:rPr>
          <w:rFonts w:eastAsia="仿宋_GB2312"/>
          <w:b w:val="0"/>
          <w:bCs w:val="0"/>
          <w:color w:val="auto"/>
          <w:kern w:val="0"/>
          <w:position w:val="0"/>
          <w:sz w:val="32"/>
          <w:szCs w:val="32"/>
          <w:lang w:val="en-US" w:eastAsia="zh-CN" w:bidi="ar-SA"/>
        </w:rPr>
        <w:t>100</w:t>
      </w:r>
      <w:r>
        <w:rPr>
          <w:rFonts w:eastAsia="仿宋_GB2312"/>
          <w:b w:val="0"/>
          <w:bCs w:val="0"/>
          <w:color w:val="auto"/>
          <w:kern w:val="0"/>
          <w:position w:val="0"/>
          <w:sz w:val="32"/>
          <w:szCs w:val="32"/>
          <w:lang w:val="zh-CN" w:eastAsia="zh-CN" w:bidi="ar-SA"/>
        </w:rPr>
        <w:t>%，其中：预算结余率大于10%的项目共计0个。</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textAlignment w:val="auto"/>
        <w:outlineLvl w:val="2"/>
        <w:rPr>
          <w:rFonts w:eastAsia="仿宋_GB2312"/>
          <w:b w:val="0"/>
          <w:bCs w:val="0"/>
          <w:color w:val="auto"/>
          <w:kern w:val="0"/>
          <w:position w:val="0"/>
          <w:sz w:val="32"/>
          <w:szCs w:val="32"/>
          <w:lang w:val="zh-CN" w:eastAsia="zh-CN" w:bidi="ar-SA"/>
        </w:rPr>
      </w:pPr>
      <w:bookmarkStart w:id="102" w:name="_Toc83065416"/>
      <w:r>
        <w:rPr>
          <w:rFonts w:eastAsia="仿宋_GB2312"/>
          <w:b w:val="0"/>
          <w:bCs w:val="0"/>
          <w:color w:val="auto"/>
          <w:kern w:val="0"/>
          <w:position w:val="0"/>
          <w:sz w:val="32"/>
          <w:szCs w:val="32"/>
          <w:lang w:val="en-US" w:eastAsia="zh-CN" w:bidi="ar-SA"/>
        </w:rPr>
        <w:t>1.</w:t>
      </w:r>
      <w:r>
        <w:rPr>
          <w:rFonts w:eastAsia="仿宋_GB2312"/>
          <w:b w:val="0"/>
          <w:bCs w:val="0"/>
          <w:color w:val="auto"/>
          <w:kern w:val="0"/>
          <w:position w:val="0"/>
          <w:sz w:val="32"/>
          <w:szCs w:val="32"/>
          <w:lang w:val="zh-CN" w:eastAsia="zh-CN" w:bidi="ar-SA"/>
        </w:rPr>
        <w:t>项目决策</w:t>
      </w:r>
      <w:bookmarkEnd w:id="102"/>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1）决策程序：指标赋分4分。部门各预算项目决策程序规范，均按规定履行评估论证、申报程序。如“2023年省预算内基本建设资金（第七批）支出预算”项目，事前经过了可行性研究、评估，和专家评审，项目建设的必要性、可行性充分，项目决策程序完整。该项指标得分为4分。</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（2）目标设置：指标赋分4分。2024年度，我单位共有预算项目15个，各项目均严格履行项目决策程序，通过多部门协作，编制了绩效目标，确保项目决策的合理性和可行性。根据评分标准，该项指标得分为4分。</w:t>
      </w:r>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rFonts w:eastAsia="仿宋_GB2312"/>
          <w:b w:val="0"/>
          <w:bCs w:val="0"/>
          <w:color w:val="auto"/>
          <w:sz w:val="32"/>
          <w:szCs w:val="32"/>
          <w:lang w:bidi="ar-SA"/>
        </w:rPr>
      </w:pPr>
      <w:r>
        <w:rPr>
          <w:rFonts w:eastAsia="仿宋_GB2312"/>
          <w:b w:val="0"/>
          <w:bCs w:val="0"/>
          <w:color w:val="auto"/>
          <w:sz w:val="32"/>
          <w:szCs w:val="32"/>
          <w:lang w:val="en-US" w:eastAsia="zh-CN" w:bidi="ar-SA"/>
        </w:rPr>
        <w:t>（3）项目入库：指标赋分4分。根据《广元市财政绩效管理暂行办法（试行）》要求，我单位</w:t>
      </w:r>
      <w:r>
        <w:rPr>
          <w:rFonts w:eastAsia="仿宋_GB2312"/>
          <w:b w:val="0"/>
          <w:bCs w:val="0"/>
          <w:color w:val="auto"/>
          <w:sz w:val="32"/>
          <w:szCs w:val="32"/>
          <w:lang w:bidi="ar-SA"/>
        </w:rPr>
        <w:t>202</w:t>
      </w:r>
      <w:r>
        <w:rPr>
          <w:rFonts w:eastAsia="仿宋_GB2312"/>
          <w:b w:val="0"/>
          <w:bCs w:val="0"/>
          <w:color w:val="auto"/>
          <w:sz w:val="32"/>
          <w:szCs w:val="32"/>
          <w:lang w:val="en-US" w:eastAsia="zh-CN" w:bidi="ar-SA"/>
        </w:rPr>
        <w:t>4</w:t>
      </w:r>
      <w:r>
        <w:rPr>
          <w:rFonts w:eastAsia="仿宋_GB2312"/>
          <w:b w:val="0"/>
          <w:bCs w:val="0"/>
          <w:color w:val="auto"/>
          <w:sz w:val="32"/>
          <w:szCs w:val="32"/>
          <w:lang w:bidi="ar-SA"/>
        </w:rPr>
        <w:t>年度特定目标类项目</w:t>
      </w:r>
      <w:r>
        <w:rPr>
          <w:rFonts w:eastAsia="仿宋_GB2312"/>
          <w:b w:val="0"/>
          <w:bCs w:val="0"/>
          <w:color w:val="auto"/>
          <w:sz w:val="32"/>
          <w:szCs w:val="32"/>
          <w:lang w:val="en-US" w:eastAsia="zh-CN" w:bidi="ar-SA"/>
        </w:rPr>
        <w:t>均</w:t>
      </w:r>
      <w:r>
        <w:rPr>
          <w:rFonts w:eastAsia="仿宋_GB2312"/>
          <w:b w:val="0"/>
          <w:bCs w:val="0"/>
          <w:color w:val="auto"/>
          <w:sz w:val="32"/>
          <w:szCs w:val="32"/>
          <w:lang w:bidi="ar-SA"/>
        </w:rPr>
        <w:t>已入库，项目入库及时率100.00%。该项指标得分为4分。</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textAlignment w:val="auto"/>
        <w:outlineLvl w:val="2"/>
        <w:rPr>
          <w:rFonts w:eastAsia="仿宋_GB2312"/>
          <w:b w:val="0"/>
          <w:bCs w:val="0"/>
          <w:color w:val="auto"/>
          <w:kern w:val="0"/>
          <w:position w:val="0"/>
          <w:sz w:val="32"/>
          <w:szCs w:val="32"/>
          <w:lang w:val="en-US" w:eastAsia="zh-CN" w:bidi="ar-SA"/>
        </w:rPr>
      </w:pPr>
      <w:bookmarkStart w:id="103" w:name="_Toc83065417"/>
      <w:r>
        <w:rPr>
          <w:rFonts w:eastAsia="仿宋_GB2312"/>
          <w:b w:val="0"/>
          <w:bCs w:val="0"/>
          <w:color w:val="auto"/>
          <w:kern w:val="0"/>
          <w:position w:val="0"/>
          <w:sz w:val="32"/>
          <w:szCs w:val="32"/>
          <w:lang w:val="en-US" w:eastAsia="zh-CN" w:bidi="ar-SA"/>
        </w:rPr>
        <w:t>2.项目执行</w:t>
      </w:r>
      <w:bookmarkEnd w:id="103"/>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（1）执行同向：指标赋分4分。我单位项目实际列支内容均与绩效目标设置方向相符，未发现资金用于非关键领域、低效浪费等情况。该项指标得分为4分。</w:t>
      </w:r>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（2）项目调整：指标赋分4分。我单位对所有预算项目均开展了绩效运行监控，监控重点包括项目过程管控、预算执行进度等。并根据监控结果，采取了对应调整措施。该项指标得分为4分。</w:t>
      </w:r>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（3）执行结果：指标赋分4分。2024年度，我单位预算项目15个，所有项目预算结余率均小于10%。该项指标得分为4分。</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textAlignment w:val="auto"/>
        <w:outlineLvl w:val="2"/>
        <w:rPr>
          <w:rFonts w:eastAsia="仿宋_GB2312"/>
          <w:b w:val="0"/>
          <w:bCs w:val="0"/>
          <w:color w:val="auto"/>
          <w:kern w:val="0"/>
          <w:position w:val="0"/>
          <w:sz w:val="32"/>
          <w:szCs w:val="32"/>
          <w:lang w:val="en-US" w:eastAsia="zh-CN" w:bidi="ar-SA"/>
        </w:rPr>
      </w:pPr>
      <w:bookmarkStart w:id="104" w:name="_Toc83065418"/>
      <w:r>
        <w:rPr>
          <w:rFonts w:eastAsia="仿宋_GB2312"/>
          <w:b w:val="0"/>
          <w:bCs w:val="0"/>
          <w:color w:val="auto"/>
          <w:kern w:val="0"/>
          <w:position w:val="0"/>
          <w:sz w:val="32"/>
          <w:szCs w:val="32"/>
          <w:lang w:val="en-US" w:eastAsia="zh-CN" w:bidi="ar-SA"/>
        </w:rPr>
        <w:t>3.目标实现</w:t>
      </w:r>
      <w:bookmarkEnd w:id="104"/>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（1）目标完成：指标赋分4分。2024年度，我单位预算项目15个，涉及数量指标共32个，各数量指标均达到或超过了预期目标值，数量指标完成率100%。该项指标得分为4分。</w:t>
      </w:r>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（2）目标偏离：指标赋分4分。部门15个预算项目共涉及数量指标32个，其中各已完成预期指标值的数量指标中偏离度均在30%内的指标个数，该项指标得分为4分。</w:t>
      </w:r>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（3）实现效果：指标赋分3分。2024年度，我单位15个预算项目效益指标均完成，达到了预期目标。该项指标得分为3分。</w:t>
      </w:r>
    </w:p>
    <w:p>
      <w:pPr>
        <w:keepNext w:val="0"/>
        <w:keepLines w:val="0"/>
        <w:pageBreakBefore w:val="0"/>
        <w:widowControl w:val="0"/>
        <w:suppressAutoHyphens/>
        <w:kinsoku/>
        <w:wordWrap/>
        <w:overflowPunct/>
        <w:topLinePunct w:val="0"/>
        <w:autoSpaceDE/>
        <w:autoSpaceDN/>
        <w:bidi w:val="0"/>
        <w:snapToGrid w:val="0"/>
        <w:spacing w:line="576" w:lineRule="exact"/>
        <w:ind w:firstLine="640" w:firstLineChars="200"/>
        <w:textAlignment w:val="auto"/>
        <w:outlineLvl w:val="1"/>
        <w:rPr>
          <w:rFonts w:eastAsia="楷体_GB2312"/>
          <w:b w:val="0"/>
          <w:bCs w:val="0"/>
          <w:color w:val="auto"/>
          <w:sz w:val="32"/>
          <w:szCs w:val="32"/>
          <w:lang w:val="zh-CN" w:eastAsia="zh-CN" w:bidi="ar-SA"/>
        </w:rPr>
      </w:pPr>
      <w:bookmarkStart w:id="105" w:name="_Toc83065419"/>
      <w:bookmarkStart w:id="106" w:name="_Toc2368"/>
      <w:r>
        <w:rPr>
          <w:rFonts w:eastAsia="楷体_GB2312"/>
          <w:b w:val="0"/>
          <w:bCs w:val="0"/>
          <w:color w:val="auto"/>
          <w:sz w:val="32"/>
          <w:szCs w:val="32"/>
          <w:lang w:val="zh-CN" w:eastAsia="zh-CN" w:bidi="ar-SA"/>
        </w:rPr>
        <w:t>（三）重点领域绩效分析</w:t>
      </w:r>
      <w:bookmarkEnd w:id="105"/>
      <w:bookmarkEnd w:id="106"/>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textAlignment w:val="auto"/>
        <w:outlineLvl w:val="2"/>
        <w:rPr>
          <w:rFonts w:eastAsia="仿宋_GB2312"/>
          <w:b w:val="0"/>
          <w:bCs w:val="0"/>
          <w:color w:val="auto"/>
          <w:kern w:val="0"/>
          <w:position w:val="0"/>
          <w:sz w:val="32"/>
          <w:szCs w:val="32"/>
          <w:lang w:val="en-US" w:eastAsia="zh-CN" w:bidi="ar-SA"/>
        </w:rPr>
      </w:pPr>
      <w:bookmarkStart w:id="107" w:name="_Toc5829"/>
      <w:bookmarkStart w:id="108" w:name="_Toc83065420"/>
      <w:r>
        <w:rPr>
          <w:rFonts w:eastAsia="仿宋_GB2312"/>
          <w:b w:val="0"/>
          <w:bCs w:val="0"/>
          <w:color w:val="auto"/>
          <w:kern w:val="0"/>
          <w:position w:val="0"/>
          <w:sz w:val="32"/>
          <w:szCs w:val="32"/>
          <w:lang w:val="en-US" w:eastAsia="zh-CN" w:bidi="ar-SA"/>
        </w:rPr>
        <w:t>1.政府采购项目</w:t>
      </w:r>
      <w:bookmarkEnd w:id="107"/>
      <w:bookmarkEnd w:id="108"/>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b w:val="0"/>
          <w:bCs w:val="0"/>
          <w:color w:val="auto"/>
        </w:rPr>
      </w:pPr>
      <w:r>
        <w:rPr>
          <w:rFonts w:eastAsia="仿宋_GB2312"/>
          <w:b w:val="0"/>
          <w:bCs w:val="0"/>
          <w:color w:val="auto"/>
          <w:sz w:val="32"/>
          <w:szCs w:val="32"/>
          <w:lang w:val="en-US" w:eastAsia="zh-CN" w:bidi="ar-SA"/>
        </w:rPr>
        <w:t>2024年度，我单位共有1个政府采购项目，为：2</w:t>
      </w:r>
      <w:r>
        <w:rPr>
          <w:rFonts w:eastAsia="仿宋_GB2312"/>
          <w:b w:val="0"/>
          <w:bCs w:val="0"/>
          <w:color w:val="auto"/>
          <w:kern w:val="0"/>
          <w:position w:val="0"/>
          <w:sz w:val="32"/>
          <w:szCs w:val="32"/>
          <w:lang w:val="zh-CN" w:eastAsia="zh-CN" w:bidi="ar-SA"/>
        </w:rPr>
        <w:t>023年省预算内基本建设资金（第七批）支出预算项目</w:t>
      </w:r>
      <w:r>
        <w:rPr>
          <w:rFonts w:eastAsia="仿宋_GB2312"/>
          <w:b w:val="0"/>
          <w:bCs w:val="0"/>
          <w:color w:val="auto"/>
          <w:sz w:val="32"/>
          <w:szCs w:val="32"/>
          <w:lang w:val="en-US" w:eastAsia="zh-CN" w:bidi="ar-SA"/>
        </w:rPr>
        <w:t>。</w:t>
      </w:r>
    </w:p>
    <w:p>
      <w:pPr>
        <w:keepNext w:val="0"/>
        <w:keepLines w:val="0"/>
        <w:pageBreakBefore w:val="0"/>
        <w:widowControl w:val="0"/>
        <w:suppressAutoHyphens/>
        <w:kinsoku/>
        <w:wordWrap/>
        <w:overflowPunct/>
        <w:topLinePunct w:val="0"/>
        <w:autoSpaceDE/>
        <w:autoSpaceDN/>
        <w:bidi w:val="0"/>
        <w:adjustRightInd/>
        <w:snapToGrid/>
        <w:spacing w:after="0" w:line="576" w:lineRule="exact"/>
        <w:ind w:firstLine="640" w:firstLineChars="200"/>
        <w:textAlignment w:val="auto"/>
        <w:rPr>
          <w:rFonts w:eastAsia="仿宋_GB2312"/>
          <w:b w:val="0"/>
          <w:bCs w:val="0"/>
          <w:color w:val="auto"/>
          <w:sz w:val="32"/>
          <w:szCs w:val="32"/>
          <w:lang w:val="zh-CN" w:eastAsia="zh-CN" w:bidi="ar-SA"/>
        </w:rPr>
      </w:pPr>
      <w:r>
        <w:rPr>
          <w:rFonts w:eastAsia="仿宋_GB2312"/>
          <w:b w:val="0"/>
          <w:bCs w:val="0"/>
          <w:color w:val="auto"/>
          <w:sz w:val="32"/>
          <w:szCs w:val="32"/>
          <w:lang w:val="zh-CN" w:eastAsia="zh-CN" w:bidi="ar-SA"/>
        </w:rPr>
        <w:t>为满足港区发展需要，实现对港区道路、市政管线、公共服务等基础设施的专题研究；同时也为即将启动编制的市中心城区控制性详细规划打下基础</w:t>
      </w:r>
      <w:r>
        <w:rPr>
          <w:rFonts w:eastAsia="仿宋_GB2312"/>
          <w:b w:val="0"/>
          <w:bCs w:val="0"/>
          <w:color w:val="auto"/>
          <w:sz w:val="32"/>
          <w:szCs w:val="32"/>
          <w:lang w:val="en-US" w:eastAsia="zh-CN" w:bidi="ar-SA"/>
        </w:rPr>
        <w:t>等，</w:t>
      </w:r>
      <w:r>
        <w:rPr>
          <w:rFonts w:eastAsia="仿宋_GB2312"/>
          <w:b w:val="0"/>
          <w:bCs w:val="0"/>
          <w:color w:val="auto"/>
          <w:sz w:val="32"/>
          <w:szCs w:val="32"/>
          <w:lang w:val="zh-CN" w:eastAsia="zh-CN" w:bidi="ar-SA"/>
        </w:rPr>
        <w:t>广元国际铁路港管理委员会规划建设部负责项目</w:t>
      </w:r>
      <w:r>
        <w:rPr>
          <w:rFonts w:eastAsia="仿宋_GB2312"/>
          <w:b w:val="0"/>
          <w:bCs w:val="0"/>
          <w:color w:val="auto"/>
          <w:sz w:val="32"/>
          <w:szCs w:val="32"/>
          <w:lang w:val="en-US" w:eastAsia="zh-CN" w:bidi="ar-SA"/>
        </w:rPr>
        <w:t>组织</w:t>
      </w:r>
      <w:r>
        <w:rPr>
          <w:rFonts w:eastAsia="仿宋_GB2312"/>
          <w:b w:val="0"/>
          <w:bCs w:val="0"/>
          <w:color w:val="auto"/>
          <w:sz w:val="32"/>
          <w:szCs w:val="32"/>
          <w:lang w:val="zh-CN" w:eastAsia="zh-CN" w:bidi="ar-SA"/>
        </w:rPr>
        <w:t>实施。</w:t>
      </w:r>
      <w:r>
        <w:rPr>
          <w:rFonts w:eastAsia="仿宋_GB2312"/>
          <w:b w:val="0"/>
          <w:bCs w:val="0"/>
          <w:color w:val="auto"/>
          <w:sz w:val="32"/>
          <w:szCs w:val="32"/>
          <w:lang w:val="en-US" w:eastAsia="zh-CN" w:bidi="ar-SA"/>
        </w:rPr>
        <w:t>该项目于2024年4月23日启动政府采购程序，6月6日通过政府采购程序确定中交第一公路勘察设计研究院有限公司为本项目的成交供应商，政府采购程序公开透明、公平公正。该项目预算数</w:t>
      </w:r>
      <w:r>
        <w:rPr>
          <w:rFonts w:eastAsia="仿宋_GB2312"/>
          <w:b w:val="0"/>
          <w:bCs w:val="0"/>
          <w:color w:val="auto"/>
          <w:kern w:val="0"/>
          <w:position w:val="0"/>
          <w:sz w:val="32"/>
          <w:szCs w:val="32"/>
          <w:lang w:val="en-US" w:eastAsia="zh-CN" w:bidi="ar-SA"/>
        </w:rPr>
        <w:t>50</w:t>
      </w:r>
      <w:r>
        <w:rPr>
          <w:rFonts w:eastAsia="仿宋_GB2312"/>
          <w:b w:val="0"/>
          <w:bCs w:val="0"/>
          <w:color w:val="auto"/>
          <w:sz w:val="32"/>
          <w:szCs w:val="32"/>
          <w:lang w:val="en-US" w:eastAsia="zh-CN" w:bidi="ar-SA"/>
        </w:rPr>
        <w:t>万元，预算执行数49.28万元（因项目实际使用</w:t>
      </w:r>
      <w:r>
        <w:rPr>
          <w:rFonts w:eastAsia="仿宋_GB2312"/>
          <w:b w:val="0"/>
          <w:bCs w:val="0"/>
          <w:color w:val="auto"/>
          <w:kern w:val="0"/>
          <w:position w:val="0"/>
          <w:sz w:val="32"/>
          <w:szCs w:val="32"/>
          <w:lang w:val="en-US" w:eastAsia="zh-CN" w:bidi="ar-SA"/>
        </w:rPr>
        <w:t>49.28</w:t>
      </w:r>
      <w:r>
        <w:rPr>
          <w:rFonts w:eastAsia="仿宋_GB2312"/>
          <w:b w:val="0"/>
          <w:bCs w:val="0"/>
          <w:color w:val="auto"/>
          <w:sz w:val="32"/>
          <w:szCs w:val="32"/>
          <w:lang w:val="en-US" w:eastAsia="zh-CN" w:bidi="ar-SA"/>
        </w:rPr>
        <w:t>万元，剩余资金已收回）。</w:t>
      </w:r>
      <w:r>
        <w:rPr>
          <w:rFonts w:eastAsia="仿宋_GB2312"/>
          <w:b w:val="0"/>
          <w:bCs w:val="0"/>
          <w:color w:val="auto"/>
          <w:sz w:val="32"/>
          <w:szCs w:val="32"/>
          <w:lang w:val="zh-CN" w:eastAsia="zh-CN" w:bidi="ar-SA"/>
        </w:rPr>
        <w:t>本次规划研究和优化调整主要应在《广元市国土空间总体规划（2021-2035）》及相关规划指导下，在充分调研和深入分析铁路港区地理和环境特色的基础上，进一步明确本区域的功能定位和发展目标，贯彻可持续发展战略，按照城市总体发展要求,优化土地资源配置，充分发挥该区域的区位优势。该规划应兼顾建设和管理，把握刚性和弹性，为港区“建设、管理”提供合法依据。</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en-US" w:eastAsia="zh-CN" w:bidi="ar-SA"/>
        </w:rPr>
      </w:pPr>
      <w:bookmarkStart w:id="109" w:name="_Toc13185"/>
      <w:bookmarkStart w:id="110" w:name="_Toc83065421"/>
      <w:r>
        <w:rPr>
          <w:rFonts w:eastAsia="仿宋_GB2312"/>
          <w:b w:val="0"/>
          <w:bCs w:val="0"/>
          <w:color w:val="auto"/>
          <w:kern w:val="0"/>
          <w:position w:val="0"/>
          <w:sz w:val="32"/>
          <w:szCs w:val="32"/>
          <w:lang w:val="en-US" w:eastAsia="zh-CN" w:bidi="ar-SA"/>
        </w:rPr>
        <w:t>2.债券资金项目</w:t>
      </w:r>
      <w:bookmarkEnd w:id="109"/>
      <w:bookmarkEnd w:id="110"/>
    </w:p>
    <w:p>
      <w:pPr>
        <w:keepNext w:val="0"/>
        <w:keepLines w:val="0"/>
        <w:pageBreakBefore w:val="0"/>
        <w:widowControl w:val="0"/>
        <w:suppressAutoHyphens/>
        <w:kinsoku/>
        <w:wordWrap/>
        <w:overflowPunct/>
        <w:topLinePunct w:val="0"/>
        <w:autoSpaceDE/>
        <w:autoSpaceDN/>
        <w:snapToGrid w:val="0"/>
        <w:spacing w:line="576" w:lineRule="exact"/>
        <w:ind w:firstLine="640" w:firstLineChars="200"/>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2024年广元国际铁路港管委会下属平台公司铁发公司共涉及3个债券项目，分别如下：</w:t>
      </w:r>
    </w:p>
    <w:p>
      <w:pPr>
        <w:keepNext w:val="0"/>
        <w:keepLines w:val="0"/>
        <w:pageBreakBefore w:val="0"/>
        <w:widowControl w:val="0"/>
        <w:suppressAutoHyphens/>
        <w:kinsoku/>
        <w:wordWrap/>
        <w:overflowPunct/>
        <w:topLinePunct w:val="0"/>
        <w:autoSpaceDE/>
        <w:autoSpaceDN/>
        <w:snapToGrid w:val="0"/>
        <w:spacing w:line="576" w:lineRule="exact"/>
        <w:ind w:firstLine="640" w:firstLineChars="200"/>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1）广元（中欧）国际木材物流园项目：累计申请到位专项债券资金1.13亿元，已使用2603.34万元，主要用于工程施工建设，已完成华油天然气输气管道迁改工程，场平工程已基本完成，正在开展场平工程竣工结算。</w:t>
      </w:r>
    </w:p>
    <w:p>
      <w:pPr>
        <w:keepNext w:val="0"/>
        <w:keepLines w:val="0"/>
        <w:pageBreakBefore w:val="0"/>
        <w:widowControl w:val="0"/>
        <w:suppressAutoHyphens/>
        <w:kinsoku/>
        <w:wordWrap/>
        <w:overflowPunct/>
        <w:topLinePunct w:val="0"/>
        <w:autoSpaceDE/>
        <w:autoSpaceDN/>
        <w:snapToGrid w:val="0"/>
        <w:spacing w:line="576" w:lineRule="exact"/>
        <w:ind w:firstLine="640" w:firstLineChars="200"/>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2）广元国际铁路物流园项目：申请到位专项债券资金3.07亿元，已使用19796.5万元，主要用于工程施工建设。目前，场平工程已基本完工，海关监管作业场所、桥梁工程、电力线迁改工程、对外交通工程（ABCD匝道）已完工，正在实施多式联运中心工程、对外交通工程（EF匝道）等工程。</w:t>
      </w:r>
    </w:p>
    <w:p>
      <w:pPr>
        <w:keepNext w:val="0"/>
        <w:keepLines w:val="0"/>
        <w:pageBreakBefore w:val="0"/>
        <w:widowControl w:val="0"/>
        <w:suppressAutoHyphens/>
        <w:kinsoku/>
        <w:wordWrap/>
        <w:overflowPunct/>
        <w:topLinePunct w:val="0"/>
        <w:autoSpaceDE/>
        <w:autoSpaceDN/>
        <w:snapToGrid w:val="0"/>
        <w:spacing w:line="576" w:lineRule="exact"/>
        <w:ind w:firstLine="640" w:firstLineChars="200"/>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3）广元高铁快运物流基地（二期）项目：申请到位专项债券资金2亿元，已使用17482.56万元，主要用于项目征拆和天然气迁改工程，该项目已取得用地批复，正加快推进征地拆迁工作，已进入大面积倒房及人员货币安置补偿阶段。</w:t>
      </w:r>
    </w:p>
    <w:p>
      <w:pPr>
        <w:keepNext w:val="0"/>
        <w:keepLines w:val="0"/>
        <w:pageBreakBefore w:val="0"/>
        <w:widowControl w:val="0"/>
        <w:suppressAutoHyphens/>
        <w:kinsoku/>
        <w:wordWrap/>
        <w:overflowPunct/>
        <w:topLinePunct w:val="0"/>
        <w:autoSpaceDE/>
        <w:autoSpaceDN/>
        <w:snapToGrid w:val="0"/>
        <w:spacing w:line="576" w:lineRule="exact"/>
        <w:ind w:firstLine="640" w:firstLineChars="200"/>
        <w:outlineLvl w:val="1"/>
        <w:rPr>
          <w:rFonts w:eastAsia="楷体_GB2312"/>
          <w:b w:val="0"/>
          <w:bCs w:val="0"/>
          <w:color w:val="auto"/>
          <w:sz w:val="32"/>
          <w:szCs w:val="32"/>
          <w:lang w:val="zh-CN" w:eastAsia="zh-CN" w:bidi="ar-SA"/>
        </w:rPr>
      </w:pPr>
      <w:bookmarkStart w:id="111" w:name="_Toc83065422"/>
      <w:r>
        <w:rPr>
          <w:rFonts w:eastAsia="楷体_GB2312"/>
          <w:b w:val="0"/>
          <w:bCs w:val="0"/>
          <w:color w:val="auto"/>
          <w:kern w:val="0"/>
          <w:sz w:val="32"/>
          <w:szCs w:val="32"/>
          <w:shd w:val="clear" w:color="auto" w:fill="FFFFFF"/>
          <w:lang w:val="zh-CN" w:eastAsia="zh-CN" w:bidi="ar-SA"/>
        </w:rPr>
        <w:t>（四）</w:t>
      </w:r>
      <w:r>
        <w:rPr>
          <w:rFonts w:eastAsia="楷体_GB2312"/>
          <w:b w:val="0"/>
          <w:bCs w:val="0"/>
          <w:color w:val="auto"/>
          <w:sz w:val="32"/>
          <w:szCs w:val="32"/>
          <w:lang w:val="zh-CN" w:eastAsia="zh-CN" w:bidi="ar-SA"/>
        </w:rPr>
        <w:t>绩效结果应用情况</w:t>
      </w:r>
      <w:bookmarkEnd w:id="111"/>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en-US" w:eastAsia="zh-CN" w:bidi="ar-SA"/>
        </w:rPr>
      </w:pPr>
      <w:bookmarkStart w:id="112" w:name="_Toc83065423"/>
      <w:bookmarkStart w:id="113" w:name="_Toc14513"/>
      <w:r>
        <w:rPr>
          <w:rFonts w:eastAsia="仿宋_GB2312"/>
          <w:b w:val="0"/>
          <w:bCs w:val="0"/>
          <w:color w:val="auto"/>
          <w:kern w:val="0"/>
          <w:position w:val="0"/>
          <w:sz w:val="32"/>
          <w:szCs w:val="32"/>
          <w:lang w:val="en-US" w:eastAsia="zh-CN" w:bidi="ar-SA"/>
        </w:rPr>
        <w:t>1.内部应用情况</w:t>
      </w:r>
      <w:bookmarkEnd w:id="112"/>
      <w:bookmarkEnd w:id="113"/>
    </w:p>
    <w:p>
      <w:pPr>
        <w:keepNext w:val="0"/>
        <w:keepLines w:val="0"/>
        <w:pageBreakBefore w:val="0"/>
        <w:widowControl w:val="0"/>
        <w:suppressAutoHyphens/>
        <w:kinsoku/>
        <w:wordWrap/>
        <w:overflowPunct/>
        <w:topLinePunct w:val="0"/>
        <w:autoSpaceDE/>
        <w:autoSpaceDN/>
        <w:adjustRightInd/>
        <w:snapToGrid/>
        <w:spacing w:after="0" w:line="576" w:lineRule="atLeast"/>
        <w:ind w:firstLine="640" w:firstLineChars="200"/>
        <w:rPr>
          <w:rFonts w:eastAsia="仿宋_GB2312"/>
          <w:b w:val="0"/>
          <w:bCs w:val="0"/>
          <w:color w:val="auto"/>
          <w:sz w:val="32"/>
          <w:szCs w:val="32"/>
          <w:lang w:val="zh-CN" w:eastAsia="zh-CN" w:bidi="ar-SA"/>
        </w:rPr>
      </w:pPr>
      <w:r>
        <w:rPr>
          <w:rFonts w:eastAsia="仿宋_GB2312"/>
          <w:b w:val="0"/>
          <w:bCs w:val="0"/>
          <w:color w:val="auto"/>
          <w:sz w:val="32"/>
          <w:szCs w:val="32"/>
          <w:lang w:val="en-US" w:eastAsia="zh-CN" w:bidi="ar-SA"/>
        </w:rPr>
        <w:t>我单位积极</w:t>
      </w:r>
      <w:r>
        <w:rPr>
          <w:rFonts w:eastAsia="仿宋_GB2312"/>
          <w:b w:val="0"/>
          <w:bCs w:val="0"/>
          <w:color w:val="auto"/>
          <w:sz w:val="32"/>
          <w:szCs w:val="32"/>
          <w:lang w:val="zh-CN" w:eastAsia="zh-CN" w:bidi="ar-SA"/>
        </w:rPr>
        <w:t>加强各业务</w:t>
      </w:r>
      <w:r>
        <w:rPr>
          <w:rFonts w:eastAsia="仿宋_GB2312"/>
          <w:b w:val="0"/>
          <w:bCs w:val="0"/>
          <w:color w:val="auto"/>
          <w:sz w:val="32"/>
          <w:szCs w:val="32"/>
          <w:lang w:val="en-US" w:eastAsia="zh-CN" w:bidi="ar-SA"/>
        </w:rPr>
        <w:t>科室</w:t>
      </w:r>
      <w:r>
        <w:rPr>
          <w:rFonts w:eastAsia="仿宋_GB2312"/>
          <w:b w:val="0"/>
          <w:bCs w:val="0"/>
          <w:color w:val="auto"/>
          <w:sz w:val="32"/>
          <w:szCs w:val="32"/>
          <w:lang w:val="zh-CN" w:eastAsia="zh-CN" w:bidi="ar-SA"/>
        </w:rPr>
        <w:t>与绩效管理工作的联系，明确考核及绩效结果与专项预算安排挂钩举措，推动绩效管理工作的实施，将预算绩效结果和预算绩效工作考核结果作为改进业务管理、财务管理的重要参考，</w:t>
      </w:r>
      <w:r>
        <w:rPr>
          <w:rFonts w:eastAsia="仿宋_GB2312"/>
          <w:b w:val="0"/>
          <w:bCs w:val="0"/>
          <w:color w:val="auto"/>
          <w:sz w:val="32"/>
          <w:szCs w:val="32"/>
          <w:lang w:val="en-US" w:eastAsia="zh-CN" w:bidi="ar-SA"/>
        </w:rPr>
        <w:t>围绕“过紧日子”、厉行节约相关政策的要求开展绩效评价工作</w:t>
      </w:r>
      <w:r>
        <w:rPr>
          <w:rFonts w:eastAsia="仿宋_GB2312"/>
          <w:b w:val="0"/>
          <w:bCs w:val="0"/>
          <w:color w:val="auto"/>
          <w:sz w:val="32"/>
          <w:szCs w:val="32"/>
          <w:lang w:val="zh-CN" w:eastAsia="zh-CN" w:bidi="ar-SA"/>
        </w:rPr>
        <w:t>。</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en-US" w:eastAsia="zh-CN" w:bidi="ar-SA"/>
        </w:rPr>
      </w:pPr>
      <w:bookmarkStart w:id="114" w:name="_Toc12534"/>
      <w:bookmarkStart w:id="115" w:name="_Toc83065424"/>
      <w:r>
        <w:rPr>
          <w:rFonts w:eastAsia="仿宋_GB2312"/>
          <w:b w:val="0"/>
          <w:bCs w:val="0"/>
          <w:color w:val="auto"/>
          <w:kern w:val="0"/>
          <w:position w:val="0"/>
          <w:sz w:val="32"/>
          <w:szCs w:val="32"/>
          <w:lang w:val="en-US" w:eastAsia="zh-CN" w:bidi="ar-SA"/>
        </w:rPr>
        <w:t>2.信息公开情况</w:t>
      </w:r>
      <w:bookmarkEnd w:id="114"/>
      <w:bookmarkEnd w:id="115"/>
    </w:p>
    <w:p>
      <w:pPr>
        <w:keepNext w:val="0"/>
        <w:keepLines w:val="0"/>
        <w:pageBreakBefore w:val="0"/>
        <w:widowControl w:val="0"/>
        <w:suppressAutoHyphens/>
        <w:kinsoku/>
        <w:wordWrap/>
        <w:overflowPunct/>
        <w:topLinePunct w:val="0"/>
        <w:autoSpaceDE/>
        <w:autoSpaceDN/>
        <w:adjustRightInd/>
        <w:snapToGrid/>
        <w:spacing w:after="0" w:line="576" w:lineRule="atLeast"/>
        <w:ind w:firstLine="640" w:firstLineChars="200"/>
        <w:rPr>
          <w:rFonts w:eastAsia="仿宋_GB2312"/>
          <w:b w:val="0"/>
          <w:bCs w:val="0"/>
          <w:color w:val="auto"/>
          <w:sz w:val="32"/>
          <w:szCs w:val="32"/>
          <w:lang w:val="zh-CN" w:eastAsia="zh-CN" w:bidi="ar-SA"/>
        </w:rPr>
      </w:pPr>
      <w:r>
        <w:rPr>
          <w:rFonts w:eastAsia="仿宋_GB2312"/>
          <w:b w:val="0"/>
          <w:bCs w:val="0"/>
          <w:color w:val="auto"/>
          <w:sz w:val="32"/>
          <w:szCs w:val="32"/>
          <w:lang w:val="en-US" w:eastAsia="zh-CN" w:bidi="ar-SA"/>
        </w:rPr>
        <w:t>我单位</w:t>
      </w:r>
      <w:r>
        <w:rPr>
          <w:rFonts w:eastAsia="仿宋_GB2312"/>
          <w:b w:val="0"/>
          <w:bCs w:val="0"/>
          <w:color w:val="auto"/>
          <w:sz w:val="32"/>
          <w:szCs w:val="32"/>
          <w:lang w:val="zh-CN" w:eastAsia="zh-CN" w:bidi="ar-SA"/>
        </w:rPr>
        <w:t>坚持透明化原则，确保绩效管理的全过程公开、公正、公平。通过微信公众号、单位官网等多种渠道发布绩效管理相关政策、评价报告及奖惩情况等信息。通过定期的绩效评估与反馈，不断完善的单位内部绩效管理整改反馈机制，推动了绩效管理工作的持续改进和提升。</w:t>
      </w:r>
    </w:p>
    <w:p>
      <w:pPr>
        <w:keepNext w:val="0"/>
        <w:keepLines w:val="0"/>
        <w:pageBreakBefore w:val="0"/>
        <w:widowControl w:val="0"/>
        <w:suppressAutoHyphens/>
        <w:kinsoku/>
        <w:wordWrap/>
        <w:overflowPunct/>
        <w:topLinePunct w:val="0"/>
        <w:autoSpaceDE/>
        <w:autoSpaceDN/>
        <w:adjustRightInd/>
        <w:snapToGrid/>
        <w:spacing w:after="0" w:line="576" w:lineRule="atLeast"/>
        <w:ind w:firstLine="640" w:firstLineChars="200"/>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2024年2月22日，我单位</w:t>
      </w:r>
      <w:r>
        <w:rPr>
          <w:rFonts w:eastAsia="仿宋_GB2312"/>
          <w:b w:val="0"/>
          <w:bCs w:val="0"/>
          <w:color w:val="auto"/>
          <w:sz w:val="32"/>
          <w:szCs w:val="32"/>
          <w:lang w:val="zh-CN" w:eastAsia="zh-CN" w:bidi="ar-SA"/>
        </w:rPr>
        <w:t>按照财政厅、</w:t>
      </w:r>
      <w:r>
        <w:rPr>
          <w:rFonts w:eastAsia="仿宋_GB2312"/>
          <w:b w:val="0"/>
          <w:bCs w:val="0"/>
          <w:color w:val="auto"/>
          <w:sz w:val="32"/>
          <w:szCs w:val="32"/>
          <w:lang w:val="en-US" w:eastAsia="zh-CN" w:bidi="ar-SA"/>
        </w:rPr>
        <w:t>市财政局，在广元市人民政府官网公开了</w:t>
      </w:r>
      <w:r>
        <w:rPr>
          <w:rFonts w:eastAsia="仿宋_GB2312"/>
          <w:b w:val="0"/>
          <w:bCs w:val="0"/>
          <w:color w:val="auto"/>
          <w:sz w:val="32"/>
          <w:szCs w:val="32"/>
          <w:lang w:val="zh-CN" w:eastAsia="zh-CN" w:bidi="ar-SA"/>
        </w:rPr>
        <w:t>202</w:t>
      </w:r>
      <w:r>
        <w:rPr>
          <w:rFonts w:eastAsia="仿宋_GB2312"/>
          <w:b w:val="0"/>
          <w:bCs w:val="0"/>
          <w:color w:val="auto"/>
          <w:sz w:val="32"/>
          <w:szCs w:val="32"/>
          <w:lang w:val="en-US" w:eastAsia="zh-CN" w:bidi="ar-SA"/>
        </w:rPr>
        <w:t>4</w:t>
      </w:r>
      <w:r>
        <w:rPr>
          <w:rFonts w:eastAsia="仿宋_GB2312"/>
          <w:b w:val="0"/>
          <w:bCs w:val="0"/>
          <w:color w:val="auto"/>
          <w:sz w:val="32"/>
          <w:szCs w:val="32"/>
          <w:lang w:val="zh-CN" w:eastAsia="zh-CN" w:bidi="ar-SA"/>
        </w:rPr>
        <w:t>年部门预算和绩效目标；</w:t>
      </w:r>
      <w:r>
        <w:rPr>
          <w:rFonts w:eastAsia="仿宋_GB2312"/>
          <w:b w:val="0"/>
          <w:bCs w:val="0"/>
          <w:color w:val="auto"/>
          <w:sz w:val="32"/>
          <w:szCs w:val="32"/>
          <w:lang w:val="en-US" w:eastAsia="zh-CN" w:bidi="ar-SA"/>
        </w:rPr>
        <w:t>2024年10月2日，</w:t>
      </w:r>
      <w:r>
        <w:rPr>
          <w:rFonts w:eastAsia="仿宋_GB2312"/>
          <w:b w:val="0"/>
          <w:bCs w:val="0"/>
          <w:color w:val="auto"/>
          <w:sz w:val="32"/>
          <w:szCs w:val="32"/>
          <w:lang w:val="zh-CN" w:eastAsia="zh-CN" w:bidi="ar-SA"/>
        </w:rPr>
        <w:t>将202</w:t>
      </w:r>
      <w:r>
        <w:rPr>
          <w:rFonts w:eastAsia="仿宋_GB2312"/>
          <w:b w:val="0"/>
          <w:bCs w:val="0"/>
          <w:color w:val="auto"/>
          <w:sz w:val="32"/>
          <w:szCs w:val="32"/>
          <w:lang w:val="en-US" w:eastAsia="zh-CN" w:bidi="ar-SA"/>
        </w:rPr>
        <w:t>3</w:t>
      </w:r>
      <w:r>
        <w:rPr>
          <w:rFonts w:eastAsia="仿宋_GB2312"/>
          <w:b w:val="0"/>
          <w:bCs w:val="0"/>
          <w:color w:val="auto"/>
          <w:sz w:val="32"/>
          <w:szCs w:val="32"/>
          <w:lang w:val="zh-CN" w:eastAsia="zh-CN" w:bidi="ar-SA"/>
        </w:rPr>
        <w:t>年度</w:t>
      </w:r>
      <w:r>
        <w:rPr>
          <w:rFonts w:eastAsia="仿宋_GB2312"/>
          <w:b w:val="0"/>
          <w:bCs w:val="0"/>
          <w:color w:val="auto"/>
          <w:sz w:val="32"/>
          <w:szCs w:val="32"/>
          <w:lang w:val="en-US" w:eastAsia="zh-CN" w:bidi="ar-SA"/>
        </w:rPr>
        <w:t>决算报告和相关表格进行了公开。</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0"/>
        <w:rPr>
          <w:rFonts w:eastAsia="黑体"/>
          <w:b w:val="0"/>
          <w:bCs w:val="0"/>
          <w:color w:val="auto"/>
          <w:kern w:val="0"/>
          <w:sz w:val="32"/>
          <w:szCs w:val="32"/>
          <w:shd w:val="clear" w:color="auto" w:fill="FFFFFF"/>
          <w:lang w:val="en-US" w:eastAsia="zh-CN" w:bidi="ar-SA"/>
        </w:rPr>
      </w:pPr>
      <w:bookmarkStart w:id="116" w:name="_Toc83065425"/>
      <w:r>
        <w:rPr>
          <w:rFonts w:eastAsia="黑体"/>
          <w:b w:val="0"/>
          <w:bCs w:val="0"/>
          <w:color w:val="auto"/>
          <w:kern w:val="0"/>
          <w:sz w:val="32"/>
          <w:szCs w:val="32"/>
          <w:shd w:val="clear" w:color="auto" w:fill="FFFFFF"/>
          <w:lang w:eastAsia="zh-CN" w:bidi="ar-SA"/>
        </w:rPr>
        <w:t>四、</w:t>
      </w:r>
      <w:r>
        <w:rPr>
          <w:rFonts w:eastAsia="黑体"/>
          <w:b w:val="0"/>
          <w:bCs w:val="0"/>
          <w:color w:val="auto"/>
          <w:kern w:val="0"/>
          <w:sz w:val="32"/>
          <w:szCs w:val="32"/>
          <w:shd w:val="clear" w:color="auto" w:fill="FFFFFF"/>
          <w:lang w:bidi="ar-SA"/>
        </w:rPr>
        <w:t>评价结论及建议</w:t>
      </w:r>
      <w:bookmarkEnd w:id="116"/>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1"/>
        <w:rPr>
          <w:rFonts w:eastAsia="楷体_GB2312"/>
          <w:b w:val="0"/>
          <w:bCs w:val="0"/>
          <w:color w:val="auto"/>
          <w:kern w:val="0"/>
          <w:sz w:val="32"/>
          <w:szCs w:val="32"/>
          <w:shd w:val="clear" w:color="auto" w:fill="FFFFFF"/>
          <w:lang w:val="zh-CN" w:eastAsia="zh-CN" w:bidi="ar-SA"/>
        </w:rPr>
      </w:pPr>
      <w:bookmarkStart w:id="117" w:name="_Toc83065426"/>
      <w:r>
        <w:rPr>
          <w:rFonts w:eastAsia="楷体_GB2312"/>
          <w:b w:val="0"/>
          <w:bCs w:val="0"/>
          <w:color w:val="auto"/>
          <w:kern w:val="0"/>
          <w:sz w:val="32"/>
          <w:szCs w:val="32"/>
          <w:shd w:val="clear" w:color="auto" w:fill="FFFFFF"/>
          <w:lang w:val="zh-CN" w:eastAsia="zh-CN" w:bidi="ar-SA"/>
        </w:rPr>
        <w:t>（一）评价结论</w:t>
      </w:r>
      <w:bookmarkEnd w:id="117"/>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rPr>
          <w:rFonts w:eastAsia="仿宋_GB2312"/>
          <w:b w:val="0"/>
          <w:bCs w:val="0"/>
          <w:color w:val="auto"/>
          <w:kern w:val="0"/>
          <w:position w:val="0"/>
          <w:sz w:val="32"/>
          <w:szCs w:val="32"/>
          <w:lang w:val="en-US" w:eastAsia="zh-CN" w:bidi="ar-SA"/>
        </w:rPr>
      </w:pPr>
      <w:r>
        <w:rPr>
          <w:rFonts w:eastAsia="仿宋_GB2312"/>
          <w:b w:val="0"/>
          <w:bCs w:val="0"/>
          <w:color w:val="auto"/>
          <w:sz w:val="32"/>
          <w:szCs w:val="32"/>
          <w:lang w:val="en-US" w:eastAsia="zh-CN" w:bidi="ar-SA"/>
        </w:rPr>
        <w:t>我单位</w:t>
      </w:r>
      <w:r>
        <w:rPr>
          <w:rFonts w:eastAsia="仿宋_GB2312"/>
          <w:b w:val="0"/>
          <w:bCs w:val="0"/>
          <w:color w:val="auto"/>
          <w:sz w:val="32"/>
          <w:szCs w:val="32"/>
          <w:lang w:val="zh-CN" w:eastAsia="zh-CN" w:bidi="ar-SA"/>
        </w:rPr>
        <w:t>按照市级部门整体支出绩效评价指标体系，</w:t>
      </w:r>
      <w:r>
        <w:rPr>
          <w:rFonts w:eastAsia="仿宋_GB2312"/>
          <w:b w:val="0"/>
          <w:bCs w:val="0"/>
          <w:color w:val="auto"/>
          <w:sz w:val="32"/>
          <w:szCs w:val="32"/>
          <w:lang w:val="en-US" w:eastAsia="zh-CN" w:bidi="ar-SA"/>
        </w:rPr>
        <w:t>根据</w:t>
      </w:r>
      <w:r>
        <w:rPr>
          <w:rFonts w:eastAsia="仿宋_GB2312"/>
          <w:b w:val="0"/>
          <w:bCs w:val="0"/>
          <w:color w:val="auto"/>
          <w:sz w:val="32"/>
          <w:szCs w:val="32"/>
          <w:lang w:val="zh-CN" w:eastAsia="zh-CN" w:bidi="ar-SA"/>
        </w:rPr>
        <w:t>履职效能、财务管理、资产管理、项目决策等方面进行自评，自评得分为</w:t>
      </w:r>
      <w:r>
        <w:rPr>
          <w:rFonts w:eastAsia="仿宋_GB2312"/>
          <w:b w:val="0"/>
          <w:bCs w:val="0"/>
          <w:color w:val="auto"/>
          <w:sz w:val="32"/>
          <w:szCs w:val="32"/>
          <w:lang w:val="en-US" w:eastAsia="zh-CN" w:bidi="ar-SA"/>
        </w:rPr>
        <w:t>98.8分。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outlineLvl w:val="1"/>
        <w:rPr>
          <w:rFonts w:eastAsia="楷体_GB2312"/>
          <w:b w:val="0"/>
          <w:bCs w:val="0"/>
          <w:color w:val="auto"/>
          <w:kern w:val="0"/>
          <w:sz w:val="32"/>
          <w:szCs w:val="32"/>
          <w:shd w:val="clear" w:color="auto" w:fill="FFFFFF"/>
          <w:lang w:val="zh-CN" w:eastAsia="zh-CN" w:bidi="ar-SA"/>
        </w:rPr>
      </w:pPr>
      <w:bookmarkStart w:id="118" w:name="_Toc83065427"/>
      <w:r>
        <w:rPr>
          <w:rFonts w:eastAsia="楷体_GB2312"/>
          <w:b w:val="0"/>
          <w:bCs w:val="0"/>
          <w:color w:val="auto"/>
          <w:kern w:val="0"/>
          <w:sz w:val="32"/>
          <w:szCs w:val="32"/>
          <w:shd w:val="clear" w:color="auto" w:fill="FFFFFF"/>
          <w:lang w:val="zh-CN" w:eastAsia="zh-CN" w:bidi="ar-SA"/>
        </w:rPr>
        <w:t>（二）存在问题</w:t>
      </w:r>
      <w:bookmarkEnd w:id="118"/>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en-US" w:eastAsia="zh-CN" w:bidi="ar-SA"/>
        </w:rPr>
      </w:pPr>
      <w:bookmarkStart w:id="119" w:name="_Toc83065428"/>
      <w:r>
        <w:rPr>
          <w:rFonts w:eastAsia="仿宋_GB2312"/>
          <w:b w:val="0"/>
          <w:bCs w:val="0"/>
          <w:color w:val="auto"/>
          <w:kern w:val="0"/>
          <w:position w:val="0"/>
          <w:sz w:val="32"/>
          <w:szCs w:val="32"/>
          <w:lang w:val="en-US" w:eastAsia="zh-CN" w:bidi="ar-SA"/>
        </w:rPr>
        <w:t>1.绩效管理内容体系和评价标准的设置不科学</w:t>
      </w:r>
      <w:bookmarkEnd w:id="119"/>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绩效内容体系架构不够科学合理，核心指标体系设计在质量维度与层次划分上均有待提升；部分预算目标设定环节存在一定疏漏，对质量管控、成本效益等关键性指标缺乏具体量化标准；绩效评估机制过于简化，现有衡量方式难以全面反映工作成效，导致评价结果流于表面。虽然部分预算单位建立了三级评价指标体系框架，但在实际操作中既未设定基础分值标准，也未开展系统深入的自我评估工作。</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outlineLvl w:val="2"/>
        <w:rPr>
          <w:rFonts w:eastAsia="仿宋_GB2312"/>
          <w:b w:val="0"/>
          <w:bCs w:val="0"/>
          <w:color w:val="auto"/>
          <w:kern w:val="0"/>
          <w:position w:val="0"/>
          <w:sz w:val="32"/>
          <w:szCs w:val="32"/>
          <w:lang w:val="en-US" w:eastAsia="zh-CN" w:bidi="ar-SA"/>
        </w:rPr>
      </w:pPr>
      <w:bookmarkStart w:id="120" w:name="_Toc83065429"/>
      <w:r>
        <w:rPr>
          <w:rFonts w:eastAsia="仿宋_GB2312"/>
          <w:b w:val="0"/>
          <w:bCs w:val="0"/>
          <w:color w:val="auto"/>
          <w:kern w:val="0"/>
          <w:position w:val="0"/>
          <w:sz w:val="32"/>
          <w:szCs w:val="32"/>
          <w:lang w:val="en-US" w:eastAsia="zh-CN" w:bidi="ar-SA"/>
        </w:rPr>
        <w:t>2.可量化数量指标较少</w:t>
      </w:r>
      <w:bookmarkEnd w:id="120"/>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jc w:val="left"/>
        <w:textAlignment w:val="auto"/>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我单位2024年共15个预算项目，其中数量指标共涉及32个，平均各项目数量指标为2.13个，部分项目只设置1个数量指标，如“高铁快运动车运营费用”项目和“国际班列运营补助费用”项目。可量化数量指标较少且部分指标衡量标准不明确，难以进行客观评估。</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jc w:val="left"/>
        <w:textAlignment w:val="auto"/>
        <w:outlineLvl w:val="1"/>
        <w:rPr>
          <w:rFonts w:eastAsia="楷体_GB2312"/>
          <w:b w:val="0"/>
          <w:bCs w:val="0"/>
          <w:color w:val="auto"/>
          <w:kern w:val="0"/>
          <w:sz w:val="32"/>
          <w:szCs w:val="32"/>
          <w:shd w:val="clear" w:color="auto" w:fill="FFFFFF"/>
          <w:lang w:val="zh-CN" w:eastAsia="zh-CN" w:bidi="ar-SA"/>
        </w:rPr>
      </w:pPr>
      <w:bookmarkStart w:id="121" w:name="_Toc83065430"/>
      <w:r>
        <w:rPr>
          <w:rFonts w:eastAsia="楷体_GB2312"/>
          <w:b w:val="0"/>
          <w:bCs w:val="0"/>
          <w:color w:val="auto"/>
          <w:kern w:val="0"/>
          <w:sz w:val="32"/>
          <w:szCs w:val="32"/>
          <w:shd w:val="clear" w:color="auto" w:fill="FFFFFF"/>
          <w:lang w:val="zh-CN" w:eastAsia="zh-CN" w:bidi="ar-SA"/>
        </w:rPr>
        <w:t>（三）改进建议</w:t>
      </w:r>
      <w:bookmarkEnd w:id="121"/>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textAlignment w:val="auto"/>
        <w:outlineLvl w:val="2"/>
        <w:rPr>
          <w:rFonts w:eastAsia="仿宋_GB2312"/>
          <w:b w:val="0"/>
          <w:bCs w:val="0"/>
          <w:color w:val="auto"/>
          <w:kern w:val="0"/>
          <w:position w:val="0"/>
          <w:sz w:val="32"/>
          <w:szCs w:val="32"/>
          <w:lang w:val="en-US" w:eastAsia="zh-CN" w:bidi="ar-SA"/>
        </w:rPr>
      </w:pPr>
      <w:bookmarkStart w:id="122" w:name="_Toc83065431"/>
      <w:r>
        <w:rPr>
          <w:rFonts w:eastAsia="仿宋_GB2312"/>
          <w:b w:val="0"/>
          <w:bCs w:val="0"/>
          <w:color w:val="auto"/>
          <w:kern w:val="0"/>
          <w:position w:val="0"/>
          <w:sz w:val="32"/>
          <w:szCs w:val="32"/>
          <w:lang w:val="en-US" w:eastAsia="zh-CN" w:bidi="ar-SA"/>
        </w:rPr>
        <w:t>1.完善绩效管理内容体系和评价标准</w:t>
      </w:r>
      <w:bookmarkEnd w:id="122"/>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jc w:val="left"/>
        <w:textAlignment w:val="auto"/>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一是制定科学的绩效指标体系，结合部门职能定位和业务特点等实际情况，制定全面、具体、可量化的绩效指标体系，确保绩效目标既具有挑战性又切实可行。二是优化绩效评价方法。采用定量与定性相结合，综合运用目标管理法、关键绩效指标法等科学方法。建立多维度评价机制，确保考核结果客观公正。三是健全绩效反馈机制。建立定期绩效评价制度，及时向业务部门反馈结果，确保能够及时反映和调整。</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contextualSpacing/>
        <w:textAlignment w:val="auto"/>
        <w:outlineLvl w:val="2"/>
        <w:rPr>
          <w:rFonts w:eastAsia="仿宋_GB2312"/>
          <w:b w:val="0"/>
          <w:bCs w:val="0"/>
          <w:color w:val="auto"/>
          <w:kern w:val="0"/>
          <w:position w:val="0"/>
          <w:sz w:val="32"/>
          <w:szCs w:val="32"/>
          <w:lang w:val="en-US" w:eastAsia="zh-CN" w:bidi="ar-SA"/>
        </w:rPr>
      </w:pPr>
      <w:bookmarkStart w:id="123" w:name="_Toc83065432"/>
      <w:r>
        <w:rPr>
          <w:rFonts w:eastAsia="仿宋_GB2312"/>
          <w:b w:val="0"/>
          <w:bCs w:val="0"/>
          <w:color w:val="auto"/>
          <w:kern w:val="0"/>
          <w:position w:val="0"/>
          <w:sz w:val="32"/>
          <w:szCs w:val="32"/>
          <w:lang w:val="en-US" w:eastAsia="zh-CN" w:bidi="ar-SA"/>
        </w:rPr>
        <w:t>2.提高绩效目标设置质量水平</w:t>
      </w:r>
      <w:bookmarkEnd w:id="123"/>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rPr>
          <w:rFonts w:eastAsia="仿宋_GB2312"/>
          <w:b w:val="0"/>
          <w:bCs w:val="0"/>
          <w:color w:val="auto"/>
          <w:sz w:val="32"/>
          <w:szCs w:val="32"/>
          <w:lang w:val="en-US" w:eastAsia="zh-CN" w:bidi="ar-SA"/>
        </w:rPr>
      </w:pPr>
      <w:r>
        <w:rPr>
          <w:rFonts w:eastAsia="仿宋_GB2312"/>
          <w:b w:val="0"/>
          <w:bCs w:val="0"/>
          <w:color w:val="auto"/>
          <w:sz w:val="32"/>
          <w:szCs w:val="32"/>
          <w:lang w:val="en-US" w:eastAsia="zh-CN" w:bidi="ar-SA"/>
        </w:rPr>
        <w:t>一是完善绩效指标要素体系。在设置绩效目标时，要包括但不限于数量指标、质量指标、时效指标、成本指标、效益指标和满意度指标等，以确保绩效目标的全面性和准确性。二是加强绩效目标设置的审核和监管。在绩效目标设置过程中，要加强审核和监管，对于不合理的绩效目标，应及时进行调整和优化，以提高项目执行和评估的效果。</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contextualSpacing/>
        <w:jc w:val="left"/>
        <w:rPr>
          <w:rFonts w:eastAsia="仿宋_GB2312"/>
          <w:b w:val="0"/>
          <w:bCs w:val="0"/>
          <w:color w:val="auto"/>
          <w:sz w:val="32"/>
          <w:szCs w:val="32"/>
          <w:lang w:val="en-US" w:eastAsia="zh-CN" w:bidi="ar-SA"/>
        </w:rPr>
      </w:pPr>
    </w:p>
    <w:p>
      <w:pPr>
        <w:keepNext w:val="0"/>
        <w:keepLines w:val="0"/>
        <w:pageBreakBefore w:val="0"/>
        <w:widowControl w:val="0"/>
        <w:suppressAutoHyphens/>
        <w:kinsoku/>
        <w:wordWrap/>
        <w:overflowPunct/>
        <w:topLinePunct w:val="0"/>
        <w:autoSpaceDE/>
        <w:autoSpaceDN/>
        <w:spacing w:line="576" w:lineRule="exact"/>
        <w:ind w:firstLine="640" w:firstLineChars="200"/>
        <w:rPr>
          <w:rFonts w:eastAsia="仿宋_GB2312"/>
          <w:b w:val="0"/>
          <w:bCs w:val="0"/>
          <w:color w:val="auto"/>
          <w:sz w:val="32"/>
          <w:szCs w:val="32"/>
          <w:u w:val="none"/>
          <w:lang w:val="en-US" w:eastAsia="zh-CN" w:bidi="ar-SA"/>
        </w:rPr>
      </w:pPr>
      <w:r>
        <w:rPr>
          <w:rFonts w:eastAsia="仿宋_GB2312"/>
          <w:b w:val="0"/>
          <w:bCs w:val="0"/>
          <w:color w:val="auto"/>
          <w:kern w:val="0"/>
          <w:sz w:val="32"/>
          <w:szCs w:val="32"/>
          <w:shd w:val="clear" w:color="auto" w:fill="FFFFFF"/>
          <w:lang w:val="en-US" w:eastAsia="zh-CN" w:bidi="ar-SA"/>
        </w:rPr>
        <w:t>附件：</w:t>
      </w:r>
      <w:r>
        <w:rPr>
          <w:rFonts w:eastAsia="仿宋_GB2312"/>
          <w:b w:val="0"/>
          <w:bCs w:val="0"/>
          <w:color w:val="auto"/>
          <w:sz w:val="32"/>
          <w:szCs w:val="32"/>
          <w:u w:val="none"/>
          <w:lang w:bidi="ar-SA"/>
        </w:rPr>
        <w:t>部门预算项目支出绩效</w:t>
      </w:r>
      <w:r>
        <w:rPr>
          <w:rFonts w:eastAsia="仿宋_GB2312"/>
          <w:b w:val="0"/>
          <w:bCs w:val="0"/>
          <w:color w:val="auto"/>
          <w:sz w:val="32"/>
          <w:szCs w:val="32"/>
          <w:u w:val="none"/>
          <w:lang w:eastAsia="zh-CN" w:bidi="ar-SA"/>
        </w:rPr>
        <w:t>自评</w:t>
      </w:r>
      <w:r>
        <w:rPr>
          <w:rFonts w:eastAsia="仿宋_GB2312"/>
          <w:b w:val="0"/>
          <w:bCs w:val="0"/>
          <w:color w:val="auto"/>
          <w:sz w:val="32"/>
          <w:szCs w:val="32"/>
          <w:u w:val="none"/>
          <w:lang w:bidi="ar-SA"/>
        </w:rPr>
        <w:t>表</w:t>
      </w:r>
      <w:r>
        <w:rPr>
          <w:rFonts w:eastAsia="仿宋_GB2312"/>
          <w:b w:val="0"/>
          <w:bCs w:val="0"/>
          <w:color w:val="auto"/>
          <w:sz w:val="32"/>
          <w:szCs w:val="32"/>
          <w:u w:val="none"/>
          <w:lang w:eastAsia="zh-CN" w:bidi="ar-SA"/>
        </w:rPr>
        <w:t>（202</w:t>
      </w:r>
      <w:r>
        <w:rPr>
          <w:rFonts w:eastAsia="仿宋_GB2312"/>
          <w:b w:val="0"/>
          <w:bCs w:val="0"/>
          <w:color w:val="auto"/>
          <w:sz w:val="32"/>
          <w:szCs w:val="32"/>
          <w:u w:val="none"/>
          <w:lang w:val="en-US" w:eastAsia="zh-CN" w:bidi="ar-SA"/>
        </w:rPr>
        <w:t>4</w:t>
      </w:r>
      <w:r>
        <w:rPr>
          <w:rFonts w:eastAsia="仿宋_GB2312"/>
          <w:b w:val="0"/>
          <w:bCs w:val="0"/>
          <w:color w:val="auto"/>
          <w:sz w:val="32"/>
          <w:szCs w:val="32"/>
          <w:u w:val="none"/>
          <w:lang w:eastAsia="zh-CN" w:bidi="ar-SA"/>
        </w:rPr>
        <w:t>年度）</w:t>
      </w:r>
    </w:p>
    <w:p>
      <w:pPr>
        <w:keepNext w:val="0"/>
        <w:keepLines w:val="0"/>
        <w:pageBreakBefore w:val="0"/>
        <w:widowControl w:val="0"/>
        <w:suppressAutoHyphens/>
        <w:kinsoku/>
        <w:wordWrap/>
        <w:overflowPunct/>
        <w:topLinePunct w:val="0"/>
        <w:autoSpaceDE/>
        <w:autoSpaceDN/>
        <w:spacing w:line="576" w:lineRule="exact"/>
        <w:ind w:firstLine="1600" w:firstLineChars="500"/>
        <w:rPr>
          <w:rFonts w:eastAsia="仿宋_GB2312"/>
          <w:b w:val="0"/>
          <w:bCs w:val="0"/>
          <w:color w:val="auto"/>
          <w:sz w:val="32"/>
          <w:szCs w:val="32"/>
          <w:u w:val="none"/>
          <w:lang w:eastAsia="zh-CN" w:bidi="ar-SA"/>
        </w:rPr>
        <w:sectPr>
          <w:footerReference r:id="rId3" w:type="default"/>
          <w:pgSz w:w="11906" w:h="16838"/>
          <w:pgMar w:top="2098" w:right="1474" w:bottom="1984" w:left="1587" w:header="720" w:footer="720" w:gutter="0"/>
          <w:pgNumType w:fmt="decimal"/>
          <w:cols w:space="720" w:num="1"/>
          <w:docGrid w:type="lines" w:linePitch="312" w:charSpace="0"/>
        </w:sectPr>
      </w:pPr>
    </w:p>
    <w:p>
      <w:pPr>
        <w:keepNext w:val="0"/>
        <w:keepLines w:val="0"/>
        <w:pageBreakBefore w:val="0"/>
        <w:widowControl w:val="0"/>
        <w:suppressAutoHyphens/>
        <w:kinsoku/>
        <w:wordWrap/>
        <w:overflowPunct/>
        <w:topLinePunct w:val="0"/>
        <w:autoSpaceDE/>
        <w:autoSpaceDN/>
        <w:bidi w:val="0"/>
        <w:adjustRightInd/>
        <w:snapToGrid/>
        <w:spacing w:afterAutospacing="0" w:line="576" w:lineRule="exact"/>
        <w:outlineLvl w:val="0"/>
        <w:rPr>
          <w:rFonts w:eastAsia="黑体"/>
          <w:b w:val="0"/>
          <w:bCs w:val="0"/>
          <w:color w:val="auto"/>
          <w:kern w:val="2"/>
          <w:sz w:val="32"/>
          <w:szCs w:val="32"/>
          <w:lang w:val="en-US" w:eastAsia="zh-CN" w:bidi="ar-SA"/>
        </w:rPr>
      </w:pPr>
      <w:bookmarkStart w:id="124" w:name="_Toc83065433"/>
      <w:r>
        <w:rPr>
          <w:rFonts w:eastAsia="黑体"/>
          <w:b w:val="0"/>
          <w:bCs w:val="0"/>
          <w:color w:val="auto"/>
          <w:kern w:val="2"/>
          <w:sz w:val="32"/>
          <w:szCs w:val="32"/>
          <w:lang w:val="en-US" w:eastAsia="zh-CN" w:bidi="ar-SA"/>
        </w:rPr>
        <w:t>附件1</w:t>
      </w:r>
      <w:bookmarkEnd w:id="124"/>
    </w:p>
    <w:p>
      <w:pPr>
        <w:keepNext w:val="0"/>
        <w:keepLines w:val="0"/>
        <w:pageBreakBefore w:val="0"/>
        <w:widowControl/>
        <w:suppressLineNumbers w:val="0"/>
        <w:suppressAutoHyphens/>
        <w:kinsoku/>
        <w:wordWrap/>
        <w:overflowPunct/>
        <w:topLinePunct w:val="0"/>
        <w:autoSpaceDE/>
        <w:autoSpaceDN/>
        <w:bidi w:val="0"/>
        <w:adjustRightInd/>
        <w:snapToGrid/>
        <w:spacing w:line="576" w:lineRule="exact"/>
        <w:jc w:val="center"/>
        <w:textAlignment w:val="center"/>
        <w:outlineLvl w:val="9"/>
        <w:rPr>
          <w:rFonts w:hint="eastAsia" w:ascii="方正小标宋简体" w:hAnsi="方正小标宋简体" w:eastAsia="方正小标宋简体" w:cs="方正小标宋简体"/>
          <w:b w:val="0"/>
          <w:bCs w:val="0"/>
          <w:i w:val="0"/>
          <w:color w:val="auto"/>
          <w:kern w:val="0"/>
          <w:sz w:val="32"/>
          <w:szCs w:val="32"/>
          <w:u w:val="none"/>
          <w:lang w:val="en-US" w:eastAsia="zh-CN" w:bidi="ar"/>
        </w:rPr>
      </w:pPr>
      <w:r>
        <w:rPr>
          <w:rFonts w:hint="eastAsia" w:ascii="方正小标宋简体" w:hAnsi="方正小标宋简体" w:eastAsia="方正小标宋简体" w:cs="方正小标宋简体"/>
          <w:b w:val="0"/>
          <w:bCs w:val="0"/>
          <w:color w:val="auto"/>
          <w:kern w:val="2"/>
          <w:sz w:val="32"/>
          <w:szCs w:val="32"/>
          <w:u w:val="none"/>
          <w:lang w:val="en-US" w:eastAsia="zh-CN" w:bidi="ar"/>
        </w:rPr>
        <w:t>部门预算项目支出绩效自评表</w:t>
      </w:r>
      <w:r>
        <w:rPr>
          <w:rFonts w:hint="default" w:ascii="方正小标宋简体" w:hAnsi="方正小标宋简体" w:eastAsia="方正小标宋简体" w:cs="方正小标宋简体"/>
          <w:b w:val="0"/>
          <w:bCs w:val="0"/>
          <w:color w:val="auto"/>
          <w:kern w:val="2"/>
          <w:sz w:val="32"/>
          <w:szCs w:val="32"/>
          <w:u w:val="none"/>
          <w:lang w:val="en" w:eastAsia="zh-CN" w:bidi="ar"/>
        </w:rPr>
        <w:t>(2024</w:t>
      </w:r>
      <w:r>
        <w:rPr>
          <w:rFonts w:hint="eastAsia" w:ascii="方正小标宋简体" w:hAnsi="方正小标宋简体" w:eastAsia="方正小标宋简体" w:cs="方正小标宋简体"/>
          <w:b w:val="0"/>
          <w:bCs w:val="0"/>
          <w:color w:val="auto"/>
          <w:kern w:val="2"/>
          <w:sz w:val="32"/>
          <w:szCs w:val="32"/>
          <w:u w:val="none"/>
          <w:lang w:val="en" w:eastAsia="zh-CN" w:bidi="ar"/>
        </w:rPr>
        <w:t>年度）</w:t>
      </w:r>
    </w:p>
    <w:tbl>
      <w:tblPr>
        <w:tblStyle w:val="1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714"/>
        <w:gridCol w:w="797"/>
        <w:gridCol w:w="1621"/>
        <w:gridCol w:w="437"/>
        <w:gridCol w:w="507"/>
        <w:gridCol w:w="437"/>
        <w:gridCol w:w="915"/>
        <w:gridCol w:w="493"/>
        <w:gridCol w:w="493"/>
        <w:gridCol w:w="19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51000021R000000019958-其他</w:t>
            </w:r>
            <w:r>
              <w:rPr>
                <w:rFonts w:hint="eastAsia" w:ascii="宋体" w:hAnsi="宋体" w:cs="宋体"/>
                <w:i w:val="0"/>
                <w:color w:val="000000"/>
                <w:kern w:val="0"/>
                <w:sz w:val="18"/>
                <w:szCs w:val="18"/>
                <w:u w:val="none"/>
                <w:lang w:val="en-US" w:eastAsia="zh-CN" w:bidi="ar"/>
              </w:rPr>
              <w:t>工资</w:t>
            </w:r>
            <w:r>
              <w:rPr>
                <w:rFonts w:ascii="宋体" w:hAnsi="宋体" w:eastAsia="宋体" w:cs="宋体"/>
                <w:i w:val="0"/>
                <w:color w:val="000000"/>
                <w:kern w:val="0"/>
                <w:sz w:val="18"/>
                <w:szCs w:val="18"/>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bookmarkStart w:id="155" w:name="_GoBack"/>
            <w:bookmarkEnd w:id="155"/>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14.40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14.40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51.14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51.14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138.53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138.53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65.23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63.98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65.23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63.98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103.09</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103.09</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224.73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232.47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232.47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224.73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232.47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232.47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9"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0.80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0.80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49.48</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49.48</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广元国际铁路港管理委员会部门</w:t>
            </w:r>
          </w:p>
        </w:tc>
        <w:tc>
          <w:tcPr>
            <w:tcW w:w="0" w:type="auto"/>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eastAsia" w:ascii="simhei" w:hAnsi="simhei" w:eastAsia="simhei" w:cs="simhei"/>
                <w:i w:val="0"/>
                <w:color w:val="000000"/>
                <w:kern w:val="0"/>
                <w:sz w:val="18"/>
                <w:szCs w:val="18"/>
                <w:u w:val="none"/>
                <w:lang w:val="en-US" w:eastAsia="zh-CN" w:bidi="ar"/>
              </w:rPr>
              <w:t>目标任务已完成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32.31</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32.31</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r>
              <w:rPr>
                <w:rFonts w:hint="eastAsia" w:ascii="宋体" w:hAnsi="宋体" w:eastAsia="宋体" w:cs="宋体"/>
                <w:b w:val="0"/>
                <w:bCs w:val="0"/>
                <w:i w:val="0"/>
                <w:color w:val="auto"/>
                <w:kern w:val="0"/>
                <w:sz w:val="18"/>
                <w:szCs w:val="18"/>
                <w:u w:val="none"/>
                <w:lang w:val="en-US" w:eastAsia="zh-CN" w:bidi="ar"/>
              </w:rPr>
              <w:t>杨鑫</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r>
              <w:rPr>
                <w:rFonts w:hint="eastAsia" w:ascii="宋体" w:hAnsi="宋体" w:eastAsia="宋体" w:cs="宋体"/>
                <w:b w:val="0"/>
                <w:bCs w:val="0"/>
                <w:i w:val="0"/>
                <w:color w:val="auto"/>
                <w:kern w:val="0"/>
                <w:sz w:val="18"/>
                <w:szCs w:val="18"/>
                <w:u w:val="none"/>
                <w:lang w:val="en-US" w:eastAsia="zh-CN" w:bidi="ar"/>
              </w:rPr>
              <w:t>杨鑫</w:t>
            </w:r>
          </w:p>
        </w:tc>
      </w:tr>
    </w:tbl>
    <w:tbl>
      <w:tblPr>
        <w:tblStyle w:val="18"/>
        <w:tblpPr w:leftFromText="180" w:rightFromText="180" w:vertAnchor="text" w:horzAnchor="page" w:tblpXSpec="center" w:tblpY="132"/>
        <w:tblOverlap w:val="never"/>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6"/>
        <w:gridCol w:w="1071"/>
        <w:gridCol w:w="999"/>
        <w:gridCol w:w="1367"/>
        <w:gridCol w:w="396"/>
        <w:gridCol w:w="935"/>
        <w:gridCol w:w="397"/>
        <w:gridCol w:w="848"/>
        <w:gridCol w:w="487"/>
        <w:gridCol w:w="487"/>
        <w:gridCol w:w="14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51080022T000004922179-招商引资工作经费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9"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围绕铁路港规划主导产业，通过开展重大投资促进和招商引资活动，推进项目落地建设。计划全年招引现代物流、商贸服务、进出口加工等亿元以上项目1个，签约资金1亿元以上,到位资金1亿元以上。新签约项目履约率达到100%、资金到位率30%以上。</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2024年主要领导赴外地招商推介</w:t>
            </w:r>
            <w:r>
              <w:rPr>
                <w:rFonts w:hint="eastAsia" w:ascii="宋体" w:hAnsi="宋体" w:cs="宋体"/>
                <w:b w:val="0"/>
                <w:bCs w:val="0"/>
                <w:i w:val="0"/>
                <w:color w:val="auto"/>
                <w:kern w:val="0"/>
                <w:sz w:val="18"/>
                <w:szCs w:val="18"/>
                <w:u w:val="none"/>
                <w:lang w:val="en-US" w:eastAsia="zh-CN" w:bidi="ar"/>
              </w:rPr>
              <w:t>6</w:t>
            </w:r>
            <w:r>
              <w:rPr>
                <w:rFonts w:hint="eastAsia" w:ascii="宋体" w:hAnsi="宋体" w:eastAsia="宋体" w:cs="宋体"/>
                <w:b w:val="0"/>
                <w:bCs w:val="0"/>
                <w:i w:val="0"/>
                <w:color w:val="auto"/>
                <w:kern w:val="0"/>
                <w:sz w:val="18"/>
                <w:szCs w:val="18"/>
                <w:u w:val="none"/>
                <w:lang w:val="en-US" w:eastAsia="zh-CN" w:bidi="ar"/>
              </w:rPr>
              <w:t>次，邀请企业来港区实地考察</w:t>
            </w:r>
            <w:r>
              <w:rPr>
                <w:rFonts w:hint="eastAsia" w:ascii="宋体" w:hAnsi="宋体" w:cs="宋体"/>
                <w:b w:val="0"/>
                <w:bCs w:val="0"/>
                <w:i w:val="0"/>
                <w:color w:val="auto"/>
                <w:kern w:val="0"/>
                <w:sz w:val="18"/>
                <w:szCs w:val="18"/>
                <w:u w:val="none"/>
                <w:lang w:val="en-US" w:eastAsia="zh-CN" w:bidi="ar"/>
              </w:rPr>
              <w:t>13</w:t>
            </w:r>
            <w:r>
              <w:rPr>
                <w:rFonts w:hint="eastAsia" w:ascii="宋体" w:hAnsi="宋体" w:eastAsia="宋体" w:cs="宋体"/>
                <w:b w:val="0"/>
                <w:bCs w:val="0"/>
                <w:i w:val="0"/>
                <w:color w:val="auto"/>
                <w:kern w:val="0"/>
                <w:sz w:val="18"/>
                <w:szCs w:val="18"/>
                <w:u w:val="none"/>
                <w:lang w:val="en-US" w:eastAsia="zh-CN" w:bidi="ar"/>
              </w:rPr>
              <w:t>余批次，自主洽谈项目</w:t>
            </w:r>
            <w:r>
              <w:rPr>
                <w:rFonts w:hint="eastAsia" w:ascii="宋体" w:hAnsi="宋体" w:cs="宋体"/>
                <w:b w:val="0"/>
                <w:bCs w:val="0"/>
                <w:i w:val="0"/>
                <w:color w:val="auto"/>
                <w:kern w:val="0"/>
                <w:sz w:val="18"/>
                <w:szCs w:val="18"/>
                <w:u w:val="none"/>
                <w:lang w:val="en-US" w:eastAsia="zh-CN" w:bidi="ar"/>
              </w:rPr>
              <w:t>10</w:t>
            </w:r>
            <w:r>
              <w:rPr>
                <w:rFonts w:hint="eastAsia" w:ascii="宋体" w:hAnsi="宋体" w:eastAsia="宋体" w:cs="宋体"/>
                <w:b w:val="0"/>
                <w:bCs w:val="0"/>
                <w:i w:val="0"/>
                <w:color w:val="auto"/>
                <w:kern w:val="0"/>
                <w:sz w:val="18"/>
                <w:szCs w:val="18"/>
                <w:u w:val="none"/>
                <w:lang w:val="en-US" w:eastAsia="zh-CN" w:bidi="ar"/>
              </w:rPr>
              <w:t>个，新签约项目</w:t>
            </w:r>
            <w:r>
              <w:rPr>
                <w:rFonts w:hint="eastAsia" w:ascii="宋体" w:hAnsi="宋体" w:cs="宋体"/>
                <w:b w:val="0"/>
                <w:bCs w:val="0"/>
                <w:i w:val="0"/>
                <w:color w:val="auto"/>
                <w:kern w:val="0"/>
                <w:sz w:val="18"/>
                <w:szCs w:val="18"/>
                <w:u w:val="none"/>
                <w:lang w:val="en-US" w:eastAsia="zh-CN" w:bidi="ar"/>
              </w:rPr>
              <w:t>2</w:t>
            </w:r>
            <w:r>
              <w:rPr>
                <w:rFonts w:hint="eastAsia" w:ascii="宋体" w:hAnsi="宋体" w:eastAsia="宋体" w:cs="宋体"/>
                <w:b w:val="0"/>
                <w:bCs w:val="0"/>
                <w:i w:val="0"/>
                <w:color w:val="auto"/>
                <w:kern w:val="0"/>
                <w:sz w:val="18"/>
                <w:szCs w:val="18"/>
                <w:u w:val="none"/>
                <w:lang w:val="en-US" w:eastAsia="zh-CN" w:bidi="ar"/>
              </w:rPr>
              <w:t>个,总投资额为</w:t>
            </w:r>
            <w:r>
              <w:rPr>
                <w:rFonts w:hint="eastAsia" w:ascii="宋体" w:hAnsi="宋体" w:cs="宋体"/>
                <w:b w:val="0"/>
                <w:bCs w:val="0"/>
                <w:i w:val="0"/>
                <w:color w:val="auto"/>
                <w:kern w:val="0"/>
                <w:sz w:val="18"/>
                <w:szCs w:val="18"/>
                <w:u w:val="none"/>
                <w:lang w:val="en-US" w:eastAsia="zh-CN" w:bidi="ar"/>
              </w:rPr>
              <w:t>1.3</w:t>
            </w:r>
            <w:r>
              <w:rPr>
                <w:rFonts w:hint="eastAsia" w:ascii="宋体" w:hAnsi="宋体" w:eastAsia="宋体" w:cs="宋体"/>
                <w:b w:val="0"/>
                <w:bCs w:val="0"/>
                <w:i w:val="0"/>
                <w:color w:val="auto"/>
                <w:kern w:val="0"/>
                <w:sz w:val="18"/>
                <w:szCs w:val="18"/>
                <w:u w:val="none"/>
                <w:lang w:val="en-US" w:eastAsia="zh-CN" w:bidi="ar"/>
              </w:rPr>
              <w:t>亿元，项目新开工1个。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在市委、市政府和党工委、管委会的坚强领导下，我们紧紧围绕“现代物流、服务贸易、进出口加工”三大主导产业，采取“走出去”与“请进来”相结合，积极开展招商引资工作，超额完成市下目标任务，为高质量建设广元国际铁路港，顺利推进铁路港招商引资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邀请客商来港区考察</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cs="宋体"/>
                <w:b w:val="0"/>
                <w:bCs w:val="0"/>
                <w:i w:val="0"/>
                <w:color w:val="auto"/>
                <w:kern w:val="0"/>
                <w:sz w:val="18"/>
                <w:szCs w:val="18"/>
                <w:u w:val="none"/>
                <w:lang w:val="en-US" w:eastAsia="zh-CN" w:bidi="ar"/>
              </w:rPr>
              <w:t>13</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洽谈项目</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签约项目</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cs="宋体"/>
                <w:b w:val="0"/>
                <w:bCs w:val="0"/>
                <w:i w:val="0"/>
                <w:color w:val="auto"/>
                <w:kern w:val="0"/>
                <w:sz w:val="18"/>
                <w:szCs w:val="18"/>
                <w:u w:val="none"/>
                <w:lang w:val="en-US" w:eastAsia="zh-CN" w:bidi="ar"/>
              </w:rPr>
              <w:t>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签约资金</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亿元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cs="宋体"/>
                <w:b w:val="0"/>
                <w:bCs w:val="0"/>
                <w:i w:val="0"/>
                <w:color w:val="auto"/>
                <w:kern w:val="0"/>
                <w:sz w:val="18"/>
                <w:szCs w:val="18"/>
                <w:u w:val="none"/>
                <w:lang w:val="en-US" w:eastAsia="zh-CN" w:bidi="ar"/>
              </w:rPr>
              <w:t>1.3</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外出招商</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cs="宋体"/>
                <w:b w:val="0"/>
                <w:bCs w:val="0"/>
                <w:i w:val="0"/>
                <w:color w:val="auto"/>
                <w:kern w:val="0"/>
                <w:sz w:val="18"/>
                <w:szCs w:val="18"/>
                <w:u w:val="none"/>
                <w:lang w:val="en-US" w:eastAsia="zh-CN" w:bidi="ar"/>
              </w:rPr>
              <w:t>6</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签约项目新开工</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完成时间节点</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带动就业</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人</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生态效益指标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改善区域生产生活环境</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好坏</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好</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招商企业满意度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项目主管部门满意度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1"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2024年主要领导赴外地招商推介</w:t>
            </w:r>
            <w:r>
              <w:rPr>
                <w:rFonts w:hint="eastAsia" w:ascii="宋体" w:hAnsi="宋体" w:cs="宋体"/>
                <w:b w:val="0"/>
                <w:bCs w:val="0"/>
                <w:i w:val="0"/>
                <w:color w:val="auto"/>
                <w:kern w:val="0"/>
                <w:sz w:val="18"/>
                <w:szCs w:val="18"/>
                <w:u w:val="none"/>
                <w:lang w:val="en-US" w:eastAsia="zh-CN" w:bidi="ar"/>
              </w:rPr>
              <w:t>6</w:t>
            </w:r>
            <w:r>
              <w:rPr>
                <w:rFonts w:hint="eastAsia" w:ascii="宋体" w:hAnsi="宋体" w:eastAsia="宋体" w:cs="宋体"/>
                <w:b w:val="0"/>
                <w:bCs w:val="0"/>
                <w:i w:val="0"/>
                <w:color w:val="auto"/>
                <w:kern w:val="0"/>
                <w:sz w:val="18"/>
                <w:szCs w:val="18"/>
                <w:u w:val="none"/>
                <w:lang w:val="en-US" w:eastAsia="zh-CN" w:bidi="ar"/>
              </w:rPr>
              <w:t>次，邀请企业来港区实地考察</w:t>
            </w:r>
            <w:r>
              <w:rPr>
                <w:rFonts w:hint="eastAsia" w:ascii="宋体" w:hAnsi="宋体" w:cs="宋体"/>
                <w:b w:val="0"/>
                <w:bCs w:val="0"/>
                <w:i w:val="0"/>
                <w:color w:val="auto"/>
                <w:kern w:val="0"/>
                <w:sz w:val="18"/>
                <w:szCs w:val="18"/>
                <w:u w:val="none"/>
                <w:lang w:val="en-US" w:eastAsia="zh-CN" w:bidi="ar"/>
              </w:rPr>
              <w:t>13</w:t>
            </w:r>
            <w:r>
              <w:rPr>
                <w:rFonts w:hint="eastAsia" w:ascii="宋体" w:hAnsi="宋体" w:eastAsia="宋体" w:cs="宋体"/>
                <w:b w:val="0"/>
                <w:bCs w:val="0"/>
                <w:i w:val="0"/>
                <w:color w:val="auto"/>
                <w:kern w:val="0"/>
                <w:sz w:val="18"/>
                <w:szCs w:val="18"/>
                <w:u w:val="none"/>
                <w:lang w:val="en-US" w:eastAsia="zh-CN" w:bidi="ar"/>
              </w:rPr>
              <w:t>余批次，自主洽谈项目</w:t>
            </w:r>
            <w:r>
              <w:rPr>
                <w:rFonts w:hint="eastAsia" w:ascii="宋体" w:hAnsi="宋体" w:cs="宋体"/>
                <w:b w:val="0"/>
                <w:bCs w:val="0"/>
                <w:i w:val="0"/>
                <w:color w:val="auto"/>
                <w:kern w:val="0"/>
                <w:sz w:val="18"/>
                <w:szCs w:val="18"/>
                <w:u w:val="none"/>
                <w:lang w:val="en-US" w:eastAsia="zh-CN" w:bidi="ar"/>
              </w:rPr>
              <w:t>10</w:t>
            </w:r>
            <w:r>
              <w:rPr>
                <w:rFonts w:hint="eastAsia" w:ascii="宋体" w:hAnsi="宋体" w:eastAsia="宋体" w:cs="宋体"/>
                <w:b w:val="0"/>
                <w:bCs w:val="0"/>
                <w:i w:val="0"/>
                <w:color w:val="auto"/>
                <w:kern w:val="0"/>
                <w:sz w:val="18"/>
                <w:szCs w:val="18"/>
                <w:u w:val="none"/>
                <w:lang w:val="en-US" w:eastAsia="zh-CN" w:bidi="ar"/>
              </w:rPr>
              <w:t>个，新签约项目</w:t>
            </w:r>
            <w:r>
              <w:rPr>
                <w:rFonts w:hint="eastAsia" w:ascii="宋体" w:hAnsi="宋体" w:cs="宋体"/>
                <w:b w:val="0"/>
                <w:bCs w:val="0"/>
                <w:i w:val="0"/>
                <w:color w:val="auto"/>
                <w:kern w:val="0"/>
                <w:sz w:val="18"/>
                <w:szCs w:val="18"/>
                <w:u w:val="none"/>
                <w:lang w:val="en-US" w:eastAsia="zh-CN" w:bidi="ar"/>
              </w:rPr>
              <w:t>2</w:t>
            </w:r>
            <w:r>
              <w:rPr>
                <w:rFonts w:hint="eastAsia" w:ascii="宋体" w:hAnsi="宋体" w:eastAsia="宋体" w:cs="宋体"/>
                <w:b w:val="0"/>
                <w:bCs w:val="0"/>
                <w:i w:val="0"/>
                <w:color w:val="auto"/>
                <w:kern w:val="0"/>
                <w:sz w:val="18"/>
                <w:szCs w:val="18"/>
                <w:u w:val="none"/>
                <w:lang w:val="en-US" w:eastAsia="zh-CN" w:bidi="ar"/>
              </w:rPr>
              <w:t>个,总投资额为</w:t>
            </w:r>
            <w:r>
              <w:rPr>
                <w:rFonts w:hint="eastAsia" w:ascii="宋体" w:hAnsi="宋体" w:cs="宋体"/>
                <w:b w:val="0"/>
                <w:bCs w:val="0"/>
                <w:i w:val="0"/>
                <w:color w:val="auto"/>
                <w:kern w:val="0"/>
                <w:sz w:val="18"/>
                <w:szCs w:val="18"/>
                <w:u w:val="none"/>
                <w:lang w:val="en-US" w:eastAsia="zh-CN" w:bidi="ar"/>
              </w:rPr>
              <w:t>1.3</w:t>
            </w:r>
            <w:r>
              <w:rPr>
                <w:rFonts w:hint="eastAsia" w:ascii="宋体" w:hAnsi="宋体" w:eastAsia="宋体" w:cs="宋体"/>
                <w:b w:val="0"/>
                <w:bCs w:val="0"/>
                <w:i w:val="0"/>
                <w:color w:val="auto"/>
                <w:kern w:val="0"/>
                <w:sz w:val="18"/>
                <w:szCs w:val="18"/>
                <w:u w:val="none"/>
                <w:lang w:val="en-US" w:eastAsia="zh-CN" w:bidi="ar"/>
              </w:rPr>
              <w:t>亿元，项目新开工1个。计算各绩效指标总分100分，最终得分合计100分。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项目负责人：邓洪均</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51080022T000004934182-乡村振兴工作经费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8"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做好昭化区昭化镇牛头村乡村振兴挂联帮扶工作，着力抓好建强村党组织、推进强村富民、提升治理水平、为民办事服务四项重点任务。</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党员干部战斗力进一步提高，党群、干群关系持续向好。2.脱贫户（监测户）人均纯收入16656元、同比增长10%，村集体经济年收入11万元、同比增加1万元。3.社会风气明显改善，民风民俗有效好转。4.为民办实事成效显著，架设污水管道130米，购买大小型农机3台，建村小集市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1"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狠抓党员干部作风建设。深入开展党纪学习教育，组织党员干部到旺苍、利州红色教育基地锤炼党性，到青川考察学习优秀基层组织先进经验，有效增强了全村党员干部的政治意识、组织意识、作风意识和纪律意识，党群干群关系进一步好转。2.对防返贫致贫监测工作常抓不懈。深入开展防返（致）贫监测走访排查工作，精准落实防返（致）贫措施，全村脱贫（监测）户人均纯收入16656.81元，比去年增加了1513元。3.持续推动产业发展。升级打造古柿树公园，维修步游道300米，栽植“火晶柿”树700余株，种植花生南瓜100亩。2024年全村旅游收入约40万元，集体经济收入11万元，较去年增加1万元，人均纯收入18812.35元，较去年增加1330元。4.致力提升乡村治理水平。架设污水管道130米，购买大小型农机3台，建村小集市1个。大力开展安全生产和法治进村入户行动，积极推动移风易俗，民风民俗有效好转。5.积极解决群众困难问题。全面落实教育、卫生、人社、残疾、社会救助、农业农村等保障政策，落实帮扶单位领导看望慰问困难群众和困难党员制度，筹集资金2000余元为全村70岁老人购买过冬护膝，开展“以购代扶”活动3次共11000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1.82</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1.82</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1.82</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1.82</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1.82</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1.82</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落实产业发展项目</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cs="宋体"/>
                <w:b w:val="0"/>
                <w:bCs w:val="0"/>
                <w:i w:val="0"/>
                <w:color w:val="auto"/>
                <w:kern w:val="0"/>
                <w:sz w:val="18"/>
                <w:szCs w:val="18"/>
                <w:u w:val="none"/>
                <w:lang w:val="en-US" w:eastAsia="zh-CN" w:bidi="ar"/>
              </w:rPr>
              <w:t>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组织村组干部外出考察学习</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巩固脱贫攻坚成果</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71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户</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71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完成挂联帮扶任务</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好坏</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好</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脱贫返贫率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不出现返贫现象</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未出现</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完成时间节点</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脱贫户人均可支配收入</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元/年</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16656</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助力乡村振兴社会认可度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助力乡村振兴社会认可度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帮扶对象满意度指标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群众满意度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98</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财政拨款支出</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1.82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1.82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党员干部战斗力进一步提高，党群、干群关系持续向好。2.脱贫户（监测户）人均纯收入16656元、同比增长10%，村集体经济年收入11万元、同比增加1万元。3.社会风气明显改善，民风民俗有效好转。4.为民办实事成效显著，架设污水管道130米，购买大小型农机3台，建村小集市1个，群众对帮扶单位和工作队满意度较高。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项目负责人：王宏伟</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51080022T000004934229-派驻纪检组工作经费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加大贯彻党的纪检工作方针、政策的宣传力度，加强对干部职工纪律作风监督检查，提高党员干部遵纪守法、清廉从政意识，营造广元铁路港风清气正的干事创业环境。1.针对港区内企事业单位职工开展纪律作风整顿教育培训班2次，开展廉政教育现场教学活动3次；2.外出考察学习其他类似管委会纪检监察工作6次；3.全年赴项目工地、港区内企业开展纪律检查工作20次；4.在港区内开展1次纪律作风警示宣传展，制作教育宣传展板。5.设立纪检宣传专栏，制作“三张清单”“四责同述”展板，购买纪检监察相关书籍，印制相关学习读本。</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高质量举办读书班3天，召开警示教育会1场，开展现场法纪教育2次、《条例》专题学习1次；到市纪委机关、兄弟派驻（出）纪检监察机构学习2人次、6个月以上；围绕港区重大项目建设、国际班列运营、资金管理使用等方面开展监督检查22次；制作宣传展板1次开展纪律作风、纪检监察工作宣传；更新或制作纪检监察工委监督执纪执法权廉政风险“联防联控”公开栏、“四责协同”展板</w:t>
            </w:r>
            <w:r>
              <w:rPr>
                <w:rFonts w:hint="eastAsia" w:ascii="宋体" w:hAnsi="宋体" w:cs="宋体"/>
                <w:b w:val="0"/>
                <w:bCs w:val="0"/>
                <w:i w:val="0"/>
                <w:color w:val="auto"/>
                <w:kern w:val="0"/>
                <w:sz w:val="18"/>
                <w:szCs w:val="18"/>
                <w:u w:val="none"/>
                <w:lang w:val="en-US" w:eastAsia="zh-CN" w:bidi="ar"/>
              </w:rPr>
              <w:t>2</w:t>
            </w:r>
            <w:r>
              <w:rPr>
                <w:rFonts w:hint="eastAsia" w:ascii="宋体" w:hAnsi="宋体" w:eastAsia="宋体" w:cs="宋体"/>
                <w:b w:val="0"/>
                <w:bCs w:val="0"/>
                <w:i w:val="0"/>
                <w:color w:val="auto"/>
                <w:kern w:val="0"/>
                <w:sz w:val="18"/>
                <w:szCs w:val="18"/>
                <w:u w:val="none"/>
                <w:lang w:val="en-US" w:eastAsia="zh-CN" w:bidi="ar"/>
              </w:rPr>
              <w:t>个以上，购买了纪检监察相关书籍。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主要开展监督执纪问责、监督调查处置、廉政教育宣传、机构内部运行管理、党风廉政报刊杂志征订等工作，港区纪检监察工作持续向上向好。年内处置问题线索4件，立案2人，处分2人、函询1人。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开展廉政教育现场教学活动</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开展监督检查工作</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cs="宋体"/>
                <w:b w:val="0"/>
                <w:bCs w:val="0"/>
                <w:i w:val="0"/>
                <w:color w:val="auto"/>
                <w:kern w:val="0"/>
                <w:sz w:val="18"/>
                <w:szCs w:val="18"/>
                <w:u w:val="none"/>
                <w:lang w:val="en-US" w:eastAsia="zh-CN" w:bidi="ar"/>
              </w:rPr>
              <w:t>39</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制作党风廉政建设相关展板</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cs="宋体"/>
                <w:b w:val="0"/>
                <w:bCs w:val="0"/>
                <w:i w:val="0"/>
                <w:color w:val="auto"/>
                <w:kern w:val="0"/>
                <w:sz w:val="18"/>
                <w:szCs w:val="18"/>
                <w:u w:val="none"/>
                <w:lang w:val="en-US" w:eastAsia="zh-CN" w:bidi="ar"/>
              </w:rPr>
              <w:t>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廉政教育培训覆盖率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检查覆盖率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完成时间节点</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营造良好干事创业环境</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好坏</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好</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可持续发展指标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党员干部拒腐防变能力</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高中低</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党员干部对工作开展情况的满意度测评</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购买办公设备和相关书籍</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1.0636</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该项目自评总分100分。纪检监察工作经费的高效使用，有力促进和保障了港区纪检监察工作稳步高质量发展。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进一步做好预算目标、指标的科学合理设置工作，加强经费预期使用绩效指标的精准研判，以更加符合港区纪检监察工作开展实际。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项目负责人：贾碧</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51080023T000008408140-项目建设协调及铁路港规划经费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9"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协调推进高铁快运物流基地（一、二期）和铁路物流园、广元（中欧）国际木材物流园等重大基础设施、公用配套设施建设，提升铁路港基础设施水平；2.加快推进铁路港各类规划编制和项目前期研究工作，统筹协调各项规划的衔接和实施；3.加快推进广元铁路专用线布局研究及广巴铁路前期工作。</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1.高铁快运物流基地加快推进，广元国际铁路物流园配套道路工程加快建设，广元（中欧）国际木材物流园场平及市政工程完工。</w:t>
            </w:r>
            <w:r>
              <w:rPr>
                <w:rFonts w:hint="eastAsia" w:ascii="宋体" w:hAnsi="宋体" w:eastAsia="宋体" w:cs="宋体"/>
                <w:b w:val="0"/>
                <w:bCs w:val="0"/>
                <w:i w:val="0"/>
                <w:color w:val="auto"/>
                <w:kern w:val="0"/>
                <w:sz w:val="18"/>
                <w:szCs w:val="18"/>
                <w:u w:val="none"/>
                <w:lang w:val="en-US" w:eastAsia="zh-CN" w:bidi="ar"/>
              </w:rPr>
              <w:br w:type="textWrapping"/>
            </w:r>
            <w:r>
              <w:rPr>
                <w:rFonts w:hint="eastAsia" w:ascii="宋体" w:hAnsi="宋体" w:eastAsia="宋体" w:cs="宋体"/>
                <w:b w:val="0"/>
                <w:bCs w:val="0"/>
                <w:i w:val="0"/>
                <w:color w:val="auto"/>
                <w:kern w:val="0"/>
                <w:sz w:val="18"/>
                <w:szCs w:val="18"/>
                <w:u w:val="none"/>
                <w:lang w:val="en-US" w:eastAsia="zh-CN" w:bidi="ar"/>
              </w:rPr>
              <w:t>2.广巴铁路扩能改造项目前期工作有序推进。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完成高铁快运物流基地（一期）场平及综合楼装修，启动高铁快运物流基地（二期）施工图设计。广元国际铁路物流园海关监管中心对外交通工程下西大道段及4条匝道建成通车，EF匝道开工建设。广元（中欧）国际木材物流园场平及市政工程完工。</w:t>
            </w:r>
            <w:r>
              <w:rPr>
                <w:rFonts w:hint="eastAsia" w:ascii="宋体" w:hAnsi="宋体" w:eastAsia="宋体" w:cs="宋体"/>
                <w:b w:val="0"/>
                <w:bCs w:val="0"/>
                <w:i w:val="0"/>
                <w:color w:val="auto"/>
                <w:kern w:val="0"/>
                <w:sz w:val="18"/>
                <w:szCs w:val="18"/>
                <w:u w:val="none"/>
                <w:lang w:val="en-US" w:eastAsia="zh-CN" w:bidi="ar"/>
              </w:rPr>
              <w:br w:type="textWrapping"/>
            </w:r>
            <w:r>
              <w:rPr>
                <w:rFonts w:hint="eastAsia" w:ascii="宋体" w:hAnsi="宋体" w:eastAsia="宋体" w:cs="宋体"/>
                <w:b w:val="0"/>
                <w:bCs w:val="0"/>
                <w:i w:val="0"/>
                <w:color w:val="auto"/>
                <w:kern w:val="0"/>
                <w:sz w:val="18"/>
                <w:szCs w:val="18"/>
                <w:u w:val="none"/>
                <w:lang w:val="en-US" w:eastAsia="zh-CN" w:bidi="ar"/>
              </w:rPr>
              <w:t>2.广巴铁路扩能改造项目可研报告已完成编制并通过国铁集团鉴定中心技术审查，用地预审已通过自然资源部审批，可研审批前置要件已具备。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34.57</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34.57</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34.57</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34.57</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34.57</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34.57</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开展场地平整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570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亩</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570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承办和组织各类现场调研和会议</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cs="宋体"/>
                <w:b w:val="0"/>
                <w:bCs w:val="0"/>
                <w:i w:val="0"/>
                <w:color w:val="auto"/>
                <w:kern w:val="0"/>
                <w:sz w:val="18"/>
                <w:szCs w:val="18"/>
                <w:u w:val="none"/>
                <w:lang w:val="en-US" w:eastAsia="zh-CN" w:bidi="ar"/>
              </w:rPr>
              <w:t>26</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场平工程验收合格率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项目完成时间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改善区域交通物流水平</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有效改善铁路港交通物流条件</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实现目标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群众满意度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经费支出</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34.57</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34.57</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自评100分，该项工作完成较好。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项目负责人：王攀</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51080023T000008408221-法律顾问费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进一步发挥法律顾问参与决策作用，确保重要事项依法决策、依法办理，营造良好的法律环境，有效提升依法行政、依法决策治理水平</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2024年聘请法律顾问1人，就本单位招商引资、项目招投标、根治欠薪及其他涉法事项累计服务</w:t>
            </w:r>
            <w:r>
              <w:rPr>
                <w:rFonts w:hint="eastAsia" w:ascii="宋体" w:hAnsi="宋体" w:cs="宋体"/>
                <w:b w:val="0"/>
                <w:bCs w:val="0"/>
                <w:i w:val="0"/>
                <w:color w:val="auto"/>
                <w:kern w:val="0"/>
                <w:sz w:val="18"/>
                <w:szCs w:val="18"/>
                <w:u w:val="none"/>
                <w:lang w:val="en-US" w:eastAsia="zh-CN" w:bidi="ar"/>
              </w:rPr>
              <w:t>13</w:t>
            </w:r>
            <w:r>
              <w:rPr>
                <w:rFonts w:hint="eastAsia" w:ascii="宋体" w:hAnsi="宋体" w:eastAsia="宋体" w:cs="宋体"/>
                <w:b w:val="0"/>
                <w:bCs w:val="0"/>
                <w:i w:val="0"/>
                <w:color w:val="auto"/>
                <w:kern w:val="0"/>
                <w:sz w:val="18"/>
                <w:szCs w:val="18"/>
                <w:u w:val="none"/>
                <w:lang w:val="en-US" w:eastAsia="zh-CN" w:bidi="ar"/>
              </w:rPr>
              <w:t>次，确保重要事项依法决策、依法办理，有效提高了依法行政质效，提升了依法行政水平，全年无任何经济合同纠纷，法律咨询服务满意率达100%。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与四川同方正（广元）律师事务所签订常年法律顾问合同，聘请法律顾问1人。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聘请法律顾问人数</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人</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提供法律咨询服务</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cs="宋体"/>
                <w:b w:val="0"/>
                <w:bCs w:val="0"/>
                <w:i w:val="0"/>
                <w:color w:val="auto"/>
                <w:kern w:val="0"/>
                <w:sz w:val="18"/>
                <w:szCs w:val="18"/>
                <w:u w:val="none"/>
                <w:lang w:val="en-US" w:eastAsia="zh-CN" w:bidi="ar"/>
              </w:rPr>
              <w:t>13</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经济合同纠纷率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项目完成时间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有效提升依法行政、依法决策治理水平</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进一步发挥法律顾问参与决策作用，确保重要事项依法决策、依法办理，营造良好的法律环境</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全年提供法律服务</w:t>
            </w:r>
            <w:r>
              <w:rPr>
                <w:rFonts w:hint="eastAsia" w:ascii="宋体" w:hAnsi="宋体" w:cs="宋体"/>
                <w:b w:val="0"/>
                <w:bCs w:val="0"/>
                <w:i w:val="0"/>
                <w:color w:val="auto"/>
                <w:kern w:val="0"/>
                <w:sz w:val="18"/>
                <w:szCs w:val="18"/>
                <w:u w:val="none"/>
                <w:lang w:val="en-US" w:eastAsia="zh-CN" w:bidi="ar"/>
              </w:rPr>
              <w:t>13</w:t>
            </w:r>
            <w:r>
              <w:rPr>
                <w:rFonts w:hint="eastAsia" w:ascii="宋体" w:hAnsi="宋体" w:eastAsia="宋体" w:cs="宋体"/>
                <w:b w:val="0"/>
                <w:bCs w:val="0"/>
                <w:i w:val="0"/>
                <w:color w:val="auto"/>
                <w:kern w:val="0"/>
                <w:sz w:val="18"/>
                <w:szCs w:val="18"/>
                <w:u w:val="none"/>
                <w:lang w:val="en-US" w:eastAsia="zh-CN" w:bidi="ar"/>
              </w:rPr>
              <w:t>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法律咨询服务满意率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法律咨询服务费</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自查，2024年法律顾问就本单位协议合同签订、项目招投标、项目征地拆迁、涉访涉诉、根治欠薪、政策咨询等方面，充分发挥法律顾问参与行政决策的作用，全年通过出具书面审查意见、电话咨询和上门服务等形式，提供法律服务</w:t>
            </w:r>
            <w:r>
              <w:rPr>
                <w:rFonts w:hint="eastAsia" w:ascii="宋体" w:hAnsi="宋体" w:cs="宋体"/>
                <w:b w:val="0"/>
                <w:bCs w:val="0"/>
                <w:i w:val="0"/>
                <w:color w:val="auto"/>
                <w:kern w:val="0"/>
                <w:sz w:val="18"/>
                <w:szCs w:val="18"/>
                <w:u w:val="none"/>
                <w:lang w:val="en-US" w:eastAsia="zh-CN" w:bidi="ar"/>
              </w:rPr>
              <w:t>13</w:t>
            </w:r>
            <w:r>
              <w:rPr>
                <w:rFonts w:hint="eastAsia" w:ascii="宋体" w:hAnsi="宋体" w:eastAsia="宋体" w:cs="宋体"/>
                <w:b w:val="0"/>
                <w:bCs w:val="0"/>
                <w:i w:val="0"/>
                <w:color w:val="auto"/>
                <w:kern w:val="0"/>
                <w:sz w:val="18"/>
                <w:szCs w:val="18"/>
                <w:u w:val="none"/>
                <w:lang w:val="en-US" w:eastAsia="zh-CN" w:bidi="ar"/>
              </w:rPr>
              <w:t>次，在加强法治政府建设，有效提升重要事项依法行政、依法办理，依法决策治理水平成效显著，群众满意度达100%，圆满完成目标任务，自评得分100分。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项目负责人：翟慧敏</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51080023T000008554810-项目推进工作经费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加大项目争取力度，推进港区重点项目可研编制、立项、用地等审批工作，</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1.全年到位地方政府专项债券资金6.2亿元；2.全年完成投资7.65亿元；3.加快建设项目3个、开工建设项目1个。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内容主要为对接国省发改、财政等部门，持续做好地方政府专项债、中央预算内资金、超长期特别国债等各类资金争取工作，全力保障广元（中欧）国际木材物流园、国际铁路物流园、高铁快运物流基地（二期）等项目加快建设、川陕甘铁路冷链及粮食供应链产业园区项目开工建设、广巴铁路扩能改造项目前期工作加快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完成投资额</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35000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加快建设项目个数</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4</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争取项目资金</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30700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新开工项目数</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资金使用合规率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项目工作完成率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大力助推经济产业发展</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大力助推现代物流产业发展的期限</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长期</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可持续发展指标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大力助推现代物流产业发展的期限</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长期</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长期</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工作经费支出</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自评100分，该项工作完成较好。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进一步加强经费预期使用绩效指标的精准研判，以更加符合港区项目推进工作开展。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项目负责人：刘发木</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51080023T000008618947-高层次人才安家补助和工作补助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足额兑付高层次引进人才安家补助和工作补助。</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按照政策规定要求，已足额兑付2024年新引进的2名高层次人才安家补助，以及2022年以来引进的6名高层次人才工作补助。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按照政策规定要求，已足额兑付2024年新引进的2名高层次人才安家补助，标准为8万元/年/人；足额兑付2022年、2023年引进的4名高层次人才工作补助，标准为6000元/年/人，以及2024年引进的2名高层次人才下半年工作补助，标准为3000元/半年/人；此外，因2022年引进的2名高层次人才2023年工作补助未及时发放，于2024年足额补发，标准为6000元/年/人。合计20.2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下达高层次人才安家补助和工作补助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安家补助覆盖人数</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人</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足额兑付率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兑付时间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最营造最优引才环境的影响度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好</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好</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受助人员满意度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工作补助标准</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12000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元/年</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安家补助标准</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16000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16000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1.安家补助和工作补助及时足额发放到位；2.引进人才干事热情持续高涨；3.人才支撑事业发展成效显著。自评得分100分。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项目负责人：王宏伟</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51080023T000009677767-国际班列运营补助费用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促进广元国际铁路港常态化开行国际班列，提升广元在川陕甘地区的知名度和影响力，降低外贸企业运输成本，吸引物流企业在广元落地，助力广元将区位交通优势转化为经济优势，不断拓展广元铁路港物流枢纽的覆盖广度和深度。</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2024年开行国际班列</w:t>
            </w:r>
            <w:r>
              <w:rPr>
                <w:rFonts w:hint="eastAsia" w:ascii="宋体" w:hAnsi="宋体" w:cs="宋体"/>
                <w:b w:val="0"/>
                <w:bCs w:val="0"/>
                <w:i w:val="0"/>
                <w:color w:val="auto"/>
                <w:kern w:val="0"/>
                <w:sz w:val="18"/>
                <w:szCs w:val="18"/>
                <w:u w:val="none"/>
                <w:lang w:val="en-US" w:eastAsia="zh-CN" w:bidi="ar"/>
              </w:rPr>
              <w:t>15</w:t>
            </w:r>
            <w:r>
              <w:rPr>
                <w:rFonts w:hint="eastAsia" w:ascii="宋体" w:hAnsi="宋体" w:eastAsia="宋体" w:cs="宋体"/>
                <w:b w:val="0"/>
                <w:bCs w:val="0"/>
                <w:i w:val="0"/>
                <w:color w:val="auto"/>
                <w:kern w:val="0"/>
                <w:sz w:val="18"/>
                <w:szCs w:val="18"/>
                <w:u w:val="none"/>
                <w:lang w:val="en-US" w:eastAsia="zh-CN" w:bidi="ar"/>
              </w:rPr>
              <w:t>列。国际班列的稳定开行，助推我市更好地融入国际和沿线区域产能合作经济圈，为推动广元经济社会发展增添新动能。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大力拓展国际物流通道，在稳定开行中老、中亚等班列基础上，突破性开行中越班列，2024年开行国际班列</w:t>
            </w:r>
            <w:r>
              <w:rPr>
                <w:rFonts w:hint="eastAsia" w:ascii="宋体" w:hAnsi="宋体" w:cs="宋体"/>
                <w:b w:val="0"/>
                <w:bCs w:val="0"/>
                <w:i w:val="0"/>
                <w:color w:val="auto"/>
                <w:kern w:val="0"/>
                <w:sz w:val="18"/>
                <w:szCs w:val="18"/>
                <w:u w:val="none"/>
                <w:lang w:val="en-US" w:eastAsia="zh-CN" w:bidi="ar"/>
              </w:rPr>
              <w:t>15</w:t>
            </w:r>
            <w:r>
              <w:rPr>
                <w:rFonts w:hint="eastAsia" w:ascii="宋体" w:hAnsi="宋体" w:eastAsia="宋体" w:cs="宋体"/>
                <w:b w:val="0"/>
                <w:bCs w:val="0"/>
                <w:i w:val="0"/>
                <w:color w:val="auto"/>
                <w:kern w:val="0"/>
                <w:sz w:val="18"/>
                <w:szCs w:val="18"/>
                <w:u w:val="none"/>
                <w:lang w:val="en-US" w:eastAsia="zh-CN" w:bidi="ar"/>
              </w:rPr>
              <w:t>列。围绕本地企业实际需要，不断做大木薯淀粉、饲用小麦粉单品规模，特别是通过中老回程班列运输木薯淀粉、中亚回程班列运输小麦粉，为本地企业降低原材料成本10%以上。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1,410.00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1,410.00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年初纳入待下预算，后期根据实际需要下达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1,410.00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1,410.00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开行国际班列班次</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次/年</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cs="宋体"/>
                <w:b w:val="0"/>
                <w:bCs w:val="0"/>
                <w:i w:val="0"/>
                <w:color w:val="auto"/>
                <w:kern w:val="0"/>
                <w:sz w:val="18"/>
                <w:szCs w:val="18"/>
                <w:u w:val="none"/>
                <w:lang w:val="en-US" w:eastAsia="zh-CN" w:bidi="ar"/>
              </w:rPr>
              <w:t>15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班列开行的安全保障工作覆盖率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任务完成率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eastAsia="宋体" w:cs="宋体"/>
                <w:b w:val="0"/>
                <w:bCs w:val="0"/>
                <w:i w:val="0"/>
                <w:color w:val="auto"/>
                <w:kern w:val="0"/>
                <w:sz w:val="18"/>
                <w:szCs w:val="18"/>
                <w:u w:val="none"/>
                <w:lang w:val="en-US" w:eastAsia="zh-CN" w:bidi="ar"/>
              </w:rPr>
              <w:t>1</w:t>
            </w:r>
            <w:r>
              <w:rPr>
                <w:rFonts w:hint="eastAsia" w:ascii="宋体" w:hAnsi="宋体" w:cs="宋体"/>
                <w:b w:val="0"/>
                <w:bCs w:val="0"/>
                <w:i w:val="0"/>
                <w:color w:val="auto"/>
                <w:kern w:val="0"/>
                <w:sz w:val="18"/>
                <w:szCs w:val="18"/>
                <w:u w:val="none"/>
                <w:lang w:val="en-US" w:eastAsia="zh-CN" w:bidi="ar"/>
              </w:rPr>
              <w:t>25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按时补助率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外贸进出口值提升率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2719</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提升广元在川陕甘地区的知名度和影响力</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受益对象满意度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项目年预算控制数</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1440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1410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列补助标准</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60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44.06</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突破性开行中越班列，年开行班列数超额完成目标任务，带动外贸数据落地2719万元。综上总体评价优，自评得分100分，该项工作完成较好。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项目负责人：李婧荭</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51080023T000009927660-2023年省预算内基本建设资金（第七批）支出预算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完成广元国际铁路港普铁物流组团道路、广元铁路综合物流基地电力线路迁改等配套工程及广元国际铁路港基础设施配套工程前期研究等工作。</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广元铁路综合物流基地电力线路迁改设计及相关测绘，涉及电力迁改2条；完成广元国际铁路物流园海关监管作业场所对外交通工程EF匝道初步设计、施工图设计及相关审查并实现开工建设；完成广元国际铁路港基础设施配套工程前期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广元铁路综合物流基地电力线路迁改设计及相关测绘，涉及电力迁改2条；完成广元国际铁路物流园海关监管作业场所对外交通工程EF匝道初步设计、施工图设计及相关审查并实现开工建设；完成广元国际铁路港基础设施配套工程前期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79.28</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99.10%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79.28</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99.10%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完成设计个数</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项目用地勘测定界</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完成电力迁改</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设计成果通过专家（机构）评审。</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资金使用合规率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按时完成</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满足港区道路、电力等配套设施需求，提升片区综合服务能力。</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高</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可持续发展指标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项目持续发挥作用的期限</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长</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长</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经费支出</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79.28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自评100分，该项工作完成较好。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项目负责人：王攀</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51080024T000011887021-高铁快运动车运营费用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促进广元国际铁路港常态化开行高铁快运班列，全年预计开行350列，提升广元在川陕甘地区的知名度和影响力，降低生产加工企业运输成本，吸引优质企业在广元落地，助力广元将区位交通优势转化为经济优势，不断拓展广元铁路港物流枢纽的覆盖广度和深度。</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在以“动检车”运输小件货物的基础上，大力组织本地及周边地区适运货源，于2024年12月2日常态开行“广元—成都—贵阳”跨省高铁快运环线动车，广元由此成为全国唯一常态开行高铁快运整列动车组的地级市，2024年全年开行国际班列3</w:t>
            </w:r>
            <w:r>
              <w:rPr>
                <w:rFonts w:hint="eastAsia" w:ascii="宋体" w:hAnsi="宋体" w:cs="宋体"/>
                <w:b w:val="0"/>
                <w:bCs w:val="0"/>
                <w:i w:val="0"/>
                <w:color w:val="auto"/>
                <w:kern w:val="0"/>
                <w:sz w:val="18"/>
                <w:szCs w:val="18"/>
                <w:u w:val="none"/>
                <w:lang w:val="en-US" w:eastAsia="zh-CN" w:bidi="ar"/>
              </w:rPr>
              <w:t>50</w:t>
            </w:r>
            <w:r>
              <w:rPr>
                <w:rFonts w:hint="eastAsia" w:ascii="宋体" w:hAnsi="宋体" w:eastAsia="宋体" w:cs="宋体"/>
                <w:b w:val="0"/>
                <w:bCs w:val="0"/>
                <w:i w:val="0"/>
                <w:color w:val="auto"/>
                <w:kern w:val="0"/>
                <w:sz w:val="18"/>
                <w:szCs w:val="18"/>
                <w:u w:val="none"/>
                <w:lang w:val="en-US" w:eastAsia="zh-CN" w:bidi="ar"/>
              </w:rPr>
              <w:t>列，运输货物超2700吨。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为抢抓高铁快运发展机遇，积极引导本地及周边企业选择高铁运输货物，为30余家生产加工企业、快递公司量身定制高铁物流“门到门”运输方案，有效带动川黔两地的快递快件、火锅食材、食品饮料等货物高效流通，为企业提升运输时效20%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254.02</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254.02</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年初纳入待下预算，后期根据实际需要下达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254.02</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254.02</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常态化开行高铁快运班列</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350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default" w:ascii="宋体" w:hAnsi="宋体" w:eastAsia="宋体" w:cs="宋体"/>
                <w:b w:val="0"/>
                <w:bCs w:val="0"/>
                <w:i w:val="0"/>
                <w:color w:val="auto"/>
                <w:sz w:val="18"/>
                <w:szCs w:val="18"/>
                <w:u w:val="none"/>
                <w:lang w:val="en-US"/>
              </w:rPr>
            </w:pPr>
            <w:r>
              <w:rPr>
                <w:rFonts w:hint="eastAsia" w:ascii="宋体" w:hAnsi="宋体" w:cs="宋体"/>
                <w:b w:val="0"/>
                <w:bCs w:val="0"/>
                <w:i w:val="0"/>
                <w:color w:val="auto"/>
                <w:kern w:val="0"/>
                <w:sz w:val="18"/>
                <w:szCs w:val="18"/>
                <w:u w:val="none"/>
                <w:lang w:val="en-US" w:eastAsia="zh-CN" w:bidi="ar"/>
              </w:rPr>
              <w:t>350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安全顺利的做好各项班列开行的保障工作</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项目完成时间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增加本地生产企业利润空间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提升城市聚集和辐射能力，对生产企业的起到带动作用</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可持续影响指标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促进广元国际铁路港常态化开行高铁快运以至于将“广元”纳入图定班列的行列，争取建设高铁快运示范基地</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高铁快运服务企业满意</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降低全市外贸企业的物流成本</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项目年度预算控制数</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254.2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2024年，随着广元跨省高铁快运动车的常态开行，进一步放大了我市区位通道优势，有效填补了川黔两地快速物流运输短板，高铁动车以定点定时的稳定开行服务帮助本地中小企业摆脱了因订单量不稳定，短时内找车难、成本高的现实困境，让更多小批量货物享受高铁专线运输，切实降低企业物流成本，提升运输时效。成功吸引了中国邮政四川省公司在高铁快运物流基地投资建设广元邮件（高铁快运）区域分拨中心，为打造高铁快运产业集群奠定坚实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项目负责人：李婧荭</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51080024T000011978829-海关监管中心运维保障费用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保障广元国际铁路港海关监管中心日常运营，主要提供跨境集装箱货物的申报、查验、检验检疫、装卸、短驳、通关等服务，有效降低企业物流成本，最大限度为进出口企业提供更为优质、高效、便捷的服务，促进川陕甘结合部对外经济高质量发展。吸引优质企业在广元落地，助力广元将区位交通优势转化为经济优势，不断拓展广元铁路港物流枢纽的覆盖广度和深度。</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自2024年2月底正式封关运营，实现通关时间更短、通关成本更低、通关服务更便捷。封关运行以来，通过去回程班列的发行顺利打通海关监管中心进出口通关壁垒，有效缩短通关时效2天以上，让广元及周边进出口企业真正地实现了在“家门口”完成通关手续的办理。另外海关监管中心积极构建川陕甘结合部国际产品集散分拨中心，2024年实现吊装2495TEU，分拨木薯淀粉、饲用小麦粉等7000余吨，降低企业采购成本10%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2024年2月22日顺利取得海关行政批复，正式对外办理相关通关监管业务，2024年完成现场整改21项，累计装卸集装箱2047TEU、出入库货量达1.89万吨；接待来访企业、单位考察调研120余次，累计超1300人次；完成属地货物查验及海关监管货物异常情况处理各1次；联合广元海关组织应急消防演练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年初纳入待下预算，后期根据实际需要下达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保障运营企业数量</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保障金发放率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保障覆盖率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96</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保障金兑现时间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天</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降低全市进出口企业的通关成本</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6</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6</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提升全市进出口服务能级</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8</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增加本地进出口企业盈利空间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优良</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6</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6</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补助对象满意度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保障标准</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海关监管中心自投运以来，有效填补了川陕甘结合部通关查验、海关监管等功能空白，极大提高了国际班列开行效率，为外贸企业提供时间更短、成本更低、效率更高的全方位服务，进一步助推我市在高水平开放中促进高质量发展。综合评价结论为“优”，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项目负责人：李婧荭</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51080025T000012242697-“两优一先”表彰对象奖金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保证足额发放铁路港“两优一先”表彰对象奖金，正向激励被表彰对象</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按照政策规定要求，已及时足额发放1名“两优一先”表彰对象奖金5000元。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按照政策规定要求，及时足额向1名“两优一先”表彰对象发放了奖金5000元。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0.50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0.50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下达“两优一先”表彰对象奖金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0.50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0.50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表彰金覆盖率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表彰金发放时间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表彰金足额兑付率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正向激励被表彰对象效果</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级</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被表彰对象满意度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表彰发放标准</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6"/>
                <w:szCs w:val="16"/>
                <w:u w:val="none"/>
              </w:rPr>
            </w:pPr>
            <w:r>
              <w:rPr>
                <w:rFonts w:hint="eastAsia" w:ascii="宋体" w:hAnsi="宋体" w:eastAsia="宋体" w:cs="宋体"/>
                <w:b w:val="0"/>
                <w:bCs w:val="0"/>
                <w:i w:val="0"/>
                <w:color w:val="auto"/>
                <w:kern w:val="0"/>
                <w:sz w:val="18"/>
                <w:szCs w:val="18"/>
                <w:u w:val="none"/>
                <w:lang w:val="en-US" w:eastAsia="zh-CN" w:bidi="ar"/>
              </w:rPr>
              <w:t>1.奖金及时足额发放到位；2.党员干部“不服输、敢争先”的干事热情持续高涨；3.党建引领港区高质量发展成效进一步突显。自评得分100分。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6"/>
                <w:szCs w:val="16"/>
                <w:u w:val="none"/>
              </w:rPr>
            </w:pPr>
            <w:r>
              <w:rPr>
                <w:rFonts w:hint="eastAsia" w:ascii="宋体" w:hAnsi="宋体" w:eastAsia="宋体" w:cs="宋体"/>
                <w:b w:val="0"/>
                <w:bCs w:val="0"/>
                <w:i w:val="0"/>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6"/>
                <w:szCs w:val="16"/>
                <w:u w:val="none"/>
              </w:rPr>
            </w:pPr>
            <w:r>
              <w:rPr>
                <w:rFonts w:hint="eastAsia" w:ascii="宋体" w:hAnsi="宋体" w:eastAsia="宋体" w:cs="宋体"/>
                <w:b w:val="0"/>
                <w:bCs w:val="0"/>
                <w:i w:val="0"/>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项目负责人：王宏伟</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51080025T000012281417-2024年物流枢纽承载城市申请工作经费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配合发改、财政等部门成功申健2024年省级物流枢纽承载城市。</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2025年1月，国家发展改革委印发《国家物流枢纽布局优化调整方案》，新增广元陆港型等26个国家物流枢纽。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按照省级物流枢承载城市评审规则，配合发改、财政、交通、口岸、供销社、商务等部门认真编撰省级物流枢纽承载城市实施方案，并积极向上争取汇报相关工作。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下达2024年物流枢纽承载城市申请工作经费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赴省发改委等省级部门（单位）对接相关工作</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cs="宋体"/>
                <w:b w:val="0"/>
                <w:bCs w:val="0"/>
                <w:i w:val="0"/>
                <w:color w:val="auto"/>
                <w:kern w:val="0"/>
                <w:sz w:val="18"/>
                <w:szCs w:val="18"/>
                <w:u w:val="none"/>
                <w:lang w:val="en-US" w:eastAsia="zh-CN" w:bidi="ar"/>
              </w:rPr>
              <w:t>3</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配合完成2024年省级物流枢纽承载城市实施方案编制</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成功申建2024年省级物流枢纽承载城市</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成功</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次</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成功</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工作完成时间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带动城市和枢纽经济发展水平</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级</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改善区域交通物流水平</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级</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优</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群众满意度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经费支出</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50000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自评100分，该项工作完成较好。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项目负责人：刘发木</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51080025T000012726593-川陕甘多式联运智慧服务平台接口对接费用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进一步优化调整运输结构，提升综合运输效率。将川陕甘多式联运智慧服务数据平台接入四川广运沙师弟网络科技有限公司端口，着力解决平台信息不对称、车货不匹配、“最后一公里”运输难等行业痛点问题。</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平台接口融合后，公铁联运衔接更加顺畅，降低了转运时效，提高运输效率，节约整体综合成本约10%-20%。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为贯彻落实市委、市政府关于全市物流信息平台“一张网”，推动公铁水空多运输方式物流信息数据互联互通的工作要求。2024年初，广元铁发公司与四川广运沙师弟网络科技有限公司（以下简称“广运沙师弟公司”）签订了平台接口对接合作协议，在川陕甘多式联运智慧服务平台上接入了广运沙师弟公司的相关货运物流数据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下达2024年第二批省级交通专项资金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开发的功能模块数量</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系统正常运行率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软、硬件验收合格率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时效指标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项目完成时间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月</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cs="宋体"/>
                <w:b w:val="0"/>
                <w:bCs w:val="0"/>
                <w:i w:val="0"/>
                <w:color w:val="auto"/>
                <w:kern w:val="0"/>
                <w:sz w:val="18"/>
                <w:szCs w:val="18"/>
                <w:u w:val="none"/>
                <w:lang w:val="en-US" w:eastAsia="zh-CN" w:bidi="ar"/>
              </w:rPr>
              <w:t>2</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应急措施响应时间</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小时</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对提升数据共享服务方面的影响程度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99</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生态效益指标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信息化系统上线运行后的宽带利用率、设备利用率及应用系统实现率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99</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社会公众对项目实施效果的满意程度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服务对象对项目实施效果的满意度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功能模块或系统开发成本</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自四川广运沙师弟网络科技有限公司将平台接入到川陕甘多式联运综合服务平台以来，加快推动公铁联运的物流信息数据互联互通，为多式联运综合服务平台赋能增势，逐步构建全市“物流一张网”，在促进物流业降本增效中发挥了积极作用。因此综合评价结论为“优”，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项目负责人：李婧荭</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项目名称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51080025T000013115791-川陕甘铁路冷链及粮食供应链产业园区项目产业发展扶持资金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90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主管部门</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广元国际铁路港管理委员会部门</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实施单位（盖章）</w:t>
            </w:r>
          </w:p>
        </w:tc>
        <w:tc>
          <w:tcPr>
            <w:tcW w:w="13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广元国际铁路港管理委员会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项目基本情况</w:t>
            </w: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1.项目年度目标完成情况</w:t>
            </w: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项目年度目标</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22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拟修建粮仓1座，冷库1座，仓储能力5万吨左右，用于原粮储备、冷冻肉制品、水产品及果蔬产品储备、战略应急物资储备、杂散货仓出租等，年均粮油交易能力不低于10万吨，园区产值不低于5亿元，园区年税收不低于600万元，提供就业岗位30个以上。</w:t>
            </w:r>
          </w:p>
        </w:tc>
        <w:tc>
          <w:tcPr>
            <w:tcW w:w="182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已建成粮食仓储高标仓1座、多层冷库1座，预计实现年粮食仓储能力5万吨以上，年粮油交易能力10万吨左右，园区年产值不低于5亿元，园区年实现税收不低于600万元，带动增加就业岗位不少于30个，完成项目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2.项目实施内容及过程概述</w:t>
            </w:r>
          </w:p>
        </w:tc>
        <w:tc>
          <w:tcPr>
            <w:tcW w:w="409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修建通用仓约3.43万m2、冷链仓约1万m2和高标仓约1.77万m2，用于原粮储备、冷冻肉制品储备、冷冻水产品及果蔬产品储备、战略应急物资储备、杂散货仓出租等。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预算执行情况（10分）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年度预算数（万元）</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年初预算</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预算执行数</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预算执行率</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总额</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1,350.00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1,350.00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年初纳入待下预算，后期根据实际需要下达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其中：财政资金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1,350.00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1,350.00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财政专户管理资金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单位资金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0.00%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其他资金</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824"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绩效指标（90分）</w:t>
            </w: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一级指标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二级指标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指标性质</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指标值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度量单位</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完成值</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权重</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得分</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产出指标</w:t>
            </w: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数量指标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修建粮仓</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座</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修建冷库</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座</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质量指标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仓储能力</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万吨</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园区产值</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亿元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粮油交易能力</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万吨</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效益指标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实现税收</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600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600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社会效益指标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增加就业岗位</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个</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30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可持续影响指标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降低粮食企业采购成本</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低</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降低</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降低预制食品企业采购成本</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定性</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低</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降低</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5</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满意度指标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服务对象满意度指标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服务企业满意度</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val="0"/>
                <w:color w:val="auto"/>
                <w:sz w:val="18"/>
                <w:szCs w:val="18"/>
                <w:u w:val="none"/>
              </w:rPr>
            </w:pPr>
          </w:p>
        </w:tc>
        <w:tc>
          <w:tcPr>
            <w:tcW w:w="5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经济成本指标</w:t>
            </w:r>
          </w:p>
        </w:tc>
        <w:tc>
          <w:tcPr>
            <w:tcW w:w="7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产业发展扶持资金</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1350</w:t>
            </w:r>
          </w:p>
        </w:tc>
        <w:tc>
          <w:tcPr>
            <w:tcW w:w="2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万元</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1350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jc w:val="center"/>
              <w:rPr>
                <w:rFonts w:hint="eastAsia" w:ascii="宋体" w:hAnsi="宋体" w:eastAsia="宋体" w:cs="宋体"/>
                <w:b w:val="0"/>
                <w:bCs w:val="0"/>
                <w:i/>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38"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合计</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righ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100</w:t>
            </w:r>
          </w:p>
        </w:tc>
        <w:tc>
          <w:tcPr>
            <w:tcW w:w="824" w:type="pct"/>
            <w:tcBorders>
              <w:top w:val="single" w:color="000000" w:sz="4" w:space="0"/>
              <w:left w:val="single" w:color="000000" w:sz="4" w:space="0"/>
              <w:bottom w:val="single" w:color="000000" w:sz="4" w:space="0"/>
              <w:right w:val="single" w:color="000000" w:sz="4" w:space="0"/>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评价结论</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该项目已建成粮食仓储高标仓1座、多层冷库1座，预计实现年粮食仓储能力5万吨以上，年粮油交易能力10万吨左右，园区年产值不低于5亿元，园区年实现税收不低于600万元，带动增加就业岗位不少于30个。项目建成投产后预计将降低周边粮食和预制食品企业采购成本，实现服务企业满意度90%以上，计算各绩效指标总分100分，最终得分合计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存在问题</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center"/>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改进措施</w:t>
            </w:r>
          </w:p>
        </w:tc>
        <w:tc>
          <w:tcPr>
            <w:tcW w:w="4682"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项目负责人：邓洪均</w:t>
            </w:r>
          </w:p>
        </w:tc>
        <w:tc>
          <w:tcPr>
            <w:tcW w:w="2564"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财务负责人：杨鑫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91"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52"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755"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517"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1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466"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268"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c>
          <w:tcPr>
            <w:tcW w:w="824" w:type="pct"/>
            <w:tcBorders>
              <w:top w:val="nil"/>
              <w:left w:val="nil"/>
              <w:bottom w:val="nil"/>
              <w:right w:val="nil"/>
            </w:tcBorders>
            <w:noWrap w:val="0"/>
            <w:vAlign w:val="center"/>
          </w:tcPr>
          <w:p>
            <w:pPr>
              <w:suppressAutoHyphens/>
              <w:rPr>
                <w:rFonts w:hint="eastAsia" w:ascii="宋体" w:hAnsi="宋体" w:eastAsia="宋体" w:cs="宋体"/>
                <w:b w:val="0"/>
                <w:bCs w:val="0"/>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000" w:type="pct"/>
            <w:gridSpan w:val="11"/>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000" w:type="pct"/>
            <w:gridSpan w:val="11"/>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000" w:type="pct"/>
            <w:gridSpan w:val="11"/>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000" w:type="pct"/>
            <w:gridSpan w:val="11"/>
            <w:tcBorders>
              <w:top w:val="nil"/>
              <w:left w:val="nil"/>
              <w:bottom w:val="nil"/>
              <w:right w:val="nil"/>
            </w:tcBorders>
            <w:noWrap w:val="0"/>
            <w:vAlign w:val="center"/>
          </w:tcPr>
          <w:p>
            <w:pPr>
              <w:keepNext w:val="0"/>
              <w:keepLines w:val="0"/>
              <w:widowControl/>
              <w:suppressLineNumbers w:val="0"/>
              <w:suppressAutoHyphens/>
              <w:jc w:val="left"/>
              <w:textAlignment w:val="center"/>
              <w:rPr>
                <w:rFonts w:hint="eastAsia" w:ascii="宋体" w:hAnsi="宋体" w:eastAsia="宋体" w:cs="宋体"/>
                <w:b w:val="0"/>
                <w:bCs w:val="0"/>
                <w:i w:val="0"/>
                <w:color w:val="auto"/>
                <w:sz w:val="18"/>
                <w:szCs w:val="18"/>
                <w:u w:val="none"/>
              </w:rPr>
            </w:pPr>
            <w:r>
              <w:rPr>
                <w:rFonts w:hint="eastAsia" w:ascii="宋体" w:hAnsi="宋体" w:eastAsia="宋体" w:cs="宋体"/>
                <w:b w:val="0"/>
                <w:bCs w:val="0"/>
                <w:i w:val="0"/>
                <w:color w:val="auto"/>
                <w:kern w:val="0"/>
                <w:sz w:val="18"/>
                <w:szCs w:val="18"/>
                <w:u w:val="none"/>
                <w:lang w:val="en-US" w:eastAsia="zh-CN" w:bidi="ar"/>
              </w:rPr>
              <w:t>适用用户：部门用户、单位用户</w:t>
            </w:r>
          </w:p>
        </w:tc>
      </w:tr>
    </w:tbl>
    <w:p>
      <w:pPr>
        <w:pStyle w:val="2"/>
        <w:rPr>
          <w:rFonts w:hint="default"/>
          <w:lang w:val="en" w:eastAsia="zh-CN"/>
        </w:rPr>
      </w:pPr>
    </w:p>
    <w:p>
      <w:pPr>
        <w:rPr>
          <w:rFonts w:hint="eastAsia" w:ascii="黑体" w:hAnsi="黑体" w:eastAsia="黑体" w:cs="黑体"/>
          <w:b w:val="0"/>
          <w:bCs w:val="0"/>
          <w:color w:val="auto"/>
          <w:sz w:val="32"/>
          <w:szCs w:val="32"/>
          <w:lang w:bidi="ar-SA"/>
        </w:rPr>
        <w:sectPr>
          <w:pgSz w:w="11906" w:h="16838"/>
          <w:pgMar w:top="2098" w:right="1474" w:bottom="1984" w:left="1587" w:header="720" w:footer="720" w:gutter="0"/>
          <w:pgNumType w:fmt="decimal"/>
          <w:cols w:space="720" w:num="1"/>
          <w:docGrid w:type="lines" w:linePitch="312" w:charSpace="0"/>
        </w:sectPr>
      </w:pPr>
    </w:p>
    <w:p>
      <w:pPr>
        <w:pStyle w:val="2"/>
        <w:spacing w:before="93" w:beforeLines="0"/>
        <w:rPr>
          <w:rFonts w:ascii="Times New Roman" w:hAnsi="Times New Roman" w:eastAsia="黑体"/>
          <w:sz w:val="32"/>
          <w:szCs w:val="32"/>
        </w:rPr>
      </w:pPr>
      <w:r>
        <w:rPr>
          <w:rFonts w:ascii="Times New Roman" w:hAnsi="Times New Roman" w:eastAsia="黑体"/>
          <w:sz w:val="32"/>
          <w:szCs w:val="32"/>
          <w:shd w:val="clear" w:color="auto" w:fill="FFFFFF"/>
          <w:lang w:val="zh-CN"/>
        </w:rPr>
        <w:t>附件</w:t>
      </w:r>
      <w:r>
        <w:rPr>
          <w:rFonts w:ascii="Times New Roman" w:hAnsi="Times New Roman" w:eastAsia="黑体"/>
          <w:sz w:val="32"/>
          <w:szCs w:val="32"/>
          <w:shd w:val="clear" w:color="auto" w:fill="FFFFFF"/>
        </w:rPr>
        <w:t>2</w:t>
      </w:r>
    </w:p>
    <w:p>
      <w:pPr>
        <w:pStyle w:val="31"/>
        <w:spacing w:line="578" w:lineRule="exact"/>
        <w:jc w:val="center"/>
        <w:rPr>
          <w:rFonts w:ascii="Times New Roman" w:hAnsi="Times New Roman" w:eastAsia="方正小标宋简体"/>
          <w:color w:val="auto"/>
          <w:kern w:val="2"/>
          <w:sz w:val="44"/>
          <w:szCs w:val="44"/>
          <w:lang w:val="en-US"/>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bookmarkStart w:id="125" w:name="_Toc83065435"/>
      <w:r>
        <w:rPr>
          <w:rFonts w:ascii="Times New Roman" w:hAnsi="Times New Roman" w:eastAsia="方正小标宋简体"/>
          <w:b w:val="0"/>
          <w:bCs w:val="0"/>
          <w:color w:val="auto"/>
          <w:kern w:val="2"/>
          <w:sz w:val="44"/>
          <w:szCs w:val="44"/>
          <w:lang w:val="en-US" w:eastAsia="zh-CN"/>
        </w:rPr>
        <w:t>专项预算绩效自评报告</w:t>
      </w:r>
      <w:bookmarkEnd w:id="125"/>
    </w:p>
    <w:p>
      <w:pPr>
        <w:keepNext w:val="0"/>
        <w:keepLines w:val="0"/>
        <w:pageBreakBefore w:val="0"/>
        <w:widowControl/>
        <w:suppressLineNumbers w:val="0"/>
        <w:suppressAutoHyphens/>
        <w:kinsoku/>
        <w:wordWrap/>
        <w:overflowPunct/>
        <w:topLinePunct w:val="0"/>
        <w:autoSpaceDE/>
        <w:autoSpaceDN/>
        <w:adjustRightInd/>
        <w:snapToGrid/>
        <w:spacing w:line="576" w:lineRule="exact"/>
        <w:jc w:val="center"/>
        <w:textAlignment w:val="center"/>
        <w:outlineLvl w:val="2"/>
        <w:rPr>
          <w:rFonts w:eastAsia="楷体_GB2312"/>
          <w:b w:val="0"/>
          <w:bCs w:val="0"/>
          <w:color w:val="auto"/>
          <w:kern w:val="0"/>
          <w:sz w:val="32"/>
          <w:szCs w:val="32"/>
          <w:lang w:val="en-US" w:eastAsia="zh-CN" w:bidi="ar-SA"/>
        </w:rPr>
      </w:pPr>
      <w:bookmarkStart w:id="126" w:name="_Toc83065436"/>
      <w:r>
        <w:rPr>
          <w:rFonts w:eastAsia="楷体_GB2312"/>
          <w:b w:val="0"/>
          <w:bCs w:val="0"/>
          <w:color w:val="auto"/>
          <w:kern w:val="0"/>
          <w:sz w:val="32"/>
          <w:szCs w:val="32"/>
          <w:lang w:val="en-US" w:eastAsia="zh-CN" w:bidi="ar-SA"/>
        </w:rPr>
        <w:t>（高层次人才安家补助和工作补助）</w:t>
      </w:r>
      <w:bookmarkEnd w:id="126"/>
    </w:p>
    <w:p>
      <w:pPr>
        <w:pStyle w:val="16"/>
        <w:rPr>
          <w:b w:val="0"/>
          <w:bCs w:val="0"/>
          <w:color w:val="auto"/>
          <w:lang w:val="en-US" w:eastAsia="zh-CN"/>
        </w:rPr>
      </w:pPr>
    </w:p>
    <w:p>
      <w:pPr>
        <w:keepNext w:val="0"/>
        <w:keepLines w:val="0"/>
        <w:pageBreakBefore w:val="0"/>
        <w:widowControl w:val="0"/>
        <w:suppressAutoHyphens/>
        <w:kinsoku/>
        <w:wordWrap/>
        <w:overflowPunct/>
        <w:topLinePunct w:val="0"/>
        <w:autoSpaceDE/>
        <w:autoSpaceDN/>
        <w:adjustRightInd w:val="0"/>
        <w:snapToGrid w:val="0"/>
        <w:spacing w:line="578" w:lineRule="exact"/>
        <w:ind w:firstLine="640" w:firstLineChars="200"/>
        <w:rPr>
          <w:rFonts w:eastAsia="黑体"/>
          <w:b w:val="0"/>
          <w:bCs w:val="0"/>
          <w:color w:val="auto"/>
          <w:sz w:val="32"/>
          <w:szCs w:val="32"/>
          <w:lang w:val="zh-CN"/>
        </w:rPr>
      </w:pPr>
      <w:r>
        <w:rPr>
          <w:rFonts w:eastAsia="黑体"/>
          <w:b w:val="0"/>
          <w:bCs w:val="0"/>
          <w:color w:val="auto"/>
          <w:sz w:val="32"/>
          <w:szCs w:val="32"/>
        </w:rPr>
        <w:t>一、</w:t>
      </w:r>
      <w:r>
        <w:rPr>
          <w:rFonts w:eastAsia="黑体"/>
          <w:b w:val="0"/>
          <w:bCs w:val="0"/>
          <w:color w:val="auto"/>
          <w:sz w:val="32"/>
          <w:szCs w:val="32"/>
          <w:lang w:val="zh-CN"/>
        </w:rPr>
        <w:t>项目概况</w:t>
      </w:r>
    </w:p>
    <w:p>
      <w:pPr>
        <w:widowControl w:val="0"/>
        <w:suppressAutoHyphens/>
        <w:ind w:firstLine="640" w:firstLineChars="200"/>
        <w:rPr>
          <w:rFonts w:eastAsia="仿宋_GB2312"/>
          <w:b w:val="0"/>
          <w:bCs w:val="0"/>
          <w:color w:val="auto"/>
          <w:kern w:val="0"/>
          <w:sz w:val="32"/>
          <w:szCs w:val="32"/>
          <w:u w:val="none"/>
          <w:shd w:val="clear" w:color="auto" w:fill="FFFFFF"/>
          <w:lang w:val="zh-CN" w:eastAsia="zh-CN" w:bidi="ar-SA"/>
        </w:rPr>
      </w:pPr>
      <w:r>
        <w:rPr>
          <w:rFonts w:eastAsia="楷体_GB2312"/>
          <w:b w:val="0"/>
          <w:bCs w:val="0"/>
          <w:color w:val="auto"/>
          <w:sz w:val="32"/>
          <w:szCs w:val="32"/>
          <w:u w:val="none"/>
          <w:lang w:val="zh-CN"/>
        </w:rPr>
        <w:t>（一）设立背景及基本情况。</w:t>
      </w:r>
      <w:r>
        <w:rPr>
          <w:rFonts w:eastAsia="仿宋_GB2312"/>
          <w:b w:val="0"/>
          <w:bCs w:val="0"/>
          <w:color w:val="auto"/>
          <w:kern w:val="0"/>
          <w:sz w:val="32"/>
          <w:szCs w:val="32"/>
          <w:u w:val="none"/>
          <w:shd w:val="clear" w:color="auto" w:fill="FFFFFF"/>
          <w:lang w:val="zh-CN" w:eastAsia="zh-CN" w:bidi="ar-SA"/>
        </w:rPr>
        <w:t>根据《</w:t>
      </w:r>
      <w:r>
        <w:rPr>
          <w:rFonts w:eastAsia="仿宋_GB2312"/>
          <w:b w:val="0"/>
          <w:bCs w:val="0"/>
          <w:color w:val="auto"/>
          <w:kern w:val="0"/>
          <w:sz w:val="32"/>
          <w:szCs w:val="32"/>
          <w:u w:val="none"/>
          <w:shd w:val="clear" w:color="auto" w:fill="FFFFFF"/>
          <w:lang w:val="en-US" w:eastAsia="zh-CN" w:bidi="ar-SA"/>
        </w:rPr>
        <w:t>广元市高层次人才引进管理办法</w:t>
      </w:r>
      <w:r>
        <w:rPr>
          <w:rFonts w:eastAsia="仿宋_GB2312"/>
          <w:b w:val="0"/>
          <w:bCs w:val="0"/>
          <w:color w:val="auto"/>
          <w:kern w:val="0"/>
          <w:sz w:val="32"/>
          <w:szCs w:val="32"/>
          <w:u w:val="none"/>
          <w:shd w:val="clear" w:color="auto" w:fill="FFFFFF"/>
          <w:lang w:val="zh-CN" w:eastAsia="zh-CN" w:bidi="ar-SA"/>
        </w:rPr>
        <w:t>》</w:t>
      </w:r>
      <w:r>
        <w:rPr>
          <w:rFonts w:eastAsia="仿宋_GB2312"/>
          <w:b w:val="0"/>
          <w:bCs w:val="0"/>
          <w:color w:val="auto"/>
          <w:kern w:val="0"/>
          <w:sz w:val="32"/>
          <w:szCs w:val="32"/>
          <w:u w:val="none"/>
          <w:shd w:val="clear" w:color="auto" w:fill="FFFFFF"/>
          <w:lang w:val="en-US" w:eastAsia="zh-CN" w:bidi="ar-SA"/>
        </w:rPr>
        <w:t>规定</w:t>
      </w:r>
      <w:r>
        <w:rPr>
          <w:rFonts w:eastAsia="仿宋_GB2312"/>
          <w:b w:val="0"/>
          <w:bCs w:val="0"/>
          <w:color w:val="auto"/>
          <w:kern w:val="0"/>
          <w:sz w:val="32"/>
          <w:szCs w:val="32"/>
          <w:u w:val="none"/>
          <w:shd w:val="clear" w:color="auto" w:fill="FFFFFF"/>
          <w:lang w:val="zh-CN" w:eastAsia="zh-CN" w:bidi="ar-SA"/>
        </w:rPr>
        <w:t>，</w:t>
      </w:r>
      <w:r>
        <w:rPr>
          <w:rFonts w:eastAsia="仿宋_GB2312"/>
          <w:b w:val="0"/>
          <w:bCs w:val="0"/>
          <w:color w:val="auto"/>
          <w:kern w:val="0"/>
          <w:sz w:val="32"/>
          <w:szCs w:val="32"/>
          <w:u w:val="none"/>
          <w:shd w:val="clear" w:color="auto" w:fill="FFFFFF"/>
          <w:lang w:val="en-US" w:eastAsia="zh-CN" w:bidi="ar-SA"/>
        </w:rPr>
        <w:t>对于新引进的硕士研究生，应当给予8万元/年的安家补助和500元/月的工作补助。为认真做好高层次人才引进管理工作</w:t>
      </w:r>
      <w:r>
        <w:rPr>
          <w:rFonts w:eastAsia="仿宋_GB2312"/>
          <w:b w:val="0"/>
          <w:bCs w:val="0"/>
          <w:color w:val="auto"/>
          <w:kern w:val="0"/>
          <w:sz w:val="32"/>
          <w:szCs w:val="32"/>
          <w:u w:val="none"/>
          <w:shd w:val="clear" w:color="auto" w:fill="FFFFFF"/>
          <w:lang w:val="zh-CN" w:eastAsia="zh-CN" w:bidi="ar-SA"/>
        </w:rPr>
        <w:t>，特设立该项目。</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楷体_GB2312"/>
          <w:b w:val="0"/>
          <w:bCs w:val="0"/>
          <w:color w:val="auto"/>
          <w:sz w:val="32"/>
          <w:szCs w:val="32"/>
          <w:u w:val="none"/>
          <w:lang w:val="zh-CN"/>
        </w:rPr>
      </w:pPr>
      <w:r>
        <w:rPr>
          <w:rFonts w:eastAsia="楷体_GB2312"/>
          <w:b w:val="0"/>
          <w:bCs w:val="0"/>
          <w:color w:val="auto"/>
          <w:sz w:val="32"/>
          <w:szCs w:val="32"/>
          <w:u w:val="none"/>
          <w:lang w:val="zh-CN"/>
        </w:rPr>
        <w:t>（二）</w:t>
      </w:r>
      <w:r>
        <w:rPr>
          <w:rFonts w:eastAsia="楷体_GB2312"/>
          <w:b w:val="0"/>
          <w:bCs w:val="0"/>
          <w:color w:val="auto"/>
          <w:sz w:val="32"/>
          <w:szCs w:val="32"/>
          <w:u w:val="none"/>
          <w:lang w:val="en-US" w:eastAsia="zh-CN"/>
        </w:rPr>
        <w:t>实施目的及支持方向。</w:t>
      </w:r>
      <w:r>
        <w:rPr>
          <w:rFonts w:eastAsia="仿宋_GB2312"/>
          <w:b w:val="0"/>
          <w:bCs w:val="0"/>
          <w:color w:val="auto"/>
          <w:kern w:val="0"/>
          <w:sz w:val="32"/>
          <w:szCs w:val="32"/>
          <w:u w:val="none"/>
          <w:shd w:val="clear" w:color="auto" w:fill="FFFFFF"/>
          <w:lang w:val="en-US" w:eastAsia="zh-CN"/>
        </w:rPr>
        <w:t>该项目主要用于新引进高层次人才的安家补助和工作补助。</w:t>
      </w:r>
    </w:p>
    <w:p>
      <w:pPr>
        <w:keepNext w:val="0"/>
        <w:keepLines w:val="0"/>
        <w:pageBreakBefore w:val="0"/>
        <w:widowControl/>
        <w:suppressAutoHyphens/>
        <w:kinsoku/>
        <w:wordWrap/>
        <w:overflowPunct/>
        <w:topLinePunct w:val="0"/>
        <w:autoSpaceDE/>
        <w:autoSpaceDN/>
        <w:adjustRightInd w:val="0"/>
        <w:snapToGrid w:val="0"/>
        <w:spacing w:line="578" w:lineRule="exact"/>
        <w:ind w:left="0" w:firstLine="640" w:firstLineChars="200"/>
        <w:contextualSpacing/>
        <w:jc w:val="left"/>
        <w:rPr>
          <w:rFonts w:eastAsia="仿宋_GB2312"/>
          <w:b w:val="0"/>
          <w:bCs w:val="0"/>
          <w:color w:val="auto"/>
          <w:kern w:val="0"/>
          <w:sz w:val="32"/>
          <w:szCs w:val="32"/>
          <w:u w:val="none"/>
          <w:shd w:val="clear" w:color="auto" w:fill="FFFFFF"/>
          <w:lang w:val="en-US"/>
        </w:rPr>
      </w:pPr>
      <w:r>
        <w:rPr>
          <w:rFonts w:eastAsia="楷体_GB2312"/>
          <w:b w:val="0"/>
          <w:bCs w:val="0"/>
          <w:color w:val="auto"/>
          <w:sz w:val="32"/>
          <w:szCs w:val="32"/>
          <w:u w:val="none"/>
          <w:lang w:val="zh-CN" w:eastAsia="zh-CN"/>
        </w:rPr>
        <w:t>（三）</w:t>
      </w:r>
      <w:r>
        <w:rPr>
          <w:rFonts w:eastAsia="楷体_GB2312"/>
          <w:b w:val="0"/>
          <w:bCs w:val="0"/>
          <w:color w:val="auto"/>
          <w:sz w:val="32"/>
          <w:szCs w:val="32"/>
          <w:u w:val="none"/>
          <w:lang w:val="en-US" w:eastAsia="zh-CN"/>
        </w:rPr>
        <w:t>预算安排及分配管理</w:t>
      </w:r>
      <w:r>
        <w:rPr>
          <w:rFonts w:eastAsia="楷体_GB2312"/>
          <w:b w:val="0"/>
          <w:bCs w:val="0"/>
          <w:color w:val="auto"/>
          <w:sz w:val="32"/>
          <w:szCs w:val="32"/>
          <w:u w:val="none"/>
          <w:lang w:val="zh-CN" w:eastAsia="zh-CN"/>
        </w:rPr>
        <w:t>。</w:t>
      </w:r>
      <w:r>
        <w:rPr>
          <w:rFonts w:eastAsia="仿宋_GB2312"/>
          <w:b w:val="0"/>
          <w:bCs w:val="0"/>
          <w:color w:val="auto"/>
          <w:kern w:val="0"/>
          <w:sz w:val="32"/>
          <w:szCs w:val="32"/>
          <w:u w:val="none"/>
          <w:shd w:val="clear" w:color="auto" w:fill="FFFFFF"/>
          <w:lang w:val="zh-CN" w:eastAsia="zh-CN"/>
        </w:rPr>
        <w:t>该项目</w:t>
      </w:r>
      <w:r>
        <w:rPr>
          <w:rFonts w:eastAsia="仿宋_GB2312"/>
          <w:b w:val="0"/>
          <w:bCs w:val="0"/>
          <w:color w:val="auto"/>
          <w:kern w:val="0"/>
          <w:sz w:val="32"/>
          <w:szCs w:val="32"/>
          <w:u w:val="none"/>
          <w:shd w:val="clear" w:color="auto" w:fill="FFFFFF"/>
          <w:lang w:val="en-US" w:eastAsia="zh-CN"/>
        </w:rPr>
        <w:t>调整后</w:t>
      </w:r>
      <w:r>
        <w:rPr>
          <w:rFonts w:eastAsia="仿宋_GB2312"/>
          <w:b w:val="0"/>
          <w:bCs w:val="0"/>
          <w:color w:val="auto"/>
          <w:kern w:val="0"/>
          <w:sz w:val="32"/>
          <w:szCs w:val="32"/>
          <w:u w:val="none"/>
          <w:shd w:val="clear" w:color="auto" w:fill="FFFFFF"/>
          <w:lang w:val="zh-CN" w:eastAsia="zh-CN"/>
        </w:rPr>
        <w:t>预算数为</w:t>
      </w:r>
      <w:r>
        <w:rPr>
          <w:rFonts w:eastAsia="仿宋_GB2312"/>
          <w:b w:val="0"/>
          <w:bCs w:val="0"/>
          <w:color w:val="auto"/>
          <w:kern w:val="0"/>
          <w:sz w:val="32"/>
          <w:szCs w:val="32"/>
          <w:u w:val="none"/>
          <w:shd w:val="clear" w:color="auto" w:fill="FFFFFF"/>
          <w:lang w:val="en-US" w:eastAsia="zh-CN"/>
        </w:rPr>
        <w:t>20.2万元，均为财政资金</w:t>
      </w:r>
      <w:r>
        <w:rPr>
          <w:rFonts w:eastAsia="仿宋_GB2312"/>
          <w:b w:val="0"/>
          <w:bCs w:val="0"/>
          <w:color w:val="auto"/>
          <w:kern w:val="0"/>
          <w:sz w:val="32"/>
          <w:szCs w:val="32"/>
          <w:u w:val="none"/>
          <w:shd w:val="clear" w:color="auto" w:fill="FFFFFF"/>
          <w:lang w:val="zh-CN" w:eastAsia="zh-CN"/>
        </w:rPr>
        <w:t>。</w:t>
      </w:r>
      <w:r>
        <w:rPr>
          <w:rFonts w:eastAsia="仿宋_GB2312"/>
          <w:b w:val="0"/>
          <w:bCs w:val="0"/>
          <w:color w:val="auto"/>
          <w:kern w:val="0"/>
          <w:sz w:val="32"/>
          <w:szCs w:val="32"/>
          <w:u w:val="none"/>
          <w:shd w:val="clear" w:color="auto" w:fill="FFFFFF"/>
          <w:lang w:val="en-US" w:eastAsia="zh-CN"/>
        </w:rPr>
        <w:t>其中：2024年新引进的高层次人才2名，安家补助标准为8万元/人，工作补助仅发放2024年下半年部分，标准为3000元/人；2022年、2023年引进的高层次人才4名，工作补助实行全年一次性发放，标准为6000元/人；此外，因2022年引进的2名高层次人才2023年工作补助未及时发放，应于2024年足额补发，标准为6000元/人。合计20.2万元。</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kern w:val="0"/>
          <w:sz w:val="32"/>
          <w:szCs w:val="32"/>
          <w:u w:val="none"/>
          <w:shd w:val="clear" w:color="auto" w:fill="FFFFFF"/>
          <w:lang w:val="en-US" w:eastAsia="zh-CN"/>
        </w:rPr>
      </w:pPr>
      <w:r>
        <w:rPr>
          <w:rFonts w:eastAsia="楷体_GB2312"/>
          <w:b w:val="0"/>
          <w:bCs w:val="0"/>
          <w:color w:val="auto"/>
          <w:sz w:val="32"/>
          <w:szCs w:val="32"/>
          <w:u w:val="none"/>
          <w:lang w:val="zh-CN" w:eastAsia="zh-CN"/>
        </w:rPr>
        <w:t>（四）项目绩效目标设置。</w:t>
      </w:r>
      <w:r>
        <w:rPr>
          <w:rFonts w:eastAsia="仿宋_GB2312"/>
          <w:b w:val="0"/>
          <w:bCs w:val="0"/>
          <w:color w:val="auto"/>
          <w:kern w:val="0"/>
          <w:sz w:val="32"/>
          <w:szCs w:val="32"/>
          <w:u w:val="none"/>
          <w:shd w:val="clear" w:color="auto" w:fill="FFFFFF"/>
          <w:lang w:val="zh-CN" w:eastAsia="zh-CN"/>
        </w:rPr>
        <w:t>项目绩效目标设置为</w:t>
      </w:r>
      <w:r>
        <w:rPr>
          <w:rFonts w:eastAsia="仿宋_GB2312"/>
          <w:b w:val="0"/>
          <w:bCs w:val="0"/>
          <w:color w:val="auto"/>
          <w:kern w:val="0"/>
          <w:sz w:val="32"/>
          <w:szCs w:val="32"/>
          <w:u w:val="none"/>
          <w:shd w:val="clear" w:color="auto" w:fill="FFFFFF"/>
          <w:lang w:val="en-US" w:eastAsia="zh-CN"/>
        </w:rPr>
        <w:t>4类，第一类为产出指标，其中包括安家补助覆盖人数2人的数量指标、足额兑付率100%的质量指标、兑付时间1年的时效指标；第二类为效益指标，即营造最优引才环境的影响度为“好”；第三类为受补助对象满意度达到100%的满意度指标；第四类为工作补助标准为12000元的成本指标。</w:t>
      </w:r>
      <w:r>
        <w:rPr>
          <w:rFonts w:eastAsia="仿宋_GB2312"/>
          <w:b w:val="0"/>
          <w:bCs w:val="0"/>
          <w:color w:val="auto"/>
          <w:kern w:val="0"/>
          <w:sz w:val="32"/>
          <w:szCs w:val="32"/>
          <w:u w:val="none"/>
          <w:shd w:val="clear" w:color="auto" w:fill="FFFFFF"/>
          <w:lang w:val="zh-CN" w:eastAsia="zh-CN"/>
        </w:rPr>
        <w:t>经统计，各项指标全部完成。</w:t>
      </w:r>
    </w:p>
    <w:p>
      <w:pPr>
        <w:keepNext w:val="0"/>
        <w:keepLines w:val="0"/>
        <w:pageBreakBefore w:val="0"/>
        <w:widowControl w:val="0"/>
        <w:suppressAutoHyphens/>
        <w:kinsoku/>
        <w:wordWrap/>
        <w:overflowPunct/>
        <w:topLinePunct w:val="0"/>
        <w:autoSpaceDE/>
        <w:autoSpaceDN/>
        <w:adjustRightInd w:val="0"/>
        <w:snapToGrid w:val="0"/>
        <w:spacing w:line="578" w:lineRule="exact"/>
        <w:ind w:firstLine="640" w:firstLineChars="200"/>
        <w:rPr>
          <w:rFonts w:eastAsia="黑体"/>
          <w:b w:val="0"/>
          <w:bCs w:val="0"/>
          <w:color w:val="auto"/>
          <w:sz w:val="32"/>
          <w:szCs w:val="32"/>
          <w:lang w:eastAsia="zh-CN"/>
        </w:rPr>
      </w:pPr>
      <w:r>
        <w:rPr>
          <w:rFonts w:eastAsia="黑体"/>
          <w:b w:val="0"/>
          <w:bCs w:val="0"/>
          <w:color w:val="auto"/>
          <w:sz w:val="32"/>
          <w:szCs w:val="32"/>
        </w:rPr>
        <w:t>二、</w:t>
      </w:r>
      <w:r>
        <w:rPr>
          <w:rFonts w:eastAsia="黑体"/>
          <w:b w:val="0"/>
          <w:bCs w:val="0"/>
          <w:color w:val="auto"/>
          <w:sz w:val="32"/>
          <w:szCs w:val="32"/>
          <w:lang w:eastAsia="zh-CN"/>
        </w:rPr>
        <w:t>评价实施</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rPr>
      </w:pPr>
      <w:r>
        <w:rPr>
          <w:rFonts w:eastAsia="楷体_GB2312"/>
          <w:b w:val="0"/>
          <w:bCs w:val="0"/>
          <w:color w:val="auto"/>
          <w:sz w:val="32"/>
          <w:szCs w:val="32"/>
          <w:u w:val="none"/>
          <w:lang w:val="zh-CN"/>
        </w:rPr>
        <w:t>（一）评价目的。</w:t>
      </w:r>
      <w:r>
        <w:rPr>
          <w:rFonts w:eastAsia="仿宋_GB2312"/>
          <w:b w:val="0"/>
          <w:bCs w:val="0"/>
          <w:color w:val="auto"/>
          <w:sz w:val="32"/>
          <w:szCs w:val="32"/>
        </w:rPr>
        <w:t>通过</w:t>
      </w:r>
      <w:r>
        <w:rPr>
          <w:rFonts w:eastAsia="仿宋_GB2312"/>
          <w:b w:val="0"/>
          <w:bCs w:val="0"/>
          <w:color w:val="auto"/>
          <w:sz w:val="32"/>
          <w:szCs w:val="32"/>
          <w:lang w:eastAsia="zh-CN"/>
        </w:rPr>
        <w:t>项目</w:t>
      </w:r>
      <w:r>
        <w:rPr>
          <w:rFonts w:eastAsia="仿宋_GB2312"/>
          <w:b w:val="0"/>
          <w:bCs w:val="0"/>
          <w:color w:val="auto"/>
          <w:sz w:val="32"/>
          <w:szCs w:val="32"/>
        </w:rPr>
        <w:t>绩效</w:t>
      </w:r>
      <w:r>
        <w:rPr>
          <w:rFonts w:eastAsia="仿宋_GB2312"/>
          <w:b w:val="0"/>
          <w:bCs w:val="0"/>
          <w:color w:val="auto"/>
          <w:sz w:val="32"/>
          <w:szCs w:val="32"/>
          <w:lang w:eastAsia="zh-CN"/>
        </w:rPr>
        <w:t>自评，旨在推动</w:t>
      </w:r>
      <w:r>
        <w:rPr>
          <w:rFonts w:eastAsia="仿宋_GB2312"/>
          <w:b w:val="0"/>
          <w:bCs w:val="0"/>
          <w:color w:val="auto"/>
          <w:sz w:val="32"/>
          <w:szCs w:val="32"/>
          <w:lang w:val="en-US" w:eastAsia="zh-CN"/>
        </w:rPr>
        <w:t>广元高层次人才引进政策</w:t>
      </w:r>
      <w:r>
        <w:rPr>
          <w:rFonts w:eastAsia="仿宋_GB2312"/>
          <w:b w:val="0"/>
          <w:bCs w:val="0"/>
          <w:color w:val="auto"/>
          <w:sz w:val="32"/>
          <w:szCs w:val="32"/>
          <w:lang w:eastAsia="zh-CN"/>
        </w:rPr>
        <w:t>高质量落实，</w:t>
      </w:r>
      <w:r>
        <w:rPr>
          <w:rFonts w:eastAsia="仿宋_GB2312"/>
          <w:b w:val="0"/>
          <w:bCs w:val="0"/>
          <w:color w:val="auto"/>
          <w:sz w:val="32"/>
          <w:szCs w:val="32"/>
          <w:lang w:val="en-US" w:eastAsia="zh-CN"/>
        </w:rPr>
        <w:t>激励广大高层次人才立足岗位、发挥作用、助推发展</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sz w:val="32"/>
          <w:szCs w:val="32"/>
          <w:lang w:eastAsia="zh-CN"/>
        </w:rPr>
      </w:pPr>
      <w:r>
        <w:rPr>
          <w:rFonts w:eastAsia="楷体_GB2312"/>
          <w:b w:val="0"/>
          <w:bCs w:val="0"/>
          <w:color w:val="auto"/>
          <w:sz w:val="32"/>
          <w:szCs w:val="32"/>
          <w:u w:val="none"/>
          <w:lang w:val="zh-CN"/>
        </w:rPr>
        <w:t>（二）预设问题及评价重点。</w:t>
      </w:r>
      <w:r>
        <w:rPr>
          <w:rFonts w:eastAsia="仿宋_GB2312"/>
          <w:b w:val="0"/>
          <w:bCs w:val="0"/>
          <w:color w:val="auto"/>
          <w:sz w:val="32"/>
          <w:szCs w:val="32"/>
          <w:lang w:eastAsia="zh-CN"/>
        </w:rPr>
        <w:t>根据工作情况，</w:t>
      </w:r>
      <w:r>
        <w:rPr>
          <w:rFonts w:eastAsia="仿宋_GB2312"/>
          <w:b w:val="0"/>
          <w:bCs w:val="0"/>
          <w:color w:val="auto"/>
          <w:sz w:val="32"/>
          <w:szCs w:val="32"/>
          <w:lang w:val="en-US" w:eastAsia="zh-CN"/>
        </w:rPr>
        <w:t>对补助覆盖面、足额兑付率、兑付时间、引才环境影响度、受补助对象满意度、人才作用发挥情况</w:t>
      </w:r>
      <w:r>
        <w:rPr>
          <w:rFonts w:eastAsia="仿宋_GB2312"/>
          <w:b w:val="0"/>
          <w:bCs w:val="0"/>
          <w:color w:val="auto"/>
          <w:sz w:val="32"/>
          <w:szCs w:val="32"/>
          <w:lang w:eastAsia="zh-CN"/>
        </w:rPr>
        <w:t>等方面进行综合评价。</w:t>
      </w:r>
    </w:p>
    <w:p>
      <w:pPr>
        <w:keepNext w:val="0"/>
        <w:keepLines w:val="0"/>
        <w:pageBreakBefore w:val="0"/>
        <w:widowControl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sz w:val="32"/>
          <w:szCs w:val="32"/>
          <w:lang w:val="zh-CN" w:eastAsia="zh-CN"/>
        </w:rPr>
      </w:pPr>
      <w:r>
        <w:rPr>
          <w:rFonts w:eastAsia="楷体_GB2312"/>
          <w:b w:val="0"/>
          <w:bCs w:val="0"/>
          <w:color w:val="auto"/>
          <w:sz w:val="32"/>
          <w:szCs w:val="32"/>
          <w:u w:val="none"/>
          <w:lang w:val="zh-CN"/>
        </w:rPr>
        <w:t>（三）评价选点。</w:t>
      </w:r>
      <w:r>
        <w:rPr>
          <w:rFonts w:eastAsia="仿宋_GB2312"/>
          <w:b w:val="0"/>
          <w:bCs w:val="0"/>
          <w:color w:val="auto"/>
          <w:sz w:val="32"/>
          <w:szCs w:val="32"/>
          <w:lang w:val="en-US" w:eastAsia="zh-CN"/>
        </w:rPr>
        <w:t>广元国际铁路港服务中心</w:t>
      </w:r>
      <w:r>
        <w:rPr>
          <w:rFonts w:eastAsia="仿宋_GB2312"/>
          <w:b w:val="0"/>
          <w:bCs w:val="0"/>
          <w:color w:val="auto"/>
          <w:sz w:val="32"/>
          <w:szCs w:val="32"/>
          <w:lang w:val="zh-CN" w:eastAsia="zh-CN"/>
        </w:rPr>
        <w:t>。</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（四）评价方法。</w:t>
      </w:r>
      <w:r>
        <w:rPr>
          <w:rFonts w:eastAsia="仿宋_GB2312"/>
          <w:b w:val="0"/>
          <w:bCs w:val="0"/>
          <w:color w:val="auto"/>
          <w:sz w:val="32"/>
          <w:szCs w:val="32"/>
          <w:lang w:eastAsia="zh-CN"/>
        </w:rPr>
        <w:t>主要</w:t>
      </w:r>
      <w:r>
        <w:rPr>
          <w:rFonts w:eastAsia="仿宋_GB2312"/>
          <w:b w:val="0"/>
          <w:bCs w:val="0"/>
          <w:color w:val="auto"/>
          <w:sz w:val="32"/>
          <w:szCs w:val="32"/>
        </w:rPr>
        <w:t>采用单位自评法</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（五）评价组织。</w:t>
      </w:r>
      <w:r>
        <w:rPr>
          <w:rFonts w:eastAsia="仿宋_GB2312"/>
          <w:b w:val="0"/>
          <w:bCs w:val="0"/>
          <w:color w:val="auto"/>
          <w:sz w:val="32"/>
          <w:szCs w:val="32"/>
        </w:rPr>
        <w:t>评价组</w:t>
      </w:r>
      <w:r>
        <w:rPr>
          <w:rFonts w:eastAsia="仿宋_GB2312"/>
          <w:b w:val="0"/>
          <w:bCs w:val="0"/>
          <w:color w:val="auto"/>
          <w:sz w:val="32"/>
          <w:szCs w:val="32"/>
          <w:lang w:eastAsia="zh-CN"/>
        </w:rPr>
        <w:t>人员由党群工作部、财务部、纪检监察工委组成。其中，党群工作部主要对</w:t>
      </w:r>
      <w:r>
        <w:rPr>
          <w:rFonts w:eastAsia="仿宋_GB2312"/>
          <w:b w:val="0"/>
          <w:bCs w:val="0"/>
          <w:color w:val="auto"/>
          <w:sz w:val="32"/>
          <w:szCs w:val="32"/>
          <w:lang w:val="en-US" w:eastAsia="zh-CN"/>
        </w:rPr>
        <w:t>高层次人才作用发挥情况</w:t>
      </w:r>
      <w:r>
        <w:rPr>
          <w:rFonts w:eastAsia="仿宋_GB2312"/>
          <w:b w:val="0"/>
          <w:bCs w:val="0"/>
          <w:color w:val="auto"/>
          <w:sz w:val="32"/>
          <w:szCs w:val="32"/>
          <w:lang w:eastAsia="zh-CN"/>
        </w:rPr>
        <w:t>进行评价打分，财务部主要对资金使用情况进行评价打分，纪检监察工委主要对有关情况进行全过程监督。</w:t>
      </w:r>
    </w:p>
    <w:p>
      <w:pPr>
        <w:keepNext w:val="0"/>
        <w:keepLines w:val="0"/>
        <w:pageBreakBefore w:val="0"/>
        <w:suppressAutoHyphens/>
        <w:kinsoku/>
        <w:wordWrap/>
        <w:overflowPunct/>
        <w:topLinePunct w:val="0"/>
        <w:autoSpaceDE/>
        <w:autoSpaceDN/>
        <w:adjustRightInd w:val="0"/>
        <w:snapToGrid w:val="0"/>
        <w:spacing w:line="578" w:lineRule="exact"/>
        <w:ind w:firstLine="640" w:firstLineChars="200"/>
        <w:rPr>
          <w:rFonts w:eastAsia="仿宋_GB2312"/>
          <w:b w:val="0"/>
          <w:bCs w:val="0"/>
          <w:color w:val="auto"/>
          <w:sz w:val="32"/>
          <w:szCs w:val="32"/>
          <w:u w:val="none"/>
          <w:lang w:val="zh-CN"/>
        </w:rPr>
      </w:pPr>
      <w:r>
        <w:rPr>
          <w:rFonts w:eastAsia="黑体"/>
          <w:b w:val="0"/>
          <w:bCs w:val="0"/>
          <w:color w:val="auto"/>
          <w:sz w:val="32"/>
          <w:szCs w:val="32"/>
          <w:u w:val="none"/>
        </w:rPr>
        <w:t>三、</w:t>
      </w:r>
      <w:r>
        <w:rPr>
          <w:rFonts w:eastAsia="黑体"/>
          <w:b w:val="0"/>
          <w:bCs w:val="0"/>
          <w:color w:val="auto"/>
          <w:sz w:val="32"/>
          <w:szCs w:val="32"/>
          <w:u w:val="none"/>
          <w:lang w:eastAsia="zh-CN"/>
        </w:rPr>
        <w:t>绩效分析</w:t>
      </w:r>
      <w:r>
        <w:rPr>
          <w:rFonts w:eastAsia="仿宋_GB2312"/>
          <w:b w:val="0"/>
          <w:bCs w:val="0"/>
          <w:color w:val="auto"/>
          <w:sz w:val="32"/>
          <w:szCs w:val="32"/>
          <w:u w:val="none"/>
          <w:lang w:val="zh-CN"/>
        </w:rPr>
        <w:tab/>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楷体_GB2312"/>
          <w:b w:val="0"/>
          <w:bCs w:val="0"/>
          <w:color w:val="auto"/>
          <w:sz w:val="32"/>
          <w:szCs w:val="32"/>
          <w:u w:val="none"/>
          <w:lang w:val="en-US" w:eastAsia="zh-CN"/>
        </w:rPr>
      </w:pPr>
      <w:r>
        <w:rPr>
          <w:rFonts w:eastAsia="楷体_GB2312"/>
          <w:b w:val="0"/>
          <w:bCs w:val="0"/>
          <w:color w:val="auto"/>
          <w:sz w:val="32"/>
          <w:szCs w:val="32"/>
          <w:u w:val="none"/>
          <w:lang w:val="zh-CN"/>
        </w:rPr>
        <w:t>（一）</w:t>
      </w:r>
      <w:r>
        <w:rPr>
          <w:rFonts w:eastAsia="楷体_GB2312"/>
          <w:b w:val="0"/>
          <w:bCs w:val="0"/>
          <w:color w:val="auto"/>
          <w:sz w:val="32"/>
          <w:szCs w:val="32"/>
          <w:u w:val="none"/>
          <w:lang w:val="en-US" w:eastAsia="zh-CN"/>
        </w:rPr>
        <w:t>通用指标</w:t>
      </w:r>
      <w:r>
        <w:rPr>
          <w:rFonts w:eastAsia="楷体_GB2312"/>
          <w:b w:val="0"/>
          <w:bCs w:val="0"/>
          <w:color w:val="auto"/>
          <w:kern w:val="0"/>
          <w:sz w:val="32"/>
          <w:szCs w:val="32"/>
          <w:shd w:val="clear" w:color="auto" w:fill="FFFFFF"/>
          <w:lang w:val="zh-CN"/>
        </w:rPr>
        <w:t>绩效分析</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eastAsia="zh-CN"/>
        </w:rPr>
      </w:pPr>
      <w:r>
        <w:rPr>
          <w:rFonts w:eastAsia="楷体_GB2312"/>
          <w:b w:val="0"/>
          <w:bCs w:val="0"/>
          <w:color w:val="auto"/>
          <w:sz w:val="32"/>
          <w:szCs w:val="32"/>
          <w:lang w:val="en-US" w:eastAsia="zh-CN"/>
        </w:rPr>
        <w:t>1.</w:t>
      </w:r>
      <w:r>
        <w:rPr>
          <w:rFonts w:eastAsia="楷体_GB2312"/>
          <w:b w:val="0"/>
          <w:bCs w:val="0"/>
          <w:color w:val="auto"/>
          <w:sz w:val="32"/>
          <w:szCs w:val="32"/>
          <w:lang w:eastAsia="zh-CN"/>
        </w:rPr>
        <w:t>项目决策。</w:t>
      </w:r>
      <w:r>
        <w:rPr>
          <w:rFonts w:eastAsia="仿宋_GB2312"/>
          <w:b w:val="0"/>
          <w:bCs w:val="0"/>
          <w:color w:val="auto"/>
          <w:sz w:val="32"/>
          <w:szCs w:val="32"/>
          <w:lang w:eastAsia="zh-CN"/>
        </w:rPr>
        <w:t>按照“三重一大”程序，确定拟实施项目。自评满分。</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eastAsia="zh-CN"/>
        </w:rPr>
      </w:pPr>
      <w:r>
        <w:rPr>
          <w:rFonts w:eastAsia="楷体_GB2312"/>
          <w:b w:val="0"/>
          <w:bCs w:val="0"/>
          <w:color w:val="auto"/>
          <w:sz w:val="32"/>
          <w:szCs w:val="32"/>
          <w:lang w:val="en-US" w:eastAsia="zh-CN"/>
        </w:rPr>
        <w:t>2.</w:t>
      </w:r>
      <w:r>
        <w:rPr>
          <w:rFonts w:eastAsia="楷体_GB2312"/>
          <w:b w:val="0"/>
          <w:bCs w:val="0"/>
          <w:color w:val="auto"/>
          <w:sz w:val="32"/>
          <w:szCs w:val="32"/>
          <w:lang w:eastAsia="zh-CN"/>
        </w:rPr>
        <w:t>项目管理。</w:t>
      </w:r>
      <w:r>
        <w:rPr>
          <w:rFonts w:eastAsia="仿宋_GB2312"/>
          <w:b w:val="0"/>
          <w:bCs w:val="0"/>
          <w:color w:val="auto"/>
          <w:sz w:val="32"/>
          <w:szCs w:val="32"/>
          <w:lang w:eastAsia="zh-CN"/>
        </w:rPr>
        <w:t>根据</w:t>
      </w:r>
      <w:r>
        <w:rPr>
          <w:rFonts w:eastAsia="仿宋_GB2312"/>
          <w:b w:val="0"/>
          <w:bCs w:val="0"/>
          <w:color w:val="auto"/>
          <w:sz w:val="32"/>
          <w:szCs w:val="32"/>
          <w:lang w:val="en-US" w:eastAsia="zh-CN"/>
        </w:rPr>
        <w:t>广元市高层次人才引进</w:t>
      </w:r>
      <w:r>
        <w:rPr>
          <w:rFonts w:eastAsia="仿宋_GB2312"/>
          <w:b w:val="0"/>
          <w:bCs w:val="0"/>
          <w:color w:val="auto"/>
          <w:sz w:val="32"/>
          <w:szCs w:val="32"/>
          <w:lang w:eastAsia="zh-CN"/>
        </w:rPr>
        <w:t>管理办法，开展</w:t>
      </w:r>
      <w:r>
        <w:rPr>
          <w:rFonts w:eastAsia="仿宋_GB2312"/>
          <w:b w:val="0"/>
          <w:bCs w:val="0"/>
          <w:color w:val="auto"/>
          <w:sz w:val="32"/>
          <w:szCs w:val="32"/>
          <w:lang w:val="en-US" w:eastAsia="zh-CN"/>
        </w:rPr>
        <w:t>安家补助和工作补助</w:t>
      </w:r>
      <w:r>
        <w:rPr>
          <w:rFonts w:eastAsia="仿宋_GB2312"/>
          <w:b w:val="0"/>
          <w:bCs w:val="0"/>
          <w:color w:val="auto"/>
          <w:sz w:val="32"/>
          <w:szCs w:val="32"/>
          <w:lang w:eastAsia="zh-CN"/>
        </w:rPr>
        <w:t>管理工作。自评满分。</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eastAsia="zh-CN"/>
        </w:rPr>
      </w:pPr>
      <w:r>
        <w:rPr>
          <w:rFonts w:eastAsia="楷体_GB2312"/>
          <w:b w:val="0"/>
          <w:bCs w:val="0"/>
          <w:color w:val="auto"/>
          <w:sz w:val="32"/>
          <w:szCs w:val="32"/>
          <w:lang w:val="en-US" w:eastAsia="zh-CN"/>
        </w:rPr>
        <w:t>3.项目实施。</w:t>
      </w:r>
      <w:r>
        <w:rPr>
          <w:rFonts w:eastAsia="仿宋_GB2312"/>
          <w:b w:val="0"/>
          <w:bCs w:val="0"/>
          <w:color w:val="auto"/>
          <w:sz w:val="32"/>
          <w:szCs w:val="32"/>
          <w:lang w:val="en-US" w:eastAsia="zh-CN"/>
        </w:rPr>
        <w:t>严格执行预算金额，按照财务规定程序拨付资金。</w:t>
      </w:r>
      <w:r>
        <w:rPr>
          <w:rFonts w:eastAsia="仿宋_GB2312"/>
          <w:b w:val="0"/>
          <w:bCs w:val="0"/>
          <w:color w:val="auto"/>
          <w:sz w:val="32"/>
          <w:szCs w:val="32"/>
          <w:lang w:eastAsia="zh-CN"/>
        </w:rPr>
        <w:t>自评满分。</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val="en-US" w:eastAsia="zh-CN"/>
        </w:rPr>
      </w:pPr>
      <w:r>
        <w:rPr>
          <w:rFonts w:eastAsia="楷体_GB2312"/>
          <w:b w:val="0"/>
          <w:bCs w:val="0"/>
          <w:color w:val="auto"/>
          <w:sz w:val="32"/>
          <w:szCs w:val="32"/>
          <w:lang w:val="en-US" w:eastAsia="zh-CN"/>
        </w:rPr>
        <w:t>4.项目结果。</w:t>
      </w:r>
      <w:r>
        <w:rPr>
          <w:rFonts w:eastAsia="仿宋_GB2312"/>
          <w:b w:val="0"/>
          <w:bCs w:val="0"/>
          <w:color w:val="auto"/>
          <w:kern w:val="0"/>
          <w:sz w:val="32"/>
          <w:szCs w:val="32"/>
          <w:u w:val="none"/>
          <w:shd w:val="clear" w:color="auto" w:fill="FFFFFF"/>
          <w:lang w:val="en-US" w:eastAsia="zh-CN"/>
        </w:rPr>
        <w:t>足额兑付2024年新引进的2名高层次人才安家补助，标准为8万元/年/人；足额兑付2022年、2023年引进的4名高层次人才工作补助，标准为6000元/年/人，以及2024年引进的2名高层次人才下半年工作补助，标准为3000元/半年/人；此外，因2022年引进的2名高层次人才2023年工作补助未及时发放，于2024年足额补发，标准为6000元/年/人。合计20.2万元。</w:t>
      </w:r>
      <w:r>
        <w:rPr>
          <w:rFonts w:eastAsia="仿宋_GB2312"/>
          <w:b w:val="0"/>
          <w:bCs w:val="0"/>
          <w:color w:val="auto"/>
          <w:sz w:val="32"/>
          <w:szCs w:val="32"/>
          <w:lang w:val="en-US" w:eastAsia="zh-CN"/>
        </w:rPr>
        <w:t>自评满分。</w:t>
      </w:r>
    </w:p>
    <w:p>
      <w:pPr>
        <w:keepNext w:val="0"/>
        <w:keepLines w:val="0"/>
        <w:pageBreakBefore w:val="0"/>
        <w:widowControl w:val="0"/>
        <w:suppressAutoHyphens/>
        <w:kinsoku/>
        <w:wordWrap/>
        <w:overflowPunct/>
        <w:topLinePunct w:val="0"/>
        <w:autoSpaceDE/>
        <w:autoSpaceDN/>
        <w:adjustRightInd/>
        <w:snapToGrid/>
        <w:spacing w:line="578" w:lineRule="exact"/>
        <w:ind w:firstLine="640" w:firstLineChars="200"/>
        <w:rPr>
          <w:rFonts w:eastAsia="仿宋_GB2312"/>
          <w:b w:val="0"/>
          <w:bCs w:val="0"/>
          <w:color w:val="auto"/>
          <w:sz w:val="32"/>
          <w:szCs w:val="32"/>
          <w:lang w:val="en-US" w:eastAsia="zh-CN"/>
        </w:rPr>
      </w:pPr>
      <w:r>
        <w:rPr>
          <w:rFonts w:eastAsia="楷体_GB2312"/>
          <w:b w:val="0"/>
          <w:bCs w:val="0"/>
          <w:color w:val="auto"/>
          <w:sz w:val="32"/>
          <w:szCs w:val="32"/>
          <w:u w:val="none"/>
          <w:lang w:val="zh-CN"/>
        </w:rPr>
        <w:t>（二）</w:t>
      </w:r>
      <w:r>
        <w:rPr>
          <w:rFonts w:eastAsia="楷体_GB2312"/>
          <w:b w:val="0"/>
          <w:bCs w:val="0"/>
          <w:color w:val="auto"/>
          <w:sz w:val="32"/>
          <w:szCs w:val="32"/>
          <w:u w:val="none"/>
          <w:lang w:val="en-US" w:eastAsia="zh-CN"/>
        </w:rPr>
        <w:t>专用指标</w:t>
      </w:r>
      <w:r>
        <w:rPr>
          <w:rFonts w:eastAsia="楷体_GB2312"/>
          <w:b w:val="0"/>
          <w:bCs w:val="0"/>
          <w:color w:val="auto"/>
          <w:kern w:val="0"/>
          <w:sz w:val="32"/>
          <w:szCs w:val="32"/>
          <w:shd w:val="clear" w:color="auto" w:fill="FFFFFF"/>
          <w:lang w:val="zh-CN"/>
        </w:rPr>
        <w:t>绩效分析</w:t>
      </w:r>
      <w:r>
        <w:rPr>
          <w:rFonts w:eastAsia="楷体_GB2312"/>
          <w:b w:val="0"/>
          <w:bCs w:val="0"/>
          <w:color w:val="auto"/>
          <w:sz w:val="32"/>
          <w:szCs w:val="32"/>
          <w:lang w:val="zh-CN" w:eastAsia="zh-CN"/>
        </w:rPr>
        <w:t>。</w:t>
      </w:r>
      <w:r>
        <w:rPr>
          <w:rFonts w:eastAsia="仿宋_GB2312"/>
          <w:b w:val="0"/>
          <w:bCs w:val="0"/>
          <w:color w:val="auto"/>
          <w:sz w:val="32"/>
          <w:szCs w:val="32"/>
          <w:lang w:val="en-US" w:eastAsia="zh-CN"/>
        </w:rPr>
        <w:t>足额兑付率达100%，受补助对象满意度达100%。自评满分</w:t>
      </w:r>
      <w:r>
        <w:rPr>
          <w:rFonts w:eastAsia="仿宋_GB2312"/>
          <w:b w:val="0"/>
          <w:bCs w:val="0"/>
          <w:color w:val="auto"/>
          <w:sz w:val="32"/>
          <w:szCs w:val="32"/>
          <w:lang w:val="zh-CN" w:eastAsia="zh-CN"/>
        </w:rPr>
        <w:t>。</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val="en-US" w:eastAsia="zh-CN"/>
        </w:rPr>
      </w:pPr>
      <w:r>
        <w:rPr>
          <w:rFonts w:eastAsia="楷体_GB2312"/>
          <w:b w:val="0"/>
          <w:bCs w:val="0"/>
          <w:color w:val="auto"/>
          <w:sz w:val="32"/>
          <w:szCs w:val="32"/>
          <w:u w:val="none"/>
          <w:lang w:val="zh-CN"/>
        </w:rPr>
        <w:t>（三）</w:t>
      </w:r>
      <w:r>
        <w:rPr>
          <w:rFonts w:eastAsia="楷体_GB2312"/>
          <w:b w:val="0"/>
          <w:bCs w:val="0"/>
          <w:color w:val="auto"/>
          <w:sz w:val="32"/>
          <w:szCs w:val="32"/>
          <w:u w:val="none"/>
          <w:lang w:val="en-US" w:eastAsia="zh-CN"/>
        </w:rPr>
        <w:t>个性指标</w:t>
      </w:r>
      <w:r>
        <w:rPr>
          <w:rFonts w:eastAsia="楷体_GB2312"/>
          <w:b w:val="0"/>
          <w:bCs w:val="0"/>
          <w:color w:val="auto"/>
          <w:kern w:val="0"/>
          <w:sz w:val="32"/>
          <w:szCs w:val="32"/>
          <w:shd w:val="clear" w:color="auto" w:fill="FFFFFF"/>
          <w:lang w:val="zh-CN"/>
        </w:rPr>
        <w:t>绩效分析。</w:t>
      </w:r>
      <w:r>
        <w:rPr>
          <w:rFonts w:eastAsia="仿宋_GB2312"/>
          <w:b w:val="0"/>
          <w:bCs w:val="0"/>
          <w:color w:val="auto"/>
          <w:sz w:val="32"/>
          <w:szCs w:val="32"/>
          <w:lang w:val="en-US" w:eastAsia="zh-CN"/>
        </w:rPr>
        <w:t>通过发放安家补助和工作补助，尊重人才、关爱人才的人才环境不断优化。自评满分</w:t>
      </w:r>
      <w:r>
        <w:rPr>
          <w:rFonts w:eastAsia="仿宋_GB2312"/>
          <w:b w:val="0"/>
          <w:bCs w:val="0"/>
          <w:color w:val="auto"/>
          <w:sz w:val="32"/>
          <w:szCs w:val="32"/>
          <w:lang w:val="zh-CN" w:eastAsia="zh-CN"/>
        </w:rPr>
        <w:t>。</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en-US" w:bidi="ar-SA"/>
        </w:rPr>
      </w:pPr>
      <w:r>
        <w:rPr>
          <w:rFonts w:eastAsia="黑体"/>
          <w:b w:val="0"/>
          <w:bCs w:val="0"/>
          <w:color w:val="auto"/>
          <w:kern w:val="0"/>
          <w:position w:val="3"/>
          <w:sz w:val="32"/>
          <w:szCs w:val="32"/>
          <w:u w:val="none"/>
          <w:lang w:val="en-US" w:eastAsia="zh-CN" w:bidi="ar-SA"/>
        </w:rPr>
        <w:t>四</w:t>
      </w:r>
      <w:r>
        <w:rPr>
          <w:rFonts w:eastAsia="黑体"/>
          <w:b w:val="0"/>
          <w:bCs w:val="0"/>
          <w:color w:val="auto"/>
          <w:kern w:val="0"/>
          <w:position w:val="3"/>
          <w:sz w:val="32"/>
          <w:szCs w:val="32"/>
          <w:u w:val="none"/>
          <w:lang w:val="en-US" w:bidi="ar-SA"/>
        </w:rPr>
        <w:t>、评价结论</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通过发放安家补助和工作补助，所有新引进高层次人才干事热情持续高涨，人才支撑事业发展成效显著。自评得分100分。</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en-US" w:eastAsia="zh-CN" w:bidi="ar-SA"/>
        </w:rPr>
      </w:pPr>
      <w:r>
        <w:rPr>
          <w:rFonts w:eastAsia="黑体"/>
          <w:b w:val="0"/>
          <w:bCs w:val="0"/>
          <w:color w:val="auto"/>
          <w:kern w:val="0"/>
          <w:position w:val="3"/>
          <w:sz w:val="32"/>
          <w:szCs w:val="32"/>
          <w:u w:val="none"/>
          <w:lang w:val="en-US" w:eastAsia="zh-CN" w:bidi="ar-SA"/>
        </w:rPr>
        <w:t>五、存在主要问题</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2"/>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zh-CN" w:eastAsia="zh-CN" w:bidi="ar-SA"/>
        </w:rPr>
      </w:pPr>
      <w:r>
        <w:rPr>
          <w:rFonts w:eastAsia="黑体"/>
          <w:b w:val="0"/>
          <w:bCs w:val="0"/>
          <w:color w:val="auto"/>
          <w:kern w:val="0"/>
          <w:position w:val="3"/>
          <w:sz w:val="32"/>
          <w:szCs w:val="32"/>
          <w:u w:val="none"/>
          <w:lang w:val="zh-CN" w:eastAsia="zh-CN" w:bidi="ar-SA"/>
        </w:rPr>
        <w:t>六、改进建议</w:t>
      </w:r>
      <w:bookmarkStart w:id="127" w:name="_Hlk110546638"/>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sz w:val="32"/>
          <w:szCs w:val="32"/>
          <w:u w:val="none"/>
          <w:shd w:val="clear" w:color="auto" w:fill="FFFFFF"/>
          <w:lang w:val="zh-CN" w:eastAsia="zh-CN"/>
        </w:rPr>
      </w:pPr>
      <w:r>
        <w:rPr>
          <w:rFonts w:eastAsia="仿宋_GB2312"/>
          <w:b w:val="0"/>
          <w:bCs w:val="0"/>
          <w:color w:val="auto"/>
          <w:kern w:val="0"/>
          <w:position w:val="0"/>
          <w:sz w:val="32"/>
          <w:szCs w:val="32"/>
          <w:lang w:val="en-US" w:eastAsia="zh-CN" w:bidi="ar-SA"/>
        </w:rPr>
        <w:t>无。</w:t>
      </w:r>
      <w:bookmarkEnd w:id="127"/>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bookmarkStart w:id="128" w:name="_Toc83065440"/>
      <w:r>
        <w:rPr>
          <w:rFonts w:ascii="Times New Roman" w:hAnsi="Times New Roman" w:eastAsia="方正小标宋简体"/>
          <w:b w:val="0"/>
          <w:bCs w:val="0"/>
          <w:color w:val="auto"/>
          <w:kern w:val="2"/>
          <w:sz w:val="44"/>
          <w:szCs w:val="44"/>
          <w:lang w:val="en-US" w:eastAsia="zh-CN"/>
        </w:rPr>
        <w:t>专项预算绩效自评报告</w:t>
      </w:r>
      <w:bookmarkEnd w:id="128"/>
    </w:p>
    <w:p>
      <w:pPr>
        <w:keepNext w:val="0"/>
        <w:keepLines w:val="0"/>
        <w:pageBreakBefore w:val="0"/>
        <w:widowControl/>
        <w:suppressLineNumbers w:val="0"/>
        <w:suppressAutoHyphens/>
        <w:kinsoku/>
        <w:wordWrap/>
        <w:overflowPunct/>
        <w:topLinePunct w:val="0"/>
        <w:autoSpaceDE/>
        <w:autoSpaceDN/>
        <w:adjustRightInd/>
        <w:snapToGrid/>
        <w:spacing w:line="576" w:lineRule="exact"/>
        <w:jc w:val="center"/>
        <w:textAlignment w:val="center"/>
        <w:outlineLvl w:val="2"/>
        <w:rPr>
          <w:rFonts w:eastAsia="楷体_GB2312"/>
          <w:b w:val="0"/>
          <w:bCs w:val="0"/>
          <w:color w:val="auto"/>
          <w:kern w:val="0"/>
          <w:sz w:val="32"/>
          <w:szCs w:val="32"/>
          <w:lang w:val="en-US" w:eastAsia="zh-CN" w:bidi="ar-SA"/>
        </w:rPr>
      </w:pPr>
      <w:bookmarkStart w:id="129" w:name="_Toc83065441"/>
      <w:r>
        <w:rPr>
          <w:rFonts w:eastAsia="楷体_GB2312"/>
          <w:b w:val="0"/>
          <w:bCs w:val="0"/>
          <w:color w:val="auto"/>
          <w:kern w:val="0"/>
          <w:sz w:val="32"/>
          <w:szCs w:val="32"/>
          <w:lang w:val="en-US" w:eastAsia="zh-CN" w:bidi="ar-SA"/>
        </w:rPr>
        <w:t>（国际班列运营补助经费）</w:t>
      </w:r>
      <w:bookmarkEnd w:id="129"/>
    </w:p>
    <w:p>
      <w:pPr>
        <w:pStyle w:val="31"/>
        <w:keepNext w:val="0"/>
        <w:keepLines w:val="0"/>
        <w:pageBreakBefore w:val="0"/>
        <w:widowControl w:val="0"/>
        <w:suppressAutoHyphens/>
        <w:kinsoku/>
        <w:wordWrap/>
        <w:overflowPunct/>
        <w:topLinePunct w:val="0"/>
        <w:autoSpaceDE/>
        <w:autoSpaceDN/>
        <w:spacing w:line="576" w:lineRule="exact"/>
        <w:ind w:left="0" w:firstLine="640"/>
        <w:jc w:val="center"/>
        <w:rPr>
          <w:rFonts w:ascii="Times New Roman" w:hAnsi="Times New Roman"/>
          <w:b w:val="0"/>
          <w:bCs w:val="0"/>
          <w:color w:val="auto"/>
          <w:kern w:val="2"/>
          <w:sz w:val="32"/>
          <w:szCs w:val="32"/>
        </w:rPr>
      </w:pP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lang w:val="zh-CN"/>
        </w:rPr>
      </w:pPr>
      <w:r>
        <w:rPr>
          <w:rFonts w:eastAsia="黑体"/>
          <w:b w:val="0"/>
          <w:bCs w:val="0"/>
          <w:color w:val="auto"/>
          <w:sz w:val="32"/>
          <w:szCs w:val="32"/>
        </w:rPr>
        <w:t>一、</w:t>
      </w:r>
      <w:r>
        <w:rPr>
          <w:rFonts w:eastAsia="黑体"/>
          <w:b w:val="0"/>
          <w:bCs w:val="0"/>
          <w:color w:val="auto"/>
          <w:sz w:val="32"/>
          <w:szCs w:val="32"/>
          <w:lang w:val="zh-CN"/>
        </w:rPr>
        <w:t>项目概况</w:t>
      </w:r>
    </w:p>
    <w:p>
      <w:pPr>
        <w:keepNext w:val="0"/>
        <w:keepLines w:val="0"/>
        <w:pageBreakBefore w:val="0"/>
        <w:widowControl w:val="0"/>
        <w:suppressAutoHyphens/>
        <w:kinsoku/>
        <w:wordWrap/>
        <w:overflowPunct/>
        <w:topLinePunct w:val="0"/>
        <w:autoSpaceDE/>
        <w:autoSpaceDN/>
        <w:adjustRightInd/>
        <w:snapToGrid w:val="0"/>
        <w:spacing w:line="576" w:lineRule="exact"/>
        <w:ind w:left="0" w:firstLine="640" w:firstLineChars="200"/>
        <w:rPr>
          <w:rFonts w:eastAsia="楷体_GB2312"/>
          <w:b w:val="0"/>
          <w:bCs w:val="0"/>
          <w:color w:val="auto"/>
          <w:sz w:val="32"/>
          <w:szCs w:val="32"/>
          <w:u w:val="none"/>
          <w:lang w:val="zh-CN"/>
        </w:rPr>
      </w:pPr>
      <w:r>
        <w:rPr>
          <w:rFonts w:eastAsia="楷体_GB2312"/>
          <w:b w:val="0"/>
          <w:bCs w:val="0"/>
          <w:color w:val="auto"/>
          <w:sz w:val="32"/>
          <w:szCs w:val="32"/>
          <w:u w:val="none"/>
          <w:lang w:val="zh-CN"/>
        </w:rPr>
        <w:t>（一）设立背景及基本情况。</w:t>
      </w:r>
    </w:p>
    <w:p>
      <w:pPr>
        <w:keepNext w:val="0"/>
        <w:keepLines w:val="0"/>
        <w:pageBreakBefore w:val="0"/>
        <w:widowControl w:val="0"/>
        <w:suppressAutoHyphens/>
        <w:kinsoku/>
        <w:wordWrap/>
        <w:overflowPunct/>
        <w:topLinePunct w:val="0"/>
        <w:autoSpaceDE/>
        <w:autoSpaceDN/>
        <w:adjustRightInd/>
        <w:snapToGrid w:val="0"/>
        <w:spacing w:line="576" w:lineRule="exact"/>
        <w:ind w:left="0" w:firstLine="640" w:firstLineChars="200"/>
        <w:rPr>
          <w:rStyle w:val="35"/>
          <w:rFonts w:eastAsia="仿宋_GB2312"/>
          <w:b w:val="0"/>
          <w:bCs w:val="0"/>
          <w:color w:val="auto"/>
          <w:sz w:val="32"/>
          <w:szCs w:val="32"/>
          <w:u w:val="none"/>
          <w:lang w:val="en-US" w:eastAsia="zh-CN"/>
        </w:rPr>
      </w:pPr>
      <w:r>
        <w:rPr>
          <w:rStyle w:val="35"/>
          <w:rFonts w:eastAsia="仿宋_GB2312"/>
          <w:b w:val="0"/>
          <w:bCs w:val="0"/>
          <w:color w:val="auto"/>
          <w:sz w:val="32"/>
          <w:szCs w:val="32"/>
          <w:u w:val="none"/>
          <w:lang w:val="zh-CN" w:eastAsia="zh-CN"/>
        </w:rPr>
        <w:t>项目设立原因及背景：</w:t>
      </w:r>
      <w:r>
        <w:rPr>
          <w:rStyle w:val="35"/>
          <w:rFonts w:eastAsia="仿宋_GB2312"/>
          <w:b w:val="0"/>
          <w:bCs w:val="0"/>
          <w:color w:val="auto"/>
          <w:sz w:val="32"/>
          <w:szCs w:val="32"/>
          <w:u w:val="none"/>
        </w:rPr>
        <w:t>广元开行</w:t>
      </w:r>
      <w:r>
        <w:rPr>
          <w:rStyle w:val="35"/>
          <w:rFonts w:eastAsia="仿宋_GB2312"/>
          <w:b w:val="0"/>
          <w:bCs w:val="0"/>
          <w:color w:val="auto"/>
          <w:sz w:val="32"/>
          <w:szCs w:val="32"/>
          <w:u w:val="none"/>
          <w:lang w:eastAsia="zh-CN"/>
        </w:rPr>
        <w:t>国际</w:t>
      </w:r>
      <w:r>
        <w:rPr>
          <w:rStyle w:val="35"/>
          <w:rFonts w:eastAsia="仿宋_GB2312"/>
          <w:b w:val="0"/>
          <w:bCs w:val="0"/>
          <w:color w:val="auto"/>
          <w:sz w:val="32"/>
          <w:szCs w:val="32"/>
          <w:u w:val="none"/>
        </w:rPr>
        <w:t>班列是深入学习贯彻党的二十</w:t>
      </w:r>
      <w:r>
        <w:rPr>
          <w:rStyle w:val="35"/>
          <w:rFonts w:eastAsia="仿宋_GB2312"/>
          <w:b w:val="0"/>
          <w:bCs w:val="0"/>
          <w:color w:val="auto"/>
          <w:sz w:val="32"/>
          <w:szCs w:val="32"/>
          <w:u w:val="none"/>
          <w:lang w:eastAsia="zh-CN"/>
        </w:rPr>
        <w:t>届三中全会</w:t>
      </w:r>
      <w:r>
        <w:rPr>
          <w:rStyle w:val="35"/>
          <w:rFonts w:eastAsia="仿宋_GB2312"/>
          <w:b w:val="0"/>
          <w:bCs w:val="0"/>
          <w:color w:val="auto"/>
          <w:sz w:val="32"/>
          <w:szCs w:val="32"/>
          <w:u w:val="none"/>
        </w:rPr>
        <w:t>精神的重要举措之一，可以主动融入“一带一路”建设，消弭不靠海、不沿边的不利自然条件，</w:t>
      </w:r>
      <w:r>
        <w:rPr>
          <w:rStyle w:val="35"/>
          <w:rFonts w:eastAsia="仿宋_GB2312"/>
          <w:b w:val="0"/>
          <w:bCs w:val="0"/>
          <w:color w:val="auto"/>
          <w:sz w:val="32"/>
          <w:szCs w:val="32"/>
          <w:u w:val="none"/>
          <w:lang w:val="en-US" w:eastAsia="zh-CN"/>
        </w:rPr>
        <w:t>加快打造“一带一路”国际班列组货基地，</w:t>
      </w:r>
      <w:r>
        <w:rPr>
          <w:rStyle w:val="35"/>
          <w:rFonts w:eastAsia="仿宋_GB2312"/>
          <w:b w:val="0"/>
          <w:bCs w:val="0"/>
          <w:color w:val="auto"/>
          <w:sz w:val="32"/>
          <w:szCs w:val="32"/>
          <w:u w:val="none"/>
        </w:rPr>
        <w:t>逐步实现“内陆城市沿海化”。</w:t>
      </w:r>
      <w:r>
        <w:rPr>
          <w:rStyle w:val="35"/>
          <w:rFonts w:eastAsia="仿宋_GB2312"/>
          <w:b w:val="0"/>
          <w:bCs w:val="0"/>
          <w:color w:val="auto"/>
          <w:sz w:val="32"/>
          <w:szCs w:val="32"/>
          <w:u w:val="none"/>
          <w:lang w:eastAsia="zh-CN"/>
        </w:rPr>
        <w:t>通过国际班列开行，进一步</w:t>
      </w:r>
      <w:r>
        <w:rPr>
          <w:rStyle w:val="35"/>
          <w:rFonts w:eastAsia="仿宋_GB2312"/>
          <w:b w:val="0"/>
          <w:bCs w:val="0"/>
          <w:color w:val="auto"/>
          <w:sz w:val="32"/>
          <w:szCs w:val="32"/>
          <w:u w:val="none"/>
          <w:lang w:val="en-US" w:eastAsia="zh-CN"/>
        </w:rPr>
        <w:t>提升广元在川陕甘地区的知名度和影响力，降低外贸企业运输成本，吸引物流企业在广元落地，助力广元将区位交通优势转化为经济优势，不断拓展广元铁路港物流枢纽的覆盖广度和深度。</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contextualSpacing/>
        <w:rPr>
          <w:rFonts w:eastAsia="仿宋_GB2312"/>
          <w:b w:val="0"/>
          <w:bCs w:val="0"/>
          <w:color w:val="auto"/>
          <w:kern w:val="0"/>
          <w:sz w:val="32"/>
          <w:szCs w:val="32"/>
          <w:u w:val="none"/>
          <w:shd w:val="clear" w:color="auto" w:fill="FFFFFF"/>
          <w:lang w:val="zh-CN" w:eastAsia="zh-CN"/>
        </w:rPr>
      </w:pPr>
      <w:r>
        <w:rPr>
          <w:rFonts w:eastAsia="仿宋_GB2312"/>
          <w:b w:val="0"/>
          <w:bCs w:val="0"/>
          <w:color w:val="auto"/>
          <w:kern w:val="0"/>
          <w:sz w:val="32"/>
          <w:szCs w:val="32"/>
          <w:u w:val="none"/>
          <w:shd w:val="clear" w:color="auto" w:fill="FFFFFF"/>
          <w:lang w:val="zh-CN"/>
        </w:rPr>
        <w:t>项目立项、资金申报的依据：</w:t>
      </w:r>
      <w:r>
        <w:rPr>
          <w:rFonts w:eastAsia="仿宋_GB2312"/>
          <w:b w:val="0"/>
          <w:bCs w:val="0"/>
          <w:color w:val="auto"/>
          <w:kern w:val="0"/>
          <w:sz w:val="32"/>
          <w:szCs w:val="32"/>
          <w:u w:val="none"/>
          <w:shd w:val="clear" w:color="auto" w:fill="FFFFFF"/>
          <w:lang w:val="zh-CN" w:eastAsia="zh-CN"/>
        </w:rPr>
        <w:t>落实市委、市政府决策部署，依托国际班列开行</w:t>
      </w:r>
      <w:r>
        <w:rPr>
          <w:rStyle w:val="35"/>
          <w:rFonts w:eastAsia="仿宋_GB2312"/>
          <w:b w:val="0"/>
          <w:bCs w:val="0"/>
          <w:color w:val="auto"/>
          <w:sz w:val="32"/>
          <w:szCs w:val="32"/>
          <w:u w:val="none"/>
          <w:lang w:eastAsia="zh-CN"/>
        </w:rPr>
        <w:t>逐渐</w:t>
      </w:r>
      <w:r>
        <w:rPr>
          <w:rStyle w:val="35"/>
          <w:rFonts w:eastAsia="仿宋_GB2312"/>
          <w:b w:val="0"/>
          <w:bCs w:val="0"/>
          <w:color w:val="auto"/>
          <w:sz w:val="32"/>
          <w:szCs w:val="32"/>
          <w:u w:val="none"/>
        </w:rPr>
        <w:t>形成全方位、高水平对外开放格局，打造四川开放发展“北大门”</w:t>
      </w:r>
      <w:r>
        <w:rPr>
          <w:rStyle w:val="35"/>
          <w:b w:val="0"/>
          <w:bCs w:val="0"/>
          <w:color w:val="auto"/>
          <w:sz w:val="32"/>
          <w:szCs w:val="32"/>
          <w:u w:val="none"/>
          <w:lang w:eastAsia="zh-CN"/>
        </w:rPr>
        <w:t>。</w:t>
      </w:r>
    </w:p>
    <w:p>
      <w:pPr>
        <w:keepNext w:val="0"/>
        <w:keepLines w:val="0"/>
        <w:pageBreakBefore w:val="0"/>
        <w:widowControl w:val="0"/>
        <w:suppressAutoHyphens/>
        <w:kinsoku/>
        <w:wordWrap/>
        <w:overflowPunct/>
        <w:topLinePunct w:val="0"/>
        <w:autoSpaceDE/>
        <w:autoSpaceDN/>
        <w:adjustRightInd/>
        <w:snapToGrid w:val="0"/>
        <w:spacing w:line="576" w:lineRule="exact"/>
        <w:ind w:left="0" w:firstLine="640" w:firstLineChars="200"/>
        <w:rPr>
          <w:rFonts w:eastAsia="仿宋_GB2312"/>
          <w:b w:val="0"/>
          <w:bCs w:val="0"/>
          <w:color w:val="auto"/>
          <w:sz w:val="32"/>
          <w:szCs w:val="32"/>
          <w:u w:val="none"/>
          <w:lang w:val="en-US" w:eastAsia="zh-CN"/>
        </w:rPr>
      </w:pPr>
      <w:r>
        <w:rPr>
          <w:rFonts w:eastAsia="仿宋_GB2312"/>
          <w:b w:val="0"/>
          <w:bCs w:val="0"/>
          <w:color w:val="auto"/>
          <w:kern w:val="0"/>
          <w:sz w:val="32"/>
          <w:szCs w:val="32"/>
          <w:u w:val="none"/>
          <w:shd w:val="clear" w:color="auto" w:fill="FFFFFF"/>
          <w:lang w:val="zh-CN"/>
        </w:rPr>
        <w:t>项目主要内容</w:t>
      </w:r>
      <w:r>
        <w:rPr>
          <w:rFonts w:eastAsia="仿宋_GB2312"/>
          <w:b w:val="0"/>
          <w:bCs w:val="0"/>
          <w:color w:val="auto"/>
          <w:kern w:val="0"/>
          <w:sz w:val="32"/>
          <w:szCs w:val="32"/>
          <w:u w:val="none"/>
          <w:shd w:val="clear" w:color="auto" w:fill="FFFFFF"/>
          <w:lang w:val="en-US" w:eastAsia="zh-CN"/>
        </w:rPr>
        <w:t>：计划年开行国际班列12列。</w:t>
      </w:r>
    </w:p>
    <w:p>
      <w:pPr>
        <w:keepNext w:val="0"/>
        <w:keepLines w:val="0"/>
        <w:pageBreakBefore w:val="0"/>
        <w:widowControl w:val="0"/>
        <w:suppressAutoHyphens/>
        <w:kinsoku/>
        <w:wordWrap/>
        <w:overflowPunct/>
        <w:topLinePunct w:val="0"/>
        <w:autoSpaceDE/>
        <w:autoSpaceDN/>
        <w:adjustRightInd/>
        <w:snapToGrid w:val="0"/>
        <w:spacing w:line="576" w:lineRule="exact"/>
        <w:ind w:left="0" w:firstLine="640" w:firstLineChars="200"/>
        <w:rPr>
          <w:rFonts w:eastAsia="楷体_GB2312"/>
          <w:b w:val="0"/>
          <w:bCs w:val="0"/>
          <w:color w:val="auto"/>
          <w:sz w:val="32"/>
          <w:szCs w:val="32"/>
          <w:u w:val="none"/>
          <w:lang w:val="en-US" w:eastAsia="zh-CN"/>
        </w:rPr>
      </w:pPr>
      <w:r>
        <w:rPr>
          <w:rFonts w:eastAsia="仿宋_GB2312"/>
          <w:b w:val="0"/>
          <w:bCs w:val="0"/>
          <w:color w:val="auto"/>
          <w:kern w:val="0"/>
          <w:sz w:val="32"/>
          <w:szCs w:val="32"/>
          <w:u w:val="none"/>
          <w:shd w:val="clear" w:color="auto" w:fill="FFFFFF"/>
          <w:lang w:val="zh-CN"/>
        </w:rPr>
        <w:t>主管部门职能：指导广元铁发公司常态开行国际班列，合理合规合法使用财政补助资金。</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sz w:val="32"/>
          <w:szCs w:val="32"/>
          <w:u w:val="none"/>
          <w:lang w:val="en-US" w:eastAsia="zh-CN"/>
        </w:rPr>
      </w:pPr>
      <w:r>
        <w:rPr>
          <w:rFonts w:eastAsia="楷体_GB2312"/>
          <w:b w:val="0"/>
          <w:bCs w:val="0"/>
          <w:color w:val="auto"/>
          <w:sz w:val="32"/>
          <w:szCs w:val="32"/>
          <w:u w:val="none"/>
          <w:lang w:val="zh-CN"/>
        </w:rPr>
        <w:t>（二）</w:t>
      </w:r>
      <w:r>
        <w:rPr>
          <w:rFonts w:eastAsia="楷体_GB2312"/>
          <w:b w:val="0"/>
          <w:bCs w:val="0"/>
          <w:color w:val="auto"/>
          <w:sz w:val="32"/>
          <w:szCs w:val="32"/>
          <w:u w:val="none"/>
          <w:lang w:val="en-US" w:eastAsia="zh-CN"/>
        </w:rPr>
        <w:t>实施目的及支持方向。</w:t>
      </w:r>
      <w:r>
        <w:rPr>
          <w:rFonts w:eastAsia="仿宋_GB2312"/>
          <w:b w:val="0"/>
          <w:bCs w:val="0"/>
          <w:color w:val="auto"/>
          <w:sz w:val="32"/>
          <w:szCs w:val="32"/>
          <w:u w:val="none"/>
          <w:lang w:val="en-US" w:eastAsia="zh-CN"/>
        </w:rPr>
        <w:t>为进一步用好国际班列运营补助资金，规范资金使用程序，提高资金使用效益，推动国际班列常态化开行，印发《广元国际铁路港国际班列运营补助资金管理办法》，明确专项资金补助范围为运营组织中欧班列、中亚班列、中老铁路国际班列等国际铁路货运班列以及西部陆海新通道海铁联运班列开行产生的相关费用及推动国际物流通道建设及枢纽能级提升等相关事项产生的费用。</w:t>
      </w:r>
    </w:p>
    <w:p>
      <w:pPr>
        <w:keepNext w:val="0"/>
        <w:keepLines w:val="0"/>
        <w:pageBreakBefore w:val="0"/>
        <w:widowControl w:val="0"/>
        <w:suppressAutoHyphens/>
        <w:kinsoku/>
        <w:wordWrap/>
        <w:overflowPunct/>
        <w:topLinePunct w:val="0"/>
        <w:autoSpaceDE/>
        <w:autoSpaceDN/>
        <w:adjustRightInd/>
        <w:snapToGrid w:val="0"/>
        <w:spacing w:line="576" w:lineRule="exact"/>
        <w:ind w:firstLine="640" w:firstLineChars="200"/>
        <w:rPr>
          <w:rFonts w:eastAsia="仿宋_GB2312"/>
          <w:b w:val="0"/>
          <w:bCs w:val="0"/>
          <w:color w:val="auto"/>
          <w:sz w:val="32"/>
          <w:szCs w:val="32"/>
          <w:u w:val="none"/>
          <w:lang w:eastAsia="zh-CN"/>
        </w:rPr>
      </w:pPr>
      <w:r>
        <w:rPr>
          <w:rFonts w:eastAsia="楷体_GB2312"/>
          <w:b w:val="0"/>
          <w:bCs w:val="0"/>
          <w:color w:val="auto"/>
          <w:sz w:val="32"/>
          <w:szCs w:val="32"/>
          <w:u w:val="none"/>
          <w:lang w:val="zh-CN" w:eastAsia="zh-CN"/>
        </w:rPr>
        <w:t>（三）</w:t>
      </w:r>
      <w:r>
        <w:rPr>
          <w:rFonts w:eastAsia="楷体_GB2312"/>
          <w:b w:val="0"/>
          <w:bCs w:val="0"/>
          <w:color w:val="auto"/>
          <w:sz w:val="32"/>
          <w:szCs w:val="32"/>
          <w:u w:val="none"/>
          <w:lang w:val="en-US" w:eastAsia="zh-CN"/>
        </w:rPr>
        <w:t>预算安排及分配管理</w:t>
      </w:r>
      <w:r>
        <w:rPr>
          <w:rFonts w:eastAsia="楷体_GB2312"/>
          <w:b w:val="0"/>
          <w:bCs w:val="0"/>
          <w:color w:val="auto"/>
          <w:sz w:val="32"/>
          <w:szCs w:val="32"/>
          <w:u w:val="none"/>
          <w:lang w:val="zh-CN" w:eastAsia="zh-CN"/>
        </w:rPr>
        <w:t>。</w:t>
      </w:r>
      <w:r>
        <w:rPr>
          <w:rFonts w:eastAsia="仿宋_GB2312"/>
          <w:b w:val="0"/>
          <w:bCs w:val="0"/>
          <w:color w:val="auto"/>
          <w:sz w:val="32"/>
          <w:szCs w:val="32"/>
          <w:u w:val="none"/>
          <w:lang w:val="en-US" w:eastAsia="zh-CN"/>
        </w:rPr>
        <w:t>2024</w:t>
      </w:r>
      <w:r>
        <w:rPr>
          <w:rFonts w:eastAsia="仿宋_GB2312"/>
          <w:b w:val="0"/>
          <w:bCs w:val="0"/>
          <w:color w:val="auto"/>
          <w:sz w:val="32"/>
          <w:szCs w:val="32"/>
          <w:u w:val="none"/>
        </w:rPr>
        <w:t>年</w:t>
      </w:r>
      <w:r>
        <w:rPr>
          <w:rFonts w:eastAsia="仿宋_GB2312"/>
          <w:b w:val="0"/>
          <w:bCs w:val="0"/>
          <w:color w:val="auto"/>
          <w:sz w:val="32"/>
          <w:szCs w:val="32"/>
          <w:u w:val="none"/>
          <w:lang w:val="en-US" w:eastAsia="zh-CN"/>
        </w:rPr>
        <w:t>预算执行数1410</w:t>
      </w:r>
      <w:r>
        <w:rPr>
          <w:rFonts w:eastAsia="仿宋_GB2312"/>
          <w:b w:val="0"/>
          <w:bCs w:val="0"/>
          <w:color w:val="auto"/>
          <w:sz w:val="32"/>
          <w:szCs w:val="32"/>
          <w:u w:val="none"/>
        </w:rPr>
        <w:t>万元，实际执行</w:t>
      </w:r>
      <w:r>
        <w:rPr>
          <w:rFonts w:eastAsia="仿宋_GB2312"/>
          <w:b w:val="0"/>
          <w:bCs w:val="0"/>
          <w:color w:val="auto"/>
          <w:sz w:val="32"/>
          <w:szCs w:val="32"/>
          <w:u w:val="none"/>
          <w:lang w:val="en-US" w:eastAsia="zh-CN"/>
        </w:rPr>
        <w:t>1410</w:t>
      </w:r>
      <w:r>
        <w:rPr>
          <w:rFonts w:eastAsia="仿宋_GB2312"/>
          <w:b w:val="0"/>
          <w:bCs w:val="0"/>
          <w:color w:val="auto"/>
          <w:sz w:val="32"/>
          <w:szCs w:val="32"/>
          <w:u w:val="none"/>
        </w:rPr>
        <w:t>万元</w:t>
      </w:r>
      <w:r>
        <w:rPr>
          <w:rFonts w:eastAsia="仿宋_GB2312"/>
          <w:b w:val="0"/>
          <w:bCs w:val="0"/>
          <w:color w:val="auto"/>
          <w:sz w:val="32"/>
          <w:szCs w:val="32"/>
          <w:u w:val="none"/>
          <w:lang w:eastAsia="zh-CN"/>
        </w:rPr>
        <w:t>，</w:t>
      </w:r>
      <w:r>
        <w:rPr>
          <w:rFonts w:eastAsia="仿宋_GB2312"/>
          <w:b w:val="0"/>
          <w:bCs w:val="0"/>
          <w:color w:val="auto"/>
          <w:sz w:val="32"/>
          <w:szCs w:val="32"/>
          <w:u w:val="none"/>
          <w:lang w:val="en-US" w:eastAsia="zh-CN"/>
        </w:rPr>
        <w:t>资金来源为财政资金，预算执行率100%。</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kern w:val="0"/>
          <w:sz w:val="32"/>
          <w:szCs w:val="32"/>
          <w:u w:val="none"/>
          <w:shd w:val="clear" w:color="auto" w:fill="FFFFFF"/>
          <w:lang w:val="zh-CN" w:eastAsia="zh-CN"/>
        </w:rPr>
      </w:pPr>
      <w:r>
        <w:rPr>
          <w:rFonts w:eastAsia="楷体_GB2312"/>
          <w:b w:val="0"/>
          <w:bCs w:val="0"/>
          <w:color w:val="auto"/>
          <w:sz w:val="32"/>
          <w:szCs w:val="32"/>
          <w:u w:val="none"/>
          <w:lang w:val="zh-CN" w:eastAsia="zh-CN"/>
        </w:rPr>
        <w:t>（四）项目绩效目标设置。</w:t>
      </w:r>
      <w:r>
        <w:rPr>
          <w:rFonts w:eastAsia="仿宋_GB2312"/>
          <w:b w:val="0"/>
          <w:bCs w:val="0"/>
          <w:color w:val="auto"/>
          <w:sz w:val="32"/>
          <w:szCs w:val="32"/>
          <w:u w:val="none"/>
          <w:lang w:val="en-US" w:eastAsia="zh-CN"/>
        </w:rPr>
        <w:t>项目设预算执行情况1项及</w:t>
      </w:r>
      <w:r>
        <w:rPr>
          <w:rFonts w:eastAsia="仿宋_GB2312"/>
          <w:b w:val="0"/>
          <w:bCs w:val="0"/>
          <w:color w:val="auto"/>
          <w:sz w:val="32"/>
          <w:szCs w:val="32"/>
          <w:u w:val="none"/>
          <w:lang w:val="zh-CN" w:eastAsia="zh-CN"/>
        </w:rPr>
        <w:t>产出</w:t>
      </w:r>
      <w:r>
        <w:rPr>
          <w:rFonts w:eastAsia="仿宋_GB2312"/>
          <w:b w:val="0"/>
          <w:bCs w:val="0"/>
          <w:color w:val="auto"/>
          <w:sz w:val="32"/>
          <w:szCs w:val="32"/>
          <w:u w:val="none"/>
          <w:lang w:val="en-US" w:eastAsia="zh-CN"/>
        </w:rPr>
        <w:t>指标、</w:t>
      </w:r>
      <w:r>
        <w:rPr>
          <w:rFonts w:eastAsia="仿宋_GB2312"/>
          <w:b w:val="0"/>
          <w:bCs w:val="0"/>
          <w:color w:val="auto"/>
          <w:sz w:val="32"/>
          <w:szCs w:val="32"/>
          <w:u w:val="none"/>
          <w:lang w:val="zh-CN" w:eastAsia="zh-CN"/>
        </w:rPr>
        <w:t>效益指标、满意度指标、成本指标</w:t>
      </w:r>
      <w:r>
        <w:rPr>
          <w:rFonts w:eastAsia="仿宋_GB2312"/>
          <w:b w:val="0"/>
          <w:bCs w:val="0"/>
          <w:color w:val="auto"/>
          <w:sz w:val="32"/>
          <w:szCs w:val="32"/>
          <w:u w:val="none"/>
          <w:lang w:val="en-US" w:eastAsia="zh-CN"/>
        </w:rPr>
        <w:t>4项一级指标</w:t>
      </w:r>
      <w:r>
        <w:rPr>
          <w:rFonts w:eastAsia="仿宋_GB2312"/>
          <w:b w:val="0"/>
          <w:bCs w:val="0"/>
          <w:color w:val="auto"/>
          <w:sz w:val="32"/>
          <w:szCs w:val="32"/>
          <w:u w:val="none"/>
          <w:lang w:val="zh-CN" w:eastAsia="zh-CN"/>
        </w:rPr>
        <w:t>。</w:t>
      </w:r>
      <w:r>
        <w:rPr>
          <w:rFonts w:eastAsia="仿宋_GB2312"/>
          <w:b w:val="0"/>
          <w:bCs w:val="0"/>
          <w:color w:val="auto"/>
          <w:sz w:val="32"/>
          <w:szCs w:val="32"/>
          <w:u w:val="none"/>
          <w:lang w:val="en-US" w:eastAsia="zh-CN"/>
        </w:rPr>
        <w:t>产出指标下设数量指标、质量指标、时效指标3项二级指标。数量指标为开行国际班列班次≥12次/年；质量指标为班列开行的安全保障工作覆盖率≥100%、任务完成率≥100%；时效指标为按时补助率≥100%。效益指标下设经济效益指标和社会效益指标2项二级指标。经济效益指标为外贸进出口值提升率≥10%；社会效益指标为提升广元在川陕甘地区的知名度和影响力。满意度指标（服务对象满意度指标）为受益对象满意度≥90%；成本指标（经济成本指标），分别为项目年预算控制数≤1440万元，列补助标准=60万元。</w:t>
      </w:r>
      <w:r>
        <w:rPr>
          <w:rFonts w:eastAsia="仿宋_GB2312"/>
          <w:b w:val="0"/>
          <w:bCs w:val="0"/>
          <w:color w:val="auto"/>
          <w:sz w:val="32"/>
          <w:szCs w:val="32"/>
          <w:u w:val="none"/>
          <w:lang w:val="zh-CN" w:eastAsia="zh-CN"/>
        </w:rPr>
        <w:t>目前已完成项目自评工作，自评得分</w:t>
      </w:r>
      <w:r>
        <w:rPr>
          <w:rFonts w:eastAsia="仿宋_GB2312"/>
          <w:b w:val="0"/>
          <w:bCs w:val="0"/>
          <w:color w:val="auto"/>
          <w:sz w:val="32"/>
          <w:szCs w:val="32"/>
          <w:u w:val="none"/>
          <w:lang w:val="en-US" w:eastAsia="zh-CN"/>
        </w:rPr>
        <w:t>100</w:t>
      </w:r>
      <w:r>
        <w:rPr>
          <w:rFonts w:eastAsia="仿宋_GB2312"/>
          <w:b w:val="0"/>
          <w:bCs w:val="0"/>
          <w:color w:val="auto"/>
          <w:kern w:val="0"/>
          <w:sz w:val="32"/>
          <w:szCs w:val="32"/>
          <w:u w:val="none"/>
          <w:shd w:val="clear" w:color="auto" w:fill="FFFFFF"/>
          <w:lang w:val="en-US" w:eastAsia="zh-CN"/>
        </w:rPr>
        <w:t>分，该项工作完成较好</w:t>
      </w:r>
      <w:r>
        <w:rPr>
          <w:rFonts w:eastAsia="仿宋_GB2312"/>
          <w:b w:val="0"/>
          <w:bCs w:val="0"/>
          <w:color w:val="auto"/>
          <w:kern w:val="0"/>
          <w:sz w:val="32"/>
          <w:szCs w:val="32"/>
          <w:u w:val="none"/>
          <w:shd w:val="clear" w:color="auto" w:fill="FFFFFF"/>
          <w:lang w:val="zh-CN" w:eastAsia="zh-CN"/>
        </w:rPr>
        <w:t>。</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lang w:eastAsia="zh-CN"/>
        </w:rPr>
      </w:pPr>
      <w:r>
        <w:rPr>
          <w:rFonts w:eastAsia="黑体"/>
          <w:b w:val="0"/>
          <w:bCs w:val="0"/>
          <w:color w:val="auto"/>
          <w:sz w:val="32"/>
          <w:szCs w:val="32"/>
        </w:rPr>
        <w:t>二、</w:t>
      </w:r>
      <w:r>
        <w:rPr>
          <w:rFonts w:eastAsia="黑体"/>
          <w:b w:val="0"/>
          <w:bCs w:val="0"/>
          <w:color w:val="auto"/>
          <w:sz w:val="32"/>
          <w:szCs w:val="32"/>
          <w:lang w:eastAsia="zh-CN"/>
        </w:rPr>
        <w:t>评价实施</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lang w:val="en-US" w:eastAsia="zh-CN"/>
        </w:rPr>
      </w:pPr>
      <w:r>
        <w:rPr>
          <w:rFonts w:eastAsia="楷体_GB2312"/>
          <w:b w:val="0"/>
          <w:bCs w:val="0"/>
          <w:color w:val="auto"/>
          <w:sz w:val="32"/>
          <w:szCs w:val="32"/>
          <w:u w:val="none"/>
          <w:lang w:val="zh-CN"/>
        </w:rPr>
        <w:t>（一）评价目的。</w:t>
      </w:r>
      <w:r>
        <w:rPr>
          <w:rFonts w:eastAsia="仿宋_GB2312"/>
          <w:b w:val="0"/>
          <w:bCs w:val="0"/>
          <w:color w:val="auto"/>
          <w:sz w:val="32"/>
          <w:szCs w:val="32"/>
        </w:rPr>
        <w:t>通过</w:t>
      </w:r>
      <w:r>
        <w:rPr>
          <w:rFonts w:eastAsia="仿宋_GB2312"/>
          <w:b w:val="0"/>
          <w:bCs w:val="0"/>
          <w:color w:val="auto"/>
          <w:sz w:val="32"/>
          <w:szCs w:val="32"/>
          <w:lang w:eastAsia="zh-CN"/>
        </w:rPr>
        <w:t>项目</w:t>
      </w:r>
      <w:r>
        <w:rPr>
          <w:rFonts w:eastAsia="仿宋_GB2312"/>
          <w:b w:val="0"/>
          <w:bCs w:val="0"/>
          <w:color w:val="auto"/>
          <w:sz w:val="32"/>
          <w:szCs w:val="32"/>
        </w:rPr>
        <w:t>绩效</w:t>
      </w:r>
      <w:r>
        <w:rPr>
          <w:rFonts w:eastAsia="仿宋_GB2312"/>
          <w:b w:val="0"/>
          <w:bCs w:val="0"/>
          <w:color w:val="auto"/>
          <w:sz w:val="32"/>
          <w:szCs w:val="32"/>
          <w:lang w:eastAsia="zh-CN"/>
        </w:rPr>
        <w:t>自评</w:t>
      </w:r>
      <w:r>
        <w:rPr>
          <w:rFonts w:eastAsia="仿宋_GB2312"/>
          <w:b w:val="0"/>
          <w:bCs w:val="0"/>
          <w:color w:val="auto"/>
          <w:sz w:val="32"/>
          <w:szCs w:val="32"/>
          <w:lang w:val="en-US" w:eastAsia="zh-CN"/>
        </w:rPr>
        <w:t>促进国际班列开行高质量完成。</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lang w:val="en-US" w:eastAsia="zh-CN"/>
        </w:rPr>
      </w:pPr>
      <w:r>
        <w:rPr>
          <w:rFonts w:eastAsia="楷体_GB2312"/>
          <w:b w:val="0"/>
          <w:bCs w:val="0"/>
          <w:color w:val="auto"/>
          <w:sz w:val="32"/>
          <w:szCs w:val="32"/>
          <w:u w:val="none"/>
          <w:lang w:val="zh-CN"/>
        </w:rPr>
        <w:t>（二）预设问题及评价重点。</w:t>
      </w:r>
      <w:r>
        <w:rPr>
          <w:rFonts w:eastAsia="仿宋_GB2312"/>
          <w:b w:val="0"/>
          <w:bCs w:val="0"/>
          <w:color w:val="auto"/>
          <w:sz w:val="32"/>
          <w:szCs w:val="32"/>
          <w:lang w:val="en-US" w:eastAsia="zh-CN"/>
        </w:rPr>
        <w:t>对产出指标、效益指标、满意度指标、成本指标等指标综合判断。</w:t>
      </w:r>
    </w:p>
    <w:p>
      <w:pPr>
        <w:keepNext w:val="0"/>
        <w:keepLines w:val="0"/>
        <w:pageBreakBefore w:val="0"/>
        <w:widowControl w:val="0"/>
        <w:suppressLineNumbers w:val="0"/>
        <w:suppressAutoHyphens/>
        <w:kinsoku/>
        <w:wordWrap/>
        <w:overflowPunct/>
        <w:topLinePunct w:val="0"/>
        <w:autoSpaceDE/>
        <w:autoSpaceDN/>
        <w:adjustRightInd/>
        <w:snapToGrid/>
        <w:spacing w:before="0" w:beforeAutospacing="0" w:after="0" w:afterAutospacing="0" w:line="576" w:lineRule="exact"/>
        <w:ind w:left="0" w:firstLine="640" w:firstLineChars="200"/>
        <w:rPr>
          <w:rFonts w:eastAsia="仿宋_GB2312"/>
          <w:b w:val="0"/>
          <w:bCs w:val="0"/>
          <w:color w:val="auto"/>
          <w:sz w:val="32"/>
          <w:szCs w:val="32"/>
          <w:lang w:val="en-US" w:eastAsia="zh-CN"/>
        </w:rPr>
      </w:pPr>
      <w:r>
        <w:rPr>
          <w:rFonts w:eastAsia="楷体_GB2312"/>
          <w:b w:val="0"/>
          <w:bCs w:val="0"/>
          <w:color w:val="auto"/>
          <w:sz w:val="32"/>
          <w:szCs w:val="32"/>
          <w:u w:val="none"/>
          <w:lang w:val="zh-CN"/>
        </w:rPr>
        <w:t>（三）评价选点。</w:t>
      </w:r>
      <w:r>
        <w:rPr>
          <w:rFonts w:eastAsia="仿宋_GB2312"/>
          <w:b w:val="0"/>
          <w:bCs w:val="0"/>
          <w:color w:val="auto"/>
          <w:sz w:val="32"/>
          <w:szCs w:val="32"/>
          <w:lang w:val="en-US" w:eastAsia="zh-CN"/>
        </w:rPr>
        <w:t>项目执行过程中的所有原始材料（运单和发票等资料）。</w:t>
      </w:r>
    </w:p>
    <w:p>
      <w:pPr>
        <w:keepNext w:val="0"/>
        <w:keepLines w:val="0"/>
        <w:pageBreakBefore w:val="0"/>
        <w:widowControl w:val="0"/>
        <w:suppressLineNumbers w:val="0"/>
        <w:suppressAutoHyphens/>
        <w:kinsoku/>
        <w:wordWrap/>
        <w:overflowPunct/>
        <w:topLinePunct w:val="0"/>
        <w:autoSpaceDE/>
        <w:autoSpaceDN/>
        <w:adjustRightInd/>
        <w:snapToGrid/>
        <w:spacing w:before="0" w:beforeAutospacing="0" w:after="0" w:afterAutospacing="0" w:line="576" w:lineRule="exact"/>
        <w:ind w:left="0" w:firstLine="640" w:firstLineChars="200"/>
        <w:rPr>
          <w:rFonts w:eastAsia="仿宋_GB2312"/>
          <w:b w:val="0"/>
          <w:bCs w:val="0"/>
          <w:color w:val="auto"/>
          <w:sz w:val="32"/>
          <w:szCs w:val="32"/>
          <w:lang w:val="en-US" w:eastAsia="zh-CN"/>
        </w:rPr>
      </w:pPr>
      <w:r>
        <w:rPr>
          <w:rFonts w:eastAsia="楷体_GB2312"/>
          <w:b w:val="0"/>
          <w:bCs w:val="0"/>
          <w:color w:val="auto"/>
          <w:sz w:val="32"/>
          <w:szCs w:val="32"/>
          <w:u w:val="none"/>
          <w:lang w:val="zh-CN"/>
        </w:rPr>
        <w:t>（四）评价方法。</w:t>
      </w:r>
      <w:r>
        <w:rPr>
          <w:rFonts w:eastAsia="仿宋_GB2312"/>
          <w:b w:val="0"/>
          <w:bCs w:val="0"/>
          <w:color w:val="auto"/>
          <w:sz w:val="32"/>
          <w:szCs w:val="32"/>
          <w:lang w:val="en-US" w:eastAsia="zh-CN"/>
        </w:rPr>
        <w:t>单位自评法。</w:t>
      </w:r>
    </w:p>
    <w:p>
      <w:pPr>
        <w:keepNext w:val="0"/>
        <w:keepLines w:val="0"/>
        <w:pageBreakBefore w:val="0"/>
        <w:widowControl w:val="0"/>
        <w:suppressAutoHyphens/>
        <w:kinsoku/>
        <w:wordWrap/>
        <w:overflowPunct/>
        <w:topLinePunct w:val="0"/>
        <w:autoSpaceDE/>
        <w:autoSpaceDN/>
        <w:adjustRightInd/>
        <w:snapToGrid/>
        <w:spacing w:beforeAutospacing="0" w:afterAutospacing="0" w:line="576" w:lineRule="exact"/>
        <w:ind w:firstLine="640"/>
        <w:rPr>
          <w:rFonts w:eastAsia="仿宋_GB2312"/>
          <w:b w:val="0"/>
          <w:bCs w:val="0"/>
          <w:color w:val="auto"/>
          <w:sz w:val="32"/>
          <w:szCs w:val="32"/>
          <w:lang w:eastAsia="zh-CN"/>
        </w:rPr>
      </w:pPr>
      <w:r>
        <w:rPr>
          <w:rFonts w:eastAsia="楷体_GB2312"/>
          <w:b w:val="0"/>
          <w:bCs w:val="0"/>
          <w:color w:val="auto"/>
          <w:kern w:val="2"/>
          <w:sz w:val="32"/>
          <w:szCs w:val="32"/>
          <w:u w:val="none"/>
          <w:lang w:val="zh-CN" w:eastAsia="zh-CN" w:bidi="ar-SA"/>
        </w:rPr>
        <w:t>（五）评价组织。</w:t>
      </w:r>
      <w:r>
        <w:rPr>
          <w:rFonts w:eastAsia="仿宋_GB2312"/>
          <w:b w:val="0"/>
          <w:bCs w:val="0"/>
          <w:color w:val="auto"/>
          <w:sz w:val="32"/>
          <w:szCs w:val="32"/>
        </w:rPr>
        <w:t>评价组人员</w:t>
      </w:r>
      <w:r>
        <w:rPr>
          <w:rFonts w:eastAsia="仿宋_GB2312"/>
          <w:b w:val="0"/>
          <w:bCs w:val="0"/>
          <w:color w:val="auto"/>
          <w:sz w:val="32"/>
          <w:szCs w:val="32"/>
          <w:lang w:eastAsia="zh-CN"/>
        </w:rPr>
        <w:t>由财务部、口岸物流部组成，口岸物流部负责收集资料并自评，财务部负责审核。</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仿宋_GB2312"/>
          <w:b w:val="0"/>
          <w:bCs w:val="0"/>
          <w:color w:val="auto"/>
          <w:sz w:val="32"/>
          <w:szCs w:val="32"/>
          <w:u w:val="none"/>
          <w:lang w:val="zh-CN"/>
        </w:rPr>
      </w:pPr>
      <w:r>
        <w:rPr>
          <w:rFonts w:eastAsia="黑体"/>
          <w:b w:val="0"/>
          <w:bCs w:val="0"/>
          <w:color w:val="auto"/>
          <w:sz w:val="32"/>
          <w:szCs w:val="32"/>
          <w:u w:val="none"/>
        </w:rPr>
        <w:t>三、</w:t>
      </w:r>
      <w:r>
        <w:rPr>
          <w:rFonts w:eastAsia="黑体"/>
          <w:b w:val="0"/>
          <w:bCs w:val="0"/>
          <w:color w:val="auto"/>
          <w:sz w:val="32"/>
          <w:szCs w:val="32"/>
          <w:u w:val="none"/>
          <w:lang w:eastAsia="zh-CN"/>
        </w:rPr>
        <w:t>绩效分析</w:t>
      </w:r>
      <w:r>
        <w:rPr>
          <w:rFonts w:eastAsia="仿宋_GB2312"/>
          <w:b w:val="0"/>
          <w:bCs w:val="0"/>
          <w:color w:val="auto"/>
          <w:sz w:val="32"/>
          <w:szCs w:val="32"/>
          <w:u w:val="none"/>
          <w:lang w:val="zh-CN"/>
        </w:rPr>
        <w:tab/>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kern w:val="0"/>
          <w:sz w:val="32"/>
          <w:szCs w:val="32"/>
          <w:u w:val="none"/>
          <w:shd w:val="clear" w:color="auto" w:fill="FFFFFF"/>
          <w:lang w:val="zh-CN" w:eastAsia="zh-CN"/>
        </w:rPr>
      </w:pPr>
      <w:r>
        <w:rPr>
          <w:rFonts w:eastAsia="仿宋_GB2312"/>
          <w:b w:val="0"/>
          <w:bCs w:val="0"/>
          <w:color w:val="auto"/>
          <w:kern w:val="0"/>
          <w:sz w:val="32"/>
          <w:szCs w:val="32"/>
          <w:u w:val="none"/>
          <w:shd w:val="clear" w:color="auto" w:fill="FFFFFF"/>
          <w:lang w:val="en-US" w:eastAsia="zh-CN"/>
        </w:rPr>
        <w:t>项目预算数1410万元，预算执行数1410万元，预算执行率100%。通用指标、专用指标</w:t>
      </w:r>
      <w:r>
        <w:rPr>
          <w:rFonts w:eastAsia="仿宋_GB2312"/>
          <w:b w:val="0"/>
          <w:bCs w:val="0"/>
          <w:color w:val="auto"/>
          <w:kern w:val="0"/>
          <w:sz w:val="32"/>
          <w:szCs w:val="32"/>
          <w:u w:val="none"/>
          <w:shd w:val="clear" w:color="auto" w:fill="FFFFFF"/>
          <w:lang w:val="zh-CN" w:eastAsia="zh-CN"/>
        </w:rPr>
        <w:t>均得满分，</w:t>
      </w:r>
      <w:r>
        <w:rPr>
          <w:rFonts w:eastAsia="仿宋_GB2312"/>
          <w:b w:val="0"/>
          <w:bCs w:val="0"/>
          <w:color w:val="auto"/>
          <w:kern w:val="0"/>
          <w:sz w:val="32"/>
          <w:szCs w:val="32"/>
          <w:u w:val="none"/>
          <w:shd w:val="clear" w:color="auto" w:fill="FFFFFF"/>
          <w:lang w:val="en-US" w:eastAsia="zh-CN"/>
        </w:rPr>
        <w:t>自评结果为100分。</w:t>
      </w:r>
    </w:p>
    <w:p>
      <w:pPr>
        <w:keepNext w:val="0"/>
        <w:keepLines w:val="0"/>
        <w:pageBreakBefore w:val="0"/>
        <w:widowControl w:val="0"/>
        <w:suppressAutoHyphens/>
        <w:kinsoku/>
        <w:wordWrap/>
        <w:overflowPunct/>
        <w:topLinePunct w:val="0"/>
        <w:autoSpaceDE/>
        <w:autoSpaceDN/>
        <w:spacing w:line="576" w:lineRule="exact"/>
        <w:ind w:firstLine="640"/>
        <w:rPr>
          <w:rStyle w:val="35"/>
          <w:rFonts w:eastAsia="仿宋_GB2312"/>
          <w:b w:val="0"/>
          <w:bCs w:val="0"/>
          <w:color w:val="auto"/>
          <w:sz w:val="32"/>
          <w:szCs w:val="32"/>
          <w:u w:val="none"/>
          <w:lang w:val="en-US" w:eastAsia="zh-CN"/>
        </w:rPr>
      </w:pPr>
      <w:r>
        <w:rPr>
          <w:rFonts w:eastAsia="仿宋_GB2312"/>
          <w:b w:val="0"/>
          <w:bCs w:val="0"/>
          <w:color w:val="auto"/>
          <w:kern w:val="0"/>
          <w:sz w:val="32"/>
          <w:szCs w:val="32"/>
          <w:u w:val="none"/>
          <w:shd w:val="clear" w:color="auto" w:fill="FFFFFF"/>
          <w:lang w:val="en-US" w:eastAsia="zh-CN"/>
        </w:rPr>
        <w:t>2024年，锚定交通物流提质降本增效的目标，推进公铁联运、铁水联运的多式联运体系建设，大力拓展国际物流通道，培育成熟中欧、中亚、中老、中越、西部陆海新通道等国际物流通道5条，共开行15列国际班列，总货运量达3.3万吨，总货值为8268.2万元，实现外贸进出口值2719万元。年度目标任务为开行国际班列12列，实际开行15列，超额完成开行计划。通过中老回程班列、中亚回程班列进口的木薯淀粉、饲用粮食，为本地生产企业降低综合成本10%以上</w:t>
      </w:r>
      <w:r>
        <w:rPr>
          <w:rStyle w:val="35"/>
          <w:rFonts w:eastAsia="仿宋_GB2312"/>
          <w:b w:val="0"/>
          <w:bCs w:val="0"/>
          <w:color w:val="auto"/>
          <w:sz w:val="32"/>
          <w:szCs w:val="32"/>
          <w:u w:val="none"/>
          <w:lang w:val="en-US" w:eastAsia="zh-CN"/>
        </w:rPr>
        <w:t>，进一步</w:t>
      </w:r>
      <w:r>
        <w:rPr>
          <w:rStyle w:val="35"/>
          <w:rFonts w:eastAsia="仿宋_GB2312"/>
          <w:b w:val="0"/>
          <w:bCs w:val="0"/>
          <w:color w:val="auto"/>
          <w:sz w:val="32"/>
          <w:szCs w:val="32"/>
          <w:u w:val="none"/>
          <w:lang w:eastAsia="zh-CN"/>
        </w:rPr>
        <w:t>提升企业在市场的竞争力，服务企业满意率较高。</w:t>
      </w:r>
    </w:p>
    <w:p>
      <w:pPr>
        <w:keepNext w:val="0"/>
        <w:keepLines w:val="0"/>
        <w:pageBreakBefore w:val="0"/>
        <w:widowControl w:val="0"/>
        <w:tabs>
          <w:tab w:val="left" w:pos="2160"/>
        </w:tabs>
        <w:suppressAutoHyphens/>
        <w:kinsoku/>
        <w:wordWrap/>
        <w:overflowPunct/>
        <w:topLinePunct w:val="0"/>
        <w:autoSpaceDE/>
        <w:autoSpaceDN/>
        <w:adjustRightInd/>
        <w:spacing w:before="0" w:after="0" w:line="576" w:lineRule="exact"/>
        <w:ind w:left="0" w:firstLine="640" w:firstLineChars="200"/>
        <w:rPr>
          <w:rFonts w:eastAsia="黑体"/>
          <w:b w:val="0"/>
          <w:bCs w:val="0"/>
          <w:color w:val="auto"/>
          <w:kern w:val="2"/>
          <w:sz w:val="32"/>
          <w:szCs w:val="32"/>
          <w:u w:val="none"/>
          <w:lang w:val="en-US" w:eastAsia="zh-CN" w:bidi="ar-SA"/>
        </w:rPr>
      </w:pPr>
      <w:r>
        <w:rPr>
          <w:rFonts w:eastAsia="黑体"/>
          <w:b w:val="0"/>
          <w:bCs w:val="0"/>
          <w:color w:val="auto"/>
          <w:kern w:val="2"/>
          <w:sz w:val="32"/>
          <w:szCs w:val="32"/>
          <w:u w:val="none"/>
          <w:lang w:val="en-US" w:eastAsia="zh-CN" w:bidi="ar-SA"/>
        </w:rPr>
        <w:t>四、评价结论</w:t>
      </w:r>
    </w:p>
    <w:p>
      <w:pPr>
        <w:keepNext w:val="0"/>
        <w:keepLines w:val="0"/>
        <w:pageBreakBefore w:val="0"/>
        <w:widowControl w:val="0"/>
        <w:suppressAutoHyphens/>
        <w:kinsoku/>
        <w:wordWrap/>
        <w:overflowPunct/>
        <w:topLinePunct w:val="0"/>
        <w:autoSpaceDE/>
        <w:autoSpaceDN/>
        <w:adjustRightInd/>
        <w:snapToGrid/>
        <w:spacing w:line="576" w:lineRule="exact"/>
        <w:ind w:firstLine="64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项目实施超额完成开行目标任务，带动了外贸数据落地，为服务企业降低了综合成本。同时，预算经费得到高效运用，补助费用按照相关规定及程序按时补助给运营企业。综上总体评价优，</w:t>
      </w:r>
      <w:r>
        <w:rPr>
          <w:rFonts w:eastAsia="仿宋_GB2312"/>
          <w:b w:val="0"/>
          <w:bCs w:val="0"/>
          <w:color w:val="auto"/>
          <w:kern w:val="2"/>
          <w:sz w:val="32"/>
          <w:szCs w:val="32"/>
          <w:lang w:val="en-US" w:eastAsia="zh-CN" w:bidi="ar-SA"/>
        </w:rPr>
        <w:t>自评得分100分。</w:t>
      </w:r>
    </w:p>
    <w:p>
      <w:pPr>
        <w:keepNext w:val="0"/>
        <w:keepLines w:val="0"/>
        <w:pageBreakBefore w:val="0"/>
        <w:widowControl w:val="0"/>
        <w:tabs>
          <w:tab w:val="left" w:pos="2160"/>
        </w:tabs>
        <w:suppressAutoHyphens/>
        <w:kinsoku/>
        <w:wordWrap/>
        <w:overflowPunct/>
        <w:topLinePunct w:val="0"/>
        <w:autoSpaceDE/>
        <w:autoSpaceDN/>
        <w:adjustRightInd/>
        <w:snapToGrid/>
        <w:spacing w:before="0" w:after="0" w:line="576" w:lineRule="exact"/>
        <w:ind w:left="0" w:firstLine="640" w:firstLineChars="200"/>
        <w:rPr>
          <w:rFonts w:eastAsia="黑体"/>
          <w:b w:val="0"/>
          <w:bCs w:val="0"/>
          <w:color w:val="auto"/>
          <w:kern w:val="2"/>
          <w:sz w:val="32"/>
          <w:szCs w:val="32"/>
          <w:u w:val="none"/>
          <w:lang w:val="en-US" w:eastAsia="zh-CN" w:bidi="ar-SA"/>
        </w:rPr>
      </w:pPr>
      <w:r>
        <w:rPr>
          <w:rFonts w:eastAsia="黑体"/>
          <w:b w:val="0"/>
          <w:bCs w:val="0"/>
          <w:color w:val="auto"/>
          <w:kern w:val="2"/>
          <w:sz w:val="32"/>
          <w:szCs w:val="32"/>
          <w:u w:val="none"/>
          <w:lang w:val="en-US" w:eastAsia="zh-CN" w:bidi="ar-SA"/>
        </w:rPr>
        <w:t>五、存在主要问题</w:t>
      </w:r>
    </w:p>
    <w:p>
      <w:pPr>
        <w:keepNext w:val="0"/>
        <w:keepLines w:val="0"/>
        <w:pageBreakBefore w:val="0"/>
        <w:widowControl w:val="0"/>
        <w:suppressAutoHyphens/>
        <w:kinsoku/>
        <w:wordWrap/>
        <w:overflowPunct/>
        <w:topLinePunct w:val="0"/>
        <w:autoSpaceDE/>
        <w:autoSpaceDN/>
        <w:adjustRightInd/>
        <w:snapToGrid/>
        <w:spacing w:before="0" w:after="0" w:line="576" w:lineRule="exact"/>
        <w:ind w:firstLine="640" w:firstLineChars="200"/>
        <w:textAlignment w:val="baseline"/>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keepNext w:val="0"/>
        <w:keepLines w:val="0"/>
        <w:pageBreakBefore w:val="0"/>
        <w:widowControl w:val="0"/>
        <w:tabs>
          <w:tab w:val="left" w:pos="2160"/>
        </w:tabs>
        <w:suppressAutoHyphens/>
        <w:kinsoku/>
        <w:wordWrap/>
        <w:overflowPunct/>
        <w:topLinePunct w:val="0"/>
        <w:autoSpaceDE/>
        <w:autoSpaceDN/>
        <w:adjustRightInd/>
        <w:snapToGrid/>
        <w:spacing w:before="0" w:after="0" w:line="576" w:lineRule="exact"/>
        <w:ind w:left="0" w:firstLine="640" w:firstLineChars="200"/>
        <w:rPr>
          <w:rFonts w:eastAsia="黑体"/>
          <w:b w:val="0"/>
          <w:bCs w:val="0"/>
          <w:color w:val="auto"/>
          <w:kern w:val="0"/>
          <w:position w:val="3"/>
          <w:sz w:val="32"/>
          <w:szCs w:val="32"/>
          <w:u w:val="none"/>
          <w:lang w:val="zh-CN" w:eastAsia="zh-CN" w:bidi="ar-SA"/>
        </w:rPr>
      </w:pPr>
      <w:r>
        <w:rPr>
          <w:rFonts w:eastAsia="黑体"/>
          <w:b w:val="0"/>
          <w:bCs w:val="0"/>
          <w:color w:val="auto"/>
          <w:kern w:val="0"/>
          <w:position w:val="3"/>
          <w:sz w:val="32"/>
          <w:szCs w:val="32"/>
          <w:u w:val="none"/>
          <w:lang w:val="zh-CN" w:eastAsia="zh-CN" w:bidi="ar-SA"/>
        </w:rPr>
        <w:t>六、改进建议</w:t>
      </w:r>
    </w:p>
    <w:p>
      <w:pPr>
        <w:keepNext w:val="0"/>
        <w:keepLines w:val="0"/>
        <w:pageBreakBefore w:val="0"/>
        <w:widowControl w:val="0"/>
        <w:suppressAutoHyphens/>
        <w:kinsoku/>
        <w:wordWrap/>
        <w:overflowPunct/>
        <w:topLinePunct w:val="0"/>
        <w:autoSpaceDE/>
        <w:autoSpaceDN/>
        <w:adjustRightInd/>
        <w:snapToGrid w:val="0"/>
        <w:spacing w:line="576" w:lineRule="exact"/>
        <w:ind w:left="0"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keepNext w:val="0"/>
        <w:keepLines w:val="0"/>
        <w:pageBreakBefore w:val="0"/>
        <w:widowControl w:val="0"/>
        <w:suppressAutoHyphens/>
        <w:kinsoku/>
        <w:wordWrap/>
        <w:overflowPunct/>
        <w:topLinePunct w:val="0"/>
        <w:autoSpaceDE/>
        <w:autoSpaceDN/>
        <w:adjustRightInd/>
        <w:snapToGrid/>
        <w:spacing w:line="576" w:lineRule="exact"/>
        <w:ind w:firstLine="640"/>
        <w:rPr>
          <w:b w:val="0"/>
          <w:bCs w:val="0"/>
          <w:color w:val="auto"/>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both"/>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bookmarkStart w:id="130" w:name="_Toc83065445"/>
      <w:r>
        <w:rPr>
          <w:rFonts w:ascii="Times New Roman" w:hAnsi="Times New Roman" w:eastAsia="方正小标宋简体"/>
          <w:b w:val="0"/>
          <w:bCs w:val="0"/>
          <w:color w:val="auto"/>
          <w:kern w:val="2"/>
          <w:sz w:val="44"/>
          <w:szCs w:val="44"/>
          <w:lang w:val="en-US" w:eastAsia="zh-CN"/>
        </w:rPr>
        <w:t>专项预算绩效自评报告</w:t>
      </w:r>
      <w:bookmarkEnd w:id="130"/>
    </w:p>
    <w:p>
      <w:pPr>
        <w:pStyle w:val="31"/>
        <w:keepNext w:val="0"/>
        <w:keepLines w:val="0"/>
        <w:pageBreakBefore w:val="0"/>
        <w:widowControl w:val="0"/>
        <w:suppressAutoHyphens/>
        <w:kinsoku/>
        <w:wordWrap/>
        <w:overflowPunct/>
        <w:topLinePunct w:val="0"/>
        <w:autoSpaceDE/>
        <w:autoSpaceDN/>
        <w:spacing w:line="576" w:lineRule="exact"/>
        <w:jc w:val="center"/>
        <w:outlineLvl w:val="2"/>
        <w:rPr>
          <w:rFonts w:ascii="Times New Roman" w:hAnsi="Times New Roman" w:eastAsia="楷体_GB2312"/>
          <w:b w:val="0"/>
          <w:bCs w:val="0"/>
          <w:color w:val="auto"/>
          <w:sz w:val="32"/>
          <w:szCs w:val="32"/>
          <w:lang w:val="en-US" w:eastAsia="zh-CN"/>
        </w:rPr>
      </w:pPr>
      <w:bookmarkStart w:id="131" w:name="_Toc83065446"/>
      <w:r>
        <w:rPr>
          <w:rFonts w:ascii="Times New Roman" w:hAnsi="Times New Roman" w:eastAsia="楷体_GB2312"/>
          <w:b w:val="0"/>
          <w:bCs w:val="0"/>
          <w:color w:val="auto"/>
          <w:sz w:val="32"/>
          <w:szCs w:val="32"/>
          <w:lang w:val="en-US" w:eastAsia="zh-CN"/>
        </w:rPr>
        <w:t>（2024年高铁快运动车运营费用）</w:t>
      </w:r>
      <w:bookmarkEnd w:id="131"/>
    </w:p>
    <w:p>
      <w:pPr>
        <w:pStyle w:val="31"/>
        <w:keepNext w:val="0"/>
        <w:keepLines w:val="0"/>
        <w:pageBreakBefore w:val="0"/>
        <w:widowControl w:val="0"/>
        <w:suppressAutoHyphens/>
        <w:kinsoku/>
        <w:wordWrap/>
        <w:overflowPunct/>
        <w:topLinePunct w:val="0"/>
        <w:autoSpaceDE/>
        <w:autoSpaceDN/>
        <w:spacing w:line="576" w:lineRule="exact"/>
        <w:ind w:left="0" w:firstLine="640"/>
        <w:jc w:val="center"/>
        <w:rPr>
          <w:rFonts w:ascii="Times New Roman" w:hAnsi="Times New Roman"/>
          <w:b w:val="0"/>
          <w:bCs w:val="0"/>
          <w:color w:val="auto"/>
          <w:kern w:val="2"/>
          <w:sz w:val="32"/>
          <w:szCs w:val="32"/>
        </w:rPr>
      </w:pP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lang w:val="zh-CN"/>
        </w:rPr>
      </w:pPr>
      <w:r>
        <w:rPr>
          <w:rFonts w:eastAsia="黑体"/>
          <w:b w:val="0"/>
          <w:bCs w:val="0"/>
          <w:color w:val="auto"/>
          <w:sz w:val="32"/>
          <w:szCs w:val="32"/>
        </w:rPr>
        <w:t>一、</w:t>
      </w:r>
      <w:r>
        <w:rPr>
          <w:rFonts w:eastAsia="黑体"/>
          <w:b w:val="0"/>
          <w:bCs w:val="0"/>
          <w:color w:val="auto"/>
          <w:sz w:val="32"/>
          <w:szCs w:val="32"/>
          <w:lang w:val="zh-CN"/>
        </w:rPr>
        <w:t>项目概况</w:t>
      </w:r>
    </w:p>
    <w:p>
      <w:pPr>
        <w:keepNext w:val="0"/>
        <w:keepLines w:val="0"/>
        <w:pageBreakBefore w:val="0"/>
        <w:widowControl/>
        <w:suppressAutoHyphens/>
        <w:kinsoku/>
        <w:wordWrap/>
        <w:overflowPunct/>
        <w:topLinePunct w:val="0"/>
        <w:autoSpaceDE/>
        <w:autoSpaceDN/>
        <w:adjustRightInd w:val="0"/>
        <w:snapToGrid w:val="0"/>
        <w:spacing w:line="576" w:lineRule="exact"/>
        <w:ind w:left="0" w:firstLine="640" w:firstLineChars="200"/>
        <w:contextualSpacing/>
        <w:jc w:val="left"/>
        <w:rPr>
          <w:rFonts w:eastAsia="楷体_GB2312"/>
          <w:b w:val="0"/>
          <w:bCs w:val="0"/>
          <w:color w:val="auto"/>
          <w:sz w:val="32"/>
          <w:szCs w:val="32"/>
          <w:u w:val="none"/>
          <w:lang w:val="zh-CN"/>
        </w:rPr>
      </w:pPr>
      <w:r>
        <w:rPr>
          <w:rFonts w:eastAsia="楷体_GB2312"/>
          <w:b w:val="0"/>
          <w:bCs w:val="0"/>
          <w:color w:val="auto"/>
          <w:sz w:val="32"/>
          <w:szCs w:val="32"/>
          <w:u w:val="none"/>
          <w:lang w:val="zh-CN"/>
        </w:rPr>
        <w:t>（一）设立背景及基本情况</w:t>
      </w:r>
    </w:p>
    <w:p>
      <w:pPr>
        <w:keepNext w:val="0"/>
        <w:keepLines w:val="0"/>
        <w:pageBreakBefore w:val="0"/>
        <w:widowControl/>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u w:val="none"/>
          <w:shd w:val="clear" w:color="auto" w:fill="FFFFFF"/>
          <w:lang w:val="en-US" w:eastAsia="zh-CN"/>
        </w:rPr>
      </w:pPr>
      <w:r>
        <w:rPr>
          <w:rFonts w:eastAsia="仿宋_GB2312"/>
          <w:b w:val="0"/>
          <w:bCs w:val="0"/>
          <w:color w:val="auto"/>
          <w:kern w:val="0"/>
          <w:sz w:val="32"/>
          <w:szCs w:val="32"/>
          <w:u w:val="none"/>
          <w:shd w:val="clear" w:color="auto" w:fill="FFFFFF"/>
          <w:lang w:val="en-US" w:eastAsia="zh-CN"/>
        </w:rPr>
        <w:t>1.项目设立原因及背景：</w:t>
      </w:r>
      <w:r>
        <w:rPr>
          <w:rFonts w:eastAsia="仿宋_GB2312"/>
          <w:b w:val="0"/>
          <w:bCs w:val="0"/>
          <w:color w:val="auto"/>
          <w:spacing w:val="0"/>
          <w:w w:val="100"/>
          <w:position w:val="0"/>
          <w:sz w:val="32"/>
          <w:szCs w:val="32"/>
          <w:lang w:val="en-US" w:eastAsia="zh-CN"/>
        </w:rPr>
        <w:t>2020年9月，习近平总书记在中央财经委员会第八次会议上指出，要优化完善综合运输通道布局，加强高铁货运能力建设。《交通强国建设纲要》《“十四五”规划和2035年远景目标纲要》《有效降低全社会物流成本行动方案》等都明确提出探索用好高铁快运功能，大力发展高铁货运。为抢抓发展机遇，</w:t>
      </w:r>
      <w:r>
        <w:rPr>
          <w:rFonts w:eastAsia="仿宋_GB2312"/>
          <w:b w:val="0"/>
          <w:bCs w:val="0"/>
          <w:color w:val="auto"/>
          <w:spacing w:val="0"/>
          <w:w w:val="100"/>
          <w:kern w:val="0"/>
          <w:sz w:val="32"/>
          <w:szCs w:val="32"/>
          <w:u w:val="none"/>
          <w:vertAlign w:val="baseline"/>
          <w:lang w:val="en-US" w:eastAsia="zh-CN" w:bidi="ar-SA"/>
        </w:rPr>
        <w:t>广元建成全国首个高铁快运物流基地及标准化动货线工程，率先实现高铁客运站、货运站分离。在常态开行广元—成都确认车基础上，于2024年12月，突破性</w:t>
      </w:r>
      <w:r>
        <w:rPr>
          <w:rFonts w:eastAsia="仿宋_GB2312"/>
          <w:b w:val="0"/>
          <w:bCs w:val="0"/>
          <w:color w:val="auto"/>
          <w:sz w:val="32"/>
          <w:szCs w:val="32"/>
          <w:u w:val="none"/>
          <w:lang w:val="en-US" w:eastAsia="zh-CN"/>
        </w:rPr>
        <w:t>开行“广元-成都-贵阳”全货运跨省高铁动车，广元由此成为全国唯一常态开行高铁快运整列动车组的地级市。</w:t>
      </w:r>
    </w:p>
    <w:p>
      <w:pPr>
        <w:keepNext w:val="0"/>
        <w:keepLines w:val="0"/>
        <w:pageBreakBefore w:val="0"/>
        <w:widowControl/>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u w:val="none"/>
          <w:shd w:val="clear" w:color="auto" w:fill="FFFFFF"/>
          <w:lang w:val="en-US" w:eastAsia="zh-CN"/>
        </w:rPr>
      </w:pPr>
      <w:r>
        <w:rPr>
          <w:rFonts w:eastAsia="仿宋_GB2312"/>
          <w:b w:val="0"/>
          <w:bCs w:val="0"/>
          <w:color w:val="auto"/>
          <w:kern w:val="0"/>
          <w:sz w:val="32"/>
          <w:szCs w:val="32"/>
          <w:u w:val="none"/>
          <w:shd w:val="clear" w:color="auto" w:fill="FFFFFF"/>
          <w:lang w:val="en-US" w:eastAsia="zh-CN"/>
        </w:rPr>
        <w:t>2.</w:t>
      </w:r>
      <w:r>
        <w:rPr>
          <w:rFonts w:eastAsia="仿宋_GB2312"/>
          <w:b w:val="0"/>
          <w:bCs w:val="0"/>
          <w:color w:val="auto"/>
          <w:kern w:val="0"/>
          <w:sz w:val="32"/>
          <w:szCs w:val="32"/>
          <w:u w:val="none"/>
          <w:shd w:val="clear" w:color="auto" w:fill="FFFFFF"/>
          <w:lang w:val="zh-CN"/>
        </w:rPr>
        <w:t>项目主要内容：</w:t>
      </w:r>
      <w:r>
        <w:rPr>
          <w:rFonts w:eastAsia="仿宋_GB2312"/>
          <w:b w:val="0"/>
          <w:bCs w:val="0"/>
          <w:color w:val="auto"/>
          <w:kern w:val="0"/>
          <w:sz w:val="32"/>
          <w:szCs w:val="32"/>
          <w:u w:val="none"/>
          <w:shd w:val="clear" w:color="auto" w:fill="FFFFFF"/>
          <w:lang w:val="en-US" w:eastAsia="zh-CN"/>
        </w:rPr>
        <w:t>用于支持常态化开行高铁快运动车，为本地企业提供“门到门”一站式高铁物流运输服务。</w:t>
      </w:r>
    </w:p>
    <w:p>
      <w:pPr>
        <w:keepNext w:val="0"/>
        <w:keepLines w:val="0"/>
        <w:pageBreakBefore w:val="0"/>
        <w:widowControl/>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u w:val="none"/>
          <w:shd w:val="clear" w:color="auto" w:fill="FFFFFF"/>
          <w:lang w:val="zh-CN"/>
        </w:rPr>
      </w:pPr>
      <w:r>
        <w:rPr>
          <w:rFonts w:eastAsia="仿宋_GB2312"/>
          <w:b w:val="0"/>
          <w:bCs w:val="0"/>
          <w:color w:val="auto"/>
          <w:kern w:val="0"/>
          <w:sz w:val="32"/>
          <w:szCs w:val="32"/>
          <w:u w:val="none"/>
          <w:shd w:val="clear" w:color="auto" w:fill="FFFFFF"/>
          <w:lang w:val="en-US" w:eastAsia="zh-CN"/>
        </w:rPr>
        <w:t>3.</w:t>
      </w:r>
      <w:r>
        <w:rPr>
          <w:rFonts w:eastAsia="仿宋_GB2312"/>
          <w:b w:val="0"/>
          <w:bCs w:val="0"/>
          <w:color w:val="auto"/>
          <w:kern w:val="0"/>
          <w:sz w:val="32"/>
          <w:szCs w:val="32"/>
          <w:u w:val="none"/>
          <w:shd w:val="clear" w:color="auto" w:fill="FFFFFF"/>
          <w:lang w:val="zh-CN"/>
        </w:rPr>
        <w:t>主管部门职能：</w:t>
      </w:r>
      <w:r>
        <w:rPr>
          <w:rFonts w:eastAsia="仿宋_GB2312"/>
          <w:b w:val="0"/>
          <w:bCs w:val="0"/>
          <w:color w:val="auto"/>
          <w:kern w:val="0"/>
          <w:sz w:val="32"/>
          <w:szCs w:val="32"/>
          <w:u w:val="none"/>
          <w:shd w:val="clear" w:color="auto" w:fill="FFFFFF"/>
          <w:lang w:val="en-US" w:eastAsia="zh-CN"/>
        </w:rPr>
        <w:t>指导动车运营企业积极组织适运货源，持续推动高铁货运增运上量。同时，加强对专项资金使用管理的监督、检查，确保专项资金使用合理合规合法</w:t>
      </w:r>
      <w:r>
        <w:rPr>
          <w:rFonts w:eastAsia="仿宋_GB2312"/>
          <w:b w:val="0"/>
          <w:bCs w:val="0"/>
          <w:color w:val="auto"/>
          <w:kern w:val="0"/>
          <w:sz w:val="32"/>
          <w:szCs w:val="32"/>
          <w:u w:val="none"/>
          <w:shd w:val="clear" w:color="auto" w:fill="FFFFFF"/>
          <w:lang w:val="zh-CN"/>
        </w:rPr>
        <w:t>。</w:t>
      </w:r>
    </w:p>
    <w:p>
      <w:pPr>
        <w:keepNext w:val="0"/>
        <w:keepLines w:val="0"/>
        <w:pageBreakBefore w:val="0"/>
        <w:suppressAutoHyphens/>
        <w:kinsoku/>
        <w:wordWrap/>
        <w:overflowPunct/>
        <w:topLinePunct w:val="0"/>
        <w:autoSpaceDE/>
        <w:autoSpaceDN/>
        <w:adjustRightInd w:val="0"/>
        <w:snapToGrid w:val="0"/>
        <w:spacing w:line="576" w:lineRule="exact"/>
        <w:ind w:left="0" w:firstLine="640" w:firstLineChars="200"/>
        <w:rPr>
          <w:rFonts w:eastAsia="楷体_GB2312"/>
          <w:b w:val="0"/>
          <w:bCs w:val="0"/>
          <w:color w:val="auto"/>
          <w:sz w:val="32"/>
          <w:szCs w:val="32"/>
          <w:u w:val="none"/>
          <w:lang w:val="en-US" w:eastAsia="zh-CN"/>
        </w:rPr>
      </w:pPr>
      <w:r>
        <w:rPr>
          <w:rFonts w:eastAsia="楷体_GB2312"/>
          <w:b w:val="0"/>
          <w:bCs w:val="0"/>
          <w:color w:val="auto"/>
          <w:sz w:val="32"/>
          <w:szCs w:val="32"/>
          <w:u w:val="none"/>
          <w:lang w:val="zh-CN"/>
        </w:rPr>
        <w:t>（二）</w:t>
      </w:r>
      <w:r>
        <w:rPr>
          <w:rFonts w:eastAsia="楷体_GB2312"/>
          <w:b w:val="0"/>
          <w:bCs w:val="0"/>
          <w:color w:val="auto"/>
          <w:sz w:val="32"/>
          <w:szCs w:val="32"/>
          <w:u w:val="none"/>
          <w:lang w:val="en-US" w:eastAsia="zh-CN"/>
        </w:rPr>
        <w:t>实施目的及支持方向</w:t>
      </w:r>
    </w:p>
    <w:p>
      <w:pPr>
        <w:keepNext w:val="0"/>
        <w:keepLines w:val="0"/>
        <w:pageBreakBefore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kern w:val="0"/>
          <w:sz w:val="32"/>
          <w:szCs w:val="32"/>
          <w:u w:val="none"/>
          <w:shd w:val="clear" w:color="auto" w:fill="FFFFFF"/>
          <w:lang w:val="en-US" w:eastAsia="zh-CN"/>
        </w:rPr>
      </w:pPr>
      <w:r>
        <w:rPr>
          <w:rFonts w:eastAsia="楷体_GB2312"/>
          <w:b w:val="0"/>
          <w:bCs w:val="0"/>
          <w:color w:val="auto"/>
          <w:sz w:val="32"/>
          <w:szCs w:val="32"/>
          <w:u w:val="none"/>
          <w:lang w:val="en-US" w:eastAsia="zh-CN"/>
        </w:rPr>
        <w:t>1.</w:t>
      </w:r>
      <w:r>
        <w:rPr>
          <w:rFonts w:eastAsia="仿宋_GB2312"/>
          <w:b w:val="0"/>
          <w:bCs w:val="0"/>
          <w:color w:val="auto"/>
          <w:kern w:val="0"/>
          <w:sz w:val="32"/>
          <w:szCs w:val="32"/>
          <w:u w:val="none"/>
          <w:shd w:val="clear" w:color="auto" w:fill="FFFFFF"/>
          <w:lang w:val="en-US" w:eastAsia="zh-CN"/>
        </w:rPr>
        <w:t>项目资金</w:t>
      </w:r>
      <w:r>
        <w:rPr>
          <w:rFonts w:eastAsia="仿宋_GB2312"/>
          <w:b w:val="0"/>
          <w:bCs w:val="0"/>
          <w:color w:val="auto"/>
          <w:kern w:val="0"/>
          <w:sz w:val="32"/>
          <w:szCs w:val="32"/>
          <w:u w:val="none"/>
          <w:shd w:val="clear" w:color="auto" w:fill="FFFFFF"/>
          <w:lang w:val="zh-CN"/>
        </w:rPr>
        <w:t>管理办法制定情况。</w:t>
      </w:r>
      <w:r>
        <w:rPr>
          <w:rFonts w:eastAsia="仿宋_GB2312"/>
          <w:b w:val="0"/>
          <w:bCs w:val="0"/>
          <w:color w:val="auto"/>
          <w:kern w:val="0"/>
          <w:sz w:val="32"/>
          <w:szCs w:val="32"/>
          <w:u w:val="none"/>
          <w:shd w:val="clear" w:color="auto" w:fill="FFFFFF"/>
          <w:lang w:val="en-US" w:eastAsia="zh-CN"/>
        </w:rPr>
        <w:t>为支持高铁快运创新发展，市上</w:t>
      </w:r>
      <w:r>
        <w:rPr>
          <w:rFonts w:eastAsia="仿宋_GB2312"/>
          <w:b w:val="0"/>
          <w:bCs w:val="0"/>
          <w:color w:val="auto"/>
          <w:kern w:val="0"/>
          <w:sz w:val="32"/>
          <w:szCs w:val="32"/>
          <w:u w:val="none"/>
          <w:shd w:val="clear" w:color="auto" w:fill="FFFFFF"/>
          <w:lang w:val="zh-CN"/>
        </w:rPr>
        <w:t>出台</w:t>
      </w:r>
      <w:r>
        <w:rPr>
          <w:rFonts w:eastAsia="仿宋_GB2312"/>
          <w:b w:val="0"/>
          <w:bCs w:val="0"/>
          <w:color w:val="auto"/>
          <w:kern w:val="0"/>
          <w:sz w:val="32"/>
          <w:szCs w:val="32"/>
          <w:u w:val="none"/>
          <w:shd w:val="clear" w:color="auto" w:fill="FFFFFF"/>
          <w:lang w:val="en-US" w:eastAsia="zh-CN"/>
        </w:rPr>
        <w:t>了</w:t>
      </w:r>
      <w:r>
        <w:rPr>
          <w:rFonts w:eastAsia="仿宋_GB2312"/>
          <w:b w:val="0"/>
          <w:bCs w:val="0"/>
          <w:color w:val="auto"/>
          <w:kern w:val="0"/>
          <w:sz w:val="32"/>
          <w:szCs w:val="32"/>
          <w:u w:val="none"/>
          <w:shd w:val="clear" w:color="auto" w:fill="FFFFFF"/>
          <w:lang w:val="zh-CN"/>
        </w:rPr>
        <w:t>《加快推进现代物流高质量发展十六条政策措施》，对从广元发出的省内、省外</w:t>
      </w:r>
      <w:r>
        <w:rPr>
          <w:rFonts w:eastAsia="仿宋_GB2312"/>
          <w:b w:val="0"/>
          <w:bCs w:val="0"/>
          <w:color w:val="auto"/>
          <w:kern w:val="0"/>
          <w:sz w:val="32"/>
          <w:szCs w:val="32"/>
          <w:u w:val="none"/>
          <w:shd w:val="clear" w:color="auto" w:fill="FFFFFF"/>
          <w:lang w:val="en-US" w:eastAsia="zh-CN"/>
        </w:rPr>
        <w:t>高铁货物</w:t>
      </w:r>
      <w:r>
        <w:rPr>
          <w:rFonts w:eastAsia="仿宋_GB2312"/>
          <w:b w:val="0"/>
          <w:bCs w:val="0"/>
          <w:color w:val="auto"/>
          <w:kern w:val="0"/>
          <w:sz w:val="32"/>
          <w:szCs w:val="32"/>
          <w:u w:val="none"/>
          <w:shd w:val="clear" w:color="auto" w:fill="FFFFFF"/>
          <w:lang w:val="zh-CN"/>
        </w:rPr>
        <w:t>给予一定补贴。</w:t>
      </w:r>
      <w:r>
        <w:rPr>
          <w:rFonts w:eastAsia="仿宋_GB2312"/>
          <w:b w:val="0"/>
          <w:bCs w:val="0"/>
          <w:color w:val="auto"/>
          <w:kern w:val="0"/>
          <w:sz w:val="32"/>
          <w:szCs w:val="32"/>
          <w:u w:val="none"/>
          <w:shd w:val="clear" w:color="auto" w:fill="FFFFFF"/>
          <w:lang w:val="en-US" w:eastAsia="zh-CN"/>
        </w:rPr>
        <w:t>该专项资金使用严格对照政策措施落实。</w:t>
      </w:r>
    </w:p>
    <w:p>
      <w:pPr>
        <w:keepNext w:val="0"/>
        <w:keepLines w:val="0"/>
        <w:pageBreakBefore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kern w:val="0"/>
          <w:sz w:val="32"/>
          <w:szCs w:val="32"/>
          <w:u w:val="none"/>
          <w:shd w:val="clear" w:color="auto" w:fill="FFFFFF"/>
          <w:lang w:val="en-US" w:eastAsia="zh-CN"/>
        </w:rPr>
      </w:pPr>
      <w:r>
        <w:rPr>
          <w:rFonts w:eastAsia="仿宋_GB2312"/>
          <w:b w:val="0"/>
          <w:bCs w:val="0"/>
          <w:color w:val="auto"/>
          <w:kern w:val="0"/>
          <w:sz w:val="32"/>
          <w:szCs w:val="32"/>
          <w:u w:val="none"/>
          <w:shd w:val="clear" w:color="auto" w:fill="FFFFFF"/>
          <w:lang w:val="en-US" w:eastAsia="zh-CN"/>
        </w:rPr>
        <w:t>2.</w:t>
      </w:r>
      <w:r>
        <w:rPr>
          <w:rFonts w:eastAsia="仿宋_GB2312"/>
          <w:b w:val="0"/>
          <w:bCs w:val="0"/>
          <w:color w:val="auto"/>
          <w:kern w:val="0"/>
          <w:sz w:val="32"/>
          <w:szCs w:val="32"/>
          <w:u w:val="none"/>
          <w:shd w:val="clear" w:color="auto" w:fill="FFFFFF"/>
          <w:lang w:val="zh-CN"/>
        </w:rPr>
        <w:t>项目实施目的和主要工作任务。</w:t>
      </w:r>
      <w:r>
        <w:rPr>
          <w:rFonts w:eastAsia="仿宋_GB2312"/>
          <w:b w:val="0"/>
          <w:bCs w:val="0"/>
          <w:color w:val="auto"/>
          <w:kern w:val="0"/>
          <w:sz w:val="32"/>
          <w:szCs w:val="32"/>
          <w:u w:val="none"/>
          <w:shd w:val="clear" w:color="auto" w:fill="FFFFFF"/>
          <w:lang w:val="en-US" w:eastAsia="zh-CN"/>
        </w:rPr>
        <w:t>进一步巩固广元高铁快运发展“起跑优势”，常态化开行高铁快运动车，加快培育适配产业集群，推动广元加快建设全国高铁快运创新发展示范基地，</w:t>
      </w:r>
    </w:p>
    <w:p>
      <w:pPr>
        <w:keepNext w:val="0"/>
        <w:keepLines w:val="0"/>
        <w:pageBreakBefore w:val="0"/>
        <w:widowControl/>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kern w:val="0"/>
          <w:sz w:val="32"/>
          <w:szCs w:val="32"/>
          <w:u w:val="none"/>
          <w:shd w:val="clear" w:color="auto" w:fill="FFFFFF"/>
          <w:lang w:val="en-US" w:eastAsia="zh-CN"/>
        </w:rPr>
      </w:pPr>
      <w:r>
        <w:rPr>
          <w:rFonts w:eastAsia="楷体_GB2312"/>
          <w:b w:val="0"/>
          <w:bCs w:val="0"/>
          <w:color w:val="auto"/>
          <w:sz w:val="32"/>
          <w:szCs w:val="32"/>
          <w:u w:val="none"/>
          <w:lang w:val="zh-CN" w:eastAsia="zh-CN"/>
        </w:rPr>
        <w:t>（三）</w:t>
      </w:r>
      <w:r>
        <w:rPr>
          <w:rFonts w:eastAsia="楷体_GB2312"/>
          <w:b w:val="0"/>
          <w:bCs w:val="0"/>
          <w:color w:val="auto"/>
          <w:sz w:val="32"/>
          <w:szCs w:val="32"/>
          <w:u w:val="none"/>
          <w:lang w:val="en-US" w:eastAsia="zh-CN"/>
        </w:rPr>
        <w:t>预算安排及分配管理</w:t>
      </w:r>
      <w:r>
        <w:rPr>
          <w:rFonts w:eastAsia="楷体_GB2312"/>
          <w:b w:val="0"/>
          <w:bCs w:val="0"/>
          <w:color w:val="auto"/>
          <w:sz w:val="32"/>
          <w:szCs w:val="32"/>
          <w:u w:val="none"/>
          <w:lang w:val="zh-CN" w:eastAsia="zh-CN"/>
        </w:rPr>
        <w:t>。</w:t>
      </w:r>
      <w:r>
        <w:rPr>
          <w:rFonts w:eastAsia="仿宋_GB2312"/>
          <w:b w:val="0"/>
          <w:bCs w:val="0"/>
          <w:color w:val="auto"/>
          <w:kern w:val="0"/>
          <w:sz w:val="32"/>
          <w:szCs w:val="32"/>
          <w:u w:val="none"/>
          <w:shd w:val="clear" w:color="auto" w:fill="FFFFFF"/>
          <w:lang w:val="en-US" w:eastAsia="zh-CN"/>
        </w:rPr>
        <w:t>根据</w:t>
      </w:r>
      <w:r>
        <w:rPr>
          <w:rFonts w:eastAsia="仿宋_GB2312"/>
          <w:b w:val="0"/>
          <w:bCs w:val="0"/>
          <w:color w:val="auto"/>
          <w:kern w:val="0"/>
          <w:sz w:val="32"/>
          <w:szCs w:val="32"/>
          <w:u w:val="none"/>
          <w:shd w:val="clear" w:color="auto" w:fill="FFFFFF"/>
          <w:lang w:val="zh-CN"/>
        </w:rPr>
        <w:t>《加快推进现代物流高质量发展十六条政策措施》</w:t>
      </w:r>
      <w:r>
        <w:rPr>
          <w:rFonts w:eastAsia="仿宋_GB2312"/>
          <w:b w:val="0"/>
          <w:bCs w:val="0"/>
          <w:color w:val="auto"/>
          <w:kern w:val="0"/>
          <w:sz w:val="32"/>
          <w:szCs w:val="32"/>
          <w:u w:val="none"/>
          <w:shd w:val="clear" w:color="auto" w:fill="FFFFFF"/>
          <w:lang w:val="en-US" w:eastAsia="zh-CN"/>
        </w:rPr>
        <w:t>要求，对从广元高铁快运物流基地发出的省内、省外快件按照1元/kg、1.8元/kg给予高铁动车运营企业相应补助，其余运营成本由高铁动车运营企业自行承担。</w:t>
      </w:r>
    </w:p>
    <w:p>
      <w:pPr>
        <w:keepNext w:val="0"/>
        <w:keepLines w:val="0"/>
        <w:pageBreakBefore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kern w:val="0"/>
          <w:sz w:val="32"/>
          <w:szCs w:val="32"/>
          <w:u w:val="none"/>
          <w:shd w:val="clear" w:color="auto" w:fill="FFFFFF"/>
          <w:lang w:val="zh-CN" w:eastAsia="zh-CN"/>
        </w:rPr>
      </w:pPr>
      <w:r>
        <w:rPr>
          <w:rFonts w:eastAsia="楷体_GB2312"/>
          <w:b w:val="0"/>
          <w:bCs w:val="0"/>
          <w:color w:val="auto"/>
          <w:sz w:val="32"/>
          <w:szCs w:val="32"/>
          <w:u w:val="none"/>
          <w:lang w:val="zh-CN" w:eastAsia="zh-CN"/>
        </w:rPr>
        <w:t>（四）项目绩效目标设置。</w:t>
      </w:r>
      <w:r>
        <w:rPr>
          <w:rFonts w:eastAsia="仿宋_GB2312"/>
          <w:b w:val="0"/>
          <w:bCs w:val="0"/>
          <w:color w:val="auto"/>
          <w:kern w:val="0"/>
          <w:sz w:val="32"/>
          <w:szCs w:val="32"/>
          <w:u w:val="none"/>
          <w:shd w:val="clear" w:color="auto" w:fill="FFFFFF"/>
          <w:lang w:val="zh-CN" w:eastAsia="zh-CN"/>
        </w:rPr>
        <w:t>项目设预算执行情况1项，年度预算数为</w:t>
      </w:r>
      <w:r>
        <w:rPr>
          <w:rFonts w:eastAsia="仿宋_GB2312"/>
          <w:b w:val="0"/>
          <w:bCs w:val="0"/>
          <w:color w:val="auto"/>
          <w:kern w:val="0"/>
          <w:sz w:val="32"/>
          <w:szCs w:val="32"/>
          <w:u w:val="none"/>
          <w:shd w:val="clear" w:color="auto" w:fill="FFFFFF"/>
          <w:lang w:val="en-US" w:eastAsia="zh-CN"/>
        </w:rPr>
        <w:t>254.02</w:t>
      </w:r>
      <w:r>
        <w:rPr>
          <w:rFonts w:eastAsia="仿宋_GB2312"/>
          <w:b w:val="0"/>
          <w:bCs w:val="0"/>
          <w:color w:val="auto"/>
          <w:kern w:val="0"/>
          <w:sz w:val="32"/>
          <w:szCs w:val="32"/>
          <w:u w:val="none"/>
          <w:shd w:val="clear" w:color="auto" w:fill="FFFFFF"/>
          <w:lang w:val="zh-CN" w:eastAsia="zh-CN"/>
        </w:rPr>
        <w:t>万元，全部为财政资金，预算执行率100%。绩效指标中一级指标4项，分别为：产出指标、效益指标、满意度指标和成本指标。产出指标的二级指标为数量指标、质量指标和时效指标。数量指标为常态化开行高铁快运班列≥</w:t>
      </w:r>
      <w:r>
        <w:rPr>
          <w:rFonts w:eastAsia="仿宋_GB2312"/>
          <w:b w:val="0"/>
          <w:bCs w:val="0"/>
          <w:color w:val="auto"/>
          <w:kern w:val="0"/>
          <w:sz w:val="32"/>
          <w:szCs w:val="32"/>
          <w:u w:val="none"/>
          <w:shd w:val="clear" w:color="auto" w:fill="FFFFFF"/>
          <w:lang w:val="en-US" w:eastAsia="zh-CN"/>
        </w:rPr>
        <w:t>350列</w:t>
      </w:r>
      <w:r>
        <w:rPr>
          <w:rFonts w:eastAsia="仿宋_GB2312"/>
          <w:b w:val="0"/>
          <w:bCs w:val="0"/>
          <w:color w:val="auto"/>
          <w:kern w:val="0"/>
          <w:sz w:val="32"/>
          <w:szCs w:val="32"/>
          <w:u w:val="none"/>
          <w:shd w:val="clear" w:color="auto" w:fill="FFFFFF"/>
          <w:lang w:val="zh-CN" w:eastAsia="zh-CN"/>
        </w:rPr>
        <w:t>/年，任务完成率</w:t>
      </w:r>
      <w:r>
        <w:rPr>
          <w:rFonts w:eastAsia="仿宋_GB2312"/>
          <w:b w:val="0"/>
          <w:bCs w:val="0"/>
          <w:color w:val="auto"/>
          <w:kern w:val="0"/>
          <w:sz w:val="32"/>
          <w:szCs w:val="32"/>
          <w:u w:val="none"/>
          <w:shd w:val="clear" w:color="auto" w:fill="FFFFFF"/>
          <w:lang w:val="en-US" w:eastAsia="zh-CN"/>
        </w:rPr>
        <w:t>100</w:t>
      </w:r>
      <w:r>
        <w:rPr>
          <w:rFonts w:eastAsia="仿宋_GB2312"/>
          <w:b w:val="0"/>
          <w:bCs w:val="0"/>
          <w:color w:val="auto"/>
          <w:kern w:val="0"/>
          <w:sz w:val="32"/>
          <w:szCs w:val="32"/>
          <w:u w:val="none"/>
          <w:shd w:val="clear" w:color="auto" w:fill="FFFFFF"/>
          <w:lang w:val="zh-CN" w:eastAsia="zh-CN"/>
        </w:rPr>
        <w:t>%。质量指标中，安全顺利的做好各项班列开行的保障工作，</w:t>
      </w:r>
      <w:r>
        <w:rPr>
          <w:rFonts w:eastAsia="仿宋_GB2312"/>
          <w:b w:val="0"/>
          <w:bCs w:val="0"/>
          <w:color w:val="auto"/>
          <w:kern w:val="0"/>
          <w:sz w:val="32"/>
          <w:szCs w:val="32"/>
          <w:u w:val="none"/>
          <w:shd w:val="clear" w:color="auto" w:fill="FFFFFF"/>
          <w:lang w:val="en-US" w:eastAsia="zh-CN"/>
        </w:rPr>
        <w:t>完成值为“优”</w:t>
      </w:r>
      <w:r>
        <w:rPr>
          <w:rFonts w:eastAsia="仿宋_GB2312"/>
          <w:b w:val="0"/>
          <w:bCs w:val="0"/>
          <w:color w:val="auto"/>
          <w:kern w:val="0"/>
          <w:sz w:val="32"/>
          <w:szCs w:val="32"/>
          <w:u w:val="none"/>
          <w:shd w:val="clear" w:color="auto" w:fill="FFFFFF"/>
          <w:lang w:val="zh-CN" w:eastAsia="zh-CN"/>
        </w:rPr>
        <w:t>。时效指标是</w:t>
      </w:r>
      <w:r>
        <w:rPr>
          <w:rFonts w:eastAsia="仿宋_GB2312"/>
          <w:b w:val="0"/>
          <w:bCs w:val="0"/>
          <w:color w:val="auto"/>
          <w:kern w:val="0"/>
          <w:sz w:val="32"/>
          <w:szCs w:val="32"/>
          <w:u w:val="none"/>
          <w:shd w:val="clear" w:color="auto" w:fill="FFFFFF"/>
          <w:lang w:val="en-US" w:eastAsia="zh-CN"/>
        </w:rPr>
        <w:t>12月底前完成目标任务</w:t>
      </w:r>
      <w:r>
        <w:rPr>
          <w:rFonts w:eastAsia="仿宋_GB2312"/>
          <w:b w:val="0"/>
          <w:bCs w:val="0"/>
          <w:color w:val="auto"/>
          <w:kern w:val="0"/>
          <w:sz w:val="32"/>
          <w:szCs w:val="32"/>
          <w:u w:val="none"/>
          <w:shd w:val="clear" w:color="auto" w:fill="FFFFFF"/>
          <w:lang w:val="zh-CN" w:eastAsia="zh-CN"/>
        </w:rPr>
        <w:t>。效益指标中的二级指标为经济效益、社会效益指标、</w:t>
      </w:r>
      <w:r>
        <w:rPr>
          <w:rFonts w:eastAsia="仿宋_GB2312"/>
          <w:b w:val="0"/>
          <w:bCs w:val="0"/>
          <w:color w:val="auto"/>
          <w:kern w:val="0"/>
          <w:sz w:val="32"/>
          <w:szCs w:val="32"/>
          <w:u w:val="none"/>
          <w:shd w:val="clear" w:color="auto" w:fill="FFFFFF"/>
          <w:lang w:val="en-US" w:eastAsia="zh-CN"/>
        </w:rPr>
        <w:t>可持续影响指标</w:t>
      </w:r>
      <w:r>
        <w:rPr>
          <w:rFonts w:eastAsia="仿宋_GB2312"/>
          <w:b w:val="0"/>
          <w:bCs w:val="0"/>
          <w:color w:val="auto"/>
          <w:kern w:val="0"/>
          <w:sz w:val="32"/>
          <w:szCs w:val="32"/>
          <w:u w:val="none"/>
          <w:shd w:val="clear" w:color="auto" w:fill="FFFFFF"/>
          <w:lang w:val="zh-CN" w:eastAsia="zh-CN"/>
        </w:rPr>
        <w:t>，经济指标表现为增加本地生产企业利润空间≥10%。社会效益是指提升城市聚集和辐射能力，对生产企业的起到带动作用。</w:t>
      </w:r>
      <w:r>
        <w:rPr>
          <w:rFonts w:eastAsia="仿宋_GB2312"/>
          <w:b w:val="0"/>
          <w:bCs w:val="0"/>
          <w:color w:val="auto"/>
          <w:kern w:val="0"/>
          <w:sz w:val="32"/>
          <w:szCs w:val="32"/>
          <w:u w:val="none"/>
          <w:shd w:val="clear" w:color="auto" w:fill="FFFFFF"/>
          <w:lang w:val="en-US" w:eastAsia="zh-CN"/>
        </w:rPr>
        <w:t>可持续影响指标为促进广元国际铁路港常态化开行高铁快运以至于将“广元”纳入图定班列的行列，争取建设高铁快运示范基地。</w:t>
      </w:r>
      <w:r>
        <w:rPr>
          <w:rFonts w:eastAsia="仿宋_GB2312"/>
          <w:b w:val="0"/>
          <w:bCs w:val="0"/>
          <w:color w:val="auto"/>
          <w:kern w:val="0"/>
          <w:sz w:val="32"/>
          <w:szCs w:val="32"/>
          <w:u w:val="none"/>
          <w:shd w:val="clear" w:color="auto" w:fill="FFFFFF"/>
          <w:lang w:val="zh-CN" w:eastAsia="zh-CN"/>
        </w:rPr>
        <w:t>满意度指标的二级指标为服务对象满意度指标，</w:t>
      </w:r>
      <w:r>
        <w:rPr>
          <w:rFonts w:eastAsia="仿宋_GB2312"/>
          <w:b w:val="0"/>
          <w:bCs w:val="0"/>
          <w:color w:val="auto"/>
          <w:kern w:val="0"/>
          <w:sz w:val="32"/>
          <w:szCs w:val="32"/>
          <w:u w:val="none"/>
          <w:shd w:val="clear" w:color="auto" w:fill="FFFFFF"/>
          <w:lang w:val="en-US" w:eastAsia="zh-CN"/>
        </w:rPr>
        <w:t>是指</w:t>
      </w:r>
      <w:r>
        <w:rPr>
          <w:rFonts w:eastAsia="仿宋_GB2312"/>
          <w:b w:val="0"/>
          <w:bCs w:val="0"/>
          <w:color w:val="auto"/>
          <w:kern w:val="0"/>
          <w:sz w:val="32"/>
          <w:szCs w:val="32"/>
          <w:u w:val="none"/>
          <w:shd w:val="clear" w:color="auto" w:fill="FFFFFF"/>
          <w:lang w:val="zh-CN" w:eastAsia="zh-CN"/>
        </w:rPr>
        <w:t>高铁快运服务企业满意</w:t>
      </w:r>
      <w:r>
        <w:rPr>
          <w:rFonts w:eastAsia="仿宋_GB2312"/>
          <w:b w:val="0"/>
          <w:bCs w:val="0"/>
          <w:color w:val="auto"/>
          <w:kern w:val="0"/>
          <w:sz w:val="32"/>
          <w:szCs w:val="32"/>
          <w:u w:val="none"/>
          <w:shd w:val="clear" w:color="auto" w:fill="FFFFFF"/>
          <w:lang w:val="en-US" w:eastAsia="zh-CN"/>
        </w:rPr>
        <w:t>率</w:t>
      </w:r>
      <w:r>
        <w:rPr>
          <w:rFonts w:eastAsia="仿宋_GB2312"/>
          <w:b w:val="0"/>
          <w:bCs w:val="0"/>
          <w:color w:val="auto"/>
          <w:kern w:val="0"/>
          <w:sz w:val="32"/>
          <w:szCs w:val="32"/>
          <w:u w:val="none"/>
          <w:shd w:val="clear" w:color="auto" w:fill="FFFFFF"/>
          <w:lang w:val="zh-CN" w:eastAsia="zh-CN"/>
        </w:rPr>
        <w:t>≥90%。成本指标的二级指标为经济成本指标，分别为降低企业的物流成本≥</w:t>
      </w:r>
      <w:r>
        <w:rPr>
          <w:rFonts w:eastAsia="仿宋_GB2312"/>
          <w:b w:val="0"/>
          <w:bCs w:val="0"/>
          <w:color w:val="auto"/>
          <w:kern w:val="0"/>
          <w:sz w:val="32"/>
          <w:szCs w:val="32"/>
          <w:u w:val="none"/>
          <w:shd w:val="clear" w:color="auto" w:fill="FFFFFF"/>
          <w:lang w:val="en-US" w:eastAsia="zh-CN"/>
        </w:rPr>
        <w:t>20%</w:t>
      </w:r>
      <w:r>
        <w:rPr>
          <w:rFonts w:eastAsia="仿宋_GB2312"/>
          <w:b w:val="0"/>
          <w:bCs w:val="0"/>
          <w:color w:val="auto"/>
          <w:kern w:val="0"/>
          <w:sz w:val="32"/>
          <w:szCs w:val="32"/>
          <w:u w:val="none"/>
          <w:shd w:val="clear" w:color="auto" w:fill="FFFFFF"/>
          <w:lang w:val="zh-CN" w:eastAsia="zh-CN"/>
        </w:rPr>
        <w:t>和项目年预算控制数≤</w:t>
      </w:r>
      <w:r>
        <w:rPr>
          <w:rFonts w:eastAsia="仿宋_GB2312"/>
          <w:b w:val="0"/>
          <w:bCs w:val="0"/>
          <w:color w:val="auto"/>
          <w:kern w:val="0"/>
          <w:sz w:val="32"/>
          <w:szCs w:val="32"/>
          <w:u w:val="none"/>
          <w:shd w:val="clear" w:color="auto" w:fill="FFFFFF"/>
          <w:lang w:val="en-US" w:eastAsia="zh-CN"/>
        </w:rPr>
        <w:t>290</w:t>
      </w:r>
      <w:r>
        <w:rPr>
          <w:rFonts w:eastAsia="仿宋_GB2312"/>
          <w:b w:val="0"/>
          <w:bCs w:val="0"/>
          <w:color w:val="auto"/>
          <w:kern w:val="0"/>
          <w:sz w:val="32"/>
          <w:szCs w:val="32"/>
          <w:u w:val="none"/>
          <w:shd w:val="clear" w:color="auto" w:fill="FFFFFF"/>
          <w:lang w:val="zh-CN" w:eastAsia="zh-CN"/>
        </w:rPr>
        <w:t>万元。目前已完成项目自评工作，自评得分100分，该项工作完成较好。</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lang w:eastAsia="zh-CN"/>
        </w:rPr>
      </w:pPr>
      <w:r>
        <w:rPr>
          <w:rFonts w:eastAsia="黑体"/>
          <w:b w:val="0"/>
          <w:bCs w:val="0"/>
          <w:color w:val="auto"/>
          <w:sz w:val="32"/>
          <w:szCs w:val="32"/>
        </w:rPr>
        <w:t>二、</w:t>
      </w:r>
      <w:r>
        <w:rPr>
          <w:rFonts w:eastAsia="黑体"/>
          <w:b w:val="0"/>
          <w:bCs w:val="0"/>
          <w:color w:val="auto"/>
          <w:sz w:val="32"/>
          <w:szCs w:val="32"/>
          <w:lang w:eastAsia="zh-CN"/>
        </w:rPr>
        <w:t>评价实施</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rPr>
      </w:pPr>
      <w:r>
        <w:rPr>
          <w:rFonts w:eastAsia="楷体_GB2312"/>
          <w:b w:val="0"/>
          <w:bCs w:val="0"/>
          <w:color w:val="auto"/>
          <w:sz w:val="32"/>
          <w:szCs w:val="32"/>
          <w:u w:val="none"/>
          <w:lang w:val="zh-CN"/>
        </w:rPr>
        <w:t>（一）评价目的。</w:t>
      </w:r>
      <w:r>
        <w:rPr>
          <w:rFonts w:eastAsia="仿宋_GB2312"/>
          <w:b w:val="0"/>
          <w:bCs w:val="0"/>
          <w:color w:val="auto"/>
          <w:sz w:val="32"/>
          <w:szCs w:val="32"/>
        </w:rPr>
        <w:t>通过项目绩效自评督促</w:t>
      </w:r>
      <w:r>
        <w:rPr>
          <w:rFonts w:eastAsia="仿宋_GB2312"/>
          <w:b w:val="0"/>
          <w:bCs w:val="0"/>
          <w:color w:val="auto"/>
          <w:sz w:val="32"/>
          <w:szCs w:val="32"/>
          <w:lang w:val="en-US" w:eastAsia="zh-CN"/>
        </w:rPr>
        <w:t>推动高铁快运动车高质量稳定开行</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sz w:val="32"/>
          <w:szCs w:val="32"/>
          <w:lang w:eastAsia="zh-CN"/>
        </w:rPr>
      </w:pPr>
      <w:r>
        <w:rPr>
          <w:rFonts w:eastAsia="楷体_GB2312"/>
          <w:b w:val="0"/>
          <w:bCs w:val="0"/>
          <w:color w:val="auto"/>
          <w:sz w:val="32"/>
          <w:szCs w:val="32"/>
          <w:u w:val="none"/>
          <w:lang w:val="zh-CN"/>
        </w:rPr>
        <w:t>（二）预设问题及评价重点。</w:t>
      </w:r>
      <w:r>
        <w:rPr>
          <w:rFonts w:eastAsia="仿宋_GB2312"/>
          <w:b w:val="0"/>
          <w:bCs w:val="0"/>
          <w:color w:val="auto"/>
          <w:sz w:val="32"/>
          <w:szCs w:val="32"/>
        </w:rPr>
        <w:t>按照绩效评价指标体系，对资金绩效目标特别是产出指标、效益指标、满意度指标、成本指标等指标综合评判</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sz w:val="32"/>
          <w:szCs w:val="32"/>
          <w:lang w:val="zh-CN" w:eastAsia="zh-CN"/>
        </w:rPr>
      </w:pPr>
      <w:r>
        <w:rPr>
          <w:rFonts w:eastAsia="楷体_GB2312"/>
          <w:b w:val="0"/>
          <w:bCs w:val="0"/>
          <w:color w:val="auto"/>
          <w:sz w:val="32"/>
          <w:szCs w:val="32"/>
          <w:u w:val="none"/>
          <w:lang w:val="zh-CN"/>
        </w:rPr>
        <w:t>（三）评价选点。</w:t>
      </w:r>
      <w:r>
        <w:rPr>
          <w:rFonts w:eastAsia="仿宋_GB2312"/>
          <w:b w:val="0"/>
          <w:bCs w:val="0"/>
          <w:color w:val="auto"/>
          <w:sz w:val="32"/>
          <w:szCs w:val="32"/>
          <w:lang w:val="zh-CN" w:eastAsia="zh-CN"/>
        </w:rPr>
        <w:t>项目执行过程中的所有原始材料（</w:t>
      </w:r>
      <w:r>
        <w:rPr>
          <w:rFonts w:eastAsia="仿宋_GB2312"/>
          <w:b w:val="0"/>
          <w:bCs w:val="0"/>
          <w:color w:val="auto"/>
          <w:sz w:val="32"/>
          <w:szCs w:val="32"/>
          <w:lang w:val="en-US" w:eastAsia="zh-CN"/>
        </w:rPr>
        <w:t>发运明细、</w:t>
      </w:r>
      <w:r>
        <w:rPr>
          <w:rFonts w:eastAsia="仿宋_GB2312"/>
          <w:b w:val="0"/>
          <w:bCs w:val="0"/>
          <w:color w:val="auto"/>
          <w:sz w:val="32"/>
          <w:szCs w:val="32"/>
          <w:lang w:val="zh-CN" w:eastAsia="zh-CN"/>
        </w:rPr>
        <w:t>运单和发票等资料）。</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（四）评价方法。</w:t>
      </w:r>
      <w:r>
        <w:rPr>
          <w:rFonts w:eastAsia="仿宋_GB2312"/>
          <w:b w:val="0"/>
          <w:bCs w:val="0"/>
          <w:color w:val="auto"/>
          <w:sz w:val="32"/>
          <w:szCs w:val="32"/>
        </w:rPr>
        <w:t>单位自评法</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（五）评价组织。</w:t>
      </w:r>
      <w:r>
        <w:rPr>
          <w:rFonts w:eastAsia="仿宋_GB2312"/>
          <w:b w:val="0"/>
          <w:bCs w:val="0"/>
          <w:color w:val="auto"/>
          <w:sz w:val="32"/>
          <w:szCs w:val="32"/>
        </w:rPr>
        <w:t>评价组人员</w:t>
      </w:r>
      <w:r>
        <w:rPr>
          <w:rFonts w:eastAsia="仿宋_GB2312"/>
          <w:b w:val="0"/>
          <w:bCs w:val="0"/>
          <w:color w:val="auto"/>
          <w:sz w:val="32"/>
          <w:szCs w:val="32"/>
          <w:lang w:eastAsia="zh-CN"/>
        </w:rPr>
        <w:t>由财务部、口岸物流部组成，口岸物流部负责收集资料并自评，财务部负责审核。评价后，再向分管领导汇报评价情况。</w:t>
      </w:r>
    </w:p>
    <w:p>
      <w:pPr>
        <w:keepNext w:val="0"/>
        <w:keepLines w:val="0"/>
        <w:pageBreakBefore w:val="0"/>
        <w:suppressAutoHyphens/>
        <w:kinsoku/>
        <w:wordWrap/>
        <w:overflowPunct/>
        <w:topLinePunct w:val="0"/>
        <w:autoSpaceDE/>
        <w:autoSpaceDN/>
        <w:adjustRightInd w:val="0"/>
        <w:snapToGrid w:val="0"/>
        <w:spacing w:line="576" w:lineRule="exact"/>
        <w:ind w:firstLine="640" w:firstLineChars="200"/>
        <w:rPr>
          <w:rFonts w:eastAsia="仿宋_GB2312"/>
          <w:b w:val="0"/>
          <w:bCs w:val="0"/>
          <w:color w:val="auto"/>
          <w:sz w:val="32"/>
          <w:szCs w:val="32"/>
          <w:u w:val="none"/>
          <w:lang w:val="zh-CN"/>
        </w:rPr>
      </w:pPr>
      <w:r>
        <w:rPr>
          <w:rFonts w:eastAsia="黑体"/>
          <w:b w:val="0"/>
          <w:bCs w:val="0"/>
          <w:color w:val="auto"/>
          <w:sz w:val="32"/>
          <w:szCs w:val="32"/>
          <w:u w:val="none"/>
        </w:rPr>
        <w:t>三、</w:t>
      </w:r>
      <w:r>
        <w:rPr>
          <w:rFonts w:eastAsia="黑体"/>
          <w:b w:val="0"/>
          <w:bCs w:val="0"/>
          <w:color w:val="auto"/>
          <w:sz w:val="32"/>
          <w:szCs w:val="32"/>
          <w:u w:val="none"/>
          <w:lang w:eastAsia="zh-CN"/>
        </w:rPr>
        <w:t>绩效分析</w:t>
      </w:r>
      <w:r>
        <w:rPr>
          <w:rFonts w:eastAsia="仿宋_GB2312"/>
          <w:b w:val="0"/>
          <w:bCs w:val="0"/>
          <w:color w:val="auto"/>
          <w:sz w:val="32"/>
          <w:szCs w:val="32"/>
          <w:u w:val="none"/>
          <w:lang w:val="zh-CN"/>
        </w:rPr>
        <w:tab/>
      </w:r>
    </w:p>
    <w:p>
      <w:pPr>
        <w:keepNext w:val="0"/>
        <w:keepLines w:val="0"/>
        <w:pageBreakBefore w:val="0"/>
        <w:widowControl w:val="0"/>
        <w:suppressAutoHyphens/>
        <w:kinsoku/>
        <w:wordWrap/>
        <w:overflowPunct/>
        <w:topLinePunct w:val="0"/>
        <w:autoSpaceDE/>
        <w:autoSpaceDN/>
        <w:adjustRightInd/>
        <w:snapToGrid/>
        <w:spacing w:line="576" w:lineRule="exact"/>
        <w:ind w:firstLine="640"/>
        <w:rPr>
          <w:rFonts w:eastAsia="楷体_GB2312"/>
          <w:b w:val="0"/>
          <w:bCs w:val="0"/>
          <w:color w:val="auto"/>
          <w:sz w:val="32"/>
          <w:szCs w:val="32"/>
          <w:u w:val="none"/>
          <w:lang w:val="en-US" w:eastAsia="zh-CN"/>
        </w:rPr>
      </w:pPr>
      <w:r>
        <w:rPr>
          <w:rFonts w:eastAsia="楷体_GB2312"/>
          <w:b w:val="0"/>
          <w:bCs w:val="0"/>
          <w:color w:val="auto"/>
          <w:sz w:val="32"/>
          <w:szCs w:val="32"/>
          <w:u w:val="none"/>
          <w:lang w:val="zh-CN"/>
        </w:rPr>
        <w:t>（一）</w:t>
      </w:r>
      <w:r>
        <w:rPr>
          <w:rFonts w:eastAsia="楷体_GB2312"/>
          <w:b w:val="0"/>
          <w:bCs w:val="0"/>
          <w:color w:val="auto"/>
          <w:sz w:val="32"/>
          <w:szCs w:val="32"/>
          <w:u w:val="none"/>
          <w:lang w:val="en-US" w:eastAsia="zh-CN"/>
        </w:rPr>
        <w:t>通用指标</w:t>
      </w:r>
      <w:r>
        <w:rPr>
          <w:rFonts w:eastAsia="楷体_GB2312"/>
          <w:b w:val="0"/>
          <w:bCs w:val="0"/>
          <w:color w:val="auto"/>
          <w:kern w:val="0"/>
          <w:sz w:val="32"/>
          <w:szCs w:val="32"/>
          <w:shd w:val="clear" w:color="auto" w:fill="FFFFFF"/>
          <w:lang w:val="zh-CN"/>
        </w:rPr>
        <w:t>绩效分析。</w:t>
      </w:r>
    </w:p>
    <w:p>
      <w:pPr>
        <w:keepNext w:val="0"/>
        <w:keepLines w:val="0"/>
        <w:pageBreakBefore w:val="0"/>
        <w:widowControl w:val="0"/>
        <w:suppressAutoHyphens/>
        <w:kinsoku/>
        <w:wordWrap/>
        <w:overflowPunct/>
        <w:topLinePunct w:val="0"/>
        <w:autoSpaceDE/>
        <w:autoSpaceDN/>
        <w:adjustRightInd/>
        <w:snapToGrid/>
        <w:spacing w:line="576" w:lineRule="exact"/>
        <w:ind w:firstLine="640"/>
        <w:rPr>
          <w:rFonts w:eastAsia="仿宋_GB2312"/>
          <w:b w:val="0"/>
          <w:bCs w:val="0"/>
          <w:color w:val="auto"/>
          <w:sz w:val="32"/>
          <w:szCs w:val="32"/>
          <w:lang w:val="en-US" w:eastAsia="zh-CN"/>
        </w:rPr>
      </w:pPr>
      <w:r>
        <w:rPr>
          <w:rFonts w:eastAsia="仿宋_GB2312"/>
          <w:b w:val="0"/>
          <w:bCs w:val="0"/>
          <w:color w:val="auto"/>
          <w:sz w:val="32"/>
          <w:szCs w:val="32"/>
          <w:lang w:val="en-US" w:eastAsia="zh-CN"/>
        </w:rPr>
        <w:t>项目实施是落实市委、市政府重要决策部署，加快打造全国高铁快运创新发展示范基地的重要举措，符合地方经济社会发展需要。在实施过程中，严格按照《加快推进现代物流高质量发展十六条政策措施》要求，做好了资金分配管理、绩效监管。项目年度预算数为254.02万元，预算执行率100%。全年开行高铁快运动车336列，不仅超额完成目标任务，还创新性开行了“广元—成都—贵阳”跨省高铁快运动车，“广元产”“广元造”特色产品可实现当晚装车1个多小时送至成都，次日清晨送达贵阳，推动川黔优质产品最快3小时高效流通，帮助企业提升运输时效20%以上，为全国高铁快运创新发展提供了“广元样板”。</w:t>
      </w:r>
    </w:p>
    <w:p>
      <w:pPr>
        <w:keepNext w:val="0"/>
        <w:keepLines w:val="0"/>
        <w:pageBreakBefore w:val="0"/>
        <w:widowControl w:val="0"/>
        <w:suppressAutoHyphens/>
        <w:kinsoku/>
        <w:wordWrap/>
        <w:overflowPunct/>
        <w:topLinePunct w:val="0"/>
        <w:autoSpaceDE/>
        <w:autoSpaceDN/>
        <w:adjustRightInd/>
        <w:snapToGrid/>
        <w:spacing w:line="576" w:lineRule="exact"/>
        <w:ind w:firstLine="640" w:firstLineChars="200"/>
        <w:rPr>
          <w:rFonts w:eastAsia="楷体_GB2312"/>
          <w:b w:val="0"/>
          <w:bCs w:val="0"/>
          <w:color w:val="auto"/>
          <w:sz w:val="32"/>
          <w:szCs w:val="32"/>
          <w:lang w:val="zh-CN" w:eastAsia="zh-CN"/>
        </w:rPr>
      </w:pPr>
      <w:r>
        <w:rPr>
          <w:rFonts w:eastAsia="楷体_GB2312"/>
          <w:b w:val="0"/>
          <w:bCs w:val="0"/>
          <w:color w:val="auto"/>
          <w:sz w:val="32"/>
          <w:szCs w:val="32"/>
          <w:u w:val="none"/>
          <w:lang w:val="zh-CN"/>
        </w:rPr>
        <w:t>（二）</w:t>
      </w:r>
      <w:r>
        <w:rPr>
          <w:rFonts w:eastAsia="楷体_GB2312"/>
          <w:b w:val="0"/>
          <w:bCs w:val="0"/>
          <w:color w:val="auto"/>
          <w:sz w:val="32"/>
          <w:szCs w:val="32"/>
          <w:u w:val="none"/>
          <w:lang w:val="en-US" w:eastAsia="zh-CN"/>
        </w:rPr>
        <w:t>专用指标</w:t>
      </w:r>
      <w:r>
        <w:rPr>
          <w:rFonts w:eastAsia="楷体_GB2312"/>
          <w:b w:val="0"/>
          <w:bCs w:val="0"/>
          <w:color w:val="auto"/>
          <w:kern w:val="0"/>
          <w:sz w:val="32"/>
          <w:szCs w:val="32"/>
          <w:shd w:val="clear" w:color="auto" w:fill="FFFFFF"/>
          <w:lang w:val="zh-CN"/>
        </w:rPr>
        <w:t>绩效分析。</w:t>
      </w:r>
    </w:p>
    <w:p>
      <w:pPr>
        <w:keepNext w:val="0"/>
        <w:keepLines w:val="0"/>
        <w:pageBreakBefore w:val="0"/>
        <w:widowControl/>
        <w:suppressAutoHyphens/>
        <w:kinsoku/>
        <w:wordWrap/>
        <w:overflowPunct/>
        <w:topLinePunct w:val="0"/>
        <w:autoSpaceDE/>
        <w:autoSpaceDN/>
        <w:adjustRightInd/>
        <w:spacing w:line="576"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开行高铁快运动车已成为广元发展现代物流的创新名片，从建成全国首个高铁快运物流基地到常态开行跨省高铁快运整列动车组，广元已然走在全国高铁快运发展的队伍前列。截至2024年底，广元已累计开行高铁快运动车420余列，发运货物29万余件，有效带动川黔两地的快递快件、火锅食材、食品饮料等货物高效流通，为企业提升运输时效20%以上。成功吸引中国邮政四川省公司在高铁快运物流基地投资建设广元邮件（高铁快运）区域分拨中心，为打造高铁快运产业集群奠定坚实基础。</w:t>
      </w:r>
    </w:p>
    <w:p>
      <w:pPr>
        <w:keepNext w:val="0"/>
        <w:keepLines w:val="0"/>
        <w:pageBreakBefore w:val="0"/>
        <w:widowControl/>
        <w:suppressAutoHyphens/>
        <w:kinsoku/>
        <w:wordWrap/>
        <w:overflowPunct/>
        <w:topLinePunct w:val="0"/>
        <w:autoSpaceDE/>
        <w:autoSpaceDN/>
        <w:adjustRightInd/>
        <w:spacing w:line="576" w:lineRule="exact"/>
        <w:ind w:left="0" w:firstLine="640" w:firstLineChars="200"/>
        <w:jc w:val="left"/>
        <w:rPr>
          <w:rFonts w:eastAsia="黑体"/>
          <w:b w:val="0"/>
          <w:bCs w:val="0"/>
          <w:color w:val="auto"/>
          <w:kern w:val="0"/>
          <w:position w:val="3"/>
          <w:sz w:val="32"/>
          <w:szCs w:val="32"/>
          <w:u w:val="none"/>
          <w:lang w:val="en-US" w:bidi="ar-SA"/>
        </w:rPr>
      </w:pPr>
      <w:r>
        <w:rPr>
          <w:rFonts w:eastAsia="黑体"/>
          <w:b w:val="0"/>
          <w:bCs w:val="0"/>
          <w:color w:val="auto"/>
          <w:kern w:val="0"/>
          <w:position w:val="3"/>
          <w:sz w:val="32"/>
          <w:szCs w:val="32"/>
          <w:u w:val="none"/>
          <w:lang w:val="en-US" w:eastAsia="zh-CN" w:bidi="ar-SA"/>
        </w:rPr>
        <w:t>四</w:t>
      </w:r>
      <w:r>
        <w:rPr>
          <w:rFonts w:eastAsia="黑体"/>
          <w:b w:val="0"/>
          <w:bCs w:val="0"/>
          <w:color w:val="auto"/>
          <w:kern w:val="0"/>
          <w:position w:val="3"/>
          <w:sz w:val="32"/>
          <w:szCs w:val="32"/>
          <w:u w:val="none"/>
          <w:lang w:val="en-US" w:bidi="ar-SA"/>
        </w:rPr>
        <w:t>、评价结论</w:t>
      </w:r>
    </w:p>
    <w:p>
      <w:pPr>
        <w:widowControl/>
        <w:suppressAutoHyphens/>
        <w:spacing w:line="480" w:lineRule="auto"/>
        <w:ind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该项目所涉通用指标、专用指标得分均为满分，折算绩效自评打分为100分。</w:t>
      </w:r>
    </w:p>
    <w:p>
      <w:pPr>
        <w:keepNext w:val="0"/>
        <w:keepLines w:val="0"/>
        <w:pageBreakBefore w:val="0"/>
        <w:widowControl w:val="0"/>
        <w:suppressAutoHyphens/>
        <w:kinsoku/>
        <w:wordWrap/>
        <w:overflowPunct/>
        <w:topLinePunct w:val="0"/>
        <w:autoSpaceDE/>
        <w:autoSpaceDN/>
        <w:adjustRightInd/>
        <w:snapToGrid/>
        <w:spacing w:before="0" w:after="0" w:line="576" w:lineRule="exact"/>
        <w:ind w:firstLine="640" w:firstLineChars="200"/>
        <w:textAlignment w:val="baseline"/>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为贯彻落实“1345”发展战略，加快推动广元现代物流产业高质量发展，提升广元高铁快运动车运营效率，开行好跨省高铁线路。2024年以来，积极组织对本地及周边地区适运企业货源摸排调研，积极引导企业选择高铁运输货物，为30余家生产加工企业、快递公司量身定制高铁物流“门到门”运输方案，为企业提升运输时效20%以上。除了高质量完成全年开行目标任务外，高铁动车每日货运量从5吨提升至30吨左右，货物品类、服务企业数显著增多。随着“广元—成都—贵阳”跨省高铁快运动车的常态化开行，有力助推了广元的红心猕猴桃、食用菌、土鸡等鲜货农特产品走出山区、走向各地，广元及周边地区的电商快递、火锅食材和冷链制品等货物也搭乘高铁卖向全国，进一步助力广元打造川陕甘渝食品饮料及冷链制品生产基地，让“广元产”“广元造”产品流向更加广阔的市场。综上所述，该项目所涉通用指标、专用指标得分为84，折算绩效自评打分为100分，总体评价优。</w:t>
      </w:r>
    </w:p>
    <w:p>
      <w:pPr>
        <w:keepNext w:val="0"/>
        <w:keepLines w:val="0"/>
        <w:pageBreakBefore w:val="0"/>
        <w:widowControl/>
        <w:suppressAutoHyphens/>
        <w:kinsoku/>
        <w:wordWrap/>
        <w:overflowPunct/>
        <w:topLinePunct w:val="0"/>
        <w:autoSpaceDE/>
        <w:autoSpaceDN/>
        <w:adjustRightInd/>
        <w:spacing w:line="576" w:lineRule="exact"/>
        <w:ind w:left="0" w:firstLine="640" w:firstLineChars="200"/>
        <w:jc w:val="left"/>
        <w:rPr>
          <w:rFonts w:eastAsia="黑体"/>
          <w:b w:val="0"/>
          <w:bCs w:val="0"/>
          <w:color w:val="auto"/>
          <w:kern w:val="0"/>
          <w:position w:val="3"/>
          <w:sz w:val="32"/>
          <w:szCs w:val="32"/>
          <w:u w:val="none"/>
          <w:lang w:val="en-US" w:eastAsia="zh-CN" w:bidi="ar-SA"/>
        </w:rPr>
      </w:pPr>
      <w:r>
        <w:rPr>
          <w:rFonts w:eastAsia="黑体"/>
          <w:b w:val="0"/>
          <w:bCs w:val="0"/>
          <w:color w:val="auto"/>
          <w:kern w:val="0"/>
          <w:position w:val="3"/>
          <w:sz w:val="32"/>
          <w:szCs w:val="32"/>
          <w:u w:val="none"/>
          <w:lang w:val="en-US" w:eastAsia="zh-CN" w:bidi="ar-SA"/>
        </w:rPr>
        <w:t>五、存在主要问题</w:t>
      </w:r>
    </w:p>
    <w:p>
      <w:pPr>
        <w:keepNext w:val="0"/>
        <w:keepLines w:val="0"/>
        <w:pageBreakBefore w:val="0"/>
        <w:widowControl/>
        <w:suppressAutoHyphens/>
        <w:kinsoku/>
        <w:wordWrap/>
        <w:overflowPunct/>
        <w:topLinePunct w:val="0"/>
        <w:autoSpaceDE/>
        <w:autoSpaceDN/>
        <w:adjustRightInd/>
        <w:spacing w:line="576" w:lineRule="exact"/>
        <w:ind w:left="0"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keepNext w:val="0"/>
        <w:keepLines w:val="0"/>
        <w:pageBreakBefore w:val="0"/>
        <w:widowControl/>
        <w:suppressAutoHyphens/>
        <w:kinsoku/>
        <w:wordWrap/>
        <w:overflowPunct/>
        <w:topLinePunct w:val="0"/>
        <w:autoSpaceDE/>
        <w:autoSpaceDN/>
        <w:adjustRightInd/>
        <w:spacing w:line="576" w:lineRule="exact"/>
        <w:ind w:left="0" w:firstLine="640" w:firstLineChars="200"/>
        <w:jc w:val="left"/>
        <w:rPr>
          <w:rFonts w:eastAsia="黑体"/>
          <w:b w:val="0"/>
          <w:bCs w:val="0"/>
          <w:color w:val="auto"/>
          <w:kern w:val="0"/>
          <w:position w:val="3"/>
          <w:sz w:val="32"/>
          <w:szCs w:val="32"/>
          <w:u w:val="none"/>
          <w:lang w:val="zh-CN" w:eastAsia="zh-CN" w:bidi="ar-SA"/>
        </w:rPr>
      </w:pPr>
      <w:r>
        <w:rPr>
          <w:rFonts w:eastAsia="黑体"/>
          <w:b w:val="0"/>
          <w:bCs w:val="0"/>
          <w:color w:val="auto"/>
          <w:kern w:val="0"/>
          <w:position w:val="3"/>
          <w:sz w:val="32"/>
          <w:szCs w:val="32"/>
          <w:u w:val="none"/>
          <w:lang w:val="zh-CN" w:eastAsia="zh-CN" w:bidi="ar-SA"/>
        </w:rPr>
        <w:t>六、改进建议</w:t>
      </w:r>
    </w:p>
    <w:p>
      <w:pPr>
        <w:keepNext w:val="0"/>
        <w:keepLines w:val="0"/>
        <w:pageBreakBefore w:val="0"/>
        <w:tabs>
          <w:tab w:val="left" w:pos="1911"/>
        </w:tabs>
        <w:suppressAutoHyphens/>
        <w:kinsoku/>
        <w:wordWrap/>
        <w:overflowPunct/>
        <w:topLinePunct w:val="0"/>
        <w:autoSpaceDE/>
        <w:autoSpaceDN/>
        <w:spacing w:line="576" w:lineRule="exact"/>
        <w:ind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pStyle w:val="16"/>
        <w:rPr>
          <w:b w:val="0"/>
          <w:bCs w:val="0"/>
          <w:lang w:val="zh-CN"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bookmarkStart w:id="132" w:name="_Toc83065450"/>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r>
        <w:rPr>
          <w:rFonts w:ascii="Times New Roman" w:hAnsi="Times New Roman" w:eastAsia="方正小标宋简体"/>
          <w:b w:val="0"/>
          <w:bCs w:val="0"/>
          <w:color w:val="auto"/>
          <w:kern w:val="2"/>
          <w:sz w:val="44"/>
          <w:szCs w:val="44"/>
          <w:lang w:val="en-US" w:eastAsia="zh-CN"/>
        </w:rPr>
        <w:t>专项预算项目绩效评价报告</w:t>
      </w:r>
      <w:bookmarkEnd w:id="132"/>
    </w:p>
    <w:p>
      <w:pPr>
        <w:pStyle w:val="31"/>
        <w:keepNext w:val="0"/>
        <w:keepLines w:val="0"/>
        <w:pageBreakBefore w:val="0"/>
        <w:widowControl w:val="0"/>
        <w:suppressAutoHyphens/>
        <w:kinsoku/>
        <w:wordWrap/>
        <w:overflowPunct/>
        <w:topLinePunct w:val="0"/>
        <w:autoSpaceDE/>
        <w:autoSpaceDN/>
        <w:spacing w:line="576" w:lineRule="exact"/>
        <w:jc w:val="center"/>
        <w:outlineLvl w:val="2"/>
        <w:rPr>
          <w:rFonts w:ascii="Times New Roman" w:hAnsi="Times New Roman" w:eastAsia="楷体_GB2312"/>
          <w:b w:val="0"/>
          <w:bCs w:val="0"/>
          <w:color w:val="auto"/>
          <w:sz w:val="32"/>
          <w:szCs w:val="32"/>
          <w:lang w:val="en-US" w:eastAsia="zh-CN"/>
        </w:rPr>
      </w:pPr>
      <w:bookmarkStart w:id="133" w:name="_Toc83065451"/>
      <w:r>
        <w:rPr>
          <w:rFonts w:ascii="Times New Roman" w:hAnsi="Times New Roman" w:eastAsia="楷体_GB2312"/>
          <w:b w:val="0"/>
          <w:bCs w:val="0"/>
          <w:color w:val="auto"/>
          <w:sz w:val="32"/>
          <w:szCs w:val="32"/>
          <w:lang w:val="en-US" w:eastAsia="zh-CN"/>
        </w:rPr>
        <w:t>（广元国际铁路港海关监管中心运营补助经费）</w:t>
      </w:r>
      <w:bookmarkEnd w:id="133"/>
    </w:p>
    <w:p>
      <w:pPr>
        <w:keepNext w:val="0"/>
        <w:keepLines w:val="0"/>
        <w:pageBreakBefore w:val="0"/>
        <w:widowControl w:val="0"/>
        <w:suppressAutoHyphens/>
        <w:kinsoku/>
        <w:wordWrap/>
        <w:overflowPunct/>
        <w:topLinePunct w:val="0"/>
        <w:autoSpaceDE/>
        <w:autoSpaceDN/>
        <w:adjustRightInd w:val="0"/>
        <w:snapToGrid w:val="0"/>
        <w:spacing w:line="578" w:lineRule="exact"/>
        <w:ind w:firstLine="640" w:firstLineChars="200"/>
        <w:rPr>
          <w:rFonts w:eastAsia="黑体"/>
          <w:b w:val="0"/>
          <w:bCs w:val="0"/>
          <w:color w:val="auto"/>
          <w:sz w:val="32"/>
          <w:szCs w:val="32"/>
        </w:rPr>
      </w:pP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lang w:val="zh-CN"/>
        </w:rPr>
      </w:pPr>
      <w:r>
        <w:rPr>
          <w:rFonts w:eastAsia="黑体"/>
          <w:b w:val="0"/>
          <w:bCs w:val="0"/>
          <w:color w:val="auto"/>
          <w:sz w:val="32"/>
          <w:szCs w:val="32"/>
        </w:rPr>
        <w:t>一、</w:t>
      </w:r>
      <w:r>
        <w:rPr>
          <w:rFonts w:eastAsia="黑体"/>
          <w:b w:val="0"/>
          <w:bCs w:val="0"/>
          <w:color w:val="auto"/>
          <w:sz w:val="32"/>
          <w:szCs w:val="32"/>
          <w:lang w:val="zh-CN"/>
        </w:rPr>
        <w:t>项目概况</w:t>
      </w:r>
    </w:p>
    <w:p>
      <w:pPr>
        <w:keepNext w:val="0"/>
        <w:keepLines w:val="0"/>
        <w:pageBreakBefore w:val="0"/>
        <w:widowControl w:val="0"/>
        <w:suppressAutoHyphens/>
        <w:kinsoku/>
        <w:wordWrap/>
        <w:overflowPunct/>
        <w:topLinePunct w:val="0"/>
        <w:autoSpaceDE/>
        <w:autoSpaceDN/>
        <w:adjustRightInd/>
        <w:snapToGrid/>
        <w:spacing w:line="576" w:lineRule="exact"/>
        <w:ind w:firstLine="640" w:firstLineChars="200"/>
        <w:rPr>
          <w:rFonts w:eastAsia="仿宋_GB2312"/>
          <w:b w:val="0"/>
          <w:bCs w:val="0"/>
          <w:color w:val="auto"/>
          <w:sz w:val="32"/>
          <w:szCs w:val="32"/>
          <w:lang w:val="zh-CN" w:eastAsia="zh-CN"/>
        </w:rPr>
      </w:pPr>
      <w:r>
        <w:rPr>
          <w:rFonts w:eastAsia="楷体_GB2312"/>
          <w:b w:val="0"/>
          <w:bCs w:val="0"/>
          <w:color w:val="auto"/>
          <w:sz w:val="32"/>
          <w:szCs w:val="32"/>
          <w:u w:val="none"/>
          <w:lang w:val="zh-CN"/>
        </w:rPr>
        <w:t>（一）设立背景及基本情况。</w:t>
      </w:r>
      <w:r>
        <w:rPr>
          <w:rFonts w:eastAsia="仿宋_GB2312"/>
          <w:b w:val="0"/>
          <w:bCs w:val="0"/>
          <w:color w:val="auto"/>
          <w:sz w:val="32"/>
          <w:szCs w:val="32"/>
          <w:lang w:val="zh-CN" w:eastAsia="zh-CN"/>
        </w:rPr>
        <w:t>为</w:t>
      </w:r>
      <w:r>
        <w:rPr>
          <w:rFonts w:eastAsia="仿宋_GB2312"/>
          <w:b w:val="0"/>
          <w:bCs w:val="0"/>
          <w:color w:val="auto"/>
          <w:sz w:val="32"/>
          <w:szCs w:val="32"/>
          <w:lang w:val="en-US" w:eastAsia="zh-CN"/>
        </w:rPr>
        <w:t>满足进出口企业仓储、短驳、装卸、拼箱、报转关、海关查验等多元化的需求，降低企业物流成本，最大限度为进出口企业提供更为优质、高效、便捷的服务，促进川陕甘结合部对外经济高质量发展</w:t>
      </w:r>
      <w:r>
        <w:rPr>
          <w:rFonts w:eastAsia="仿宋_GB2312"/>
          <w:b w:val="0"/>
          <w:bCs w:val="0"/>
          <w:color w:val="auto"/>
          <w:sz w:val="32"/>
          <w:szCs w:val="40"/>
          <w:lang w:val="en-US" w:eastAsia="zh-CN"/>
        </w:rPr>
        <w:t>。</w:t>
      </w:r>
      <w:r>
        <w:rPr>
          <w:rFonts w:eastAsia="仿宋_GB2312"/>
          <w:b w:val="0"/>
          <w:bCs w:val="0"/>
          <w:color w:val="auto"/>
          <w:sz w:val="32"/>
          <w:szCs w:val="32"/>
          <w:lang w:val="zh-CN" w:eastAsia="zh-CN"/>
        </w:rPr>
        <w:t>广元国际铁路港海关监管中心作为功能性项目，可以吸引优质外贸企业在广元落地，助力广元将区位交通优势转化为经济优势。</w:t>
      </w:r>
    </w:p>
    <w:p>
      <w:pPr>
        <w:keepNext w:val="0"/>
        <w:keepLines w:val="0"/>
        <w:pageBreakBefore w:val="0"/>
        <w:numPr>
          <w:ilvl w:val="0"/>
          <w:numId w:val="2"/>
        </w:numPr>
        <w:suppressAutoHyphens/>
        <w:kinsoku/>
        <w:wordWrap/>
        <w:overflowPunct/>
        <w:topLinePunct w:val="0"/>
        <w:autoSpaceDE/>
        <w:autoSpaceDN/>
        <w:adjustRightInd w:val="0"/>
        <w:snapToGrid w:val="0"/>
        <w:spacing w:line="576" w:lineRule="exact"/>
        <w:ind w:left="0" w:firstLine="640" w:firstLineChars="200"/>
        <w:rPr>
          <w:rFonts w:eastAsia="楷体_GB2312"/>
          <w:b w:val="0"/>
          <w:bCs w:val="0"/>
          <w:color w:val="auto"/>
          <w:sz w:val="32"/>
          <w:szCs w:val="32"/>
          <w:u w:val="none"/>
          <w:lang w:val="en-US" w:eastAsia="zh-CN"/>
        </w:rPr>
      </w:pPr>
      <w:r>
        <w:rPr>
          <w:rFonts w:eastAsia="楷体_GB2312"/>
          <w:b w:val="0"/>
          <w:bCs w:val="0"/>
          <w:color w:val="auto"/>
          <w:sz w:val="32"/>
          <w:szCs w:val="32"/>
          <w:u w:val="none"/>
          <w:lang w:val="en-US" w:eastAsia="zh-CN"/>
        </w:rPr>
        <w:t>实施目的及支持方向。</w:t>
      </w:r>
      <w:r>
        <w:rPr>
          <w:rFonts w:eastAsia="仿宋_GB2312"/>
          <w:b w:val="0"/>
          <w:bCs w:val="0"/>
          <w:color w:val="auto"/>
          <w:sz w:val="32"/>
          <w:szCs w:val="32"/>
          <w:lang w:val="zh-CN" w:eastAsia="zh-CN"/>
        </w:rPr>
        <w:t>保障广元国际铁路港海关监管中心日常运营，进一步培育外贸企业落地，为广元及周边地区外贸企业提供“一站式”服务，有效提升广元外向型经济发展。</w:t>
      </w:r>
    </w:p>
    <w:p>
      <w:pPr>
        <w:keepNext w:val="0"/>
        <w:keepLines w:val="0"/>
        <w:pageBreakBefore w:val="0"/>
        <w:widowControl/>
        <w:numPr>
          <w:ilvl w:val="0"/>
          <w:numId w:val="2"/>
        </w:numPr>
        <w:suppressAutoHyphens/>
        <w:kinsoku/>
        <w:wordWrap/>
        <w:overflowPunct/>
        <w:topLinePunct w:val="0"/>
        <w:autoSpaceDE/>
        <w:autoSpaceDN/>
        <w:adjustRightInd w:val="0"/>
        <w:snapToGrid w:val="0"/>
        <w:spacing w:line="576" w:lineRule="exact"/>
        <w:ind w:left="0" w:firstLine="640" w:firstLineChars="200"/>
        <w:contextualSpacing/>
        <w:jc w:val="left"/>
        <w:rPr>
          <w:rFonts w:eastAsia="仿宋_GB2312"/>
          <w:b w:val="0"/>
          <w:bCs w:val="0"/>
          <w:color w:val="auto"/>
          <w:sz w:val="32"/>
          <w:szCs w:val="32"/>
          <w:lang w:val="en-US" w:eastAsia="zh-CN"/>
        </w:rPr>
      </w:pPr>
      <w:r>
        <w:rPr>
          <w:rFonts w:eastAsia="楷体_GB2312"/>
          <w:b w:val="0"/>
          <w:bCs w:val="0"/>
          <w:color w:val="auto"/>
          <w:sz w:val="32"/>
          <w:szCs w:val="32"/>
          <w:u w:val="none"/>
          <w:lang w:val="en-US" w:eastAsia="zh-CN"/>
        </w:rPr>
        <w:t>预算安排及分配管理</w:t>
      </w:r>
      <w:r>
        <w:rPr>
          <w:rFonts w:eastAsia="楷体_GB2312"/>
          <w:b w:val="0"/>
          <w:bCs w:val="0"/>
          <w:color w:val="auto"/>
          <w:sz w:val="32"/>
          <w:szCs w:val="32"/>
          <w:u w:val="none"/>
          <w:lang w:val="zh-CN" w:eastAsia="zh-CN"/>
        </w:rPr>
        <w:t>。</w:t>
      </w:r>
      <w:r>
        <w:rPr>
          <w:rFonts w:eastAsia="仿宋_GB2312"/>
          <w:b w:val="0"/>
          <w:bCs w:val="0"/>
          <w:color w:val="auto"/>
          <w:sz w:val="32"/>
          <w:szCs w:val="32"/>
          <w:lang w:val="zh-CN" w:eastAsia="zh-CN"/>
        </w:rPr>
        <w:t>项目预算金额为</w:t>
      </w:r>
      <w:r>
        <w:rPr>
          <w:rFonts w:eastAsia="仿宋_GB2312"/>
          <w:b w:val="0"/>
          <w:bCs w:val="0"/>
          <w:color w:val="auto"/>
          <w:sz w:val="32"/>
          <w:szCs w:val="32"/>
          <w:lang w:val="en-US" w:eastAsia="zh-CN"/>
        </w:rPr>
        <w:t>200</w:t>
      </w:r>
      <w:r>
        <w:rPr>
          <w:rFonts w:eastAsia="仿宋_GB2312"/>
          <w:b w:val="0"/>
          <w:bCs w:val="0"/>
          <w:color w:val="auto"/>
          <w:sz w:val="32"/>
          <w:szCs w:val="32"/>
          <w:lang w:val="zh-CN" w:eastAsia="zh-CN"/>
        </w:rPr>
        <w:t>万元，主要用于海关监管中心日常运营维护。</w:t>
      </w:r>
    </w:p>
    <w:p>
      <w:pPr>
        <w:keepNext w:val="0"/>
        <w:keepLines w:val="0"/>
        <w:pageBreakBefore w:val="0"/>
        <w:numPr>
          <w:ilvl w:val="0"/>
          <w:numId w:val="2"/>
        </w:numPr>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sz w:val="32"/>
          <w:szCs w:val="32"/>
          <w:lang w:val="zh-CN" w:eastAsia="zh-CN"/>
        </w:rPr>
      </w:pPr>
      <w:r>
        <w:rPr>
          <w:rFonts w:eastAsia="楷体_GB2312"/>
          <w:b w:val="0"/>
          <w:bCs w:val="0"/>
          <w:color w:val="auto"/>
          <w:sz w:val="32"/>
          <w:szCs w:val="32"/>
          <w:u w:val="none"/>
          <w:lang w:val="zh-CN" w:eastAsia="zh-CN"/>
        </w:rPr>
        <w:t>项目绩效目标设置。</w:t>
      </w:r>
      <w:r>
        <w:rPr>
          <w:rFonts w:eastAsia="仿宋_GB2312"/>
          <w:b w:val="0"/>
          <w:bCs w:val="0"/>
          <w:color w:val="auto"/>
          <w:sz w:val="32"/>
          <w:szCs w:val="32"/>
          <w:lang w:val="zh-CN" w:eastAsia="zh-CN"/>
        </w:rPr>
        <w:t>项目设预算执行情况</w:t>
      </w:r>
      <w:r>
        <w:rPr>
          <w:rFonts w:eastAsia="仿宋_GB2312"/>
          <w:b w:val="0"/>
          <w:bCs w:val="0"/>
          <w:color w:val="auto"/>
          <w:sz w:val="32"/>
          <w:szCs w:val="32"/>
          <w:lang w:val="en-US" w:eastAsia="zh-CN"/>
        </w:rPr>
        <w:t>1项，年度预算数为200万元，全部为财政资金，预算执行率100%。绩效指标中一级指标4项，分别为：产出指标、效益指标、满意度指标和成本指标。产出指标的二级指标为数量指标、质量指标和时效指标。数量指标中保障运营企业数量为1家。质量指标中，保障运营补贴发放率为100%；保障覆盖率≥95%。时效指标是保障金兑现时间≤10天。效益指标中的二级指标为社会效益指标，社会效益指标有三项，分别为降低全市进出口企业的通关成本为优良；提升全市进出口服务能级为优良；增加本地进出口企业盈利空间为优良。满意度指标的二级指标为服务对象满意度指标≥90%。成本指标的二级指标为经济成本指标是指保障标准＝200万元。目前已完成项目自评工作，自评得分100分，该项工作完成较好。</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二、评价实施</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lang w:val="en-US" w:eastAsia="zh-CN"/>
        </w:rPr>
      </w:pPr>
      <w:r>
        <w:rPr>
          <w:rFonts w:eastAsia="楷体_GB2312"/>
          <w:b w:val="0"/>
          <w:bCs w:val="0"/>
          <w:color w:val="auto"/>
          <w:sz w:val="32"/>
          <w:szCs w:val="32"/>
          <w:u w:val="none"/>
          <w:lang w:val="zh-CN"/>
        </w:rPr>
        <w:t>（一）评价目的。</w:t>
      </w:r>
      <w:r>
        <w:rPr>
          <w:rFonts w:eastAsia="仿宋_GB2312"/>
          <w:b w:val="0"/>
          <w:bCs w:val="0"/>
          <w:color w:val="auto"/>
          <w:sz w:val="32"/>
          <w:szCs w:val="32"/>
          <w:lang w:val="en-US" w:eastAsia="zh-CN"/>
        </w:rPr>
        <w:t>通过项目绩效自评推动海关监管中心良好运行，提升口岸服务能力，全力服务保障进出口企业通关需求。</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sz w:val="32"/>
          <w:szCs w:val="32"/>
          <w:lang w:val="en-US" w:eastAsia="zh-CN"/>
        </w:rPr>
      </w:pPr>
      <w:r>
        <w:rPr>
          <w:rFonts w:eastAsia="楷体_GB2312"/>
          <w:b w:val="0"/>
          <w:bCs w:val="0"/>
          <w:color w:val="auto"/>
          <w:sz w:val="32"/>
          <w:szCs w:val="32"/>
          <w:u w:val="none"/>
          <w:lang w:val="zh-CN"/>
        </w:rPr>
        <w:t>（二）预设问题及评价重点。</w:t>
      </w:r>
      <w:r>
        <w:rPr>
          <w:rFonts w:eastAsia="仿宋_GB2312"/>
          <w:b w:val="0"/>
          <w:bCs w:val="0"/>
          <w:color w:val="auto"/>
          <w:sz w:val="32"/>
          <w:szCs w:val="32"/>
          <w:lang w:val="zh-CN" w:eastAsia="zh-CN"/>
        </w:rPr>
        <w:t>对资金绩效目标特别是产出指标、效益指标、满意度指标、成本指标等指标综合评判。</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rPr>
          <w:b w:val="0"/>
          <w:bCs w:val="0"/>
          <w:color w:val="auto"/>
          <w:sz w:val="32"/>
          <w:szCs w:val="32"/>
          <w:lang w:val="zh-CN" w:eastAsia="zh-CN"/>
        </w:rPr>
      </w:pPr>
      <w:r>
        <w:rPr>
          <w:rFonts w:eastAsia="楷体_GB2312"/>
          <w:b w:val="0"/>
          <w:bCs w:val="0"/>
          <w:color w:val="auto"/>
          <w:sz w:val="32"/>
          <w:szCs w:val="32"/>
          <w:u w:val="none"/>
          <w:lang w:val="zh-CN"/>
        </w:rPr>
        <w:t>（三）评价选点。</w:t>
      </w:r>
      <w:r>
        <w:rPr>
          <w:rFonts w:eastAsia="仿宋_GB2312"/>
          <w:b w:val="0"/>
          <w:bCs w:val="0"/>
          <w:color w:val="auto"/>
          <w:sz w:val="32"/>
          <w:szCs w:val="32"/>
          <w:lang w:val="zh-CN" w:eastAsia="zh-CN"/>
        </w:rPr>
        <w:t>项目执行过程中的所有原始材料（合同、发票等）。</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lang w:val="en-US" w:eastAsia="zh-CN"/>
        </w:rPr>
      </w:pPr>
      <w:r>
        <w:rPr>
          <w:rFonts w:eastAsia="楷体_GB2312"/>
          <w:b w:val="0"/>
          <w:bCs w:val="0"/>
          <w:color w:val="auto"/>
          <w:sz w:val="32"/>
          <w:szCs w:val="32"/>
          <w:u w:val="none"/>
          <w:lang w:val="zh-CN"/>
        </w:rPr>
        <w:t>（四）评价方法。</w:t>
      </w:r>
      <w:r>
        <w:rPr>
          <w:rFonts w:eastAsia="仿宋_GB2312"/>
          <w:b w:val="0"/>
          <w:bCs w:val="0"/>
          <w:color w:val="auto"/>
          <w:sz w:val="32"/>
          <w:szCs w:val="32"/>
          <w:lang w:val="en-US" w:eastAsia="zh-CN"/>
        </w:rPr>
        <w:t>单位自评法。</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lang w:val="en-US" w:eastAsia="zh-CN"/>
        </w:rPr>
      </w:pPr>
      <w:r>
        <w:rPr>
          <w:rFonts w:eastAsia="楷体_GB2312"/>
          <w:b w:val="0"/>
          <w:bCs w:val="0"/>
          <w:color w:val="auto"/>
          <w:sz w:val="32"/>
          <w:szCs w:val="32"/>
          <w:u w:val="none"/>
          <w:lang w:val="zh-CN"/>
        </w:rPr>
        <w:t>（五）评价组织。</w:t>
      </w:r>
      <w:r>
        <w:rPr>
          <w:rFonts w:eastAsia="仿宋_GB2312"/>
          <w:b w:val="0"/>
          <w:bCs w:val="0"/>
          <w:color w:val="auto"/>
          <w:sz w:val="32"/>
          <w:szCs w:val="32"/>
          <w:lang w:val="en-US" w:eastAsia="zh-CN"/>
        </w:rPr>
        <w:t>评价组人员由财务部、口岸物流部组成，口岸物流部负责收集资料并自评，财务部负责审核。</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三、绩效分析</w:t>
      </w:r>
      <w:r>
        <w:rPr>
          <w:rFonts w:eastAsia="黑体"/>
          <w:b w:val="0"/>
          <w:bCs w:val="0"/>
          <w:color w:val="auto"/>
          <w:sz w:val="32"/>
          <w:szCs w:val="32"/>
          <w:u w:val="none"/>
          <w:lang w:val="zh-CN" w:eastAsia="zh-CN"/>
        </w:rPr>
        <w:tab/>
      </w:r>
    </w:p>
    <w:p>
      <w:pPr>
        <w:keepNext w:val="0"/>
        <w:keepLines w:val="0"/>
        <w:pageBreakBefore w:val="0"/>
        <w:widowControl w:val="0"/>
        <w:suppressAutoHyphens/>
        <w:kinsoku/>
        <w:wordWrap/>
        <w:overflowPunct/>
        <w:topLinePunct w:val="0"/>
        <w:autoSpaceDE/>
        <w:autoSpaceDN/>
        <w:spacing w:after="120" w:afterAutospacing="0" w:line="576" w:lineRule="exact"/>
        <w:ind w:firstLine="640" w:firstLineChars="200"/>
        <w:rPr>
          <w:rFonts w:eastAsia="仿宋_GB2312"/>
          <w:b w:val="0"/>
          <w:bCs w:val="0"/>
          <w:color w:val="auto"/>
          <w:kern w:val="2"/>
          <w:sz w:val="32"/>
          <w:szCs w:val="40"/>
          <w:lang w:val="en-US" w:eastAsia="zh-CN" w:bidi="ar-SA"/>
        </w:rPr>
      </w:pPr>
      <w:r>
        <w:rPr>
          <w:rFonts w:eastAsia="仿宋_GB2312"/>
          <w:b w:val="0"/>
          <w:bCs w:val="0"/>
          <w:color w:val="auto"/>
          <w:kern w:val="2"/>
          <w:sz w:val="32"/>
          <w:szCs w:val="40"/>
          <w:lang w:val="en-US" w:eastAsia="zh-CN" w:bidi="ar-SA"/>
        </w:rPr>
        <w:t>2024年2月22日，广元国际铁路港海关监管中心顺利取得海关行政批复，正式对外办理相关通关监管业务，此项目为川陕甘结合部区域第一个铁路运输类海关监管作业场所，也是四川省第二个铁路运输类海关监管作业场所。2024年场站累计装卸集装箱2047TEU、出入库货量达1.89万吨；接待来访企业、单位考察调研120余次，累计超1300人次。项目封关运营后，先后吸引</w:t>
      </w:r>
      <w:r>
        <w:rPr>
          <w:rFonts w:eastAsia="仿宋_GB2312"/>
          <w:b w:val="0"/>
          <w:bCs w:val="0"/>
          <w:color w:val="auto"/>
          <w:kern w:val="2"/>
          <w:sz w:val="32"/>
          <w:szCs w:val="32"/>
          <w:lang w:val="en-US" w:eastAsia="zh-CN" w:bidi="ar-SA"/>
        </w:rPr>
        <w:t>金桂茂隆、中贸通、锡玉泽华等10余家外贸公司来广注册并在海关备案，极大促进了国际班列开行提质增量。</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四、评价结论</w:t>
      </w:r>
    </w:p>
    <w:p>
      <w:pPr>
        <w:keepNext w:val="0"/>
        <w:keepLines w:val="0"/>
        <w:pageBreakBefore w:val="0"/>
        <w:widowControl w:val="0"/>
        <w:suppressAutoHyphens/>
        <w:kinsoku/>
        <w:wordWrap/>
        <w:overflowPunct/>
        <w:topLinePunct w:val="0"/>
        <w:autoSpaceDE/>
        <w:autoSpaceDN/>
        <w:spacing w:after="120" w:afterAutospacing="0" w:line="576" w:lineRule="exact"/>
        <w:ind w:firstLine="640" w:firstLineChars="200"/>
        <w:rPr>
          <w:rFonts w:eastAsia="仿宋_GB2312"/>
          <w:b w:val="0"/>
          <w:bCs w:val="0"/>
          <w:color w:val="auto"/>
          <w:kern w:val="2"/>
          <w:sz w:val="32"/>
          <w:szCs w:val="32"/>
          <w:lang w:val="en-US" w:eastAsia="zh-CN" w:bidi="ar-SA"/>
        </w:rPr>
      </w:pPr>
      <w:r>
        <w:rPr>
          <w:rFonts w:eastAsia="仿宋_GB2312"/>
          <w:b w:val="0"/>
          <w:bCs w:val="0"/>
          <w:color w:val="auto"/>
          <w:kern w:val="2"/>
          <w:sz w:val="32"/>
          <w:szCs w:val="32"/>
          <w:lang w:val="en-US" w:eastAsia="zh-CN" w:bidi="ar-SA"/>
        </w:rPr>
        <w:t>海关监管中心自</w:t>
      </w:r>
      <w:r>
        <w:rPr>
          <w:rFonts w:eastAsia="仿宋_GB2312"/>
          <w:b w:val="0"/>
          <w:bCs w:val="0"/>
          <w:color w:val="auto"/>
          <w:kern w:val="2"/>
          <w:sz w:val="32"/>
          <w:szCs w:val="32"/>
          <w:lang w:val="zh-CN" w:eastAsia="zh-CN" w:bidi="ar-SA"/>
        </w:rPr>
        <w:t>投运以来，有效填补了川陕甘结合部通关查验、海关监管等功能空白，极大提高了国际班列开行效率，为外贸企业提供时间更短、成本更低、效率更高的全方位服务，进一步助推我市在高水平开放中促进高质量发展。综合评价结论为“优”，</w:t>
      </w:r>
      <w:r>
        <w:rPr>
          <w:rFonts w:eastAsia="仿宋_GB2312"/>
          <w:b w:val="0"/>
          <w:bCs w:val="0"/>
          <w:color w:val="auto"/>
          <w:kern w:val="2"/>
          <w:sz w:val="32"/>
          <w:szCs w:val="32"/>
          <w:lang w:val="en-US" w:eastAsia="zh-CN" w:bidi="ar-SA"/>
        </w:rPr>
        <w:t>自评得分100分。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五、存在主要问题</w:t>
      </w:r>
    </w:p>
    <w:p>
      <w:pPr>
        <w:keepNext w:val="0"/>
        <w:keepLines w:val="0"/>
        <w:pageBreakBefore w:val="0"/>
        <w:widowControl w:val="0"/>
        <w:tabs>
          <w:tab w:val="left" w:pos="2160"/>
        </w:tabs>
        <w:suppressAutoHyphens/>
        <w:kinsoku/>
        <w:wordWrap/>
        <w:overflowPunct/>
        <w:topLinePunct w:val="0"/>
        <w:autoSpaceDE/>
        <w:autoSpaceDN/>
        <w:adjustRightInd/>
        <w:spacing w:after="0" w:afterAutospacing="0" w:line="576" w:lineRule="exact"/>
        <w:ind w:left="0"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六、改进建议</w:t>
      </w:r>
    </w:p>
    <w:p>
      <w:pPr>
        <w:keepNext w:val="0"/>
        <w:keepLines w:val="0"/>
        <w:pageBreakBefore w:val="0"/>
        <w:tabs>
          <w:tab w:val="left" w:pos="1911"/>
        </w:tabs>
        <w:suppressAutoHyphens/>
        <w:kinsoku/>
        <w:wordWrap/>
        <w:overflowPunct/>
        <w:topLinePunct w:val="0"/>
        <w:autoSpaceDE/>
        <w:autoSpaceDN/>
        <w:spacing w:line="576" w:lineRule="exact"/>
        <w:ind w:firstLine="640" w:firstLineChars="200"/>
        <w:jc w:val="left"/>
        <w:rPr>
          <w:rFonts w:eastAsia="仿宋_GB2312"/>
          <w:b w:val="0"/>
          <w:bCs w:val="0"/>
          <w:color w:val="auto"/>
          <w:kern w:val="2"/>
          <w:sz w:val="32"/>
          <w:szCs w:val="32"/>
          <w:lang w:val="en-US" w:eastAsia="zh-CN" w:bidi="ar-SA"/>
        </w:rPr>
      </w:pPr>
      <w:r>
        <w:rPr>
          <w:rFonts w:eastAsia="仿宋_GB2312"/>
          <w:b w:val="0"/>
          <w:bCs w:val="0"/>
          <w:color w:val="auto"/>
          <w:kern w:val="2"/>
          <w:sz w:val="32"/>
          <w:szCs w:val="32"/>
          <w:lang w:val="en-US" w:eastAsia="zh-CN" w:bidi="ar-SA"/>
        </w:rPr>
        <w:t>无。</w:t>
      </w:r>
    </w:p>
    <w:p>
      <w:pPr>
        <w:keepNext w:val="0"/>
        <w:keepLines w:val="0"/>
        <w:pageBreakBefore w:val="0"/>
        <w:widowControl w:val="0"/>
        <w:suppressAutoHyphens/>
        <w:kinsoku/>
        <w:wordWrap/>
        <w:overflowPunct/>
        <w:topLinePunct w:val="0"/>
        <w:autoSpaceDE/>
        <w:autoSpaceDN/>
        <w:spacing w:after="120" w:afterAutospacing="0" w:line="576" w:lineRule="exact"/>
        <w:rPr>
          <w:rFonts w:eastAsia="宋体"/>
          <w:b w:val="0"/>
          <w:bCs w:val="0"/>
          <w:color w:val="auto"/>
          <w:kern w:val="2"/>
          <w:sz w:val="21"/>
          <w:szCs w:val="24"/>
          <w:lang w:val="zh-CN" w:eastAsia="zh-CN" w:bidi="ar-SA"/>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bookmarkStart w:id="134" w:name="_Toc83065455"/>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r>
        <w:rPr>
          <w:rFonts w:ascii="Times New Roman" w:hAnsi="Times New Roman" w:eastAsia="方正小标宋简体"/>
          <w:b w:val="0"/>
          <w:bCs w:val="0"/>
          <w:color w:val="auto"/>
          <w:kern w:val="2"/>
          <w:sz w:val="44"/>
          <w:szCs w:val="44"/>
          <w:lang w:val="en-US" w:eastAsia="zh-CN"/>
        </w:rPr>
        <w:t>专项预算绩效自评报告</w:t>
      </w:r>
      <w:bookmarkEnd w:id="134"/>
    </w:p>
    <w:p>
      <w:pPr>
        <w:pStyle w:val="31"/>
        <w:keepNext w:val="0"/>
        <w:keepLines w:val="0"/>
        <w:pageBreakBefore w:val="0"/>
        <w:widowControl w:val="0"/>
        <w:suppressAutoHyphens/>
        <w:kinsoku/>
        <w:wordWrap/>
        <w:overflowPunct/>
        <w:topLinePunct w:val="0"/>
        <w:autoSpaceDE/>
        <w:autoSpaceDN/>
        <w:spacing w:line="576" w:lineRule="exact"/>
        <w:jc w:val="center"/>
        <w:outlineLvl w:val="2"/>
        <w:rPr>
          <w:rFonts w:ascii="Times New Roman" w:hAnsi="Times New Roman" w:eastAsia="楷体_GB2312"/>
          <w:b w:val="0"/>
          <w:bCs w:val="0"/>
          <w:color w:val="auto"/>
          <w:sz w:val="32"/>
          <w:szCs w:val="32"/>
          <w:lang w:val="en-US" w:eastAsia="zh-CN"/>
        </w:rPr>
      </w:pPr>
      <w:bookmarkStart w:id="135" w:name="_Toc83065456"/>
      <w:r>
        <w:rPr>
          <w:rFonts w:ascii="Times New Roman" w:hAnsi="Times New Roman" w:eastAsia="楷体_GB2312"/>
          <w:b w:val="0"/>
          <w:bCs w:val="0"/>
          <w:color w:val="auto"/>
          <w:sz w:val="32"/>
          <w:szCs w:val="32"/>
          <w:lang w:val="en-US" w:eastAsia="zh-CN"/>
        </w:rPr>
        <w:t>（“两优一先”表彰对象奖金）</w:t>
      </w:r>
      <w:bookmarkEnd w:id="135"/>
    </w:p>
    <w:p>
      <w:pPr>
        <w:pStyle w:val="31"/>
        <w:keepNext w:val="0"/>
        <w:keepLines w:val="0"/>
        <w:pageBreakBefore w:val="0"/>
        <w:widowControl w:val="0"/>
        <w:suppressAutoHyphens/>
        <w:kinsoku/>
        <w:wordWrap/>
        <w:overflowPunct/>
        <w:topLinePunct w:val="0"/>
        <w:autoSpaceDE/>
        <w:autoSpaceDN/>
        <w:spacing w:line="576" w:lineRule="exact"/>
        <w:jc w:val="center"/>
        <w:rPr>
          <w:rFonts w:ascii="Times New Roman" w:hAnsi="Times New Roman" w:eastAsia="楷体_GB2312"/>
          <w:b w:val="0"/>
          <w:bCs w:val="0"/>
          <w:color w:val="auto"/>
          <w:sz w:val="32"/>
          <w:szCs w:val="32"/>
          <w:lang w:val="zh-CN" w:eastAsia="zh-CN"/>
        </w:rPr>
      </w:pPr>
    </w:p>
    <w:p>
      <w:pPr>
        <w:keepNext w:val="0"/>
        <w:keepLines w:val="0"/>
        <w:pageBreakBefore w:val="0"/>
        <w:widowControl w:val="0"/>
        <w:suppressAutoHyphens/>
        <w:kinsoku/>
        <w:wordWrap/>
        <w:overflowPunct/>
        <w:topLinePunct w:val="0"/>
        <w:autoSpaceDE/>
        <w:autoSpaceDN/>
        <w:adjustRightInd w:val="0"/>
        <w:snapToGrid w:val="0"/>
        <w:spacing w:line="578" w:lineRule="exact"/>
        <w:ind w:firstLine="640" w:firstLineChars="200"/>
        <w:rPr>
          <w:rFonts w:eastAsia="黑体"/>
          <w:b w:val="0"/>
          <w:bCs w:val="0"/>
          <w:color w:val="auto"/>
          <w:sz w:val="32"/>
          <w:szCs w:val="32"/>
          <w:lang w:val="zh-CN"/>
        </w:rPr>
      </w:pPr>
      <w:r>
        <w:rPr>
          <w:rFonts w:eastAsia="黑体"/>
          <w:b w:val="0"/>
          <w:bCs w:val="0"/>
          <w:color w:val="auto"/>
          <w:sz w:val="32"/>
          <w:szCs w:val="32"/>
        </w:rPr>
        <w:t>一、</w:t>
      </w:r>
      <w:r>
        <w:rPr>
          <w:rFonts w:eastAsia="黑体"/>
          <w:b w:val="0"/>
          <w:bCs w:val="0"/>
          <w:color w:val="auto"/>
          <w:sz w:val="32"/>
          <w:szCs w:val="32"/>
          <w:lang w:val="zh-CN"/>
        </w:rPr>
        <w:t>项目概况</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kern w:val="0"/>
          <w:sz w:val="32"/>
          <w:szCs w:val="32"/>
          <w:u w:val="none"/>
          <w:shd w:val="clear" w:color="auto" w:fill="FFFFFF"/>
          <w:lang w:val="zh-CN" w:eastAsia="zh-CN"/>
        </w:rPr>
      </w:pPr>
      <w:r>
        <w:rPr>
          <w:rFonts w:eastAsia="楷体_GB2312"/>
          <w:b w:val="0"/>
          <w:bCs w:val="0"/>
          <w:color w:val="auto"/>
          <w:sz w:val="32"/>
          <w:szCs w:val="32"/>
          <w:u w:val="none"/>
          <w:lang w:val="zh-CN"/>
        </w:rPr>
        <w:t>（一）设立背景及基本情况。</w:t>
      </w:r>
      <w:r>
        <w:rPr>
          <w:rFonts w:eastAsia="仿宋_GB2312"/>
          <w:b w:val="0"/>
          <w:bCs w:val="0"/>
          <w:color w:val="auto"/>
          <w:kern w:val="0"/>
          <w:sz w:val="32"/>
          <w:szCs w:val="32"/>
          <w:u w:val="none"/>
          <w:shd w:val="clear" w:color="auto" w:fill="FFFFFF"/>
          <w:lang w:val="zh-CN" w:eastAsia="zh-CN"/>
        </w:rPr>
        <w:t>根据</w:t>
      </w:r>
      <w:r>
        <w:rPr>
          <w:rFonts w:eastAsia="仿宋_GB2312"/>
          <w:b w:val="0"/>
          <w:bCs w:val="0"/>
          <w:color w:val="auto"/>
          <w:kern w:val="0"/>
          <w:sz w:val="32"/>
          <w:szCs w:val="32"/>
          <w:u w:val="none"/>
          <w:shd w:val="clear" w:color="auto" w:fill="FFFFFF"/>
          <w:lang w:val="en-US" w:eastAsia="zh-CN"/>
        </w:rPr>
        <w:t>中共广元市委</w:t>
      </w:r>
      <w:r>
        <w:rPr>
          <w:rFonts w:eastAsia="仿宋_GB2312"/>
          <w:b w:val="0"/>
          <w:bCs w:val="0"/>
          <w:color w:val="auto"/>
          <w:kern w:val="0"/>
          <w:sz w:val="32"/>
          <w:szCs w:val="32"/>
          <w:u w:val="none"/>
          <w:shd w:val="clear" w:color="auto" w:fill="FFFFFF"/>
          <w:lang w:val="zh-CN" w:eastAsia="zh-CN"/>
        </w:rPr>
        <w:t>《</w:t>
      </w:r>
      <w:r>
        <w:rPr>
          <w:rFonts w:eastAsia="仿宋_GB2312"/>
          <w:b w:val="0"/>
          <w:bCs w:val="0"/>
          <w:color w:val="auto"/>
          <w:kern w:val="0"/>
          <w:sz w:val="32"/>
          <w:szCs w:val="32"/>
          <w:u w:val="none"/>
          <w:shd w:val="clear" w:color="auto" w:fill="FFFFFF"/>
          <w:lang w:val="en-US" w:eastAsia="zh-CN"/>
        </w:rPr>
        <w:t>关于开展全省、全市“两优一先”评选表彰工作的通知</w:t>
      </w:r>
      <w:r>
        <w:rPr>
          <w:rFonts w:eastAsia="仿宋_GB2312"/>
          <w:b w:val="0"/>
          <w:bCs w:val="0"/>
          <w:color w:val="auto"/>
          <w:kern w:val="0"/>
          <w:sz w:val="32"/>
          <w:szCs w:val="32"/>
          <w:u w:val="none"/>
          <w:shd w:val="clear" w:color="auto" w:fill="FFFFFF"/>
          <w:lang w:val="zh-CN" w:eastAsia="zh-CN"/>
        </w:rPr>
        <w:t>》</w:t>
      </w:r>
      <w:r>
        <w:rPr>
          <w:rFonts w:eastAsia="仿宋_GB2312"/>
          <w:b w:val="0"/>
          <w:bCs w:val="0"/>
          <w:color w:val="auto"/>
          <w:kern w:val="0"/>
          <w:sz w:val="32"/>
          <w:szCs w:val="32"/>
          <w:u w:val="none"/>
          <w:shd w:val="clear" w:color="auto" w:fill="FFFFFF"/>
          <w:lang w:val="en-US" w:eastAsia="zh-CN"/>
        </w:rPr>
        <w:t>精神，以及《广元市贯彻&lt;中国共产党党内功勋荣誉表彰条例&gt;实施细则》规定</w:t>
      </w:r>
      <w:r>
        <w:rPr>
          <w:rFonts w:eastAsia="仿宋_GB2312"/>
          <w:b w:val="0"/>
          <w:bCs w:val="0"/>
          <w:color w:val="auto"/>
          <w:kern w:val="0"/>
          <w:sz w:val="32"/>
          <w:szCs w:val="32"/>
          <w:u w:val="none"/>
          <w:shd w:val="clear" w:color="auto" w:fill="FFFFFF"/>
          <w:lang w:val="zh-CN" w:eastAsia="zh-CN"/>
        </w:rPr>
        <w:t>，</w:t>
      </w:r>
      <w:r>
        <w:rPr>
          <w:rFonts w:eastAsia="仿宋_GB2312"/>
          <w:b w:val="0"/>
          <w:bCs w:val="0"/>
          <w:color w:val="auto"/>
          <w:kern w:val="0"/>
          <w:sz w:val="32"/>
          <w:szCs w:val="32"/>
          <w:u w:val="none"/>
          <w:shd w:val="clear" w:color="auto" w:fill="FFFFFF"/>
          <w:lang w:val="en-US" w:eastAsia="zh-CN"/>
        </w:rPr>
        <w:t>对于表彰为全市“两优一先”的个人，可按照5000元/人的标准发放一次性奖金。为认真落实好“两优一先”表彰对象相关待遇</w:t>
      </w:r>
      <w:r>
        <w:rPr>
          <w:rFonts w:eastAsia="仿宋_GB2312"/>
          <w:b w:val="0"/>
          <w:bCs w:val="0"/>
          <w:color w:val="auto"/>
          <w:kern w:val="0"/>
          <w:sz w:val="32"/>
          <w:szCs w:val="32"/>
          <w:u w:val="none"/>
          <w:shd w:val="clear" w:color="auto" w:fill="FFFFFF"/>
          <w:lang w:val="zh-CN" w:eastAsia="zh-CN"/>
        </w:rPr>
        <w:t>，特设立该项目。</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楷体_GB2312"/>
          <w:b w:val="0"/>
          <w:bCs w:val="0"/>
          <w:color w:val="auto"/>
          <w:sz w:val="32"/>
          <w:szCs w:val="32"/>
          <w:u w:val="none"/>
          <w:lang w:val="zh-CN"/>
        </w:rPr>
      </w:pPr>
      <w:r>
        <w:rPr>
          <w:rFonts w:eastAsia="楷体_GB2312"/>
          <w:b w:val="0"/>
          <w:bCs w:val="0"/>
          <w:color w:val="auto"/>
          <w:sz w:val="32"/>
          <w:szCs w:val="32"/>
          <w:u w:val="none"/>
          <w:lang w:val="zh-CN"/>
        </w:rPr>
        <w:t>（二）</w:t>
      </w:r>
      <w:r>
        <w:rPr>
          <w:rFonts w:eastAsia="楷体_GB2312"/>
          <w:b w:val="0"/>
          <w:bCs w:val="0"/>
          <w:color w:val="auto"/>
          <w:sz w:val="32"/>
          <w:szCs w:val="32"/>
          <w:u w:val="none"/>
          <w:lang w:val="en-US" w:eastAsia="zh-CN"/>
        </w:rPr>
        <w:t>实施目的及支持方向。</w:t>
      </w:r>
      <w:r>
        <w:rPr>
          <w:rFonts w:eastAsia="仿宋_GB2312"/>
          <w:b w:val="0"/>
          <w:bCs w:val="0"/>
          <w:color w:val="auto"/>
          <w:kern w:val="0"/>
          <w:sz w:val="32"/>
          <w:szCs w:val="32"/>
          <w:u w:val="none"/>
          <w:shd w:val="clear" w:color="auto" w:fill="FFFFFF"/>
          <w:lang w:val="en-US" w:eastAsia="zh-CN"/>
        </w:rPr>
        <w:t>该项目主要用于发放“两优一先”表彰对象相关待遇。</w:t>
      </w:r>
    </w:p>
    <w:p>
      <w:pPr>
        <w:keepNext w:val="0"/>
        <w:keepLines w:val="0"/>
        <w:pageBreakBefore w:val="0"/>
        <w:widowControl/>
        <w:suppressAutoHyphens/>
        <w:kinsoku/>
        <w:wordWrap/>
        <w:overflowPunct/>
        <w:topLinePunct w:val="0"/>
        <w:autoSpaceDE/>
        <w:autoSpaceDN/>
        <w:adjustRightInd w:val="0"/>
        <w:snapToGrid w:val="0"/>
        <w:spacing w:line="578" w:lineRule="exact"/>
        <w:ind w:left="0" w:firstLine="640" w:firstLineChars="200"/>
        <w:contextualSpacing/>
        <w:jc w:val="left"/>
        <w:rPr>
          <w:rFonts w:eastAsia="仿宋_GB2312"/>
          <w:b w:val="0"/>
          <w:bCs w:val="0"/>
          <w:color w:val="auto"/>
          <w:kern w:val="0"/>
          <w:sz w:val="32"/>
          <w:szCs w:val="32"/>
          <w:u w:val="none"/>
          <w:shd w:val="clear" w:color="auto" w:fill="FFFFFF"/>
          <w:lang w:val="en-US" w:eastAsia="zh-CN"/>
        </w:rPr>
      </w:pPr>
      <w:r>
        <w:rPr>
          <w:rFonts w:eastAsia="楷体_GB2312"/>
          <w:b w:val="0"/>
          <w:bCs w:val="0"/>
          <w:color w:val="auto"/>
          <w:sz w:val="32"/>
          <w:szCs w:val="32"/>
          <w:u w:val="none"/>
          <w:lang w:val="zh-CN" w:eastAsia="zh-CN"/>
        </w:rPr>
        <w:t>（三）</w:t>
      </w:r>
      <w:r>
        <w:rPr>
          <w:rFonts w:eastAsia="楷体_GB2312"/>
          <w:b w:val="0"/>
          <w:bCs w:val="0"/>
          <w:color w:val="auto"/>
          <w:sz w:val="32"/>
          <w:szCs w:val="32"/>
          <w:u w:val="none"/>
          <w:lang w:val="en-US" w:eastAsia="zh-CN"/>
        </w:rPr>
        <w:t>预算安排及分配管理</w:t>
      </w:r>
      <w:r>
        <w:rPr>
          <w:rFonts w:eastAsia="楷体_GB2312"/>
          <w:b w:val="0"/>
          <w:bCs w:val="0"/>
          <w:color w:val="auto"/>
          <w:sz w:val="32"/>
          <w:szCs w:val="32"/>
          <w:u w:val="none"/>
          <w:lang w:val="zh-CN" w:eastAsia="zh-CN"/>
        </w:rPr>
        <w:t>。</w:t>
      </w:r>
      <w:r>
        <w:rPr>
          <w:rFonts w:eastAsia="仿宋_GB2312"/>
          <w:b w:val="0"/>
          <w:bCs w:val="0"/>
          <w:color w:val="auto"/>
          <w:kern w:val="0"/>
          <w:sz w:val="32"/>
          <w:szCs w:val="32"/>
          <w:u w:val="none"/>
          <w:shd w:val="clear" w:color="auto" w:fill="FFFFFF"/>
          <w:lang w:val="zh-CN" w:eastAsia="zh-CN"/>
        </w:rPr>
        <w:t>该项目</w:t>
      </w:r>
      <w:r>
        <w:rPr>
          <w:rFonts w:eastAsia="仿宋_GB2312"/>
          <w:b w:val="0"/>
          <w:bCs w:val="0"/>
          <w:color w:val="auto"/>
          <w:kern w:val="0"/>
          <w:sz w:val="32"/>
          <w:szCs w:val="32"/>
          <w:u w:val="none"/>
          <w:shd w:val="clear" w:color="auto" w:fill="FFFFFF"/>
          <w:lang w:val="en-US" w:eastAsia="zh-CN"/>
        </w:rPr>
        <w:t>调整后</w:t>
      </w:r>
      <w:r>
        <w:rPr>
          <w:rFonts w:eastAsia="仿宋_GB2312"/>
          <w:b w:val="0"/>
          <w:bCs w:val="0"/>
          <w:color w:val="auto"/>
          <w:kern w:val="0"/>
          <w:sz w:val="32"/>
          <w:szCs w:val="32"/>
          <w:u w:val="none"/>
          <w:shd w:val="clear" w:color="auto" w:fill="FFFFFF"/>
          <w:lang w:val="zh-CN" w:eastAsia="zh-CN"/>
        </w:rPr>
        <w:t>预算数为</w:t>
      </w:r>
      <w:r>
        <w:rPr>
          <w:rFonts w:eastAsia="仿宋_GB2312"/>
          <w:b w:val="0"/>
          <w:bCs w:val="0"/>
          <w:color w:val="auto"/>
          <w:kern w:val="0"/>
          <w:sz w:val="32"/>
          <w:szCs w:val="32"/>
          <w:u w:val="none"/>
          <w:shd w:val="clear" w:color="auto" w:fill="FFFFFF"/>
          <w:lang w:val="en-US" w:eastAsia="zh-CN"/>
        </w:rPr>
        <w:t>0.5万元，为财政资金</w:t>
      </w:r>
      <w:r>
        <w:rPr>
          <w:rFonts w:eastAsia="仿宋_GB2312"/>
          <w:b w:val="0"/>
          <w:bCs w:val="0"/>
          <w:color w:val="auto"/>
          <w:kern w:val="0"/>
          <w:sz w:val="32"/>
          <w:szCs w:val="32"/>
          <w:u w:val="none"/>
          <w:shd w:val="clear" w:color="auto" w:fill="FFFFFF"/>
          <w:lang w:val="zh-CN" w:eastAsia="zh-CN"/>
        </w:rPr>
        <w:t>。</w:t>
      </w:r>
      <w:r>
        <w:rPr>
          <w:rFonts w:eastAsia="仿宋_GB2312"/>
          <w:b w:val="0"/>
          <w:bCs w:val="0"/>
          <w:color w:val="auto"/>
          <w:kern w:val="0"/>
          <w:sz w:val="32"/>
          <w:szCs w:val="32"/>
          <w:u w:val="none"/>
          <w:shd w:val="clear" w:color="auto" w:fill="FFFFFF"/>
          <w:lang w:val="en-US" w:eastAsia="zh-CN"/>
        </w:rPr>
        <w:t>主要用于发放广元国际铁路港1名受到全市“两优一先”表彰的先进个人奖金。</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kern w:val="0"/>
          <w:sz w:val="32"/>
          <w:szCs w:val="32"/>
          <w:u w:val="none"/>
          <w:shd w:val="clear" w:color="auto" w:fill="FFFFFF"/>
          <w:lang w:val="en-US" w:eastAsia="zh-CN"/>
        </w:rPr>
      </w:pPr>
      <w:r>
        <w:rPr>
          <w:rFonts w:eastAsia="楷体_GB2312"/>
          <w:b w:val="0"/>
          <w:bCs w:val="0"/>
          <w:color w:val="auto"/>
          <w:sz w:val="32"/>
          <w:szCs w:val="32"/>
          <w:u w:val="none"/>
          <w:lang w:val="zh-CN" w:eastAsia="zh-CN"/>
        </w:rPr>
        <w:t>（四）项目绩效目标设置。</w:t>
      </w:r>
      <w:r>
        <w:rPr>
          <w:rFonts w:eastAsia="仿宋_GB2312"/>
          <w:b w:val="0"/>
          <w:bCs w:val="0"/>
          <w:color w:val="auto"/>
          <w:kern w:val="0"/>
          <w:sz w:val="32"/>
          <w:szCs w:val="32"/>
          <w:u w:val="none"/>
          <w:shd w:val="clear" w:color="auto" w:fill="FFFFFF"/>
          <w:lang w:val="zh-CN" w:eastAsia="zh-CN"/>
        </w:rPr>
        <w:t>项目绩效目标设置为</w:t>
      </w:r>
      <w:r>
        <w:rPr>
          <w:rFonts w:eastAsia="仿宋_GB2312"/>
          <w:b w:val="0"/>
          <w:bCs w:val="0"/>
          <w:color w:val="auto"/>
          <w:kern w:val="0"/>
          <w:sz w:val="32"/>
          <w:szCs w:val="32"/>
          <w:u w:val="none"/>
          <w:shd w:val="clear" w:color="auto" w:fill="FFFFFF"/>
          <w:lang w:val="en-US" w:eastAsia="zh-CN"/>
        </w:rPr>
        <w:t>4类，第一类为产出指标，其中包括表彰金覆盖率1人的数量指标、表彰金发放时间1年的时效指标、表彰金足额兑付率100%的质量指标；第二类为效益指标，即正向激励被表彰对象效果为“好”；第三类为被表彰对象满意度达到100%的满意度指标；第四类为表彰发放标准为5000元的成本指标。</w:t>
      </w:r>
      <w:r>
        <w:rPr>
          <w:rFonts w:eastAsia="仿宋_GB2312"/>
          <w:b w:val="0"/>
          <w:bCs w:val="0"/>
          <w:color w:val="auto"/>
          <w:kern w:val="0"/>
          <w:sz w:val="32"/>
          <w:szCs w:val="32"/>
          <w:u w:val="none"/>
          <w:shd w:val="clear" w:color="auto" w:fill="FFFFFF"/>
          <w:lang w:val="zh-CN" w:eastAsia="zh-CN"/>
        </w:rPr>
        <w:t>经统计，各项指标全部完成。</w:t>
      </w:r>
    </w:p>
    <w:p>
      <w:pPr>
        <w:keepNext w:val="0"/>
        <w:keepLines w:val="0"/>
        <w:pageBreakBefore w:val="0"/>
        <w:widowControl w:val="0"/>
        <w:suppressAutoHyphens/>
        <w:kinsoku/>
        <w:wordWrap/>
        <w:overflowPunct/>
        <w:topLinePunct w:val="0"/>
        <w:autoSpaceDE/>
        <w:autoSpaceDN/>
        <w:adjustRightInd w:val="0"/>
        <w:snapToGrid w:val="0"/>
        <w:spacing w:line="578" w:lineRule="exact"/>
        <w:ind w:firstLine="640" w:firstLineChars="200"/>
        <w:rPr>
          <w:rFonts w:eastAsia="黑体"/>
          <w:b w:val="0"/>
          <w:bCs w:val="0"/>
          <w:color w:val="auto"/>
          <w:sz w:val="32"/>
          <w:szCs w:val="32"/>
          <w:lang w:eastAsia="zh-CN"/>
        </w:rPr>
      </w:pPr>
      <w:r>
        <w:rPr>
          <w:rFonts w:eastAsia="黑体"/>
          <w:b w:val="0"/>
          <w:bCs w:val="0"/>
          <w:color w:val="auto"/>
          <w:sz w:val="32"/>
          <w:szCs w:val="32"/>
        </w:rPr>
        <w:t>二、</w:t>
      </w:r>
      <w:r>
        <w:rPr>
          <w:rFonts w:eastAsia="黑体"/>
          <w:b w:val="0"/>
          <w:bCs w:val="0"/>
          <w:color w:val="auto"/>
          <w:sz w:val="32"/>
          <w:szCs w:val="32"/>
          <w:lang w:eastAsia="zh-CN"/>
        </w:rPr>
        <w:t>评价实施</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rPr>
      </w:pPr>
      <w:r>
        <w:rPr>
          <w:rFonts w:eastAsia="楷体_GB2312"/>
          <w:b w:val="0"/>
          <w:bCs w:val="0"/>
          <w:color w:val="auto"/>
          <w:sz w:val="32"/>
          <w:szCs w:val="32"/>
          <w:u w:val="none"/>
          <w:lang w:val="zh-CN"/>
        </w:rPr>
        <w:t>（一）评价目的。</w:t>
      </w:r>
      <w:r>
        <w:rPr>
          <w:rFonts w:eastAsia="仿宋_GB2312"/>
          <w:b w:val="0"/>
          <w:bCs w:val="0"/>
          <w:color w:val="auto"/>
          <w:sz w:val="32"/>
          <w:szCs w:val="32"/>
        </w:rPr>
        <w:t>通过</w:t>
      </w:r>
      <w:r>
        <w:rPr>
          <w:rFonts w:eastAsia="仿宋_GB2312"/>
          <w:b w:val="0"/>
          <w:bCs w:val="0"/>
          <w:color w:val="auto"/>
          <w:sz w:val="32"/>
          <w:szCs w:val="32"/>
          <w:lang w:eastAsia="zh-CN"/>
        </w:rPr>
        <w:t>项目</w:t>
      </w:r>
      <w:r>
        <w:rPr>
          <w:rFonts w:eastAsia="仿宋_GB2312"/>
          <w:b w:val="0"/>
          <w:bCs w:val="0"/>
          <w:color w:val="auto"/>
          <w:sz w:val="32"/>
          <w:szCs w:val="32"/>
        </w:rPr>
        <w:t>绩效</w:t>
      </w:r>
      <w:r>
        <w:rPr>
          <w:rFonts w:eastAsia="仿宋_GB2312"/>
          <w:b w:val="0"/>
          <w:bCs w:val="0"/>
          <w:color w:val="auto"/>
          <w:sz w:val="32"/>
          <w:szCs w:val="32"/>
          <w:lang w:eastAsia="zh-CN"/>
        </w:rPr>
        <w:t>自评，旨在推动</w:t>
      </w:r>
      <w:r>
        <w:rPr>
          <w:rFonts w:eastAsia="仿宋_GB2312"/>
          <w:b w:val="0"/>
          <w:bCs w:val="0"/>
          <w:color w:val="auto"/>
          <w:kern w:val="0"/>
          <w:sz w:val="32"/>
          <w:szCs w:val="32"/>
          <w:u w:val="none"/>
          <w:shd w:val="clear" w:color="auto" w:fill="FFFFFF"/>
          <w:lang w:val="en-US" w:eastAsia="zh-CN"/>
        </w:rPr>
        <w:t>《广元市贯彻&lt;中国共产党党内功勋荣誉表彰条例&gt;实施细则》</w:t>
      </w:r>
      <w:r>
        <w:rPr>
          <w:rFonts w:eastAsia="仿宋_GB2312"/>
          <w:b w:val="0"/>
          <w:bCs w:val="0"/>
          <w:color w:val="auto"/>
          <w:sz w:val="32"/>
          <w:szCs w:val="32"/>
          <w:lang w:eastAsia="zh-CN"/>
        </w:rPr>
        <w:t>高质量落实，</w:t>
      </w:r>
      <w:r>
        <w:rPr>
          <w:rFonts w:eastAsia="仿宋_GB2312"/>
          <w:b w:val="0"/>
          <w:bCs w:val="0"/>
          <w:color w:val="auto"/>
          <w:sz w:val="32"/>
          <w:szCs w:val="32"/>
          <w:lang w:val="en-US" w:eastAsia="zh-CN"/>
        </w:rPr>
        <w:t>激励广大党员干部立足岗位、发挥作用、助推发展</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sz w:val="32"/>
          <w:szCs w:val="32"/>
          <w:lang w:eastAsia="zh-CN"/>
        </w:rPr>
      </w:pPr>
      <w:r>
        <w:rPr>
          <w:rFonts w:eastAsia="楷体_GB2312"/>
          <w:b w:val="0"/>
          <w:bCs w:val="0"/>
          <w:color w:val="auto"/>
          <w:sz w:val="32"/>
          <w:szCs w:val="32"/>
          <w:u w:val="none"/>
          <w:lang w:val="zh-CN"/>
        </w:rPr>
        <w:t>（二）预设问题及评价重点。</w:t>
      </w:r>
      <w:r>
        <w:rPr>
          <w:rFonts w:eastAsia="仿宋_GB2312"/>
          <w:b w:val="0"/>
          <w:bCs w:val="0"/>
          <w:color w:val="auto"/>
          <w:sz w:val="32"/>
          <w:szCs w:val="32"/>
          <w:lang w:eastAsia="zh-CN"/>
        </w:rPr>
        <w:t>根据工作情况，</w:t>
      </w:r>
      <w:r>
        <w:rPr>
          <w:rFonts w:eastAsia="仿宋_GB2312"/>
          <w:b w:val="0"/>
          <w:bCs w:val="0"/>
          <w:color w:val="auto"/>
          <w:sz w:val="32"/>
          <w:szCs w:val="32"/>
          <w:lang w:val="en-US" w:eastAsia="zh-CN"/>
        </w:rPr>
        <w:t>对表彰金覆盖率、表彰金足额兑付率、表彰金发放时间、</w:t>
      </w:r>
      <w:r>
        <w:rPr>
          <w:rFonts w:eastAsia="仿宋_GB2312"/>
          <w:b w:val="0"/>
          <w:bCs w:val="0"/>
          <w:color w:val="auto"/>
          <w:kern w:val="0"/>
          <w:sz w:val="32"/>
          <w:szCs w:val="32"/>
          <w:u w:val="none"/>
          <w:shd w:val="clear" w:color="auto" w:fill="FFFFFF"/>
          <w:lang w:val="en-US" w:eastAsia="zh-CN"/>
        </w:rPr>
        <w:t>正向激励被表彰对象效果</w:t>
      </w:r>
      <w:r>
        <w:rPr>
          <w:rFonts w:eastAsia="仿宋_GB2312"/>
          <w:b w:val="0"/>
          <w:bCs w:val="0"/>
          <w:color w:val="auto"/>
          <w:sz w:val="32"/>
          <w:szCs w:val="32"/>
          <w:lang w:val="en-US" w:eastAsia="zh-CN"/>
        </w:rPr>
        <w:t>、被表彰对象满意度、党员干部作用发挥情况</w:t>
      </w:r>
      <w:r>
        <w:rPr>
          <w:rFonts w:eastAsia="仿宋_GB2312"/>
          <w:b w:val="0"/>
          <w:bCs w:val="0"/>
          <w:color w:val="auto"/>
          <w:sz w:val="32"/>
          <w:szCs w:val="32"/>
          <w:lang w:eastAsia="zh-CN"/>
        </w:rPr>
        <w:t>等方面进行综合评价。</w:t>
      </w:r>
    </w:p>
    <w:p>
      <w:pPr>
        <w:keepNext w:val="0"/>
        <w:keepLines w:val="0"/>
        <w:pageBreakBefore w:val="0"/>
        <w:widowControl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sz w:val="32"/>
          <w:szCs w:val="32"/>
          <w:lang w:val="zh-CN" w:eastAsia="zh-CN"/>
        </w:rPr>
      </w:pPr>
      <w:r>
        <w:rPr>
          <w:rFonts w:eastAsia="楷体_GB2312"/>
          <w:b w:val="0"/>
          <w:bCs w:val="0"/>
          <w:color w:val="auto"/>
          <w:sz w:val="32"/>
          <w:szCs w:val="32"/>
          <w:u w:val="none"/>
          <w:lang w:val="zh-CN"/>
        </w:rPr>
        <w:t>（三）评价选点。</w:t>
      </w:r>
      <w:r>
        <w:rPr>
          <w:rFonts w:eastAsia="仿宋_GB2312"/>
          <w:b w:val="0"/>
          <w:bCs w:val="0"/>
          <w:color w:val="auto"/>
          <w:sz w:val="32"/>
          <w:szCs w:val="32"/>
          <w:lang w:val="en-US" w:eastAsia="zh-CN"/>
        </w:rPr>
        <w:t>广元国际铁路港管委会</w:t>
      </w:r>
      <w:r>
        <w:rPr>
          <w:rFonts w:eastAsia="仿宋_GB2312"/>
          <w:b w:val="0"/>
          <w:bCs w:val="0"/>
          <w:color w:val="auto"/>
          <w:sz w:val="32"/>
          <w:szCs w:val="32"/>
          <w:lang w:val="zh-CN" w:eastAsia="zh-CN"/>
        </w:rPr>
        <w:t>。</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（四）评价方法。</w:t>
      </w:r>
      <w:r>
        <w:rPr>
          <w:rFonts w:eastAsia="仿宋_GB2312"/>
          <w:b w:val="0"/>
          <w:bCs w:val="0"/>
          <w:color w:val="auto"/>
          <w:sz w:val="32"/>
          <w:szCs w:val="32"/>
          <w:lang w:eastAsia="zh-CN"/>
        </w:rPr>
        <w:t>主要</w:t>
      </w:r>
      <w:r>
        <w:rPr>
          <w:rFonts w:eastAsia="仿宋_GB2312"/>
          <w:b w:val="0"/>
          <w:bCs w:val="0"/>
          <w:color w:val="auto"/>
          <w:sz w:val="32"/>
          <w:szCs w:val="32"/>
        </w:rPr>
        <w:t>采用单位自评法</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（五）评价组织。</w:t>
      </w:r>
      <w:r>
        <w:rPr>
          <w:rFonts w:eastAsia="仿宋_GB2312"/>
          <w:b w:val="0"/>
          <w:bCs w:val="0"/>
          <w:color w:val="auto"/>
          <w:sz w:val="32"/>
          <w:szCs w:val="32"/>
        </w:rPr>
        <w:t>评价组</w:t>
      </w:r>
      <w:r>
        <w:rPr>
          <w:rFonts w:eastAsia="仿宋_GB2312"/>
          <w:b w:val="0"/>
          <w:bCs w:val="0"/>
          <w:color w:val="auto"/>
          <w:sz w:val="32"/>
          <w:szCs w:val="32"/>
          <w:lang w:eastAsia="zh-CN"/>
        </w:rPr>
        <w:t>人员由党群工作部、财务部、纪检监察工委组成。其中，党群工作部主要对</w:t>
      </w:r>
      <w:r>
        <w:rPr>
          <w:rFonts w:eastAsia="仿宋_GB2312"/>
          <w:b w:val="0"/>
          <w:bCs w:val="0"/>
          <w:color w:val="auto"/>
          <w:sz w:val="32"/>
          <w:szCs w:val="32"/>
          <w:lang w:val="en-US" w:eastAsia="zh-CN"/>
        </w:rPr>
        <w:t>党员干部作用发挥情况</w:t>
      </w:r>
      <w:r>
        <w:rPr>
          <w:rFonts w:eastAsia="仿宋_GB2312"/>
          <w:b w:val="0"/>
          <w:bCs w:val="0"/>
          <w:color w:val="auto"/>
          <w:sz w:val="32"/>
          <w:szCs w:val="32"/>
          <w:lang w:eastAsia="zh-CN"/>
        </w:rPr>
        <w:t>进行评价打分，财务部主要对资金使用情况进行评价打分，纪检监察工委主要对有关情况进行全过程监督。</w:t>
      </w:r>
    </w:p>
    <w:p>
      <w:pPr>
        <w:keepNext w:val="0"/>
        <w:keepLines w:val="0"/>
        <w:pageBreakBefore w:val="0"/>
        <w:suppressAutoHyphens/>
        <w:kinsoku/>
        <w:wordWrap/>
        <w:overflowPunct/>
        <w:topLinePunct w:val="0"/>
        <w:autoSpaceDE/>
        <w:autoSpaceDN/>
        <w:adjustRightInd w:val="0"/>
        <w:snapToGrid w:val="0"/>
        <w:spacing w:line="578" w:lineRule="exact"/>
        <w:ind w:firstLine="640" w:firstLineChars="200"/>
        <w:rPr>
          <w:rFonts w:eastAsia="仿宋_GB2312"/>
          <w:b w:val="0"/>
          <w:bCs w:val="0"/>
          <w:color w:val="auto"/>
          <w:sz w:val="32"/>
          <w:szCs w:val="32"/>
          <w:u w:val="none"/>
          <w:lang w:val="zh-CN"/>
        </w:rPr>
      </w:pPr>
      <w:r>
        <w:rPr>
          <w:rFonts w:eastAsia="黑体"/>
          <w:b w:val="0"/>
          <w:bCs w:val="0"/>
          <w:color w:val="auto"/>
          <w:sz w:val="32"/>
          <w:szCs w:val="32"/>
          <w:u w:val="none"/>
        </w:rPr>
        <w:t>三、</w:t>
      </w:r>
      <w:r>
        <w:rPr>
          <w:rFonts w:eastAsia="黑体"/>
          <w:b w:val="0"/>
          <w:bCs w:val="0"/>
          <w:color w:val="auto"/>
          <w:sz w:val="32"/>
          <w:szCs w:val="32"/>
          <w:u w:val="none"/>
          <w:lang w:eastAsia="zh-CN"/>
        </w:rPr>
        <w:t>绩效分析</w:t>
      </w:r>
      <w:r>
        <w:rPr>
          <w:rFonts w:eastAsia="仿宋_GB2312"/>
          <w:b w:val="0"/>
          <w:bCs w:val="0"/>
          <w:color w:val="auto"/>
          <w:sz w:val="32"/>
          <w:szCs w:val="32"/>
          <w:u w:val="none"/>
          <w:lang w:val="zh-CN"/>
        </w:rPr>
        <w:tab/>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楷体_GB2312"/>
          <w:b w:val="0"/>
          <w:bCs w:val="0"/>
          <w:color w:val="auto"/>
          <w:sz w:val="32"/>
          <w:szCs w:val="32"/>
          <w:u w:val="none"/>
          <w:lang w:val="en-US" w:eastAsia="zh-CN"/>
        </w:rPr>
      </w:pPr>
      <w:r>
        <w:rPr>
          <w:rFonts w:eastAsia="楷体_GB2312"/>
          <w:b w:val="0"/>
          <w:bCs w:val="0"/>
          <w:color w:val="auto"/>
          <w:sz w:val="32"/>
          <w:szCs w:val="32"/>
          <w:u w:val="none"/>
          <w:lang w:val="zh-CN"/>
        </w:rPr>
        <w:t>（一）</w:t>
      </w:r>
      <w:r>
        <w:rPr>
          <w:rFonts w:eastAsia="楷体_GB2312"/>
          <w:b w:val="0"/>
          <w:bCs w:val="0"/>
          <w:color w:val="auto"/>
          <w:sz w:val="32"/>
          <w:szCs w:val="32"/>
          <w:u w:val="none"/>
          <w:lang w:val="en-US" w:eastAsia="zh-CN"/>
        </w:rPr>
        <w:t>通用指标</w:t>
      </w:r>
      <w:r>
        <w:rPr>
          <w:rFonts w:eastAsia="楷体_GB2312"/>
          <w:b w:val="0"/>
          <w:bCs w:val="0"/>
          <w:color w:val="auto"/>
          <w:kern w:val="0"/>
          <w:sz w:val="32"/>
          <w:szCs w:val="32"/>
          <w:shd w:val="clear" w:color="auto" w:fill="FFFFFF"/>
          <w:lang w:val="zh-CN"/>
        </w:rPr>
        <w:t>绩效分析</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eastAsia="zh-CN"/>
        </w:rPr>
      </w:pPr>
      <w:r>
        <w:rPr>
          <w:rFonts w:eastAsia="楷体_GB2312"/>
          <w:b w:val="0"/>
          <w:bCs w:val="0"/>
          <w:color w:val="auto"/>
          <w:sz w:val="32"/>
          <w:szCs w:val="32"/>
          <w:lang w:val="en-US" w:eastAsia="zh-CN"/>
        </w:rPr>
        <w:t>1.</w:t>
      </w:r>
      <w:r>
        <w:rPr>
          <w:rFonts w:eastAsia="楷体_GB2312"/>
          <w:b w:val="0"/>
          <w:bCs w:val="0"/>
          <w:color w:val="auto"/>
          <w:sz w:val="32"/>
          <w:szCs w:val="32"/>
          <w:lang w:eastAsia="zh-CN"/>
        </w:rPr>
        <w:t>项目决策。</w:t>
      </w:r>
      <w:r>
        <w:rPr>
          <w:rFonts w:eastAsia="仿宋_GB2312"/>
          <w:b w:val="0"/>
          <w:bCs w:val="0"/>
          <w:color w:val="auto"/>
          <w:sz w:val="32"/>
          <w:szCs w:val="32"/>
          <w:lang w:eastAsia="zh-CN"/>
        </w:rPr>
        <w:t>按照“三重一大”程序，确定拟实施项目。自评满分。</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eastAsia="zh-CN"/>
        </w:rPr>
      </w:pPr>
      <w:r>
        <w:rPr>
          <w:rFonts w:eastAsia="楷体_GB2312"/>
          <w:b w:val="0"/>
          <w:bCs w:val="0"/>
          <w:color w:val="auto"/>
          <w:sz w:val="32"/>
          <w:szCs w:val="32"/>
          <w:lang w:val="en-US" w:eastAsia="zh-CN"/>
        </w:rPr>
        <w:t>2.</w:t>
      </w:r>
      <w:r>
        <w:rPr>
          <w:rFonts w:eastAsia="楷体_GB2312"/>
          <w:b w:val="0"/>
          <w:bCs w:val="0"/>
          <w:color w:val="auto"/>
          <w:sz w:val="32"/>
          <w:szCs w:val="32"/>
          <w:lang w:eastAsia="zh-CN"/>
        </w:rPr>
        <w:t>项目管理。</w:t>
      </w:r>
      <w:r>
        <w:rPr>
          <w:rFonts w:eastAsia="仿宋_GB2312"/>
          <w:b w:val="0"/>
          <w:bCs w:val="0"/>
          <w:color w:val="auto"/>
          <w:sz w:val="32"/>
          <w:szCs w:val="32"/>
          <w:lang w:eastAsia="zh-CN"/>
        </w:rPr>
        <w:t>根据</w:t>
      </w:r>
      <w:r>
        <w:rPr>
          <w:rFonts w:eastAsia="仿宋_GB2312"/>
          <w:b w:val="0"/>
          <w:bCs w:val="0"/>
          <w:color w:val="auto"/>
          <w:kern w:val="0"/>
          <w:sz w:val="32"/>
          <w:szCs w:val="32"/>
          <w:u w:val="none"/>
          <w:shd w:val="clear" w:color="auto" w:fill="FFFFFF"/>
          <w:lang w:val="en-US" w:eastAsia="zh-CN"/>
        </w:rPr>
        <w:t>《广元市贯彻&lt;中国共产党党内功勋荣誉表彰条例&gt;实施细则》</w:t>
      </w:r>
      <w:r>
        <w:rPr>
          <w:rFonts w:eastAsia="仿宋_GB2312"/>
          <w:b w:val="0"/>
          <w:bCs w:val="0"/>
          <w:color w:val="auto"/>
          <w:sz w:val="32"/>
          <w:szCs w:val="32"/>
          <w:lang w:eastAsia="zh-CN"/>
        </w:rPr>
        <w:t>，开展</w:t>
      </w:r>
      <w:r>
        <w:rPr>
          <w:rFonts w:eastAsia="仿宋_GB2312"/>
          <w:b w:val="0"/>
          <w:bCs w:val="0"/>
          <w:color w:val="auto"/>
          <w:sz w:val="32"/>
          <w:szCs w:val="32"/>
          <w:lang w:val="en-US" w:eastAsia="zh-CN"/>
        </w:rPr>
        <w:t>“两优一先”表彰对象奖金发放</w:t>
      </w:r>
      <w:r>
        <w:rPr>
          <w:rFonts w:eastAsia="仿宋_GB2312"/>
          <w:b w:val="0"/>
          <w:bCs w:val="0"/>
          <w:color w:val="auto"/>
          <w:sz w:val="32"/>
          <w:szCs w:val="32"/>
          <w:lang w:eastAsia="zh-CN"/>
        </w:rPr>
        <w:t>工作。自评满分。</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eastAsia="zh-CN"/>
        </w:rPr>
      </w:pPr>
      <w:r>
        <w:rPr>
          <w:rFonts w:eastAsia="楷体_GB2312"/>
          <w:b w:val="0"/>
          <w:bCs w:val="0"/>
          <w:color w:val="auto"/>
          <w:sz w:val="32"/>
          <w:szCs w:val="32"/>
          <w:lang w:val="en-US" w:eastAsia="zh-CN"/>
        </w:rPr>
        <w:t>3.项目实施。</w:t>
      </w:r>
      <w:r>
        <w:rPr>
          <w:rFonts w:eastAsia="仿宋_GB2312"/>
          <w:b w:val="0"/>
          <w:bCs w:val="0"/>
          <w:color w:val="auto"/>
          <w:sz w:val="32"/>
          <w:szCs w:val="32"/>
          <w:lang w:val="en-US" w:eastAsia="zh-CN"/>
        </w:rPr>
        <w:t>严格执行预算金额，按照财务规定程序拨付资金。</w:t>
      </w:r>
      <w:r>
        <w:rPr>
          <w:rFonts w:eastAsia="仿宋_GB2312"/>
          <w:b w:val="0"/>
          <w:bCs w:val="0"/>
          <w:color w:val="auto"/>
          <w:sz w:val="32"/>
          <w:szCs w:val="32"/>
          <w:lang w:eastAsia="zh-CN"/>
        </w:rPr>
        <w:t>自评满分。</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val="en-US" w:eastAsia="zh-CN"/>
        </w:rPr>
      </w:pPr>
      <w:r>
        <w:rPr>
          <w:rFonts w:eastAsia="楷体_GB2312"/>
          <w:b w:val="0"/>
          <w:bCs w:val="0"/>
          <w:color w:val="auto"/>
          <w:sz w:val="32"/>
          <w:szCs w:val="32"/>
          <w:lang w:val="en-US" w:eastAsia="zh-CN"/>
        </w:rPr>
        <w:t>4.项目结果。</w:t>
      </w:r>
      <w:r>
        <w:rPr>
          <w:rFonts w:eastAsia="仿宋_GB2312"/>
          <w:b w:val="0"/>
          <w:bCs w:val="0"/>
          <w:color w:val="auto"/>
          <w:kern w:val="0"/>
          <w:sz w:val="32"/>
          <w:szCs w:val="32"/>
          <w:u w:val="none"/>
          <w:shd w:val="clear" w:color="auto" w:fill="FFFFFF"/>
          <w:lang w:val="en-US" w:eastAsia="zh-CN"/>
        </w:rPr>
        <w:t>足额兑付2024年广元国际铁路港1名受到全市“两优一先”表彰的先进个人奖金5000元。</w:t>
      </w:r>
      <w:r>
        <w:rPr>
          <w:rFonts w:eastAsia="仿宋_GB2312"/>
          <w:b w:val="0"/>
          <w:bCs w:val="0"/>
          <w:color w:val="auto"/>
          <w:sz w:val="32"/>
          <w:szCs w:val="32"/>
          <w:lang w:val="en-US" w:eastAsia="zh-CN"/>
        </w:rPr>
        <w:t>自评满分。</w:t>
      </w:r>
    </w:p>
    <w:p>
      <w:pPr>
        <w:keepNext w:val="0"/>
        <w:keepLines w:val="0"/>
        <w:pageBreakBefore w:val="0"/>
        <w:widowControl w:val="0"/>
        <w:suppressAutoHyphens/>
        <w:kinsoku/>
        <w:wordWrap/>
        <w:overflowPunct/>
        <w:topLinePunct w:val="0"/>
        <w:autoSpaceDE/>
        <w:autoSpaceDN/>
        <w:adjustRightInd/>
        <w:snapToGrid/>
        <w:spacing w:line="578" w:lineRule="exact"/>
        <w:ind w:firstLine="640" w:firstLineChars="200"/>
        <w:rPr>
          <w:rFonts w:eastAsia="仿宋_GB2312"/>
          <w:b w:val="0"/>
          <w:bCs w:val="0"/>
          <w:color w:val="auto"/>
          <w:sz w:val="32"/>
          <w:szCs w:val="32"/>
          <w:lang w:val="en-US" w:eastAsia="zh-CN"/>
        </w:rPr>
      </w:pPr>
      <w:r>
        <w:rPr>
          <w:rFonts w:eastAsia="楷体_GB2312"/>
          <w:b w:val="0"/>
          <w:bCs w:val="0"/>
          <w:color w:val="auto"/>
          <w:sz w:val="32"/>
          <w:szCs w:val="32"/>
          <w:u w:val="none"/>
          <w:lang w:val="zh-CN"/>
        </w:rPr>
        <w:t>（二）</w:t>
      </w:r>
      <w:r>
        <w:rPr>
          <w:rFonts w:eastAsia="楷体_GB2312"/>
          <w:b w:val="0"/>
          <w:bCs w:val="0"/>
          <w:color w:val="auto"/>
          <w:sz w:val="32"/>
          <w:szCs w:val="32"/>
          <w:u w:val="none"/>
          <w:lang w:val="en-US" w:eastAsia="zh-CN"/>
        </w:rPr>
        <w:t>专用指标</w:t>
      </w:r>
      <w:r>
        <w:rPr>
          <w:rFonts w:eastAsia="楷体_GB2312"/>
          <w:b w:val="0"/>
          <w:bCs w:val="0"/>
          <w:color w:val="auto"/>
          <w:kern w:val="0"/>
          <w:sz w:val="32"/>
          <w:szCs w:val="32"/>
          <w:shd w:val="clear" w:color="auto" w:fill="FFFFFF"/>
          <w:lang w:val="zh-CN"/>
        </w:rPr>
        <w:t>绩效分析。</w:t>
      </w:r>
      <w:r>
        <w:rPr>
          <w:rFonts w:eastAsia="仿宋_GB2312"/>
          <w:b w:val="0"/>
          <w:bCs w:val="0"/>
          <w:color w:val="auto"/>
          <w:sz w:val="32"/>
          <w:szCs w:val="32"/>
          <w:lang w:val="en-US" w:eastAsia="zh-CN"/>
        </w:rPr>
        <w:t>足额兑付率达100%，被表彰对象满意度达100%。自评满分</w:t>
      </w:r>
      <w:r>
        <w:rPr>
          <w:rFonts w:eastAsia="仿宋_GB2312"/>
          <w:b w:val="0"/>
          <w:bCs w:val="0"/>
          <w:color w:val="auto"/>
          <w:sz w:val="32"/>
          <w:szCs w:val="32"/>
          <w:lang w:val="zh-CN" w:eastAsia="zh-CN"/>
        </w:rPr>
        <w:t>。</w:t>
      </w:r>
    </w:p>
    <w:p>
      <w:pPr>
        <w:keepNext w:val="0"/>
        <w:keepLines w:val="0"/>
        <w:pageBreakBefore w:val="0"/>
        <w:widowControl w:val="0"/>
        <w:suppressAutoHyphens/>
        <w:kinsoku/>
        <w:wordWrap/>
        <w:overflowPunct/>
        <w:topLinePunct w:val="0"/>
        <w:autoSpaceDE/>
        <w:autoSpaceDN/>
        <w:adjustRightInd/>
        <w:snapToGrid/>
        <w:spacing w:line="578" w:lineRule="exact"/>
        <w:ind w:firstLine="640"/>
        <w:rPr>
          <w:rFonts w:eastAsia="仿宋_GB2312"/>
          <w:b w:val="0"/>
          <w:bCs w:val="0"/>
          <w:color w:val="auto"/>
          <w:sz w:val="32"/>
          <w:szCs w:val="32"/>
          <w:lang w:val="en-US" w:eastAsia="zh-CN"/>
        </w:rPr>
      </w:pPr>
      <w:r>
        <w:rPr>
          <w:rFonts w:eastAsia="楷体_GB2312"/>
          <w:b w:val="0"/>
          <w:bCs w:val="0"/>
          <w:color w:val="auto"/>
          <w:sz w:val="32"/>
          <w:szCs w:val="32"/>
          <w:u w:val="none"/>
          <w:lang w:val="zh-CN"/>
        </w:rPr>
        <w:t>（三）</w:t>
      </w:r>
      <w:r>
        <w:rPr>
          <w:rFonts w:eastAsia="楷体_GB2312"/>
          <w:b w:val="0"/>
          <w:bCs w:val="0"/>
          <w:color w:val="auto"/>
          <w:sz w:val="32"/>
          <w:szCs w:val="32"/>
          <w:u w:val="none"/>
          <w:lang w:val="en-US" w:eastAsia="zh-CN"/>
        </w:rPr>
        <w:t>个性指标</w:t>
      </w:r>
      <w:r>
        <w:rPr>
          <w:rFonts w:eastAsia="楷体_GB2312"/>
          <w:b w:val="0"/>
          <w:bCs w:val="0"/>
          <w:color w:val="auto"/>
          <w:kern w:val="0"/>
          <w:sz w:val="32"/>
          <w:szCs w:val="32"/>
          <w:shd w:val="clear" w:color="auto" w:fill="FFFFFF"/>
          <w:lang w:val="zh-CN"/>
        </w:rPr>
        <w:t>绩效分析。</w:t>
      </w:r>
      <w:r>
        <w:rPr>
          <w:rFonts w:eastAsia="仿宋_GB2312"/>
          <w:b w:val="0"/>
          <w:bCs w:val="0"/>
          <w:color w:val="auto"/>
          <w:sz w:val="32"/>
          <w:szCs w:val="32"/>
          <w:lang w:val="en-US" w:eastAsia="zh-CN"/>
        </w:rPr>
        <w:t>通过发放表彰金，</w:t>
      </w:r>
      <w:r>
        <w:rPr>
          <w:rFonts w:eastAsia="仿宋_GB2312"/>
          <w:b w:val="0"/>
          <w:bCs w:val="0"/>
          <w:color w:val="auto"/>
          <w:kern w:val="0"/>
          <w:sz w:val="32"/>
          <w:szCs w:val="32"/>
          <w:u w:val="none"/>
          <w:shd w:val="clear" w:color="auto" w:fill="FFFFFF"/>
          <w:lang w:val="en-US" w:eastAsia="zh-CN"/>
        </w:rPr>
        <w:t>正向激励被表彰对象效果持续加强，创先争优的氛围愈加浓厚</w:t>
      </w:r>
      <w:r>
        <w:rPr>
          <w:rFonts w:eastAsia="仿宋_GB2312"/>
          <w:b w:val="0"/>
          <w:bCs w:val="0"/>
          <w:color w:val="auto"/>
          <w:sz w:val="32"/>
          <w:szCs w:val="32"/>
          <w:lang w:val="en-US" w:eastAsia="zh-CN"/>
        </w:rPr>
        <w:t>。自评满分</w:t>
      </w:r>
      <w:r>
        <w:rPr>
          <w:rFonts w:eastAsia="仿宋_GB2312"/>
          <w:b w:val="0"/>
          <w:bCs w:val="0"/>
          <w:color w:val="auto"/>
          <w:sz w:val="32"/>
          <w:szCs w:val="32"/>
          <w:lang w:val="zh-CN" w:eastAsia="zh-CN"/>
        </w:rPr>
        <w:t>。</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en-US" w:bidi="ar-SA"/>
        </w:rPr>
      </w:pPr>
      <w:r>
        <w:rPr>
          <w:rFonts w:eastAsia="黑体"/>
          <w:b w:val="0"/>
          <w:bCs w:val="0"/>
          <w:color w:val="auto"/>
          <w:kern w:val="0"/>
          <w:position w:val="3"/>
          <w:sz w:val="32"/>
          <w:szCs w:val="32"/>
          <w:u w:val="none"/>
          <w:lang w:val="en-US" w:eastAsia="zh-CN" w:bidi="ar-SA"/>
        </w:rPr>
        <w:t>四</w:t>
      </w:r>
      <w:r>
        <w:rPr>
          <w:rFonts w:eastAsia="黑体"/>
          <w:b w:val="0"/>
          <w:bCs w:val="0"/>
          <w:color w:val="auto"/>
          <w:kern w:val="0"/>
          <w:position w:val="3"/>
          <w:sz w:val="32"/>
          <w:szCs w:val="32"/>
          <w:u w:val="none"/>
          <w:lang w:val="en-US" w:bidi="ar-SA"/>
        </w:rPr>
        <w:t>、评价结论</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通过发放表彰金，党员干部“不服输、敢争先”的干事热情持续高涨，党建引领港区高质量发展成效进一步突显。自评得分100分。</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en-US" w:eastAsia="zh-CN" w:bidi="ar-SA"/>
        </w:rPr>
      </w:pPr>
      <w:r>
        <w:rPr>
          <w:rFonts w:eastAsia="黑体"/>
          <w:b w:val="0"/>
          <w:bCs w:val="0"/>
          <w:color w:val="auto"/>
          <w:kern w:val="0"/>
          <w:position w:val="3"/>
          <w:sz w:val="32"/>
          <w:szCs w:val="32"/>
          <w:u w:val="none"/>
          <w:lang w:val="en-US" w:eastAsia="zh-CN" w:bidi="ar-SA"/>
        </w:rPr>
        <w:t>五、存在主要问题</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2"/>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pageBreakBefore w:val="0"/>
        <w:widowControl/>
        <w:tabs>
          <w:tab w:val="left" w:pos="2160"/>
        </w:tabs>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zh-CN" w:eastAsia="zh-CN" w:bidi="ar-SA"/>
        </w:rPr>
      </w:pPr>
      <w:r>
        <w:rPr>
          <w:rFonts w:eastAsia="黑体"/>
          <w:b w:val="0"/>
          <w:bCs w:val="0"/>
          <w:color w:val="auto"/>
          <w:kern w:val="0"/>
          <w:position w:val="3"/>
          <w:sz w:val="32"/>
          <w:szCs w:val="32"/>
          <w:u w:val="none"/>
          <w:lang w:val="zh-CN" w:eastAsia="zh-CN" w:bidi="ar-SA"/>
        </w:rPr>
        <w:t>六、改进建议</w:t>
      </w:r>
    </w:p>
    <w:p>
      <w:pPr>
        <w:widowControl w:val="0"/>
        <w:tabs>
          <w:tab w:val="left" w:pos="1911"/>
        </w:tabs>
        <w:suppressAutoHyphens/>
        <w:ind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keepNext w:val="0"/>
        <w:keepLines w:val="0"/>
        <w:pageBreakBefore w:val="0"/>
        <w:suppressAutoHyphens/>
        <w:kinsoku/>
        <w:wordWrap/>
        <w:overflowPunct/>
        <w:topLinePunct w:val="0"/>
        <w:autoSpaceDE/>
        <w:autoSpaceDN/>
        <w:adjustRightInd/>
        <w:snapToGrid w:val="0"/>
        <w:spacing w:line="578" w:lineRule="exact"/>
        <w:ind w:left="0" w:firstLine="640" w:firstLineChars="200"/>
        <w:rPr>
          <w:rFonts w:eastAsia="仿宋_GB2312"/>
          <w:b w:val="0"/>
          <w:bCs w:val="0"/>
          <w:color w:val="auto"/>
          <w:kern w:val="0"/>
          <w:sz w:val="32"/>
          <w:szCs w:val="32"/>
          <w:shd w:val="clear" w:color="auto" w:fill="FFFFFF"/>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bookmarkStart w:id="136" w:name="_Toc83065460"/>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r>
        <w:rPr>
          <w:rFonts w:ascii="Times New Roman" w:hAnsi="Times New Roman" w:eastAsia="方正小标宋简体"/>
          <w:b w:val="0"/>
          <w:bCs w:val="0"/>
          <w:color w:val="auto"/>
          <w:kern w:val="2"/>
          <w:sz w:val="44"/>
          <w:szCs w:val="44"/>
          <w:lang w:val="en-US" w:eastAsia="zh-CN"/>
        </w:rPr>
        <w:t>专项预算绩效自评报告</w:t>
      </w:r>
      <w:bookmarkEnd w:id="136"/>
    </w:p>
    <w:p>
      <w:pPr>
        <w:pStyle w:val="31"/>
        <w:keepNext w:val="0"/>
        <w:keepLines w:val="0"/>
        <w:pageBreakBefore w:val="0"/>
        <w:widowControl w:val="0"/>
        <w:suppressAutoHyphens/>
        <w:kinsoku/>
        <w:wordWrap/>
        <w:overflowPunct/>
        <w:topLinePunct w:val="0"/>
        <w:autoSpaceDE/>
        <w:autoSpaceDN/>
        <w:spacing w:line="576" w:lineRule="exact"/>
        <w:jc w:val="center"/>
        <w:outlineLvl w:val="2"/>
        <w:rPr>
          <w:rFonts w:ascii="Times New Roman" w:hAnsi="Times New Roman" w:eastAsia="楷体_GB2312"/>
          <w:b w:val="0"/>
          <w:bCs w:val="0"/>
          <w:color w:val="auto"/>
          <w:sz w:val="32"/>
          <w:szCs w:val="32"/>
          <w:lang w:val="en-US" w:eastAsia="zh-CN"/>
        </w:rPr>
      </w:pPr>
      <w:bookmarkStart w:id="137" w:name="_Toc83065461"/>
      <w:r>
        <w:rPr>
          <w:rFonts w:ascii="Times New Roman" w:hAnsi="Times New Roman" w:eastAsia="楷体_GB2312"/>
          <w:b w:val="0"/>
          <w:bCs w:val="0"/>
          <w:color w:val="auto"/>
          <w:sz w:val="32"/>
          <w:szCs w:val="32"/>
          <w:lang w:val="en-US" w:eastAsia="zh-CN"/>
        </w:rPr>
        <w:t>（2024年物流枢纽承载城市申请工作经费）</w:t>
      </w:r>
      <w:bookmarkEnd w:id="137"/>
    </w:p>
    <w:p>
      <w:pPr>
        <w:pStyle w:val="31"/>
        <w:keepNext w:val="0"/>
        <w:keepLines w:val="0"/>
        <w:pageBreakBefore w:val="0"/>
        <w:widowControl w:val="0"/>
        <w:suppressAutoHyphens/>
        <w:kinsoku/>
        <w:wordWrap/>
        <w:overflowPunct/>
        <w:topLinePunct w:val="0"/>
        <w:autoSpaceDE/>
        <w:autoSpaceDN/>
        <w:spacing w:line="560" w:lineRule="exact"/>
        <w:ind w:left="0" w:firstLine="640"/>
        <w:jc w:val="center"/>
        <w:rPr>
          <w:rFonts w:ascii="Times New Roman" w:hAnsi="Times New Roman"/>
          <w:b w:val="0"/>
          <w:bCs w:val="0"/>
          <w:color w:val="auto"/>
          <w:kern w:val="2"/>
          <w:sz w:val="32"/>
          <w:szCs w:val="32"/>
        </w:rPr>
      </w:pPr>
    </w:p>
    <w:p>
      <w:pPr>
        <w:keepNext w:val="0"/>
        <w:keepLines w:val="0"/>
        <w:pageBreakBefore w:val="0"/>
        <w:widowControl w:val="0"/>
        <w:suppressAutoHyphens/>
        <w:kinsoku/>
        <w:wordWrap/>
        <w:overflowPunct/>
        <w:topLinePunct w:val="0"/>
        <w:autoSpaceDE/>
        <w:autoSpaceDN/>
        <w:adjustRightInd w:val="0"/>
        <w:snapToGrid w:val="0"/>
        <w:spacing w:line="560" w:lineRule="exact"/>
        <w:ind w:left="0" w:firstLine="640" w:firstLineChars="200"/>
        <w:rPr>
          <w:rFonts w:eastAsia="黑体"/>
          <w:b w:val="0"/>
          <w:bCs w:val="0"/>
          <w:color w:val="auto"/>
          <w:sz w:val="32"/>
          <w:szCs w:val="32"/>
          <w:lang w:val="zh-CN"/>
        </w:rPr>
      </w:pPr>
      <w:r>
        <w:rPr>
          <w:rFonts w:eastAsia="黑体"/>
          <w:b w:val="0"/>
          <w:bCs w:val="0"/>
          <w:color w:val="auto"/>
          <w:sz w:val="32"/>
          <w:szCs w:val="32"/>
        </w:rPr>
        <w:t>一、</w:t>
      </w:r>
      <w:r>
        <w:rPr>
          <w:rFonts w:eastAsia="黑体"/>
          <w:b w:val="0"/>
          <w:bCs w:val="0"/>
          <w:color w:val="auto"/>
          <w:sz w:val="32"/>
          <w:szCs w:val="32"/>
          <w:lang w:val="zh-CN"/>
        </w:rPr>
        <w:t>项目概况</w:t>
      </w:r>
    </w:p>
    <w:p>
      <w:pPr>
        <w:keepNext w:val="0"/>
        <w:keepLines w:val="0"/>
        <w:pageBreakBefore w:val="0"/>
        <w:widowControl/>
        <w:suppressAutoHyphens/>
        <w:kinsoku/>
        <w:wordWrap/>
        <w:overflowPunct/>
        <w:topLinePunct w:val="0"/>
        <w:autoSpaceDE/>
        <w:autoSpaceDN/>
        <w:adjustRightInd w:val="0"/>
        <w:snapToGrid w:val="0"/>
        <w:spacing w:line="560" w:lineRule="exact"/>
        <w:ind w:left="0" w:firstLine="640" w:firstLineChars="200"/>
        <w:contextualSpacing/>
        <w:jc w:val="left"/>
        <w:rPr>
          <w:rFonts w:eastAsia="仿宋_GB2312"/>
          <w:b w:val="0"/>
          <w:bCs w:val="0"/>
          <w:color w:val="auto"/>
          <w:kern w:val="0"/>
          <w:sz w:val="32"/>
          <w:szCs w:val="32"/>
          <w:u w:val="none"/>
          <w:shd w:val="clear" w:color="auto" w:fill="FFFFFF"/>
          <w:lang w:val="zh-CN"/>
        </w:rPr>
      </w:pPr>
      <w:r>
        <w:rPr>
          <w:rFonts w:eastAsia="楷体_GB2312"/>
          <w:b w:val="0"/>
          <w:bCs w:val="0"/>
          <w:color w:val="auto"/>
          <w:sz w:val="32"/>
          <w:szCs w:val="32"/>
          <w:u w:val="none"/>
          <w:lang w:val="zh-CN"/>
        </w:rPr>
        <w:t>（一）设立背景及基本情况</w:t>
      </w:r>
    </w:p>
    <w:p>
      <w:pPr>
        <w:keepNext w:val="0"/>
        <w:keepLines w:val="0"/>
        <w:pageBreakBefore w:val="0"/>
        <w:widowControl/>
        <w:suppressAutoHyphens/>
        <w:kinsoku/>
        <w:wordWrap/>
        <w:overflowPunct/>
        <w:topLinePunct w:val="0"/>
        <w:autoSpaceDE/>
        <w:autoSpaceDN/>
        <w:adjustRightInd w:val="0"/>
        <w:snapToGrid w:val="0"/>
        <w:spacing w:line="560" w:lineRule="exact"/>
        <w:ind w:left="0" w:firstLine="640" w:firstLineChars="200"/>
        <w:contextualSpacing/>
        <w:jc w:val="left"/>
        <w:rPr>
          <w:rFonts w:eastAsia="仿宋_GB2312"/>
          <w:b w:val="0"/>
          <w:bCs w:val="0"/>
          <w:color w:val="auto"/>
          <w:sz w:val="32"/>
          <w:szCs w:val="32"/>
          <w:u w:val="none"/>
          <w:lang w:val="zh-CN"/>
        </w:rPr>
      </w:pPr>
      <w:r>
        <w:rPr>
          <w:rFonts w:eastAsia="仿宋_GB2312"/>
          <w:b w:val="0"/>
          <w:bCs w:val="0"/>
          <w:color w:val="auto"/>
          <w:sz w:val="32"/>
          <w:szCs w:val="32"/>
          <w:u w:val="none"/>
          <w:lang w:val="zh-CN"/>
        </w:rPr>
        <w:t>项目设立原因及背景：广元地处川陕甘三省交界处，是川陕革命老区核心区域，素有“川北门户、蜀道咽喉”之称，拥有2300多年建城史，是一座“因路而生、因路而兴”的城市。作为80个全国性综合交通枢纽、179个国家级公路运输枢纽之一，广元是连接“一带一路”、西部陆海新通道和长江经济带等重大战略的关键节点，也是全省第二大铁路枢纽、《四川省“十四五”现代物流发展规划》定位的区域物流枢纽承载城市，符合《关于做好2024年物流枢纽承载城市申报工作的通知》（川财建〔2024〕185号）提出的支持范围。</w:t>
      </w:r>
    </w:p>
    <w:p>
      <w:pPr>
        <w:keepNext w:val="0"/>
        <w:keepLines w:val="0"/>
        <w:pageBreakBefore w:val="0"/>
        <w:widowControl/>
        <w:suppressAutoHyphens/>
        <w:kinsoku/>
        <w:wordWrap/>
        <w:overflowPunct/>
        <w:topLinePunct w:val="0"/>
        <w:autoSpaceDE/>
        <w:autoSpaceDN/>
        <w:adjustRightInd w:val="0"/>
        <w:snapToGrid w:val="0"/>
        <w:spacing w:line="560" w:lineRule="exact"/>
        <w:ind w:left="0" w:firstLine="640" w:firstLineChars="200"/>
        <w:contextualSpacing/>
        <w:jc w:val="left"/>
        <w:rPr>
          <w:rFonts w:eastAsia="仿宋_GB2312"/>
          <w:b w:val="0"/>
          <w:bCs w:val="0"/>
          <w:color w:val="auto"/>
          <w:sz w:val="32"/>
          <w:szCs w:val="32"/>
          <w:lang w:val="zh-CN"/>
        </w:rPr>
      </w:pPr>
      <w:r>
        <w:rPr>
          <w:rFonts w:eastAsia="仿宋_GB2312"/>
          <w:b w:val="0"/>
          <w:bCs w:val="0"/>
          <w:color w:val="auto"/>
          <w:sz w:val="32"/>
          <w:szCs w:val="32"/>
          <w:lang w:val="zh-CN"/>
        </w:rPr>
        <w:t>2023年7月25日，习近平总书记亲临广元视察，到翠云廊古蜀道考察调研，指出“广元战略位置很重要”。省发展改革委等</w:t>
      </w:r>
      <w:r>
        <w:rPr>
          <w:rFonts w:eastAsia="仿宋_GB2312"/>
          <w:b w:val="0"/>
          <w:bCs w:val="0"/>
          <w:color w:val="auto"/>
          <w:sz w:val="32"/>
          <w:szCs w:val="32"/>
          <w:lang w:val="en-US" w:eastAsia="zh-CN"/>
        </w:rPr>
        <w:t>1</w:t>
      </w:r>
      <w:r>
        <w:rPr>
          <w:rFonts w:eastAsia="仿宋_GB2312"/>
          <w:b w:val="0"/>
          <w:bCs w:val="0"/>
          <w:color w:val="auto"/>
          <w:sz w:val="32"/>
          <w:szCs w:val="32"/>
          <w:lang w:val="zh-CN"/>
        </w:rPr>
        <w:t>2个部门聚焦物流和市场体系建设，联合印发《支持广元革命老区发挥区位优势建设成渝地区北向重要门户枢纽的实施意见》，明确5个方面26条具体政策：支持广元实施交通提质行动，构建内联外畅开放通道；支持广元提升综合服务功能，打造多式联运物流枢纽；支持广元加强资源转化利用，培育特色优势主导产业；支持广元壮大市场经营主体，增强龙头企业带动能力；同时，加大专项政策支持，全面提升广元物流枢纽能级。当前，广元正加速推进通道优势向经济优势转变，高质量推进广元国际铁路港、广元公路物流园、广元港物流园、广元航空物流园建设，高水平打造广元国际物流港，积极创建国家物流枢纽承载城市，努力融入国家“通道+枢纽+网络”的现代物流运行体系。</w:t>
      </w:r>
    </w:p>
    <w:p>
      <w:pPr>
        <w:keepNext w:val="0"/>
        <w:keepLines w:val="0"/>
        <w:pageBreakBefore w:val="0"/>
        <w:widowControl/>
        <w:suppressAutoHyphens/>
        <w:kinsoku/>
        <w:wordWrap/>
        <w:overflowPunct/>
        <w:topLinePunct w:val="0"/>
        <w:autoSpaceDE/>
        <w:autoSpaceDN/>
        <w:adjustRightInd w:val="0"/>
        <w:snapToGrid w:val="0"/>
        <w:spacing w:line="560" w:lineRule="exact"/>
        <w:ind w:left="0" w:firstLine="640" w:firstLineChars="200"/>
        <w:contextualSpacing/>
        <w:jc w:val="left"/>
        <w:rPr>
          <w:rFonts w:eastAsia="仿宋_GB2312"/>
          <w:b w:val="0"/>
          <w:bCs w:val="0"/>
          <w:color w:val="auto"/>
          <w:sz w:val="32"/>
          <w:szCs w:val="32"/>
          <w:lang w:val="zh-CN"/>
        </w:rPr>
      </w:pPr>
      <w:r>
        <w:rPr>
          <w:rFonts w:eastAsia="仿宋_GB2312"/>
          <w:b w:val="0"/>
          <w:bCs w:val="0"/>
          <w:color w:val="auto"/>
          <w:sz w:val="32"/>
          <w:szCs w:val="32"/>
          <w:lang w:val="zh-CN"/>
        </w:rPr>
        <w:t>项目立项、资金申报的依据：《国家物流枢纽布局和建设规划》《国家物流枢纽网络建设实施方案（</w:t>
      </w:r>
      <w:r>
        <w:rPr>
          <w:rFonts w:eastAsia="仿宋_GB2312"/>
          <w:b w:val="0"/>
          <w:bCs w:val="0"/>
          <w:color w:val="auto"/>
          <w:sz w:val="32"/>
          <w:szCs w:val="32"/>
          <w:lang w:val="en-US" w:eastAsia="zh-CN"/>
        </w:rPr>
        <w:t>2021-2025</w:t>
      </w:r>
      <w:r>
        <w:rPr>
          <w:rFonts w:eastAsia="仿宋_GB2312"/>
          <w:b w:val="0"/>
          <w:bCs w:val="0"/>
          <w:color w:val="auto"/>
          <w:sz w:val="32"/>
          <w:szCs w:val="32"/>
          <w:lang w:val="zh-CN"/>
        </w:rPr>
        <w:t>）》《关于开展物流枢纽承载城市建设工作的通知》。</w:t>
      </w:r>
    </w:p>
    <w:p>
      <w:pPr>
        <w:keepNext w:val="0"/>
        <w:keepLines w:val="0"/>
        <w:pageBreakBefore w:val="0"/>
        <w:widowControl/>
        <w:suppressAutoHyphens/>
        <w:kinsoku/>
        <w:wordWrap/>
        <w:overflowPunct/>
        <w:topLinePunct w:val="0"/>
        <w:autoSpaceDE/>
        <w:autoSpaceDN/>
        <w:adjustRightInd w:val="0"/>
        <w:snapToGrid w:val="0"/>
        <w:spacing w:line="560" w:lineRule="exact"/>
        <w:ind w:left="0" w:firstLine="640" w:firstLineChars="200"/>
        <w:contextualSpacing/>
        <w:jc w:val="left"/>
        <w:rPr>
          <w:rFonts w:eastAsia="仿宋_GB2312"/>
          <w:b w:val="0"/>
          <w:bCs w:val="0"/>
          <w:color w:val="auto"/>
          <w:kern w:val="2"/>
          <w:sz w:val="32"/>
          <w:szCs w:val="32"/>
          <w:lang w:val="zh-CN" w:eastAsia="zh-CN" w:bidi="ar-SA"/>
        </w:rPr>
      </w:pPr>
      <w:r>
        <w:rPr>
          <w:rFonts w:eastAsia="仿宋_GB2312"/>
          <w:b w:val="0"/>
          <w:bCs w:val="0"/>
          <w:color w:val="auto"/>
          <w:kern w:val="2"/>
          <w:sz w:val="32"/>
          <w:szCs w:val="32"/>
          <w:lang w:val="zh-CN" w:eastAsia="zh-CN" w:bidi="ar-SA"/>
        </w:rPr>
        <w:t>项目主要内容：配合发改、财政、交通、口岸、供销社、商务等部门做好物流枢纽承载城市建设争取等相关工作。</w:t>
      </w:r>
    </w:p>
    <w:p>
      <w:pPr>
        <w:keepNext w:val="0"/>
        <w:keepLines w:val="0"/>
        <w:pageBreakBefore w:val="0"/>
        <w:widowControl/>
        <w:suppressAutoHyphens/>
        <w:kinsoku/>
        <w:wordWrap/>
        <w:overflowPunct/>
        <w:topLinePunct w:val="0"/>
        <w:autoSpaceDE/>
        <w:autoSpaceDN/>
        <w:adjustRightInd w:val="0"/>
        <w:snapToGrid w:val="0"/>
        <w:spacing w:line="560" w:lineRule="exact"/>
        <w:ind w:left="0" w:firstLine="640" w:firstLineChars="200"/>
        <w:contextualSpacing/>
        <w:jc w:val="left"/>
        <w:rPr>
          <w:rFonts w:eastAsia="仿宋_GB2312"/>
          <w:b w:val="0"/>
          <w:bCs w:val="0"/>
          <w:color w:val="auto"/>
          <w:sz w:val="32"/>
          <w:szCs w:val="32"/>
          <w:lang w:val="en-US" w:eastAsia="zh-CN"/>
        </w:rPr>
      </w:pPr>
      <w:r>
        <w:rPr>
          <w:rFonts w:eastAsia="仿宋_GB2312"/>
          <w:b w:val="0"/>
          <w:bCs w:val="0"/>
          <w:color w:val="auto"/>
          <w:sz w:val="32"/>
          <w:szCs w:val="32"/>
          <w:lang w:val="en-US" w:eastAsia="zh-CN"/>
        </w:rPr>
        <w:t>主管部门职能：广元国际铁路港管理委员会会同发改、财政等部门做好项目申报和项目实施工作。</w:t>
      </w:r>
    </w:p>
    <w:p>
      <w:pPr>
        <w:keepNext w:val="0"/>
        <w:keepLines w:val="0"/>
        <w:pageBreakBefore w:val="0"/>
        <w:widowControl/>
        <w:numPr>
          <w:ilvl w:val="0"/>
          <w:numId w:val="3"/>
        </w:numPr>
        <w:suppressAutoHyphens/>
        <w:kinsoku/>
        <w:wordWrap/>
        <w:overflowPunct/>
        <w:topLinePunct w:val="0"/>
        <w:autoSpaceDE/>
        <w:autoSpaceDN/>
        <w:adjustRightInd w:val="0"/>
        <w:snapToGrid w:val="0"/>
        <w:spacing w:line="560" w:lineRule="exact"/>
        <w:ind w:left="0" w:firstLine="640" w:firstLineChars="200"/>
        <w:contextualSpacing/>
        <w:jc w:val="left"/>
        <w:rPr>
          <w:rFonts w:eastAsia="楷体_GB2312"/>
          <w:b w:val="0"/>
          <w:bCs w:val="0"/>
          <w:color w:val="auto"/>
          <w:sz w:val="32"/>
          <w:szCs w:val="32"/>
          <w:u w:val="none"/>
          <w:lang w:val="zh-CN"/>
        </w:rPr>
      </w:pPr>
      <w:r>
        <w:rPr>
          <w:rFonts w:eastAsia="楷体_GB2312"/>
          <w:b w:val="0"/>
          <w:bCs w:val="0"/>
          <w:color w:val="auto"/>
          <w:sz w:val="32"/>
          <w:szCs w:val="32"/>
          <w:u w:val="none"/>
          <w:lang w:val="en-US" w:eastAsia="zh-CN"/>
        </w:rPr>
        <w:t>实施目的及支持方向。</w:t>
      </w:r>
      <w:r>
        <w:rPr>
          <w:rFonts w:eastAsia="仿宋_GB2312"/>
          <w:b w:val="0"/>
          <w:bCs w:val="0"/>
          <w:color w:val="auto"/>
          <w:kern w:val="0"/>
          <w:sz w:val="32"/>
          <w:szCs w:val="32"/>
          <w:u w:val="none"/>
          <w:shd w:val="clear" w:color="auto" w:fill="FFFFFF"/>
          <w:lang w:val="en-US" w:eastAsia="zh-CN"/>
        </w:rPr>
        <w:t>配合发改、财政等部门成功申建2024年省级物流枢纽承载城市</w:t>
      </w:r>
      <w:r>
        <w:rPr>
          <w:rFonts w:eastAsia="仿宋_GB2312"/>
          <w:b w:val="0"/>
          <w:bCs w:val="0"/>
          <w:color w:val="auto"/>
          <w:kern w:val="0"/>
          <w:sz w:val="32"/>
          <w:szCs w:val="32"/>
          <w:u w:val="none"/>
          <w:shd w:val="clear" w:color="auto" w:fill="FFFFFF"/>
          <w:lang w:val="zh-CN"/>
        </w:rPr>
        <w:t>。</w:t>
      </w:r>
    </w:p>
    <w:p>
      <w:pPr>
        <w:keepNext w:val="0"/>
        <w:keepLines w:val="0"/>
        <w:pageBreakBefore w:val="0"/>
        <w:widowControl/>
        <w:suppressAutoHyphens/>
        <w:kinsoku/>
        <w:wordWrap/>
        <w:overflowPunct/>
        <w:topLinePunct w:val="0"/>
        <w:autoSpaceDE/>
        <w:autoSpaceDN/>
        <w:adjustRightInd w:val="0"/>
        <w:snapToGrid w:val="0"/>
        <w:spacing w:line="560" w:lineRule="exact"/>
        <w:ind w:left="0" w:firstLine="640" w:firstLineChars="200"/>
        <w:contextualSpacing/>
        <w:jc w:val="left"/>
        <w:rPr>
          <w:rFonts w:eastAsia="仿宋_GB2312"/>
          <w:b w:val="0"/>
          <w:bCs w:val="0"/>
          <w:color w:val="auto"/>
          <w:kern w:val="0"/>
          <w:sz w:val="32"/>
          <w:szCs w:val="32"/>
          <w:u w:val="none"/>
          <w:shd w:val="clear" w:color="auto" w:fill="FFFFFF"/>
          <w:lang w:val="en-US" w:eastAsia="zh-CN"/>
        </w:rPr>
      </w:pPr>
      <w:r>
        <w:rPr>
          <w:rFonts w:eastAsia="楷体_GB2312"/>
          <w:b w:val="0"/>
          <w:bCs w:val="0"/>
          <w:color w:val="auto"/>
          <w:sz w:val="32"/>
          <w:szCs w:val="32"/>
          <w:u w:val="none"/>
          <w:lang w:val="en-US" w:eastAsia="zh-CN"/>
        </w:rPr>
        <w:t>（三）预算安排及分配管理</w:t>
      </w:r>
      <w:r>
        <w:rPr>
          <w:rFonts w:eastAsia="楷体_GB2312"/>
          <w:b w:val="0"/>
          <w:bCs w:val="0"/>
          <w:color w:val="auto"/>
          <w:sz w:val="32"/>
          <w:szCs w:val="32"/>
          <w:u w:val="none"/>
          <w:lang w:val="zh-CN" w:eastAsia="zh-CN"/>
        </w:rPr>
        <w:t>。</w:t>
      </w:r>
      <w:r>
        <w:rPr>
          <w:rFonts w:eastAsia="仿宋_GB2312"/>
          <w:b w:val="0"/>
          <w:bCs w:val="0"/>
          <w:color w:val="auto"/>
          <w:kern w:val="0"/>
          <w:sz w:val="32"/>
          <w:szCs w:val="32"/>
          <w:u w:val="none"/>
          <w:shd w:val="clear" w:color="auto" w:fill="FFFFFF"/>
          <w:lang w:val="en-US" w:eastAsia="zh-CN"/>
        </w:rPr>
        <w:t>总预算数5万元，根据项目实际需要合理安排。</w:t>
      </w:r>
    </w:p>
    <w:p>
      <w:pPr>
        <w:keepNext w:val="0"/>
        <w:keepLines w:val="0"/>
        <w:pageBreakBefore w:val="0"/>
        <w:suppressAutoHyphens/>
        <w:kinsoku/>
        <w:wordWrap/>
        <w:overflowPunct/>
        <w:topLinePunct w:val="0"/>
        <w:autoSpaceDE/>
        <w:autoSpaceDN/>
        <w:adjustRightInd w:val="0"/>
        <w:snapToGrid w:val="0"/>
        <w:spacing w:line="560" w:lineRule="exact"/>
        <w:ind w:left="0" w:firstLine="640" w:firstLineChars="200"/>
        <w:rPr>
          <w:rFonts w:eastAsia="楷体_GB2312"/>
          <w:b w:val="0"/>
          <w:bCs w:val="0"/>
          <w:color w:val="auto"/>
          <w:sz w:val="32"/>
          <w:szCs w:val="32"/>
          <w:u w:val="none"/>
          <w:lang w:val="zh-CN" w:eastAsia="zh-CN"/>
        </w:rPr>
      </w:pPr>
      <w:r>
        <w:rPr>
          <w:rFonts w:eastAsia="楷体_GB2312"/>
          <w:b w:val="0"/>
          <w:bCs w:val="0"/>
          <w:color w:val="auto"/>
          <w:sz w:val="32"/>
          <w:szCs w:val="32"/>
          <w:u w:val="none"/>
          <w:lang w:val="zh-CN" w:eastAsia="zh-CN"/>
        </w:rPr>
        <w:t>（四）项目绩效目标设置。</w:t>
      </w:r>
    </w:p>
    <w:p>
      <w:pPr>
        <w:keepNext w:val="0"/>
        <w:keepLines w:val="0"/>
        <w:pageBreakBefore w:val="0"/>
        <w:suppressAutoHyphens/>
        <w:kinsoku/>
        <w:wordWrap/>
        <w:overflowPunct/>
        <w:topLinePunct w:val="0"/>
        <w:autoSpaceDE/>
        <w:autoSpaceDN/>
        <w:adjustRightInd w:val="0"/>
        <w:snapToGrid w:val="0"/>
        <w:spacing w:line="560" w:lineRule="exact"/>
        <w:ind w:left="0" w:firstLine="640" w:firstLineChars="200"/>
        <w:rPr>
          <w:rFonts w:eastAsia="仿宋_GB2312"/>
          <w:b w:val="0"/>
          <w:bCs w:val="0"/>
          <w:color w:val="auto"/>
          <w:kern w:val="0"/>
          <w:sz w:val="32"/>
          <w:szCs w:val="32"/>
          <w:u w:val="none"/>
          <w:shd w:val="clear" w:color="auto" w:fill="FFFFFF"/>
          <w:lang w:val="en-US" w:eastAsia="zh-CN"/>
        </w:rPr>
      </w:pPr>
      <w:r>
        <w:rPr>
          <w:rFonts w:eastAsia="仿宋_GB2312"/>
          <w:b w:val="0"/>
          <w:bCs w:val="0"/>
          <w:color w:val="auto"/>
          <w:kern w:val="0"/>
          <w:sz w:val="32"/>
          <w:szCs w:val="32"/>
          <w:u w:val="none"/>
          <w:shd w:val="clear" w:color="auto" w:fill="FFFFFF"/>
          <w:lang w:val="zh-CN" w:eastAsia="zh-CN"/>
        </w:rPr>
        <w:t>项目设置预算执行情况考核指标</w:t>
      </w:r>
      <w:r>
        <w:rPr>
          <w:rFonts w:eastAsia="仿宋_GB2312"/>
          <w:b w:val="0"/>
          <w:bCs w:val="0"/>
          <w:color w:val="auto"/>
          <w:kern w:val="0"/>
          <w:sz w:val="32"/>
          <w:szCs w:val="32"/>
          <w:u w:val="none"/>
          <w:shd w:val="clear" w:color="auto" w:fill="FFFFFF"/>
          <w:lang w:val="en-US" w:eastAsia="zh-CN"/>
        </w:rPr>
        <w:t>1项，占比10分；绩效指标为产出指标、效益指标、满意度指标、成本指标等4项，占比90分。其中，产出指标下设数量指标、质量指标、时效指标3项二级指标；效益指标下设社会效益指标、经济效益指标2项二级指标。</w:t>
      </w:r>
    </w:p>
    <w:p>
      <w:pPr>
        <w:keepNext w:val="0"/>
        <w:keepLines w:val="0"/>
        <w:pageBreakBefore w:val="0"/>
        <w:widowControl w:val="0"/>
        <w:suppressAutoHyphens/>
        <w:kinsoku/>
        <w:wordWrap/>
        <w:overflowPunct/>
        <w:topLinePunct w:val="0"/>
        <w:autoSpaceDE/>
        <w:autoSpaceDN/>
        <w:adjustRightInd w:val="0"/>
        <w:snapToGrid w:val="0"/>
        <w:spacing w:line="560" w:lineRule="exact"/>
        <w:ind w:left="0" w:firstLine="640" w:firstLineChars="200"/>
        <w:rPr>
          <w:rFonts w:eastAsia="仿宋_GB2312"/>
          <w:b w:val="0"/>
          <w:bCs w:val="0"/>
          <w:color w:val="auto"/>
          <w:sz w:val="32"/>
          <w:szCs w:val="32"/>
          <w:lang w:val="en-US" w:eastAsia="zh-CN"/>
        </w:rPr>
      </w:pPr>
      <w:r>
        <w:rPr>
          <w:rFonts w:eastAsia="仿宋_GB2312"/>
          <w:b w:val="0"/>
          <w:bCs w:val="0"/>
          <w:color w:val="auto"/>
          <w:sz w:val="32"/>
          <w:szCs w:val="32"/>
          <w:lang w:val="en-US" w:eastAsia="zh-CN"/>
        </w:rPr>
        <w:t>数量指标为赴省发改委等省级部门（单位）对接相关工作3次及以上，配合完成2024年省级物流枢纽承载城市实施方案编制1个，工作完成时间12个月以内；质量指标为成功申建2024年物流枢纽承载城市；效益指标为带动城市和枢纽经济发展水平、改善区域交通物流水平；满意度指标为群众满意度大于90%；成本指标为控制经费指出为5万元。</w:t>
      </w:r>
    </w:p>
    <w:p>
      <w:pPr>
        <w:widowControl/>
        <w:suppressAutoHyphens/>
        <w:spacing w:line="480" w:lineRule="auto"/>
        <w:ind w:firstLine="640" w:firstLineChars="200"/>
        <w:jc w:val="left"/>
        <w:rPr>
          <w:rFonts w:eastAsia="仿宋_GB2312"/>
          <w:b w:val="0"/>
          <w:bCs w:val="0"/>
          <w:color w:val="auto"/>
          <w:kern w:val="0"/>
          <w:position w:val="3"/>
          <w:sz w:val="32"/>
          <w:szCs w:val="32"/>
          <w:lang w:val="en-US" w:eastAsia="zh-CN" w:bidi="ar-SA"/>
        </w:rPr>
      </w:pPr>
      <w:r>
        <w:rPr>
          <w:rFonts w:eastAsia="仿宋_GB2312"/>
          <w:b w:val="0"/>
          <w:bCs w:val="0"/>
          <w:color w:val="auto"/>
          <w:kern w:val="0"/>
          <w:position w:val="3"/>
          <w:sz w:val="32"/>
          <w:szCs w:val="32"/>
          <w:lang w:val="en-US" w:eastAsia="zh-CN" w:bidi="ar-SA"/>
        </w:rPr>
        <w:t>目前已完成项目自评工作，自评得分100分，该项工作完成较好。</w:t>
      </w:r>
    </w:p>
    <w:p>
      <w:pPr>
        <w:keepNext w:val="0"/>
        <w:keepLines w:val="0"/>
        <w:pageBreakBefore w:val="0"/>
        <w:widowControl w:val="0"/>
        <w:suppressAutoHyphens/>
        <w:kinsoku/>
        <w:wordWrap/>
        <w:overflowPunct/>
        <w:topLinePunct w:val="0"/>
        <w:autoSpaceDE/>
        <w:autoSpaceDN/>
        <w:adjustRightInd w:val="0"/>
        <w:snapToGrid w:val="0"/>
        <w:spacing w:line="560" w:lineRule="exact"/>
        <w:ind w:left="0" w:firstLine="640" w:firstLineChars="200"/>
        <w:rPr>
          <w:rFonts w:eastAsia="黑体"/>
          <w:b w:val="0"/>
          <w:bCs w:val="0"/>
          <w:color w:val="auto"/>
          <w:sz w:val="32"/>
          <w:szCs w:val="32"/>
          <w:lang w:eastAsia="zh-CN"/>
        </w:rPr>
      </w:pPr>
      <w:r>
        <w:rPr>
          <w:rFonts w:eastAsia="黑体"/>
          <w:b w:val="0"/>
          <w:bCs w:val="0"/>
          <w:color w:val="auto"/>
          <w:sz w:val="32"/>
          <w:szCs w:val="32"/>
        </w:rPr>
        <w:t>二、</w:t>
      </w:r>
      <w:r>
        <w:rPr>
          <w:rFonts w:eastAsia="黑体"/>
          <w:b w:val="0"/>
          <w:bCs w:val="0"/>
          <w:color w:val="auto"/>
          <w:sz w:val="32"/>
          <w:szCs w:val="32"/>
          <w:lang w:eastAsia="zh-CN"/>
        </w:rPr>
        <w:t>评价实施</w:t>
      </w:r>
    </w:p>
    <w:p>
      <w:pPr>
        <w:keepNext w:val="0"/>
        <w:keepLines w:val="0"/>
        <w:pageBreakBefore w:val="0"/>
        <w:widowControl w:val="0"/>
        <w:suppressAutoHyphens/>
        <w:kinsoku/>
        <w:wordWrap/>
        <w:overflowPunct/>
        <w:topLinePunct w:val="0"/>
        <w:autoSpaceDE/>
        <w:autoSpaceDN/>
        <w:spacing w:line="560" w:lineRule="exact"/>
        <w:ind w:left="0" w:firstLine="640"/>
        <w:rPr>
          <w:rFonts w:eastAsia="仿宋_GB2312"/>
          <w:b w:val="0"/>
          <w:bCs w:val="0"/>
          <w:color w:val="auto"/>
          <w:sz w:val="32"/>
          <w:szCs w:val="32"/>
        </w:rPr>
      </w:pPr>
      <w:r>
        <w:rPr>
          <w:rFonts w:eastAsia="楷体_GB2312"/>
          <w:b w:val="0"/>
          <w:bCs w:val="0"/>
          <w:color w:val="auto"/>
          <w:sz w:val="32"/>
          <w:szCs w:val="32"/>
          <w:u w:val="none"/>
          <w:lang w:val="zh-CN"/>
        </w:rPr>
        <w:t>（一）评价目的。</w:t>
      </w:r>
      <w:r>
        <w:rPr>
          <w:rFonts w:eastAsia="仿宋_GB2312"/>
          <w:b w:val="0"/>
          <w:bCs w:val="0"/>
          <w:color w:val="auto"/>
          <w:sz w:val="32"/>
          <w:szCs w:val="32"/>
        </w:rPr>
        <w:t>通过项目绩效自评督促项目高质量完成</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adjustRightInd w:val="0"/>
        <w:snapToGrid w:val="0"/>
        <w:spacing w:line="560" w:lineRule="exact"/>
        <w:ind w:left="0" w:firstLine="640" w:firstLineChars="200"/>
        <w:rPr>
          <w:rFonts w:eastAsia="仿宋_GB2312"/>
          <w:b w:val="0"/>
          <w:bCs w:val="0"/>
          <w:color w:val="auto"/>
          <w:sz w:val="32"/>
          <w:szCs w:val="32"/>
        </w:rPr>
      </w:pPr>
      <w:r>
        <w:rPr>
          <w:rFonts w:eastAsia="楷体_GB2312"/>
          <w:b w:val="0"/>
          <w:bCs w:val="0"/>
          <w:color w:val="auto"/>
          <w:sz w:val="32"/>
          <w:szCs w:val="32"/>
          <w:u w:val="none"/>
          <w:lang w:val="zh-CN"/>
        </w:rPr>
        <w:t>（二）预设问题及评价重点。</w:t>
      </w:r>
      <w:r>
        <w:rPr>
          <w:rFonts w:eastAsia="仿宋_GB2312"/>
          <w:b w:val="0"/>
          <w:bCs w:val="0"/>
          <w:color w:val="auto"/>
          <w:sz w:val="32"/>
          <w:szCs w:val="32"/>
        </w:rPr>
        <w:t>对资金绩效目标特别是产产出</w:t>
      </w:r>
    </w:p>
    <w:p>
      <w:pPr>
        <w:keepNext w:val="0"/>
        <w:keepLines w:val="0"/>
        <w:pageBreakBefore w:val="0"/>
        <w:widowControl w:val="0"/>
        <w:suppressAutoHyphens/>
        <w:kinsoku/>
        <w:wordWrap/>
        <w:overflowPunct/>
        <w:topLinePunct w:val="0"/>
        <w:autoSpaceDE/>
        <w:autoSpaceDN/>
        <w:adjustRightInd w:val="0"/>
        <w:snapToGrid w:val="0"/>
        <w:spacing w:line="560" w:lineRule="exact"/>
        <w:rPr>
          <w:rFonts w:eastAsia="仿宋_GB2312"/>
          <w:b w:val="0"/>
          <w:bCs w:val="0"/>
          <w:color w:val="auto"/>
          <w:sz w:val="32"/>
          <w:szCs w:val="32"/>
          <w:lang w:eastAsia="zh-CN"/>
        </w:rPr>
      </w:pPr>
      <w:r>
        <w:rPr>
          <w:rFonts w:eastAsia="仿宋_GB2312"/>
          <w:b w:val="0"/>
          <w:bCs w:val="0"/>
          <w:color w:val="auto"/>
          <w:sz w:val="32"/>
          <w:szCs w:val="32"/>
        </w:rPr>
        <w:t>指标、效益指标、满意度指标、成本指标等指标综合评判。</w:t>
      </w:r>
    </w:p>
    <w:p>
      <w:pPr>
        <w:keepNext w:val="0"/>
        <w:keepLines w:val="0"/>
        <w:pageBreakBefore w:val="0"/>
        <w:widowControl w:val="0"/>
        <w:suppressAutoHyphens/>
        <w:kinsoku/>
        <w:wordWrap/>
        <w:overflowPunct/>
        <w:topLinePunct w:val="0"/>
        <w:autoSpaceDE/>
        <w:autoSpaceDN/>
        <w:adjustRightInd w:val="0"/>
        <w:snapToGrid w:val="0"/>
        <w:spacing w:line="560" w:lineRule="exact"/>
        <w:ind w:left="0" w:firstLine="640" w:firstLineChars="200"/>
        <w:rPr>
          <w:rFonts w:eastAsia="仿宋_GB2312"/>
          <w:b w:val="0"/>
          <w:bCs w:val="0"/>
          <w:color w:val="auto"/>
          <w:sz w:val="32"/>
          <w:szCs w:val="32"/>
          <w:lang w:val="zh-CN" w:eastAsia="zh-CN"/>
        </w:rPr>
      </w:pPr>
      <w:r>
        <w:rPr>
          <w:rFonts w:eastAsia="楷体_GB2312"/>
          <w:b w:val="0"/>
          <w:bCs w:val="0"/>
          <w:color w:val="auto"/>
          <w:sz w:val="32"/>
          <w:szCs w:val="32"/>
          <w:u w:val="none"/>
          <w:lang w:val="zh-CN"/>
        </w:rPr>
        <w:t>（三）评价选点。</w:t>
      </w:r>
      <w:r>
        <w:rPr>
          <w:rFonts w:eastAsia="仿宋_GB2312"/>
          <w:b w:val="0"/>
          <w:bCs w:val="0"/>
          <w:color w:val="auto"/>
          <w:sz w:val="32"/>
          <w:szCs w:val="32"/>
          <w:lang w:val="zh-CN" w:eastAsia="zh-CN"/>
        </w:rPr>
        <w:t>成果资料、拨付资料等项目过程资料</w:t>
      </w:r>
      <w:r>
        <w:rPr>
          <w:rFonts w:eastAsia="仿宋_GB2312"/>
          <w:b w:val="0"/>
          <w:bCs w:val="0"/>
          <w:color w:val="auto"/>
          <w:sz w:val="32"/>
          <w:szCs w:val="32"/>
          <w:lang w:val="en-US" w:eastAsia="zh-CN"/>
        </w:rPr>
        <w:t>。</w:t>
      </w:r>
    </w:p>
    <w:p>
      <w:pPr>
        <w:keepNext w:val="0"/>
        <w:keepLines w:val="0"/>
        <w:pageBreakBefore w:val="0"/>
        <w:widowControl w:val="0"/>
        <w:suppressAutoHyphens/>
        <w:kinsoku/>
        <w:wordWrap/>
        <w:overflowPunct/>
        <w:topLinePunct w:val="0"/>
        <w:autoSpaceDE/>
        <w:autoSpaceDN/>
        <w:spacing w:line="560" w:lineRule="exact"/>
        <w:ind w:firstLine="640" w:firstLineChars="200"/>
        <w:rPr>
          <w:rFonts w:eastAsia="仿宋_GB2312"/>
          <w:b w:val="0"/>
          <w:bCs w:val="0"/>
          <w:color w:val="auto"/>
          <w:sz w:val="32"/>
          <w:szCs w:val="32"/>
          <w:lang w:eastAsia="zh-CN"/>
        </w:rPr>
      </w:pPr>
      <w:r>
        <w:rPr>
          <w:rFonts w:eastAsia="楷体_GB2312"/>
          <w:b w:val="0"/>
          <w:bCs w:val="0"/>
          <w:color w:val="auto"/>
          <w:sz w:val="32"/>
          <w:szCs w:val="32"/>
          <w:u w:val="none"/>
          <w:lang w:val="zh-CN"/>
        </w:rPr>
        <w:t>（四）评价方法。</w:t>
      </w:r>
      <w:r>
        <w:rPr>
          <w:rFonts w:eastAsia="仿宋_GB2312"/>
          <w:b w:val="0"/>
          <w:bCs w:val="0"/>
          <w:color w:val="auto"/>
          <w:sz w:val="32"/>
          <w:szCs w:val="32"/>
          <w:u w:val="none"/>
          <w:lang w:val="zh-CN"/>
        </w:rPr>
        <w:t>单位自评法。</w:t>
      </w:r>
    </w:p>
    <w:p>
      <w:pPr>
        <w:keepNext w:val="0"/>
        <w:keepLines w:val="0"/>
        <w:pageBreakBefore w:val="0"/>
        <w:widowControl w:val="0"/>
        <w:suppressAutoHyphens/>
        <w:kinsoku/>
        <w:wordWrap/>
        <w:overflowPunct/>
        <w:topLinePunct w:val="0"/>
        <w:autoSpaceDE/>
        <w:autoSpaceDN/>
        <w:spacing w:line="560" w:lineRule="exact"/>
        <w:ind w:left="0" w:firstLine="640"/>
        <w:rPr>
          <w:rFonts w:eastAsia="仿宋_GB2312"/>
          <w:b w:val="0"/>
          <w:bCs w:val="0"/>
          <w:color w:val="auto"/>
          <w:sz w:val="32"/>
          <w:szCs w:val="32"/>
        </w:rPr>
      </w:pPr>
      <w:r>
        <w:rPr>
          <w:rFonts w:eastAsia="楷体_GB2312"/>
          <w:b w:val="0"/>
          <w:bCs w:val="0"/>
          <w:color w:val="auto"/>
          <w:sz w:val="32"/>
          <w:szCs w:val="32"/>
          <w:u w:val="none"/>
          <w:lang w:val="zh-CN"/>
        </w:rPr>
        <w:t>（五）评价组织。</w:t>
      </w:r>
      <w:r>
        <w:rPr>
          <w:rFonts w:eastAsia="仿宋_GB2312"/>
          <w:b w:val="0"/>
          <w:bCs w:val="0"/>
          <w:color w:val="auto"/>
          <w:sz w:val="32"/>
          <w:szCs w:val="32"/>
        </w:rPr>
        <w:t>评价组人员由财务部、产业发展部组成，</w:t>
      </w:r>
    </w:p>
    <w:p>
      <w:pPr>
        <w:keepNext w:val="0"/>
        <w:keepLines w:val="0"/>
        <w:pageBreakBefore w:val="0"/>
        <w:widowControl w:val="0"/>
        <w:suppressAutoHyphens/>
        <w:kinsoku/>
        <w:wordWrap/>
        <w:overflowPunct/>
        <w:topLinePunct w:val="0"/>
        <w:autoSpaceDE/>
        <w:autoSpaceDN/>
        <w:spacing w:line="560" w:lineRule="exact"/>
        <w:ind w:left="0" w:firstLine="640"/>
        <w:rPr>
          <w:rFonts w:eastAsia="仿宋_GB2312"/>
          <w:b w:val="0"/>
          <w:bCs w:val="0"/>
          <w:color w:val="auto"/>
          <w:sz w:val="32"/>
          <w:szCs w:val="32"/>
          <w:lang w:eastAsia="zh-CN"/>
        </w:rPr>
      </w:pPr>
      <w:r>
        <w:rPr>
          <w:rFonts w:eastAsia="仿宋_GB2312"/>
          <w:b w:val="0"/>
          <w:bCs w:val="0"/>
          <w:color w:val="auto"/>
          <w:sz w:val="32"/>
          <w:szCs w:val="32"/>
        </w:rPr>
        <w:t>产业发展部负责资料收集归档并自评，财务部负责审核</w:t>
      </w:r>
      <w:r>
        <w:rPr>
          <w:rFonts w:eastAsia="仿宋_GB2312"/>
          <w:b w:val="0"/>
          <w:bCs w:val="0"/>
          <w:color w:val="auto"/>
          <w:sz w:val="32"/>
          <w:szCs w:val="32"/>
          <w:lang w:eastAsia="zh-CN"/>
        </w:rPr>
        <w:t>。</w:t>
      </w:r>
    </w:p>
    <w:p>
      <w:pPr>
        <w:keepNext w:val="0"/>
        <w:keepLines w:val="0"/>
        <w:pageBreakBefore w:val="0"/>
        <w:suppressAutoHyphens/>
        <w:kinsoku/>
        <w:wordWrap/>
        <w:overflowPunct/>
        <w:topLinePunct w:val="0"/>
        <w:autoSpaceDE/>
        <w:autoSpaceDN/>
        <w:adjustRightInd w:val="0"/>
        <w:snapToGrid w:val="0"/>
        <w:spacing w:line="560" w:lineRule="exact"/>
        <w:ind w:left="0" w:firstLine="640" w:firstLineChars="200"/>
        <w:rPr>
          <w:rFonts w:eastAsia="仿宋_GB2312"/>
          <w:b w:val="0"/>
          <w:bCs w:val="0"/>
          <w:color w:val="auto"/>
          <w:sz w:val="32"/>
          <w:szCs w:val="32"/>
          <w:u w:val="none"/>
          <w:lang w:val="zh-CN"/>
        </w:rPr>
      </w:pPr>
      <w:r>
        <w:rPr>
          <w:rFonts w:eastAsia="黑体"/>
          <w:b w:val="0"/>
          <w:bCs w:val="0"/>
          <w:color w:val="auto"/>
          <w:sz w:val="32"/>
          <w:szCs w:val="32"/>
          <w:u w:val="none"/>
        </w:rPr>
        <w:t>三、</w:t>
      </w:r>
      <w:r>
        <w:rPr>
          <w:rFonts w:eastAsia="黑体"/>
          <w:b w:val="0"/>
          <w:bCs w:val="0"/>
          <w:color w:val="auto"/>
          <w:sz w:val="32"/>
          <w:szCs w:val="32"/>
          <w:u w:val="none"/>
          <w:lang w:eastAsia="zh-CN"/>
        </w:rPr>
        <w:t>绩效分析</w:t>
      </w:r>
      <w:r>
        <w:rPr>
          <w:rFonts w:eastAsia="仿宋_GB2312"/>
          <w:b w:val="0"/>
          <w:bCs w:val="0"/>
          <w:color w:val="auto"/>
          <w:sz w:val="32"/>
          <w:szCs w:val="32"/>
          <w:u w:val="none"/>
          <w:lang w:val="zh-CN"/>
        </w:rPr>
        <w:tab/>
      </w:r>
    </w:p>
    <w:p>
      <w:pPr>
        <w:keepNext w:val="0"/>
        <w:keepLines w:val="0"/>
        <w:pageBreakBefore w:val="0"/>
        <w:widowControl w:val="0"/>
        <w:suppressAutoHyphens/>
        <w:kinsoku/>
        <w:wordWrap/>
        <w:overflowPunct/>
        <w:topLinePunct w:val="0"/>
        <w:autoSpaceDE/>
        <w:autoSpaceDN/>
        <w:adjustRightInd/>
        <w:snapToGrid/>
        <w:spacing w:line="560" w:lineRule="exact"/>
        <w:ind w:left="0" w:firstLine="640"/>
        <w:rPr>
          <w:rFonts w:eastAsia="仿宋_GB2312"/>
          <w:b w:val="0"/>
          <w:bCs w:val="0"/>
          <w:color w:val="auto"/>
          <w:sz w:val="32"/>
          <w:szCs w:val="32"/>
          <w:lang w:val="en-US" w:eastAsia="zh-CN"/>
        </w:rPr>
      </w:pPr>
      <w:r>
        <w:rPr>
          <w:rFonts w:eastAsia="仿宋_GB2312"/>
          <w:b w:val="0"/>
          <w:bCs w:val="0"/>
          <w:color w:val="auto"/>
          <w:sz w:val="32"/>
          <w:szCs w:val="32"/>
          <w:lang w:val="en-US" w:eastAsia="zh-CN"/>
        </w:rPr>
        <w:t>按照年初计划目标顺利全面完成工作任务。该项目预算数</w:t>
      </w:r>
    </w:p>
    <w:p>
      <w:pPr>
        <w:keepNext w:val="0"/>
        <w:keepLines w:val="0"/>
        <w:pageBreakBefore w:val="0"/>
        <w:widowControl w:val="0"/>
        <w:suppressAutoHyphens/>
        <w:kinsoku/>
        <w:wordWrap/>
        <w:overflowPunct/>
        <w:topLinePunct w:val="0"/>
        <w:autoSpaceDE/>
        <w:autoSpaceDN/>
        <w:adjustRightInd/>
        <w:snapToGrid/>
        <w:spacing w:line="560" w:lineRule="exact"/>
        <w:rPr>
          <w:rFonts w:eastAsia="仿宋_GB2312"/>
          <w:b w:val="0"/>
          <w:bCs w:val="0"/>
          <w:color w:val="auto"/>
          <w:sz w:val="32"/>
          <w:szCs w:val="32"/>
          <w:lang w:val="en-US" w:eastAsia="zh-CN"/>
        </w:rPr>
      </w:pPr>
      <w:r>
        <w:rPr>
          <w:rFonts w:eastAsia="仿宋_GB2312"/>
          <w:b w:val="0"/>
          <w:bCs w:val="0"/>
          <w:color w:val="auto"/>
          <w:sz w:val="32"/>
          <w:szCs w:val="32"/>
          <w:lang w:val="en-US" w:eastAsia="zh-CN"/>
        </w:rPr>
        <w:t>5万元，预算执行数5万元。主要全年赴省发改委等省级部门（单位）对接相关工作3次，编制《广元市物流枢纽承载城市建设三年实施方案（2024—2026年）》，国家发展改革委印发《国家物流枢纽布局优化调整方案》明确新增广元陆港型等26个国家物流枢纽；围绕“一区两中心两基地”总体目标，高效运营广元国际铁路港海关监管作业场所和铁路综合物流基地，持续开行中老、中欧、中亚等国际班列，创新开行“广元—成都—贵阳”跨省高铁货运，明显带动城市和枢纽经济发展水平和改善区域交通物流水平。该项工作完成较好。</w:t>
      </w:r>
    </w:p>
    <w:p>
      <w:pPr>
        <w:keepNext w:val="0"/>
        <w:keepLines w:val="0"/>
        <w:pageBreakBefore w:val="0"/>
        <w:widowControl/>
        <w:suppressAutoHyphens/>
        <w:kinsoku/>
        <w:wordWrap/>
        <w:overflowPunct/>
        <w:topLinePunct w:val="0"/>
        <w:autoSpaceDE/>
        <w:autoSpaceDN/>
        <w:adjustRightInd/>
        <w:spacing w:line="560" w:lineRule="exact"/>
        <w:ind w:left="0" w:firstLine="640" w:firstLineChars="200"/>
        <w:jc w:val="left"/>
        <w:rPr>
          <w:rFonts w:eastAsia="黑体"/>
          <w:b w:val="0"/>
          <w:bCs w:val="0"/>
          <w:color w:val="auto"/>
          <w:kern w:val="0"/>
          <w:position w:val="3"/>
          <w:sz w:val="32"/>
          <w:szCs w:val="32"/>
          <w:u w:val="none"/>
          <w:lang w:val="en-US" w:bidi="ar-SA"/>
        </w:rPr>
      </w:pPr>
      <w:r>
        <w:rPr>
          <w:rFonts w:eastAsia="黑体"/>
          <w:b w:val="0"/>
          <w:bCs w:val="0"/>
          <w:color w:val="auto"/>
          <w:kern w:val="0"/>
          <w:position w:val="3"/>
          <w:sz w:val="32"/>
          <w:szCs w:val="32"/>
          <w:u w:val="none"/>
          <w:lang w:val="en-US" w:eastAsia="zh-CN" w:bidi="ar-SA"/>
        </w:rPr>
        <w:t>四</w:t>
      </w:r>
      <w:r>
        <w:rPr>
          <w:rFonts w:eastAsia="黑体"/>
          <w:b w:val="0"/>
          <w:bCs w:val="0"/>
          <w:color w:val="auto"/>
          <w:kern w:val="0"/>
          <w:position w:val="3"/>
          <w:sz w:val="32"/>
          <w:szCs w:val="32"/>
          <w:u w:val="none"/>
          <w:lang w:val="en-US" w:bidi="ar-SA"/>
        </w:rPr>
        <w:t>、评价结论</w:t>
      </w:r>
    </w:p>
    <w:p>
      <w:pPr>
        <w:keepNext w:val="0"/>
        <w:keepLines w:val="0"/>
        <w:pageBreakBefore w:val="0"/>
        <w:widowControl/>
        <w:suppressAutoHyphens/>
        <w:kinsoku/>
        <w:wordWrap/>
        <w:overflowPunct/>
        <w:topLinePunct w:val="0"/>
        <w:autoSpaceDE/>
        <w:autoSpaceDN/>
        <w:adjustRightInd/>
        <w:spacing w:line="560" w:lineRule="exact"/>
        <w:ind w:left="0"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本报告评价结果是以评价共性和特性指标体系为主要依据，</w:t>
      </w:r>
    </w:p>
    <w:p>
      <w:pPr>
        <w:keepNext w:val="0"/>
        <w:keepLines w:val="0"/>
        <w:pageBreakBefore w:val="0"/>
        <w:widowControl/>
        <w:suppressAutoHyphens/>
        <w:kinsoku/>
        <w:wordWrap/>
        <w:overflowPunct/>
        <w:topLinePunct w:val="0"/>
        <w:autoSpaceDE/>
        <w:autoSpaceDN/>
        <w:adjustRightInd/>
        <w:spacing w:line="560" w:lineRule="exact"/>
        <w:jc w:val="left"/>
        <w:rPr>
          <w:rFonts w:eastAsia="仿宋_GB2312"/>
          <w:b w:val="0"/>
          <w:bCs w:val="0"/>
          <w:color w:val="auto"/>
          <w:kern w:val="2"/>
          <w:position w:val="0"/>
          <w:sz w:val="32"/>
          <w:szCs w:val="32"/>
          <w:lang w:val="en-US" w:eastAsia="zh-CN" w:bidi="ar-SA"/>
        </w:rPr>
      </w:pPr>
      <w:r>
        <w:rPr>
          <w:rFonts w:eastAsia="仿宋_GB2312"/>
          <w:b w:val="0"/>
          <w:bCs w:val="0"/>
          <w:color w:val="auto"/>
          <w:kern w:val="0"/>
          <w:position w:val="0"/>
          <w:sz w:val="32"/>
          <w:szCs w:val="32"/>
          <w:lang w:val="en-US" w:eastAsia="zh-CN" w:bidi="ar-SA"/>
        </w:rPr>
        <w:t>而做出的综合结论。2024年物流枢纽承载城市申请工作经费主要保障物流枢纽承载城市申报、实施方案编撰、向上对接争取等工作顺利开展。该笔经费的使用绩效，总体上达到既定任务目标，广元已成功纳入国家物流枢纽承载城市规划布局，进一步完善了“通道+枢纽+网络”的现代物流运行体系，促进了全市现代物流产业加速发展。综合评价结论为“优”</w:t>
      </w:r>
      <w:r>
        <w:rPr>
          <w:rFonts w:eastAsia="仿宋_GB2312"/>
          <w:b w:val="0"/>
          <w:bCs w:val="0"/>
          <w:color w:val="auto"/>
          <w:kern w:val="2"/>
          <w:position w:val="0"/>
          <w:sz w:val="32"/>
          <w:szCs w:val="32"/>
          <w:lang w:val="en-US" w:eastAsia="zh-CN" w:bidi="ar-SA"/>
        </w:rPr>
        <w:t>，自评得分100分。</w:t>
      </w:r>
    </w:p>
    <w:p>
      <w:pPr>
        <w:keepNext w:val="0"/>
        <w:keepLines w:val="0"/>
        <w:pageBreakBefore w:val="0"/>
        <w:widowControl/>
        <w:suppressAutoHyphens/>
        <w:kinsoku/>
        <w:wordWrap/>
        <w:overflowPunct/>
        <w:topLinePunct w:val="0"/>
        <w:autoSpaceDE/>
        <w:autoSpaceDN/>
        <w:adjustRightInd/>
        <w:spacing w:line="560" w:lineRule="exact"/>
        <w:ind w:left="0" w:firstLine="640" w:firstLineChars="200"/>
        <w:jc w:val="left"/>
        <w:rPr>
          <w:rFonts w:eastAsia="黑体"/>
          <w:b w:val="0"/>
          <w:bCs w:val="0"/>
          <w:color w:val="auto"/>
          <w:kern w:val="0"/>
          <w:position w:val="3"/>
          <w:sz w:val="32"/>
          <w:szCs w:val="32"/>
          <w:u w:val="none"/>
          <w:lang w:val="en-US" w:eastAsia="zh-CN" w:bidi="ar-SA"/>
        </w:rPr>
      </w:pPr>
      <w:r>
        <w:rPr>
          <w:rFonts w:eastAsia="黑体"/>
          <w:b w:val="0"/>
          <w:bCs w:val="0"/>
          <w:color w:val="auto"/>
          <w:kern w:val="0"/>
          <w:position w:val="3"/>
          <w:sz w:val="32"/>
          <w:szCs w:val="32"/>
          <w:u w:val="none"/>
          <w:lang w:val="en-US" w:eastAsia="zh-CN" w:bidi="ar-SA"/>
        </w:rPr>
        <w:t>五、存在主要问题</w:t>
      </w:r>
    </w:p>
    <w:p>
      <w:pPr>
        <w:keepNext w:val="0"/>
        <w:keepLines w:val="0"/>
        <w:pageBreakBefore w:val="0"/>
        <w:widowControl/>
        <w:tabs>
          <w:tab w:val="left" w:pos="1584"/>
        </w:tabs>
        <w:suppressAutoHyphens/>
        <w:kinsoku/>
        <w:wordWrap/>
        <w:overflowPunct/>
        <w:topLinePunct w:val="0"/>
        <w:autoSpaceDE/>
        <w:autoSpaceDN/>
        <w:adjustRightInd/>
        <w:spacing w:line="560" w:lineRule="exact"/>
        <w:ind w:left="0"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keepNext w:val="0"/>
        <w:keepLines w:val="0"/>
        <w:pageBreakBefore w:val="0"/>
        <w:widowControl/>
        <w:suppressAutoHyphens/>
        <w:kinsoku/>
        <w:wordWrap/>
        <w:overflowPunct/>
        <w:topLinePunct w:val="0"/>
        <w:autoSpaceDE/>
        <w:autoSpaceDN/>
        <w:adjustRightInd/>
        <w:spacing w:line="560" w:lineRule="exact"/>
        <w:ind w:left="0" w:firstLine="640" w:firstLineChars="200"/>
        <w:jc w:val="left"/>
        <w:rPr>
          <w:rFonts w:eastAsia="黑体"/>
          <w:b w:val="0"/>
          <w:bCs w:val="0"/>
          <w:color w:val="auto"/>
          <w:kern w:val="0"/>
          <w:position w:val="3"/>
          <w:sz w:val="32"/>
          <w:szCs w:val="32"/>
          <w:u w:val="none"/>
          <w:lang w:val="zh-CN" w:eastAsia="zh-CN" w:bidi="ar-SA"/>
        </w:rPr>
      </w:pPr>
      <w:r>
        <w:rPr>
          <w:rFonts w:eastAsia="黑体"/>
          <w:b w:val="0"/>
          <w:bCs w:val="0"/>
          <w:color w:val="auto"/>
          <w:kern w:val="0"/>
          <w:position w:val="3"/>
          <w:sz w:val="32"/>
          <w:szCs w:val="32"/>
          <w:u w:val="none"/>
          <w:lang w:val="zh-CN" w:eastAsia="zh-CN" w:bidi="ar-SA"/>
        </w:rPr>
        <w:t>六、改进建议</w:t>
      </w:r>
    </w:p>
    <w:p>
      <w:pPr>
        <w:keepNext w:val="0"/>
        <w:keepLines w:val="0"/>
        <w:pageBreakBefore w:val="0"/>
        <w:tabs>
          <w:tab w:val="left" w:pos="1911"/>
        </w:tabs>
        <w:suppressAutoHyphens/>
        <w:kinsoku/>
        <w:wordWrap/>
        <w:overflowPunct/>
        <w:topLinePunct w:val="0"/>
        <w:autoSpaceDE/>
        <w:autoSpaceDN/>
        <w:spacing w:line="560" w:lineRule="exact"/>
        <w:ind w:left="0"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pStyle w:val="16"/>
        <w:rPr>
          <w:b w:val="0"/>
          <w:bCs w:val="0"/>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bookmarkStart w:id="138" w:name="_Toc83065465"/>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r>
        <w:rPr>
          <w:rFonts w:ascii="Times New Roman" w:hAnsi="Times New Roman" w:eastAsia="方正小标宋简体"/>
          <w:b w:val="0"/>
          <w:bCs w:val="0"/>
          <w:color w:val="auto"/>
          <w:kern w:val="2"/>
          <w:sz w:val="44"/>
          <w:szCs w:val="44"/>
          <w:lang w:val="en-US" w:eastAsia="zh-CN"/>
        </w:rPr>
        <w:t>专项预算项目绩效评价报告</w:t>
      </w:r>
      <w:bookmarkEnd w:id="138"/>
    </w:p>
    <w:p>
      <w:pPr>
        <w:pStyle w:val="31"/>
        <w:keepNext w:val="0"/>
        <w:keepLines w:val="0"/>
        <w:pageBreakBefore w:val="0"/>
        <w:widowControl w:val="0"/>
        <w:suppressAutoHyphens/>
        <w:kinsoku/>
        <w:wordWrap/>
        <w:overflowPunct/>
        <w:topLinePunct w:val="0"/>
        <w:autoSpaceDE/>
        <w:autoSpaceDN/>
        <w:spacing w:line="576" w:lineRule="exact"/>
        <w:jc w:val="center"/>
        <w:outlineLvl w:val="3"/>
        <w:rPr>
          <w:rFonts w:ascii="Times New Roman" w:hAnsi="Times New Roman" w:eastAsia="楷体_GB2312"/>
          <w:b w:val="0"/>
          <w:bCs w:val="0"/>
          <w:color w:val="auto"/>
          <w:sz w:val="32"/>
          <w:szCs w:val="32"/>
          <w:lang w:eastAsia="zh-CN"/>
        </w:rPr>
      </w:pPr>
      <w:r>
        <w:rPr>
          <w:rFonts w:ascii="Times New Roman" w:hAnsi="Times New Roman" w:eastAsia="楷体_GB2312"/>
          <w:b w:val="0"/>
          <w:bCs w:val="0"/>
          <w:color w:val="auto"/>
          <w:sz w:val="32"/>
          <w:szCs w:val="32"/>
          <w:lang w:eastAsia="zh-CN"/>
        </w:rPr>
        <w:t>（</w:t>
      </w:r>
      <w:r>
        <w:rPr>
          <w:rFonts w:ascii="Times New Roman" w:hAnsi="Times New Roman" w:eastAsia="楷体_GB2312"/>
          <w:b w:val="0"/>
          <w:bCs w:val="0"/>
          <w:color w:val="auto"/>
          <w:sz w:val="32"/>
          <w:szCs w:val="32"/>
          <w:lang w:val="en-US" w:eastAsia="zh-CN"/>
        </w:rPr>
        <w:t>川陕甘多式联运智慧服务平台数据融合</w:t>
      </w:r>
      <w:r>
        <w:rPr>
          <w:rFonts w:ascii="Times New Roman" w:hAnsi="Times New Roman" w:eastAsia="楷体_GB2312"/>
          <w:b w:val="0"/>
          <w:bCs w:val="0"/>
          <w:color w:val="auto"/>
          <w:sz w:val="32"/>
          <w:szCs w:val="32"/>
          <w:lang w:eastAsia="zh-CN"/>
        </w:rPr>
        <w:t>经费）</w:t>
      </w:r>
    </w:p>
    <w:p>
      <w:pPr>
        <w:keepNext w:val="0"/>
        <w:keepLines w:val="0"/>
        <w:pageBreakBefore w:val="0"/>
        <w:widowControl w:val="0"/>
        <w:suppressAutoHyphens/>
        <w:kinsoku/>
        <w:wordWrap/>
        <w:overflowPunct/>
        <w:topLinePunct w:val="0"/>
        <w:autoSpaceDE/>
        <w:autoSpaceDN/>
        <w:adjustRightInd w:val="0"/>
        <w:snapToGrid w:val="0"/>
        <w:spacing w:line="578" w:lineRule="exact"/>
        <w:ind w:firstLine="640" w:firstLineChars="200"/>
        <w:rPr>
          <w:rFonts w:eastAsia="黑体"/>
          <w:b w:val="0"/>
          <w:bCs w:val="0"/>
          <w:color w:val="auto"/>
          <w:sz w:val="32"/>
          <w:szCs w:val="32"/>
        </w:rPr>
      </w:pP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lang w:val="zh-CN"/>
        </w:rPr>
      </w:pPr>
      <w:r>
        <w:rPr>
          <w:rFonts w:eastAsia="黑体"/>
          <w:b w:val="0"/>
          <w:bCs w:val="0"/>
          <w:color w:val="auto"/>
          <w:sz w:val="32"/>
          <w:szCs w:val="32"/>
        </w:rPr>
        <w:t>一、</w:t>
      </w:r>
      <w:r>
        <w:rPr>
          <w:rFonts w:eastAsia="黑体"/>
          <w:b w:val="0"/>
          <w:bCs w:val="0"/>
          <w:color w:val="auto"/>
          <w:sz w:val="32"/>
          <w:szCs w:val="32"/>
          <w:lang w:val="zh-CN"/>
        </w:rPr>
        <w:t>项目概况</w:t>
      </w:r>
    </w:p>
    <w:p>
      <w:pPr>
        <w:keepNext w:val="0"/>
        <w:keepLines w:val="0"/>
        <w:pageBreakBefore w:val="0"/>
        <w:widowControl/>
        <w:suppressLineNumbers w:val="0"/>
        <w:suppressAutoHyphens/>
        <w:kinsoku/>
        <w:wordWrap/>
        <w:overflowPunct/>
        <w:topLinePunct w:val="0"/>
        <w:autoSpaceDE/>
        <w:autoSpaceDN/>
        <w:spacing w:line="576" w:lineRule="exact"/>
        <w:ind w:firstLine="640" w:firstLineChars="200"/>
        <w:jc w:val="left"/>
        <w:rPr>
          <w:b w:val="0"/>
          <w:bCs w:val="0"/>
          <w:color w:val="auto"/>
          <w:lang w:val="zh-CN"/>
        </w:rPr>
      </w:pPr>
      <w:r>
        <w:rPr>
          <w:rFonts w:eastAsia="楷体_GB2312"/>
          <w:b w:val="0"/>
          <w:bCs w:val="0"/>
          <w:color w:val="auto"/>
          <w:sz w:val="32"/>
          <w:szCs w:val="32"/>
          <w:u w:val="none"/>
          <w:lang w:val="zh-CN"/>
        </w:rPr>
        <w:t>（一）设立背景及基本情况。</w:t>
      </w:r>
      <w:r>
        <w:rPr>
          <w:rFonts w:eastAsia="仿宋_GB2312"/>
          <w:b w:val="0"/>
          <w:bCs w:val="0"/>
          <w:color w:val="auto"/>
          <w:sz w:val="32"/>
          <w:szCs w:val="32"/>
          <w:lang w:val="en-US" w:eastAsia="zh-CN"/>
        </w:rPr>
        <w:t>为贯彻落实市委、市政府关于全市物流信息平台“一张网”，推动</w:t>
      </w:r>
      <w:r>
        <w:rPr>
          <w:rFonts w:eastAsia="仿宋_GB2312"/>
          <w:b w:val="0"/>
          <w:bCs w:val="0"/>
          <w:color w:val="auto"/>
          <w:kern w:val="0"/>
          <w:sz w:val="32"/>
          <w:szCs w:val="32"/>
          <w:lang w:val="en-US" w:eastAsia="zh-CN" w:bidi="ar-SA"/>
        </w:rPr>
        <w:t>公铁水空多运输方式物流信息数据互联互通的工作要求。2024年初，广元铁发公司与四川广运沙师弟网络科技有限公司（以下简称“广运沙师弟公司”）签订了平台接口对接合作协议，在川陕甘多式联运智慧服务平台上接入了广运沙师弟公司的相关货运物流数据信息。</w:t>
      </w:r>
    </w:p>
    <w:p>
      <w:pPr>
        <w:keepNext w:val="0"/>
        <w:keepLines w:val="0"/>
        <w:pageBreakBefore w:val="0"/>
        <w:suppressAutoHyphens/>
        <w:kinsoku/>
        <w:wordWrap/>
        <w:overflowPunct/>
        <w:topLinePunct w:val="0"/>
        <w:autoSpaceDE/>
        <w:autoSpaceDN/>
        <w:adjustRightInd w:val="0"/>
        <w:snapToGrid w:val="0"/>
        <w:spacing w:line="576" w:lineRule="exact"/>
        <w:ind w:left="0" w:firstLine="640" w:firstLineChars="200"/>
        <w:rPr>
          <w:rFonts w:eastAsia="楷体_GB2312"/>
          <w:b w:val="0"/>
          <w:bCs w:val="0"/>
          <w:color w:val="auto"/>
          <w:sz w:val="32"/>
          <w:szCs w:val="32"/>
          <w:u w:val="none"/>
          <w:lang w:val="en-US" w:eastAsia="zh-CN"/>
        </w:rPr>
      </w:pPr>
      <w:r>
        <w:rPr>
          <w:rFonts w:eastAsia="楷体_GB2312"/>
          <w:b w:val="0"/>
          <w:bCs w:val="0"/>
          <w:color w:val="auto"/>
          <w:sz w:val="32"/>
          <w:szCs w:val="32"/>
          <w:u w:val="none"/>
          <w:lang w:val="en-US" w:eastAsia="zh-CN"/>
        </w:rPr>
        <w:t>（二）实施目的及支持方向。</w:t>
      </w:r>
      <w:r>
        <w:rPr>
          <w:rFonts w:eastAsia="仿宋_GB2312"/>
          <w:b w:val="0"/>
          <w:bCs w:val="0"/>
          <w:color w:val="auto"/>
          <w:kern w:val="0"/>
          <w:sz w:val="32"/>
          <w:szCs w:val="32"/>
          <w:lang w:val="en-US" w:eastAsia="zh-CN" w:bidi="ar-SA"/>
        </w:rPr>
        <w:t>完成川陕甘多式联运智慧服务平台数据对接融合</w:t>
      </w:r>
      <w:r>
        <w:rPr>
          <w:b w:val="0"/>
          <w:bCs w:val="0"/>
          <w:color w:val="auto"/>
          <w:kern w:val="0"/>
          <w:sz w:val="32"/>
          <w:szCs w:val="32"/>
          <w:lang w:val="en-US" w:eastAsia="zh-CN" w:bidi="ar-SA"/>
        </w:rPr>
        <w:t>。</w:t>
      </w:r>
    </w:p>
    <w:p>
      <w:pPr>
        <w:keepNext w:val="0"/>
        <w:keepLines w:val="0"/>
        <w:pageBreakBefore w:val="0"/>
        <w:widowControl/>
        <w:suppressAutoHyphens/>
        <w:kinsoku/>
        <w:wordWrap/>
        <w:overflowPunct/>
        <w:topLinePunct w:val="0"/>
        <w:autoSpaceDE/>
        <w:autoSpaceDN/>
        <w:adjustRightInd w:val="0"/>
        <w:snapToGrid w:val="0"/>
        <w:spacing w:line="576" w:lineRule="exact"/>
        <w:ind w:left="0" w:firstLine="640" w:firstLineChars="200"/>
        <w:contextualSpacing/>
        <w:jc w:val="left"/>
        <w:rPr>
          <w:b w:val="0"/>
          <w:bCs w:val="0"/>
          <w:color w:val="auto"/>
          <w:kern w:val="0"/>
          <w:sz w:val="32"/>
          <w:szCs w:val="32"/>
          <w:u w:val="none"/>
          <w:shd w:val="clear" w:color="auto" w:fill="FFFFFF"/>
          <w:lang w:val="en-US"/>
        </w:rPr>
      </w:pPr>
      <w:r>
        <w:rPr>
          <w:rFonts w:eastAsia="楷体_GB2312"/>
          <w:b w:val="0"/>
          <w:bCs w:val="0"/>
          <w:color w:val="auto"/>
          <w:sz w:val="32"/>
          <w:szCs w:val="32"/>
          <w:u w:val="none"/>
          <w:lang w:val="en-US" w:eastAsia="zh-CN"/>
        </w:rPr>
        <w:t>（三）预算安排及分配管理</w:t>
      </w:r>
      <w:r>
        <w:rPr>
          <w:rFonts w:eastAsia="楷体_GB2312"/>
          <w:b w:val="0"/>
          <w:bCs w:val="0"/>
          <w:color w:val="auto"/>
          <w:sz w:val="32"/>
          <w:szCs w:val="32"/>
          <w:u w:val="none"/>
          <w:lang w:val="zh-CN" w:eastAsia="zh-CN"/>
        </w:rPr>
        <w:t>。</w:t>
      </w:r>
      <w:r>
        <w:rPr>
          <w:rFonts w:eastAsia="仿宋_GB2312"/>
          <w:b w:val="0"/>
          <w:bCs w:val="0"/>
          <w:color w:val="auto"/>
          <w:kern w:val="0"/>
          <w:sz w:val="32"/>
          <w:szCs w:val="32"/>
          <w:lang w:val="en-US" w:eastAsia="zh-CN" w:bidi="ar-SA"/>
        </w:rPr>
        <w:t>市财政局会同市交通运输局从2024年第二批省级交通专项资金中分配了30万元到广元铁发公司，专项资金指标下达至广元国际铁路港后，按程序拨付给广元铁发公司。</w:t>
      </w:r>
    </w:p>
    <w:p>
      <w:pPr>
        <w:keepNext w:val="0"/>
        <w:keepLines w:val="0"/>
        <w:pageBreakBefore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kern w:val="0"/>
          <w:sz w:val="32"/>
          <w:szCs w:val="32"/>
          <w:lang w:val="en-US" w:eastAsia="zh-CN" w:bidi="ar-SA"/>
        </w:rPr>
      </w:pPr>
      <w:r>
        <w:rPr>
          <w:rFonts w:eastAsia="楷体_GB2312"/>
          <w:b w:val="0"/>
          <w:bCs w:val="0"/>
          <w:color w:val="auto"/>
          <w:sz w:val="32"/>
          <w:szCs w:val="32"/>
          <w:u w:val="none"/>
          <w:lang w:val="zh-CN" w:eastAsia="zh-CN"/>
        </w:rPr>
        <w:t>（四）项目绩效目标设置。</w:t>
      </w:r>
      <w:r>
        <w:rPr>
          <w:rFonts w:eastAsia="仿宋_GB2312"/>
          <w:b w:val="0"/>
          <w:bCs w:val="0"/>
          <w:color w:val="auto"/>
          <w:kern w:val="0"/>
          <w:sz w:val="32"/>
          <w:szCs w:val="32"/>
          <w:lang w:val="zh-CN" w:eastAsia="zh-CN" w:bidi="ar-SA"/>
        </w:rPr>
        <w:t>项目设预算执行情况</w:t>
      </w:r>
      <w:r>
        <w:rPr>
          <w:rFonts w:eastAsia="仿宋_GB2312"/>
          <w:b w:val="0"/>
          <w:bCs w:val="0"/>
          <w:color w:val="auto"/>
          <w:kern w:val="0"/>
          <w:sz w:val="32"/>
          <w:szCs w:val="32"/>
          <w:lang w:val="en-US" w:eastAsia="zh-CN" w:bidi="ar-SA"/>
        </w:rPr>
        <w:t>1项，年度预算数为30万元，全部为财政资金，预算执行率100%。绩效指标中一级指标4项，分别为：产出指标、效益指标、满意度指标和成本指标。产出指标的二级指标为数量指标、质量指标和时效指标。数量指标中为开发的功能模块数量≥20个。质量指标中，系统正常运行率≥100%；软硬件验收合格率≥100%。时效指标是指平台融合时间需≤2个月；应急措施响应时间≤0.5小时。效益指标中的二级指标为社会效益指标和生态效益指标，社会效益指标表现对提升数据共享服务方面的影响程度≥99%，生态效益指标是指信息化系统上线运行后的宽带利用率、设备利用率及应用系统实现率≥99%。满意度指标的二级指标为服务对象满意度指标，三级指标为社会公众对项目实施效果的满意程度≥95%；服务对象对项目实施效果的满意度≥95%。成本指标的二级指标为经济成本指标是指功能模块或系统开发成本≤30万元。</w:t>
      </w:r>
      <w:r>
        <w:rPr>
          <w:rFonts w:eastAsia="仿宋_GB2312"/>
          <w:b w:val="0"/>
          <w:bCs w:val="0"/>
          <w:color w:val="auto"/>
          <w:kern w:val="0"/>
          <w:sz w:val="32"/>
          <w:szCs w:val="32"/>
          <w:lang w:val="zh-CN" w:eastAsia="zh-CN" w:bidi="ar-SA"/>
        </w:rPr>
        <w:t>目前已完成项目自评工作，自评得分</w:t>
      </w:r>
      <w:r>
        <w:rPr>
          <w:rFonts w:eastAsia="仿宋_GB2312"/>
          <w:b w:val="0"/>
          <w:bCs w:val="0"/>
          <w:color w:val="auto"/>
          <w:kern w:val="0"/>
          <w:sz w:val="32"/>
          <w:szCs w:val="32"/>
          <w:lang w:val="en-US" w:eastAsia="zh-CN" w:bidi="ar-SA"/>
        </w:rPr>
        <w:t>100分，该项工作完成较好</w:t>
      </w:r>
      <w:r>
        <w:rPr>
          <w:rFonts w:eastAsia="仿宋_GB2312"/>
          <w:b w:val="0"/>
          <w:bCs w:val="0"/>
          <w:color w:val="auto"/>
          <w:kern w:val="0"/>
          <w:sz w:val="32"/>
          <w:szCs w:val="32"/>
          <w:lang w:val="zh-CN" w:eastAsia="zh-CN" w:bidi="ar-SA"/>
        </w:rPr>
        <w:t>。</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二、评价实施</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kern w:val="0"/>
          <w:sz w:val="32"/>
          <w:szCs w:val="32"/>
          <w:lang w:val="en-US" w:eastAsia="zh-CN" w:bidi="ar-SA"/>
        </w:rPr>
      </w:pPr>
      <w:r>
        <w:rPr>
          <w:rFonts w:eastAsia="楷体_GB2312"/>
          <w:b w:val="0"/>
          <w:bCs w:val="0"/>
          <w:color w:val="auto"/>
          <w:sz w:val="32"/>
          <w:szCs w:val="32"/>
          <w:u w:val="none"/>
          <w:lang w:val="zh-CN"/>
        </w:rPr>
        <w:t>（一）评价目的。</w:t>
      </w:r>
      <w:r>
        <w:rPr>
          <w:rFonts w:eastAsia="仿宋_GB2312"/>
          <w:b w:val="0"/>
          <w:bCs w:val="0"/>
          <w:color w:val="auto"/>
          <w:kern w:val="0"/>
          <w:sz w:val="32"/>
          <w:szCs w:val="32"/>
          <w:lang w:val="en-US" w:eastAsia="zh-CN" w:bidi="ar-SA"/>
        </w:rPr>
        <w:t>通过项目绩效自评促使平台端口数据有效对接。</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kern w:val="0"/>
          <w:sz w:val="32"/>
          <w:szCs w:val="32"/>
          <w:lang w:val="en-US" w:eastAsia="zh-CN" w:bidi="ar-SA"/>
        </w:rPr>
      </w:pPr>
      <w:r>
        <w:rPr>
          <w:rFonts w:eastAsia="楷体_GB2312"/>
          <w:b w:val="0"/>
          <w:bCs w:val="0"/>
          <w:color w:val="auto"/>
          <w:sz w:val="32"/>
          <w:szCs w:val="32"/>
          <w:u w:val="none"/>
          <w:lang w:val="zh-CN"/>
        </w:rPr>
        <w:t>（二）预设问题及评价重点。</w:t>
      </w:r>
      <w:r>
        <w:rPr>
          <w:rFonts w:eastAsia="仿宋_GB2312"/>
          <w:b w:val="0"/>
          <w:bCs w:val="0"/>
          <w:color w:val="auto"/>
          <w:kern w:val="0"/>
          <w:sz w:val="32"/>
          <w:szCs w:val="32"/>
          <w:lang w:val="zh-CN" w:eastAsia="zh-CN" w:bidi="ar-SA"/>
        </w:rPr>
        <w:t>对资金绩效目标特别是产出指标、效益指标、满意度指标、成本指标等指标综合评判。</w:t>
      </w:r>
    </w:p>
    <w:p>
      <w:pPr>
        <w:keepNext w:val="0"/>
        <w:keepLines w:val="0"/>
        <w:pageBreakBefore w:val="0"/>
        <w:widowControl w:val="0"/>
        <w:suppressAutoHyphens/>
        <w:kinsoku/>
        <w:wordWrap/>
        <w:overflowPunct/>
        <w:topLinePunct w:val="0"/>
        <w:autoSpaceDE/>
        <w:autoSpaceDN/>
        <w:adjustRightInd w:val="0"/>
        <w:snapToGrid w:val="0"/>
        <w:spacing w:line="576" w:lineRule="exact"/>
        <w:ind w:left="0" w:firstLine="640" w:firstLineChars="200"/>
        <w:rPr>
          <w:rFonts w:eastAsia="仿宋_GB2312"/>
          <w:b w:val="0"/>
          <w:bCs w:val="0"/>
          <w:color w:val="auto"/>
          <w:kern w:val="0"/>
          <w:sz w:val="32"/>
          <w:szCs w:val="32"/>
          <w:lang w:val="zh-CN" w:eastAsia="zh-CN" w:bidi="ar-SA"/>
        </w:rPr>
      </w:pPr>
      <w:r>
        <w:rPr>
          <w:rFonts w:eastAsia="楷体_GB2312"/>
          <w:b w:val="0"/>
          <w:bCs w:val="0"/>
          <w:color w:val="auto"/>
          <w:sz w:val="32"/>
          <w:szCs w:val="32"/>
          <w:u w:val="none"/>
          <w:lang w:val="zh-CN"/>
        </w:rPr>
        <w:t>（三）评价选点。</w:t>
      </w:r>
      <w:r>
        <w:rPr>
          <w:rFonts w:eastAsia="仿宋_GB2312"/>
          <w:b w:val="0"/>
          <w:bCs w:val="0"/>
          <w:color w:val="auto"/>
          <w:kern w:val="0"/>
          <w:sz w:val="32"/>
          <w:szCs w:val="32"/>
          <w:lang w:val="zh-CN" w:eastAsia="zh-CN" w:bidi="ar-SA"/>
        </w:rPr>
        <w:t>项目执行过程中的所有原始材料。</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（四）评价方法。</w:t>
      </w:r>
      <w:r>
        <w:rPr>
          <w:rFonts w:eastAsia="仿宋_GB2312"/>
          <w:b w:val="0"/>
          <w:bCs w:val="0"/>
          <w:color w:val="auto"/>
          <w:sz w:val="32"/>
          <w:szCs w:val="32"/>
        </w:rPr>
        <w:t>单位自评法</w:t>
      </w:r>
      <w:r>
        <w:rPr>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spacing w:line="576" w:lineRule="exact"/>
        <w:ind w:firstLine="640"/>
        <w:rPr>
          <w:rFonts w:eastAsia="仿宋_GB2312"/>
          <w:b w:val="0"/>
          <w:bCs w:val="0"/>
          <w:color w:val="auto"/>
          <w:kern w:val="0"/>
          <w:sz w:val="32"/>
          <w:szCs w:val="32"/>
          <w:lang w:val="zh-CN" w:eastAsia="zh-CN" w:bidi="ar-SA"/>
        </w:rPr>
      </w:pPr>
      <w:r>
        <w:rPr>
          <w:rFonts w:eastAsia="楷体_GB2312"/>
          <w:b w:val="0"/>
          <w:bCs w:val="0"/>
          <w:color w:val="auto"/>
          <w:sz w:val="32"/>
          <w:szCs w:val="32"/>
          <w:u w:val="none"/>
          <w:lang w:val="zh-CN"/>
        </w:rPr>
        <w:t>（五）评价组织。</w:t>
      </w:r>
      <w:r>
        <w:rPr>
          <w:rFonts w:eastAsia="仿宋_GB2312"/>
          <w:b w:val="0"/>
          <w:bCs w:val="0"/>
          <w:color w:val="auto"/>
          <w:kern w:val="0"/>
          <w:sz w:val="32"/>
          <w:szCs w:val="32"/>
          <w:lang w:val="zh-CN" w:eastAsia="zh-CN" w:bidi="ar-SA"/>
        </w:rPr>
        <w:t>评价组人员由财务部、口岸物流部组成，口岸物流部负责收集资料并自评，财务部负责审核。</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三、绩效分析</w:t>
      </w:r>
      <w:r>
        <w:rPr>
          <w:rFonts w:eastAsia="黑体"/>
          <w:b w:val="0"/>
          <w:bCs w:val="0"/>
          <w:color w:val="auto"/>
          <w:sz w:val="32"/>
          <w:szCs w:val="32"/>
          <w:u w:val="none"/>
          <w:lang w:val="zh-CN" w:eastAsia="zh-CN"/>
        </w:rPr>
        <w:tab/>
      </w:r>
    </w:p>
    <w:p>
      <w:pPr>
        <w:keepNext w:val="0"/>
        <w:keepLines w:val="0"/>
        <w:pageBreakBefore w:val="0"/>
        <w:widowControl w:val="0"/>
        <w:suppressAutoHyphens/>
        <w:kinsoku/>
        <w:wordWrap/>
        <w:overflowPunct/>
        <w:topLinePunct w:val="0"/>
        <w:autoSpaceDE/>
        <w:autoSpaceDN/>
        <w:spacing w:line="576" w:lineRule="exact"/>
        <w:ind w:firstLine="640"/>
        <w:rPr>
          <w:rFonts w:eastAsia="黑体"/>
          <w:b w:val="0"/>
          <w:bCs w:val="0"/>
          <w:color w:val="auto"/>
          <w:sz w:val="32"/>
          <w:szCs w:val="32"/>
          <w:u w:val="none"/>
          <w:lang w:val="zh-CN" w:eastAsia="zh-CN"/>
        </w:rPr>
      </w:pPr>
      <w:r>
        <w:rPr>
          <w:rFonts w:eastAsia="仿宋_GB2312"/>
          <w:b w:val="0"/>
          <w:bCs w:val="0"/>
          <w:color w:val="auto"/>
          <w:kern w:val="0"/>
          <w:sz w:val="32"/>
          <w:szCs w:val="32"/>
          <w:lang w:val="zh-CN" w:eastAsia="zh-CN" w:bidi="ar-SA"/>
        </w:rPr>
        <w:t>通过平台间数据互通，优化路径规划（例如公铁联运比例调整），可降低企业综合物流成本10%-15%，数据实时共享减少货物在枢纽节点的滞留时间。目前，平台间接口兼容性良好，双方系统API对接成功率较高。中小货主通过平台融合后获得运力资源占比提升</w:t>
      </w:r>
      <w:r>
        <w:rPr>
          <w:rFonts w:eastAsia="仿宋_GB2312"/>
          <w:b w:val="0"/>
          <w:bCs w:val="0"/>
          <w:color w:val="auto"/>
          <w:kern w:val="0"/>
          <w:sz w:val="32"/>
          <w:szCs w:val="32"/>
          <w:lang w:val="en-US" w:eastAsia="zh-CN" w:bidi="ar-SA"/>
        </w:rPr>
        <w:t>20%左右。同时减少了人工调度、纸质单据处理等环节，降低运营管理成本约20%。</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四、评价结论</w:t>
      </w:r>
    </w:p>
    <w:p>
      <w:pPr>
        <w:keepNext w:val="0"/>
        <w:keepLines w:val="0"/>
        <w:pageBreakBefore w:val="0"/>
        <w:widowControl w:val="0"/>
        <w:tabs>
          <w:tab w:val="left" w:pos="2160"/>
        </w:tabs>
        <w:suppressAutoHyphens/>
        <w:kinsoku/>
        <w:wordWrap/>
        <w:overflowPunct/>
        <w:topLinePunct w:val="0"/>
        <w:autoSpaceDE/>
        <w:autoSpaceDN/>
        <w:adjustRightInd/>
        <w:spacing w:after="0" w:afterAutospacing="0" w:line="576" w:lineRule="exact"/>
        <w:ind w:left="0"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2"/>
          <w:sz w:val="32"/>
          <w:szCs w:val="24"/>
          <w:lang w:val="zh-CN" w:eastAsia="zh-CN" w:bidi="ar-SA"/>
        </w:rPr>
        <w:t>自</w:t>
      </w:r>
      <w:r>
        <w:rPr>
          <w:rFonts w:eastAsia="仿宋_GB2312"/>
          <w:b w:val="0"/>
          <w:bCs w:val="0"/>
          <w:color w:val="auto"/>
          <w:kern w:val="0"/>
          <w:sz w:val="32"/>
          <w:szCs w:val="32"/>
          <w:lang w:val="en-US" w:eastAsia="zh-CN" w:bidi="ar-SA"/>
        </w:rPr>
        <w:t>四川广运沙师弟网络科技有限公司将平台接入到川陕甘多式联运综合服务平台以来，加快</w:t>
      </w:r>
      <w:r>
        <w:rPr>
          <w:rFonts w:eastAsia="仿宋_GB2312"/>
          <w:b w:val="0"/>
          <w:bCs w:val="0"/>
          <w:color w:val="auto"/>
          <w:kern w:val="2"/>
          <w:sz w:val="32"/>
          <w:szCs w:val="32"/>
          <w:lang w:val="en-US" w:eastAsia="zh-CN" w:bidi="ar-SA"/>
        </w:rPr>
        <w:t>推动</w:t>
      </w:r>
      <w:r>
        <w:rPr>
          <w:rFonts w:eastAsia="仿宋_GB2312"/>
          <w:b w:val="0"/>
          <w:bCs w:val="0"/>
          <w:color w:val="auto"/>
          <w:kern w:val="0"/>
          <w:sz w:val="32"/>
          <w:szCs w:val="32"/>
          <w:lang w:val="en-US" w:eastAsia="zh-CN" w:bidi="ar-SA"/>
        </w:rPr>
        <w:t>公铁联运的物流信息数据互联互通，为多式联运综合服务平台赋能增势，逐步</w:t>
      </w:r>
      <w:r>
        <w:rPr>
          <w:rFonts w:eastAsia="仿宋_GB2312"/>
          <w:b w:val="0"/>
          <w:bCs w:val="0"/>
          <w:color w:val="auto"/>
          <w:kern w:val="2"/>
          <w:sz w:val="32"/>
          <w:szCs w:val="32"/>
          <w:lang w:val="en-US" w:eastAsia="zh-CN" w:bidi="ar-SA"/>
        </w:rPr>
        <w:t>构建全市“物流一张网”，在促进物流业降本增效中发挥了积极作用。因此</w:t>
      </w:r>
      <w:r>
        <w:rPr>
          <w:rFonts w:eastAsia="仿宋_GB2312"/>
          <w:b w:val="0"/>
          <w:bCs w:val="0"/>
          <w:color w:val="auto"/>
          <w:kern w:val="2"/>
          <w:sz w:val="32"/>
          <w:szCs w:val="24"/>
          <w:lang w:val="zh-CN" w:eastAsia="zh-CN" w:bidi="ar-SA"/>
        </w:rPr>
        <w:t>综合评价结论为“优”，</w:t>
      </w:r>
      <w:r>
        <w:rPr>
          <w:rFonts w:eastAsia="仿宋_GB2312"/>
          <w:b w:val="0"/>
          <w:bCs w:val="0"/>
          <w:color w:val="auto"/>
          <w:kern w:val="2"/>
          <w:sz w:val="32"/>
          <w:szCs w:val="24"/>
          <w:lang w:val="en-US" w:eastAsia="zh-CN" w:bidi="ar-SA"/>
        </w:rPr>
        <w:t>自评得分</w:t>
      </w:r>
      <w:r>
        <w:rPr>
          <w:rFonts w:eastAsia="宋体"/>
          <w:b w:val="0"/>
          <w:bCs w:val="0"/>
          <w:color w:val="auto"/>
          <w:kern w:val="2"/>
          <w:sz w:val="32"/>
          <w:szCs w:val="24"/>
          <w:lang w:val="en-US" w:eastAsia="zh-CN" w:bidi="ar-SA"/>
        </w:rPr>
        <w:t>100</w:t>
      </w:r>
      <w:r>
        <w:rPr>
          <w:rFonts w:eastAsia="仿宋_GB2312"/>
          <w:b w:val="0"/>
          <w:bCs w:val="0"/>
          <w:color w:val="auto"/>
          <w:kern w:val="2"/>
          <w:sz w:val="32"/>
          <w:szCs w:val="24"/>
          <w:lang w:val="en-US" w:eastAsia="zh-CN" w:bidi="ar-SA"/>
        </w:rPr>
        <w:t>分。</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五、存在主要问题</w:t>
      </w:r>
    </w:p>
    <w:p>
      <w:pPr>
        <w:keepNext w:val="0"/>
        <w:keepLines w:val="0"/>
        <w:pageBreakBefore w:val="0"/>
        <w:widowControl w:val="0"/>
        <w:tabs>
          <w:tab w:val="left" w:pos="2160"/>
        </w:tabs>
        <w:suppressAutoHyphens/>
        <w:kinsoku/>
        <w:wordWrap/>
        <w:overflowPunct/>
        <w:topLinePunct w:val="0"/>
        <w:autoSpaceDE/>
        <w:autoSpaceDN/>
        <w:adjustRightInd/>
        <w:spacing w:after="0" w:afterAutospacing="0" w:line="576" w:lineRule="exact"/>
        <w:ind w:left="0" w:firstLine="640" w:firstLineChars="200"/>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keepNext w:val="0"/>
        <w:keepLines w:val="0"/>
        <w:pageBreakBefore w:val="0"/>
        <w:widowControl w:val="0"/>
        <w:suppressAutoHyphens/>
        <w:kinsoku/>
        <w:wordWrap/>
        <w:overflowPunct/>
        <w:topLinePunct w:val="0"/>
        <w:autoSpaceDE/>
        <w:autoSpaceDN/>
        <w:adjustRightInd w:val="0"/>
        <w:snapToGrid w:val="0"/>
        <w:spacing w:line="576" w:lineRule="exact"/>
        <w:ind w:firstLine="640" w:firstLineChars="200"/>
        <w:rPr>
          <w:rFonts w:eastAsia="黑体"/>
          <w:b w:val="0"/>
          <w:bCs w:val="0"/>
          <w:color w:val="auto"/>
          <w:sz w:val="32"/>
          <w:szCs w:val="32"/>
          <w:u w:val="none"/>
          <w:lang w:val="zh-CN" w:eastAsia="zh-CN"/>
        </w:rPr>
      </w:pPr>
      <w:r>
        <w:rPr>
          <w:rFonts w:eastAsia="黑体"/>
          <w:b w:val="0"/>
          <w:bCs w:val="0"/>
          <w:color w:val="auto"/>
          <w:sz w:val="32"/>
          <w:szCs w:val="32"/>
          <w:u w:val="none"/>
          <w:lang w:val="zh-CN" w:eastAsia="zh-CN"/>
        </w:rPr>
        <w:t>六、改进建议</w:t>
      </w:r>
    </w:p>
    <w:p>
      <w:pPr>
        <w:keepNext w:val="0"/>
        <w:keepLines w:val="0"/>
        <w:pageBreakBefore w:val="0"/>
        <w:widowControl w:val="0"/>
        <w:tabs>
          <w:tab w:val="left" w:pos="2160"/>
        </w:tabs>
        <w:suppressAutoHyphens/>
        <w:kinsoku/>
        <w:wordWrap/>
        <w:overflowPunct/>
        <w:topLinePunct w:val="0"/>
        <w:autoSpaceDE/>
        <w:autoSpaceDN/>
        <w:adjustRightInd/>
        <w:spacing w:after="0" w:afterAutospacing="0" w:line="576" w:lineRule="exact"/>
        <w:ind w:left="0" w:firstLine="640" w:firstLineChars="200"/>
        <w:rPr>
          <w:rFonts w:eastAsia="仿宋_GB2312"/>
          <w:b w:val="0"/>
          <w:bCs w:val="0"/>
          <w:color w:val="auto"/>
          <w:kern w:val="2"/>
          <w:sz w:val="32"/>
          <w:szCs w:val="24"/>
          <w:lang w:val="en-US" w:eastAsia="zh-CN" w:bidi="ar-SA"/>
        </w:rPr>
      </w:pPr>
      <w:r>
        <w:rPr>
          <w:rFonts w:eastAsia="仿宋_GB2312"/>
          <w:b w:val="0"/>
          <w:bCs w:val="0"/>
          <w:color w:val="auto"/>
          <w:kern w:val="2"/>
          <w:sz w:val="32"/>
          <w:szCs w:val="24"/>
          <w:lang w:val="en-US" w:eastAsia="zh-CN" w:bidi="ar-SA"/>
        </w:rPr>
        <w:t>无。</w:t>
      </w:r>
    </w:p>
    <w:p>
      <w:pPr>
        <w:keepNext w:val="0"/>
        <w:keepLines w:val="0"/>
        <w:pageBreakBefore w:val="0"/>
        <w:suppressAutoHyphens/>
        <w:kinsoku/>
        <w:wordWrap/>
        <w:overflowPunct/>
        <w:topLinePunct w:val="0"/>
        <w:autoSpaceDE/>
        <w:autoSpaceDN/>
        <w:adjustRightInd/>
        <w:snapToGrid w:val="0"/>
        <w:spacing w:line="576" w:lineRule="exact"/>
        <w:ind w:left="0" w:firstLine="640" w:firstLineChars="200"/>
        <w:rPr>
          <w:b w:val="0"/>
          <w:bCs w:val="0"/>
          <w:color w:val="auto"/>
          <w:kern w:val="0"/>
          <w:sz w:val="32"/>
          <w:szCs w:val="32"/>
          <w:shd w:val="clear" w:color="auto" w:fill="FFFFFF"/>
          <w:lang w:val="zh-CN" w:eastAsia="zh-CN"/>
        </w:rPr>
      </w:pPr>
    </w:p>
    <w:p>
      <w:pPr>
        <w:keepNext w:val="0"/>
        <w:keepLines w:val="0"/>
        <w:pageBreakBefore w:val="0"/>
        <w:widowControl w:val="0"/>
        <w:suppressAutoHyphens/>
        <w:kinsoku/>
        <w:wordWrap/>
        <w:overflowPunct/>
        <w:topLinePunct w:val="0"/>
        <w:autoSpaceDE/>
        <w:autoSpaceDN/>
        <w:adjustRightInd/>
        <w:snapToGrid/>
        <w:spacing w:line="576" w:lineRule="exact"/>
        <w:ind w:left="0" w:firstLine="0"/>
        <w:jc w:val="center"/>
        <w:rPr>
          <w:rFonts w:eastAsia="黑体"/>
          <w:b w:val="0"/>
          <w:bCs w:val="0"/>
          <w:color w:val="auto"/>
          <w:kern w:val="0"/>
          <w:sz w:val="32"/>
          <w:szCs w:val="32"/>
          <w:u w:val="none"/>
          <w:shd w:val="clear" w:color="auto" w:fill="FFFFFF"/>
          <w:lang w:val="zh-CN" w:eastAsia="zh-CN"/>
        </w:rPr>
        <w:sectPr>
          <w:footerReference r:id="rId4" w:type="default"/>
          <w:pgSz w:w="11906" w:h="16838"/>
          <w:pgMar w:top="2098" w:right="1474" w:bottom="1984" w:left="1587" w:header="720" w:footer="720" w:gutter="0"/>
          <w:pgNumType w:fmt="decimal"/>
          <w:cols w:space="720" w:num="1"/>
          <w:docGrid w:type="lines" w:linePitch="312" w:charSpace="0"/>
        </w:sectPr>
      </w:pPr>
    </w:p>
    <w:p>
      <w:pPr>
        <w:keepNext w:val="0"/>
        <w:keepLines w:val="0"/>
        <w:pageBreakBefore w:val="0"/>
        <w:widowControl w:val="0"/>
        <w:suppressAutoHyphens/>
        <w:kinsoku/>
        <w:wordWrap/>
        <w:overflowPunct/>
        <w:topLinePunct w:val="0"/>
        <w:autoSpaceDE/>
        <w:autoSpaceDN/>
        <w:adjustRightInd w:val="0"/>
        <w:snapToGrid w:val="0"/>
        <w:spacing w:line="578" w:lineRule="exact"/>
        <w:rPr>
          <w:rFonts w:eastAsia="黑体"/>
          <w:b w:val="0"/>
          <w:bCs w:val="0"/>
          <w:color w:val="auto"/>
          <w:sz w:val="32"/>
          <w:szCs w:val="32"/>
        </w:rPr>
      </w:pPr>
    </w:p>
    <w:p>
      <w:pPr>
        <w:pStyle w:val="31"/>
        <w:keepNext w:val="0"/>
        <w:keepLines w:val="0"/>
        <w:pageBreakBefore w:val="0"/>
        <w:widowControl w:val="0"/>
        <w:suppressAutoHyphens/>
        <w:kinsoku/>
        <w:wordWrap/>
        <w:overflowPunct/>
        <w:topLinePunct w:val="0"/>
        <w:autoSpaceDE/>
        <w:autoSpaceDN/>
        <w:spacing w:line="576" w:lineRule="exact"/>
        <w:ind w:left="0"/>
        <w:jc w:val="center"/>
        <w:outlineLvl w:val="1"/>
        <w:rPr>
          <w:rFonts w:ascii="Times New Roman" w:hAnsi="Times New Roman" w:eastAsia="方正小标宋简体"/>
          <w:b w:val="0"/>
          <w:bCs w:val="0"/>
          <w:color w:val="auto"/>
          <w:kern w:val="2"/>
          <w:sz w:val="44"/>
          <w:szCs w:val="44"/>
          <w:lang w:val="en-US" w:eastAsia="zh-CN"/>
        </w:rPr>
      </w:pPr>
      <w:bookmarkStart w:id="139" w:name="_Toc83065469"/>
      <w:r>
        <w:rPr>
          <w:rFonts w:ascii="Times New Roman" w:hAnsi="Times New Roman" w:eastAsia="方正小标宋简体"/>
          <w:b w:val="0"/>
          <w:bCs w:val="0"/>
          <w:color w:val="auto"/>
          <w:kern w:val="2"/>
          <w:sz w:val="44"/>
          <w:szCs w:val="44"/>
          <w:lang w:val="en-US" w:eastAsia="zh-CN"/>
        </w:rPr>
        <w:t>专项预算项目绩效自评报告</w:t>
      </w:r>
      <w:bookmarkEnd w:id="139"/>
    </w:p>
    <w:p>
      <w:pPr>
        <w:pStyle w:val="31"/>
        <w:keepNext w:val="0"/>
        <w:keepLines w:val="0"/>
        <w:pageBreakBefore w:val="0"/>
        <w:widowControl w:val="0"/>
        <w:suppressAutoHyphens/>
        <w:kinsoku/>
        <w:wordWrap/>
        <w:overflowPunct/>
        <w:topLinePunct w:val="0"/>
        <w:autoSpaceDE/>
        <w:autoSpaceDN/>
        <w:spacing w:line="576" w:lineRule="exact"/>
        <w:jc w:val="center"/>
        <w:outlineLvl w:val="2"/>
        <w:rPr>
          <w:rFonts w:ascii="Times New Roman" w:hAnsi="Times New Roman" w:eastAsia="楷体_GB2312"/>
          <w:b w:val="0"/>
          <w:bCs w:val="0"/>
          <w:color w:val="auto"/>
          <w:sz w:val="32"/>
          <w:szCs w:val="32"/>
          <w:lang w:val="en-US" w:eastAsia="zh-CN"/>
        </w:rPr>
      </w:pPr>
      <w:bookmarkStart w:id="140" w:name="_Toc83065470"/>
      <w:r>
        <w:rPr>
          <w:rFonts w:ascii="Times New Roman" w:hAnsi="Times New Roman" w:eastAsia="楷体_GB2312"/>
          <w:b w:val="0"/>
          <w:bCs w:val="0"/>
          <w:color w:val="auto"/>
          <w:sz w:val="32"/>
          <w:szCs w:val="32"/>
          <w:lang w:val="en-US" w:eastAsia="zh-CN"/>
        </w:rPr>
        <w:t>（广元市川陕甘铁路冷链及粮食供应链产业园区项目）</w:t>
      </w:r>
      <w:bookmarkEnd w:id="140"/>
    </w:p>
    <w:p>
      <w:pPr>
        <w:pStyle w:val="31"/>
        <w:keepNext w:val="0"/>
        <w:keepLines w:val="0"/>
        <w:pageBreakBefore w:val="0"/>
        <w:widowControl w:val="0"/>
        <w:suppressAutoHyphens/>
        <w:kinsoku/>
        <w:wordWrap/>
        <w:overflowPunct/>
        <w:topLinePunct w:val="0"/>
        <w:autoSpaceDE/>
        <w:autoSpaceDN/>
        <w:spacing w:line="576" w:lineRule="exact"/>
        <w:jc w:val="center"/>
        <w:rPr>
          <w:rFonts w:ascii="Times New Roman" w:hAnsi="Times New Roman" w:eastAsia="楷体_GB2312"/>
          <w:b w:val="0"/>
          <w:bCs w:val="0"/>
          <w:color w:val="auto"/>
          <w:sz w:val="32"/>
          <w:szCs w:val="32"/>
          <w:lang w:val="en-US" w:eastAsia="zh-CN"/>
        </w:rPr>
      </w:pPr>
    </w:p>
    <w:p>
      <w:pPr>
        <w:keepNext w:val="0"/>
        <w:keepLines w:val="0"/>
        <w:pageBreakBefore w:val="0"/>
        <w:widowControl w:val="0"/>
        <w:suppressAutoHyphens/>
        <w:kinsoku/>
        <w:wordWrap/>
        <w:overflowPunct/>
        <w:topLinePunct w:val="0"/>
        <w:autoSpaceDE/>
        <w:autoSpaceDN/>
        <w:adjustRightInd w:val="0"/>
        <w:snapToGrid w:val="0"/>
        <w:spacing w:line="578" w:lineRule="exact"/>
        <w:ind w:firstLine="640" w:firstLineChars="200"/>
        <w:rPr>
          <w:rFonts w:eastAsia="黑体"/>
          <w:b w:val="0"/>
          <w:bCs w:val="0"/>
          <w:color w:val="auto"/>
          <w:sz w:val="32"/>
          <w:szCs w:val="32"/>
          <w:lang w:val="zh-CN"/>
        </w:rPr>
      </w:pPr>
      <w:r>
        <w:rPr>
          <w:rFonts w:eastAsia="黑体"/>
          <w:b w:val="0"/>
          <w:bCs w:val="0"/>
          <w:color w:val="auto"/>
          <w:sz w:val="32"/>
          <w:szCs w:val="32"/>
        </w:rPr>
        <w:t>一、</w:t>
      </w:r>
      <w:r>
        <w:rPr>
          <w:rFonts w:eastAsia="黑体"/>
          <w:b w:val="0"/>
          <w:bCs w:val="0"/>
          <w:color w:val="auto"/>
          <w:sz w:val="32"/>
          <w:szCs w:val="32"/>
          <w:lang w:val="zh-CN"/>
        </w:rPr>
        <w:t>项目概况</w:t>
      </w:r>
    </w:p>
    <w:p>
      <w:pPr>
        <w:keepNext w:val="0"/>
        <w:keepLines w:val="0"/>
        <w:pageBreakBefore w:val="0"/>
        <w:widowControl/>
        <w:suppressAutoHyphens/>
        <w:kinsoku/>
        <w:wordWrap/>
        <w:overflowPunct/>
        <w:topLinePunct w:val="0"/>
        <w:autoSpaceDE/>
        <w:autoSpaceDN/>
        <w:adjustRightInd w:val="0"/>
        <w:snapToGrid w:val="0"/>
        <w:spacing w:line="578" w:lineRule="exact"/>
        <w:ind w:left="0" w:firstLine="640" w:firstLineChars="200"/>
        <w:contextualSpacing/>
        <w:jc w:val="left"/>
        <w:rPr>
          <w:rFonts w:eastAsia="楷体_GB2312"/>
          <w:b w:val="0"/>
          <w:bCs w:val="0"/>
          <w:color w:val="auto"/>
          <w:sz w:val="32"/>
          <w:szCs w:val="32"/>
          <w:u w:val="none"/>
          <w:lang w:val="zh-CN"/>
        </w:rPr>
      </w:pPr>
      <w:r>
        <w:rPr>
          <w:rFonts w:eastAsia="楷体_GB2312"/>
          <w:b w:val="0"/>
          <w:bCs w:val="0"/>
          <w:color w:val="auto"/>
          <w:sz w:val="32"/>
          <w:szCs w:val="32"/>
          <w:u w:val="none"/>
          <w:lang w:val="zh-CN"/>
        </w:rPr>
        <w:t>（一）设立背景及基本情况</w:t>
      </w:r>
    </w:p>
    <w:p>
      <w:pPr>
        <w:keepNext w:val="0"/>
        <w:keepLines w:val="0"/>
        <w:pageBreakBefore w:val="0"/>
        <w:widowControl/>
        <w:suppressAutoHyphens/>
        <w:kinsoku/>
        <w:wordWrap/>
        <w:overflowPunct/>
        <w:topLinePunct w:val="0"/>
        <w:autoSpaceDE/>
        <w:autoSpaceDN/>
        <w:adjustRightInd w:val="0"/>
        <w:snapToGrid w:val="0"/>
        <w:spacing w:line="578" w:lineRule="exact"/>
        <w:ind w:left="0" w:firstLine="640" w:firstLineChars="200"/>
        <w:contextualSpacing/>
        <w:jc w:val="left"/>
        <w:rPr>
          <w:rFonts w:eastAsia="仿宋_GB2312"/>
          <w:b w:val="0"/>
          <w:bCs w:val="0"/>
          <w:color w:val="auto"/>
          <w:kern w:val="0"/>
          <w:sz w:val="32"/>
          <w:szCs w:val="32"/>
          <w:u w:val="none"/>
          <w:shd w:val="clear" w:color="auto" w:fill="FFFFFF"/>
          <w:lang w:val="en-US" w:eastAsia="zh-CN"/>
        </w:rPr>
      </w:pPr>
      <w:r>
        <w:rPr>
          <w:rFonts w:eastAsia="仿宋_GB2312"/>
          <w:b w:val="0"/>
          <w:bCs w:val="0"/>
          <w:color w:val="auto"/>
          <w:kern w:val="0"/>
          <w:sz w:val="32"/>
          <w:szCs w:val="32"/>
          <w:u w:val="none"/>
          <w:shd w:val="clear" w:color="auto" w:fill="FFFFFF"/>
          <w:lang w:val="en-US" w:eastAsia="zh-CN"/>
        </w:rPr>
        <w:t>1.项目设立原因及背景：为加快打造成渝地区粮食集散分拨基地和川陕甘铁路冷链物流基地，广元国际铁路港于2023年3月招引签约四川港投川陕甘铁路冷链及粮食供应链产业园项目。</w:t>
      </w:r>
    </w:p>
    <w:p>
      <w:pPr>
        <w:pStyle w:val="36"/>
        <w:keepNext w:val="0"/>
        <w:keepLines w:val="0"/>
        <w:pageBreakBefore w:val="0"/>
        <w:widowControl w:val="0"/>
        <w:shd w:val="clear" w:color="auto" w:fill="auto"/>
        <w:kinsoku/>
        <w:wordWrap/>
        <w:overflowPunct/>
        <w:topLinePunct w:val="0"/>
        <w:autoSpaceDE/>
        <w:autoSpaceDN/>
        <w:adjustRightInd/>
        <w:snapToGrid/>
        <w:spacing w:before="0" w:after="0" w:line="616" w:lineRule="exact"/>
        <w:ind w:left="0" w:firstLine="640" w:firstLineChars="200"/>
        <w:jc w:val="both"/>
        <w:rPr>
          <w:rFonts w:ascii="Times New Roman" w:hAnsi="Times New Roman" w:eastAsia="仿宋_GB2312" w:cs="Times New Roman"/>
          <w:b w:val="0"/>
          <w:bCs w:val="0"/>
          <w:color w:val="auto"/>
          <w:kern w:val="0"/>
          <w:sz w:val="32"/>
          <w:szCs w:val="32"/>
          <w:u w:val="none"/>
          <w:shd w:val="clear" w:color="auto" w:fill="FFFFFF"/>
          <w:lang w:val="zh-TW" w:eastAsia="zh-CN" w:bidi="ar-SA"/>
        </w:rPr>
      </w:pPr>
      <w:r>
        <w:rPr>
          <w:rFonts w:ascii="Times New Roman" w:hAnsi="Times New Roman" w:eastAsia="仿宋_GB2312" w:cs="Times New Roman"/>
          <w:b w:val="0"/>
          <w:bCs w:val="0"/>
          <w:color w:val="auto"/>
          <w:kern w:val="0"/>
          <w:sz w:val="32"/>
          <w:szCs w:val="32"/>
          <w:u w:val="none"/>
          <w:shd w:val="clear" w:color="auto" w:fill="FFFFFF"/>
          <w:lang w:val="en-US"/>
        </w:rPr>
        <w:t>2.</w:t>
      </w:r>
      <w:r>
        <w:rPr>
          <w:rFonts w:ascii="Times New Roman" w:hAnsi="Times New Roman" w:eastAsia="仿宋_GB2312" w:cs="Times New Roman"/>
          <w:b w:val="0"/>
          <w:bCs w:val="0"/>
          <w:color w:val="auto"/>
          <w:kern w:val="0"/>
          <w:sz w:val="32"/>
          <w:szCs w:val="32"/>
          <w:u w:val="none"/>
          <w:shd w:val="clear" w:color="auto" w:fill="FFFFFF"/>
          <w:lang w:val="zh-CN"/>
        </w:rPr>
        <w:t>项目立项、资金申报的依据</w:t>
      </w:r>
      <w:r>
        <w:rPr>
          <w:rFonts w:ascii="Times New Roman" w:hAnsi="Times New Roman" w:cs="Times New Roman"/>
          <w:b w:val="0"/>
          <w:bCs w:val="0"/>
          <w:color w:val="auto"/>
          <w:kern w:val="0"/>
          <w:sz w:val="32"/>
          <w:szCs w:val="32"/>
          <w:u w:val="none"/>
          <w:shd w:val="clear" w:color="auto" w:fill="FFFFFF"/>
          <w:lang w:val="zh-CN"/>
        </w:rPr>
        <w:t>：</w:t>
      </w:r>
      <w:r>
        <w:rPr>
          <w:rFonts w:ascii="Times New Roman" w:hAnsi="Times New Roman" w:eastAsia="仿宋_GB2312" w:cs="Times New Roman"/>
          <w:b w:val="0"/>
          <w:bCs w:val="0"/>
          <w:color w:val="auto"/>
          <w:kern w:val="0"/>
          <w:sz w:val="32"/>
          <w:szCs w:val="32"/>
          <w:u w:val="none"/>
          <w:shd w:val="clear" w:color="auto" w:fill="FFFFFF"/>
          <w:lang w:val="zh-CN" w:eastAsia="zh-CN" w:bidi="ar-SA"/>
        </w:rPr>
        <w:t>为支持项目建设和相关产业发展，经八届市政府第38次、57次常务会议审定，同意给予该项目合资公司1350万元产业发展扶持资金，并明确由广元国际铁路港管委会、市财政局负责按程序组织实施。按照广元国际铁路港管委会与四川港投新通道物流产业投资集团签订的《投资补充协议》《投资补充协议二》约定，产业发展扶持资金“在本项目取得建设工程施工许可证并进场施工一个月内，一次性兑现到位”。</w:t>
      </w:r>
    </w:p>
    <w:p>
      <w:pPr>
        <w:keepNext w:val="0"/>
        <w:keepLines w:val="0"/>
        <w:pageBreakBefore w:val="0"/>
        <w:widowControl/>
        <w:suppressAutoHyphens/>
        <w:kinsoku/>
        <w:wordWrap/>
        <w:overflowPunct/>
        <w:topLinePunct w:val="0"/>
        <w:autoSpaceDE/>
        <w:autoSpaceDN/>
        <w:adjustRightInd w:val="0"/>
        <w:snapToGrid w:val="0"/>
        <w:spacing w:line="578" w:lineRule="exact"/>
        <w:ind w:left="0" w:firstLine="640" w:firstLineChars="200"/>
        <w:contextualSpacing/>
        <w:jc w:val="left"/>
        <w:rPr>
          <w:rFonts w:eastAsia="仿宋_GB2312"/>
          <w:b w:val="0"/>
          <w:bCs w:val="0"/>
          <w:color w:val="auto"/>
          <w:kern w:val="0"/>
          <w:sz w:val="32"/>
          <w:szCs w:val="32"/>
          <w:u w:val="none"/>
          <w:shd w:val="clear" w:color="auto" w:fill="FFFFFF"/>
          <w:lang w:val="en-US" w:eastAsia="zh-CN"/>
        </w:rPr>
      </w:pPr>
      <w:r>
        <w:rPr>
          <w:rFonts w:eastAsia="仿宋_GB2312"/>
          <w:b w:val="0"/>
          <w:bCs w:val="0"/>
          <w:color w:val="auto"/>
          <w:kern w:val="0"/>
          <w:sz w:val="32"/>
          <w:szCs w:val="32"/>
          <w:u w:val="none"/>
          <w:shd w:val="clear" w:color="auto" w:fill="FFFFFF"/>
          <w:lang w:val="en-US"/>
        </w:rPr>
        <w:t>3.</w:t>
      </w:r>
      <w:r>
        <w:rPr>
          <w:rFonts w:eastAsia="仿宋_GB2312"/>
          <w:b w:val="0"/>
          <w:bCs w:val="0"/>
          <w:color w:val="auto"/>
          <w:kern w:val="0"/>
          <w:sz w:val="32"/>
          <w:szCs w:val="32"/>
          <w:u w:val="none"/>
          <w:shd w:val="clear" w:color="auto" w:fill="FFFFFF"/>
          <w:lang w:val="zh-CN"/>
        </w:rPr>
        <w:t>项目主要内容</w:t>
      </w:r>
      <w:r>
        <w:rPr>
          <w:rFonts w:eastAsia="仿宋_GB2312"/>
          <w:b w:val="0"/>
          <w:bCs w:val="0"/>
          <w:color w:val="auto"/>
          <w:kern w:val="0"/>
          <w:sz w:val="32"/>
          <w:szCs w:val="32"/>
          <w:u w:val="none"/>
          <w:shd w:val="clear" w:color="auto" w:fill="FFFFFF"/>
          <w:lang w:val="en-US" w:eastAsia="zh-CN"/>
        </w:rPr>
        <w:t>：本项目位于广元国际铁路港普铁物流组团内，占地140亩，总投资3.3亿元，其中固定资产投资2.3亿元，拟修建粮仓4座，冷库1座，大宗物资库1座，应急物资储备库1座，大数据服务中心0.5万平方米，仓储能力12万吨左右，用于原粮储备、冷冻肉制品、水产品及果蔬产品储备、战略应急物资储备、杂散货仓出租等。项目建成投产后，年均粮油交易能力不低于20万吨，冷链物资交易能力不低于5万吨，园区产值不低于10亿元，园区年税收不低于1000万元，提供就业岗位50个以上。</w:t>
      </w:r>
    </w:p>
    <w:p>
      <w:pPr>
        <w:keepNext w:val="0"/>
        <w:keepLines w:val="0"/>
        <w:pageBreakBefore w:val="0"/>
        <w:widowControl/>
        <w:suppressAutoHyphens/>
        <w:kinsoku/>
        <w:wordWrap/>
        <w:overflowPunct/>
        <w:topLinePunct w:val="0"/>
        <w:autoSpaceDE/>
        <w:autoSpaceDN/>
        <w:adjustRightInd w:val="0"/>
        <w:snapToGrid w:val="0"/>
        <w:spacing w:line="578" w:lineRule="exact"/>
        <w:ind w:left="0" w:firstLine="640" w:firstLineChars="200"/>
        <w:contextualSpacing/>
        <w:jc w:val="left"/>
        <w:rPr>
          <w:rFonts w:eastAsia="仿宋_GB2312"/>
          <w:b w:val="0"/>
          <w:bCs w:val="0"/>
          <w:color w:val="auto"/>
          <w:kern w:val="0"/>
          <w:sz w:val="32"/>
          <w:szCs w:val="32"/>
          <w:u w:val="none"/>
          <w:shd w:val="clear" w:color="auto" w:fill="FFFFFF"/>
          <w:lang w:val="zh-CN"/>
        </w:rPr>
      </w:pPr>
      <w:r>
        <w:rPr>
          <w:rFonts w:eastAsia="仿宋_GB2312"/>
          <w:b w:val="0"/>
          <w:bCs w:val="0"/>
          <w:color w:val="auto"/>
          <w:kern w:val="0"/>
          <w:sz w:val="32"/>
          <w:szCs w:val="32"/>
          <w:u w:val="none"/>
          <w:shd w:val="clear" w:color="auto" w:fill="FFFFFF"/>
          <w:lang w:val="en-US"/>
        </w:rPr>
        <w:t>4.</w:t>
      </w:r>
      <w:r>
        <w:rPr>
          <w:rFonts w:eastAsia="仿宋_GB2312"/>
          <w:b w:val="0"/>
          <w:bCs w:val="0"/>
          <w:color w:val="auto"/>
          <w:kern w:val="0"/>
          <w:sz w:val="32"/>
          <w:szCs w:val="32"/>
          <w:u w:val="none"/>
          <w:shd w:val="clear" w:color="auto" w:fill="FFFFFF"/>
          <w:lang w:val="zh-CN"/>
        </w:rPr>
        <w:t>主管部门及职能：</w:t>
      </w:r>
      <w:r>
        <w:rPr>
          <w:rFonts w:eastAsia="仿宋_GB2312"/>
          <w:b w:val="0"/>
          <w:bCs w:val="0"/>
          <w:color w:val="auto"/>
          <w:spacing w:val="0"/>
          <w:w w:val="100"/>
          <w:position w:val="0"/>
          <w:sz w:val="32"/>
          <w:szCs w:val="32"/>
          <w:lang w:val="en-US" w:eastAsia="zh-CN"/>
        </w:rPr>
        <w:t>广元国际铁路港管理委员会，负责指导、监督、推进川陕甘铁路冷链及粮食供应链产业园区项目建设、运营工作。</w:t>
      </w:r>
    </w:p>
    <w:p>
      <w:pPr>
        <w:keepNext w:val="0"/>
        <w:keepLines w:val="0"/>
        <w:pageBreakBefore w:val="0"/>
        <w:numPr>
          <w:ilvl w:val="0"/>
          <w:numId w:val="4"/>
        </w:numPr>
        <w:suppressAutoHyphens/>
        <w:kinsoku/>
        <w:wordWrap/>
        <w:overflowPunct/>
        <w:topLinePunct w:val="0"/>
        <w:autoSpaceDE/>
        <w:autoSpaceDN/>
        <w:adjustRightInd w:val="0"/>
        <w:snapToGrid w:val="0"/>
        <w:spacing w:line="578" w:lineRule="exact"/>
        <w:ind w:left="0" w:firstLine="640" w:firstLineChars="200"/>
        <w:rPr>
          <w:rFonts w:eastAsia="楷体_GB2312"/>
          <w:b w:val="0"/>
          <w:bCs w:val="0"/>
          <w:color w:val="auto"/>
          <w:sz w:val="32"/>
          <w:szCs w:val="32"/>
          <w:u w:val="none"/>
          <w:lang w:val="zh-CN"/>
        </w:rPr>
      </w:pPr>
      <w:r>
        <w:rPr>
          <w:rFonts w:eastAsia="楷体_GB2312"/>
          <w:b w:val="0"/>
          <w:bCs w:val="0"/>
          <w:color w:val="auto"/>
          <w:sz w:val="32"/>
          <w:szCs w:val="32"/>
          <w:u w:val="none"/>
          <w:lang w:val="en-US" w:eastAsia="zh-CN"/>
        </w:rPr>
        <w:t>实施目的及支持方向。</w:t>
      </w:r>
      <w:r>
        <w:rPr>
          <w:rFonts w:eastAsia="仿宋_GB2312"/>
          <w:b w:val="0"/>
          <w:bCs w:val="0"/>
          <w:color w:val="auto"/>
          <w:kern w:val="0"/>
          <w:sz w:val="32"/>
          <w:szCs w:val="32"/>
          <w:u w:val="none"/>
          <w:shd w:val="clear" w:color="auto" w:fill="FFFFFF"/>
          <w:lang w:val="en-US" w:eastAsia="zh-CN"/>
        </w:rPr>
        <w:t>支持川陕甘铁路冷链及粮食供应链产业园区项目建设和相关产业发展，以构建服务大宗粮油的物流服务体系为导向，打造北接陕甘，南连川渝，辐射全国的大宗粮油集散中心，构建服务于广元市大宗粮油的现代物流服务体系以及提高当地冷链物流服务水平，带动大宗粮油产业链向下延伸，在广元形成加工聚集，扩大当地贸易辐射，带动现代化产业体系发展，加快广元融入成渝双城经济圈，建设川陕甘结合部现代化中心城市，进一步实现对外开放，形成新发展格局。</w:t>
      </w:r>
    </w:p>
    <w:p>
      <w:pPr>
        <w:keepNext w:val="0"/>
        <w:keepLines w:val="0"/>
        <w:pageBreakBefore w:val="0"/>
        <w:widowControl/>
        <w:numPr>
          <w:ilvl w:val="0"/>
          <w:numId w:val="4"/>
        </w:numPr>
        <w:suppressAutoHyphens/>
        <w:kinsoku/>
        <w:wordWrap/>
        <w:overflowPunct/>
        <w:topLinePunct w:val="0"/>
        <w:autoSpaceDE/>
        <w:autoSpaceDN/>
        <w:adjustRightInd w:val="0"/>
        <w:snapToGrid w:val="0"/>
        <w:spacing w:line="578" w:lineRule="exact"/>
        <w:ind w:left="0" w:firstLine="640" w:firstLineChars="200"/>
        <w:contextualSpacing/>
        <w:jc w:val="left"/>
        <w:rPr>
          <w:rFonts w:eastAsia="楷体_GB2312"/>
          <w:b w:val="0"/>
          <w:bCs w:val="0"/>
          <w:color w:val="auto"/>
          <w:sz w:val="32"/>
          <w:szCs w:val="32"/>
          <w:u w:val="none"/>
          <w:lang w:val="zh-CN" w:eastAsia="zh-CN"/>
        </w:rPr>
      </w:pPr>
      <w:r>
        <w:rPr>
          <w:rFonts w:eastAsia="楷体_GB2312"/>
          <w:b w:val="0"/>
          <w:bCs w:val="0"/>
          <w:color w:val="auto"/>
          <w:sz w:val="32"/>
          <w:szCs w:val="32"/>
          <w:u w:val="none"/>
          <w:lang w:val="en-US" w:eastAsia="zh-CN"/>
        </w:rPr>
        <w:t>预算安排及分配管理</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sz w:val="32"/>
          <w:szCs w:val="32"/>
          <w:lang w:val="en-US" w:eastAsia="zh-CN"/>
        </w:rPr>
      </w:pPr>
      <w:r>
        <w:rPr>
          <w:rFonts w:eastAsia="仿宋_GB2312"/>
          <w:b w:val="0"/>
          <w:bCs w:val="0"/>
          <w:color w:val="auto"/>
          <w:sz w:val="32"/>
          <w:szCs w:val="32"/>
          <w:lang w:val="en-US" w:eastAsia="zh-CN"/>
        </w:rPr>
        <w:t>为支持项目建设和相关产业发展，经八届市政府第38次、57次常务会议审定，同意给予该项目合资公司1350万元产业发展扶持资金，并明确由广元国际铁路港管委会、市财政局负责按程序组织实施。按照广元国际铁路港管委会与四川港投新通道物流产业投资集团签订的《投资补充协议》《投资补充协议二》约定，产业发展扶持资金“在本项目取得建设工程施工许可证并进场施工一个月内，一次性兑现到位”。</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kern w:val="0"/>
          <w:sz w:val="32"/>
          <w:szCs w:val="32"/>
          <w:u w:val="none"/>
          <w:shd w:val="clear" w:color="auto" w:fill="FFFFFF"/>
          <w:lang w:val="en-US" w:eastAsia="zh-CN"/>
        </w:rPr>
      </w:pPr>
      <w:r>
        <w:rPr>
          <w:rFonts w:eastAsia="仿宋_GB2312"/>
          <w:b w:val="0"/>
          <w:bCs w:val="0"/>
          <w:color w:val="auto"/>
          <w:kern w:val="0"/>
          <w:sz w:val="32"/>
          <w:szCs w:val="32"/>
          <w:u w:val="none"/>
          <w:shd w:val="clear" w:color="auto" w:fill="FFFFFF"/>
          <w:lang w:val="en-US" w:eastAsia="zh-CN"/>
        </w:rPr>
        <w:t>该项目于2023年5月注册成立合资公司（四川港投川陕甘供应链发展有限公司），2024年10月22日取得《建筑工程施工许可证》，10月23日取得《工程开工令》。工程进度已达到产业发展扶持资金兑现条件。为进一步优化广元营商环境，严格履行协议约定内容，已拨付四川港投川陕甘供应链发展有限公司川陕甘铁路冷链及粮食供应链产业园项目产业发展扶持资金1350万元。</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楷体_GB2312"/>
          <w:b w:val="0"/>
          <w:bCs w:val="0"/>
          <w:color w:val="auto"/>
          <w:sz w:val="32"/>
          <w:szCs w:val="32"/>
          <w:u w:val="none"/>
          <w:lang w:val="zh-CN" w:eastAsia="zh-CN"/>
        </w:rPr>
      </w:pPr>
      <w:r>
        <w:rPr>
          <w:rFonts w:eastAsia="楷体_GB2312"/>
          <w:b w:val="0"/>
          <w:bCs w:val="0"/>
          <w:color w:val="auto"/>
          <w:sz w:val="32"/>
          <w:szCs w:val="32"/>
          <w:u w:val="none"/>
          <w:lang w:val="zh-CN" w:eastAsia="zh-CN"/>
        </w:rPr>
        <w:t>（四）项目绩效目标设置</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kern w:val="0"/>
          <w:sz w:val="32"/>
          <w:szCs w:val="32"/>
          <w:u w:val="none"/>
          <w:shd w:val="clear" w:color="auto" w:fill="FFFFFF"/>
          <w:lang w:val="en-US" w:eastAsia="zh-CN"/>
        </w:rPr>
      </w:pPr>
      <w:r>
        <w:rPr>
          <w:rFonts w:eastAsia="仿宋_GB2312"/>
          <w:b w:val="0"/>
          <w:bCs w:val="0"/>
          <w:color w:val="auto"/>
          <w:kern w:val="0"/>
          <w:sz w:val="32"/>
          <w:szCs w:val="32"/>
          <w:u w:val="none"/>
          <w:shd w:val="clear" w:color="auto" w:fill="FFFFFF"/>
          <w:lang w:val="zh-CN" w:eastAsia="zh-CN"/>
        </w:rPr>
        <w:t>设置通用指标、专用指标</w:t>
      </w:r>
      <w:r>
        <w:rPr>
          <w:rFonts w:eastAsia="仿宋_GB2312"/>
          <w:b w:val="0"/>
          <w:bCs w:val="0"/>
          <w:color w:val="auto"/>
          <w:kern w:val="0"/>
          <w:sz w:val="32"/>
          <w:szCs w:val="32"/>
          <w:u w:val="none"/>
          <w:shd w:val="clear" w:color="auto" w:fill="FFFFFF"/>
          <w:lang w:val="en-US" w:eastAsia="zh-CN"/>
        </w:rPr>
        <w:t>2个一级指标，通用指标包括项目决策、项目管理、项目实施、项目结果4个二级指标，专用指标包括产业发展1个二级指标结合符合性、成长性和经济性3个3级指标。</w:t>
      </w:r>
    </w:p>
    <w:p>
      <w:pPr>
        <w:keepNext w:val="0"/>
        <w:keepLines w:val="0"/>
        <w:pageBreakBefore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kern w:val="0"/>
          <w:sz w:val="32"/>
          <w:szCs w:val="32"/>
          <w:u w:val="none"/>
          <w:shd w:val="clear" w:color="auto" w:fill="FFFFFF"/>
          <w:lang w:val="zh-CN" w:eastAsia="zh-CN"/>
        </w:rPr>
      </w:pPr>
      <w:r>
        <w:rPr>
          <w:rFonts w:eastAsia="仿宋_GB2312"/>
          <w:b w:val="0"/>
          <w:bCs w:val="0"/>
          <w:color w:val="auto"/>
          <w:kern w:val="0"/>
          <w:sz w:val="32"/>
          <w:szCs w:val="32"/>
          <w:u w:val="none"/>
          <w:shd w:val="clear" w:color="auto" w:fill="FFFFFF"/>
          <w:lang w:val="en-US" w:eastAsia="zh-CN"/>
        </w:rPr>
        <w:t>2024年，圆满或超额完成各项指标，自评得分100分</w:t>
      </w:r>
    </w:p>
    <w:p>
      <w:pPr>
        <w:keepNext w:val="0"/>
        <w:keepLines w:val="0"/>
        <w:pageBreakBefore w:val="0"/>
        <w:widowControl w:val="0"/>
        <w:suppressAutoHyphens/>
        <w:kinsoku/>
        <w:wordWrap/>
        <w:overflowPunct/>
        <w:topLinePunct w:val="0"/>
        <w:autoSpaceDE/>
        <w:autoSpaceDN/>
        <w:adjustRightInd w:val="0"/>
        <w:snapToGrid w:val="0"/>
        <w:spacing w:line="578" w:lineRule="exact"/>
        <w:ind w:firstLine="640" w:firstLineChars="200"/>
        <w:rPr>
          <w:rFonts w:eastAsia="黑体"/>
          <w:b w:val="0"/>
          <w:bCs w:val="0"/>
          <w:color w:val="auto"/>
          <w:sz w:val="32"/>
          <w:szCs w:val="32"/>
          <w:lang w:eastAsia="zh-CN"/>
        </w:rPr>
      </w:pPr>
      <w:r>
        <w:rPr>
          <w:rFonts w:eastAsia="黑体"/>
          <w:b w:val="0"/>
          <w:bCs w:val="0"/>
          <w:color w:val="auto"/>
          <w:sz w:val="32"/>
          <w:szCs w:val="32"/>
        </w:rPr>
        <w:t>二、</w:t>
      </w:r>
      <w:r>
        <w:rPr>
          <w:rFonts w:eastAsia="黑体"/>
          <w:b w:val="0"/>
          <w:bCs w:val="0"/>
          <w:color w:val="auto"/>
          <w:sz w:val="32"/>
          <w:szCs w:val="32"/>
          <w:lang w:eastAsia="zh-CN"/>
        </w:rPr>
        <w:t>评价实施</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rPr>
      </w:pPr>
      <w:r>
        <w:rPr>
          <w:rFonts w:eastAsia="楷体_GB2312"/>
          <w:b w:val="0"/>
          <w:bCs w:val="0"/>
          <w:color w:val="auto"/>
          <w:sz w:val="32"/>
          <w:szCs w:val="32"/>
          <w:u w:val="none"/>
          <w:lang w:val="zh-CN"/>
        </w:rPr>
        <w:t>（一）评价目的。</w:t>
      </w:r>
      <w:r>
        <w:rPr>
          <w:rFonts w:eastAsia="仿宋_GB2312"/>
          <w:b w:val="0"/>
          <w:bCs w:val="0"/>
          <w:color w:val="auto"/>
          <w:sz w:val="32"/>
          <w:szCs w:val="32"/>
        </w:rPr>
        <w:t>通过</w:t>
      </w:r>
      <w:r>
        <w:rPr>
          <w:rFonts w:eastAsia="仿宋_GB2312"/>
          <w:b w:val="0"/>
          <w:bCs w:val="0"/>
          <w:color w:val="auto"/>
          <w:sz w:val="32"/>
          <w:szCs w:val="32"/>
          <w:lang w:eastAsia="zh-CN"/>
        </w:rPr>
        <w:t>专项</w:t>
      </w:r>
      <w:r>
        <w:rPr>
          <w:rFonts w:eastAsia="仿宋_GB2312"/>
          <w:b w:val="0"/>
          <w:bCs w:val="0"/>
          <w:color w:val="auto"/>
          <w:sz w:val="32"/>
          <w:szCs w:val="32"/>
        </w:rPr>
        <w:t>绩效评估，为项目设立和预算安排提供重要参考依据，提高预算编制科学性、合理性，优化财政支出结构，提高财政资源配置效率和财政资金使用效益。</w:t>
      </w:r>
    </w:p>
    <w:p>
      <w:pPr>
        <w:keepNext w:val="0"/>
        <w:keepLines w:val="0"/>
        <w:pageBreakBefore w:val="0"/>
        <w:widowControl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sz w:val="32"/>
          <w:szCs w:val="32"/>
          <w:lang w:val="en-US" w:eastAsia="zh-CN"/>
        </w:rPr>
      </w:pPr>
      <w:r>
        <w:rPr>
          <w:rFonts w:eastAsia="楷体_GB2312"/>
          <w:b w:val="0"/>
          <w:bCs w:val="0"/>
          <w:color w:val="auto"/>
          <w:sz w:val="32"/>
          <w:szCs w:val="32"/>
          <w:u w:val="none"/>
          <w:lang w:val="zh-CN"/>
        </w:rPr>
        <w:t>（二）预设问题及评价重点。</w:t>
      </w:r>
      <w:r>
        <w:rPr>
          <w:rFonts w:eastAsia="方正仿宋简体"/>
          <w:b w:val="0"/>
          <w:bCs w:val="0"/>
          <w:color w:val="auto"/>
          <w:sz w:val="32"/>
          <w:szCs w:val="32"/>
          <w:u w:val="none"/>
          <w:lang w:val="zh-CN"/>
        </w:rPr>
        <w:t>项目是否达到计划工程进度，是否达到预先确定的资金拨付进度</w:t>
      </w:r>
      <w:r>
        <w:rPr>
          <w:rFonts w:eastAsia="仿宋_GB2312"/>
          <w:b w:val="0"/>
          <w:bCs w:val="0"/>
          <w:color w:val="auto"/>
          <w:sz w:val="32"/>
          <w:szCs w:val="32"/>
          <w:u w:val="none"/>
          <w:lang w:val="zh-CN"/>
        </w:rPr>
        <w:t>。</w:t>
      </w:r>
    </w:p>
    <w:p>
      <w:pPr>
        <w:keepNext w:val="0"/>
        <w:keepLines w:val="0"/>
        <w:pageBreakBefore w:val="0"/>
        <w:widowControl w:val="0"/>
        <w:suppressAutoHyphens/>
        <w:kinsoku/>
        <w:wordWrap/>
        <w:overflowPunct/>
        <w:topLinePunct w:val="0"/>
        <w:autoSpaceDE/>
        <w:autoSpaceDN/>
        <w:adjustRightInd w:val="0"/>
        <w:snapToGrid w:val="0"/>
        <w:spacing w:line="578" w:lineRule="exact"/>
        <w:ind w:left="0" w:firstLine="640" w:firstLineChars="200"/>
        <w:rPr>
          <w:rFonts w:eastAsia="仿宋_GB2312"/>
          <w:b w:val="0"/>
          <w:bCs w:val="0"/>
          <w:color w:val="auto"/>
          <w:sz w:val="32"/>
          <w:szCs w:val="32"/>
          <w:lang w:val="zh-CN" w:eastAsia="zh-CN"/>
        </w:rPr>
      </w:pPr>
      <w:r>
        <w:rPr>
          <w:rFonts w:eastAsia="楷体_GB2312"/>
          <w:b w:val="0"/>
          <w:bCs w:val="0"/>
          <w:color w:val="auto"/>
          <w:sz w:val="32"/>
          <w:szCs w:val="32"/>
          <w:u w:val="none"/>
          <w:lang w:val="zh-CN"/>
        </w:rPr>
        <w:t>（三）评价选点。</w:t>
      </w:r>
      <w:r>
        <w:rPr>
          <w:rFonts w:eastAsia="仿宋_GB2312"/>
          <w:b w:val="0"/>
          <w:bCs w:val="0"/>
          <w:color w:val="auto"/>
          <w:sz w:val="32"/>
          <w:szCs w:val="32"/>
          <w:u w:val="none"/>
          <w:lang w:val="zh-CN"/>
        </w:rPr>
        <w:t>广元国际铁路港国际铁路物流园</w:t>
      </w:r>
      <w:r>
        <w:rPr>
          <w:rFonts w:eastAsia="仿宋_GB2312"/>
          <w:b w:val="0"/>
          <w:bCs w:val="0"/>
          <w:color w:val="auto"/>
          <w:sz w:val="32"/>
          <w:szCs w:val="32"/>
          <w:lang w:val="zh-CN" w:eastAsia="zh-CN"/>
        </w:rPr>
        <w:t>川陕甘铁路冷链及粮食供应链产业园区。</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（四）评价方法。</w:t>
      </w:r>
      <w:r>
        <w:rPr>
          <w:rFonts w:eastAsia="仿宋_GB2312"/>
          <w:b w:val="0"/>
          <w:bCs w:val="0"/>
          <w:color w:val="auto"/>
          <w:sz w:val="32"/>
          <w:szCs w:val="32"/>
        </w:rPr>
        <w:t>单位自评法</w:t>
      </w:r>
      <w:r>
        <w:rPr>
          <w:rFonts w:eastAsia="仿宋_GB2312"/>
          <w:b w:val="0"/>
          <w:bCs w:val="0"/>
          <w:color w:val="auto"/>
          <w:sz w:val="32"/>
          <w:szCs w:val="32"/>
          <w:lang w:eastAsia="zh-CN"/>
        </w:rPr>
        <w:t>。</w:t>
      </w:r>
    </w:p>
    <w:p>
      <w:pPr>
        <w:keepNext w:val="0"/>
        <w:keepLines w:val="0"/>
        <w:pageBreakBefore w:val="0"/>
        <w:widowControl w:val="0"/>
        <w:suppressAutoHyphens/>
        <w:kinsoku/>
        <w:wordWrap/>
        <w:overflowPunct/>
        <w:topLinePunct w:val="0"/>
        <w:autoSpaceDE/>
        <w:autoSpaceDN/>
        <w:spacing w:line="578" w:lineRule="exact"/>
        <w:ind w:firstLine="640"/>
        <w:rPr>
          <w:rFonts w:eastAsia="仿宋_GB2312"/>
          <w:b w:val="0"/>
          <w:bCs w:val="0"/>
          <w:color w:val="auto"/>
          <w:sz w:val="32"/>
          <w:szCs w:val="32"/>
          <w:lang w:eastAsia="zh-CN"/>
        </w:rPr>
      </w:pPr>
      <w:r>
        <w:rPr>
          <w:rFonts w:eastAsia="楷体_GB2312"/>
          <w:b w:val="0"/>
          <w:bCs w:val="0"/>
          <w:color w:val="auto"/>
          <w:sz w:val="32"/>
          <w:szCs w:val="32"/>
          <w:u w:val="none"/>
          <w:lang w:val="zh-CN"/>
        </w:rPr>
        <w:t>（五）评价组织。</w:t>
      </w:r>
      <w:r>
        <w:rPr>
          <w:rFonts w:eastAsia="仿宋_GB2312"/>
          <w:b w:val="0"/>
          <w:bCs w:val="0"/>
          <w:color w:val="auto"/>
          <w:sz w:val="32"/>
          <w:szCs w:val="32"/>
        </w:rPr>
        <w:t>评价组人员由财务部、</w:t>
      </w:r>
      <w:r>
        <w:rPr>
          <w:rFonts w:eastAsia="仿宋_GB2312"/>
          <w:b w:val="0"/>
          <w:bCs w:val="0"/>
          <w:color w:val="auto"/>
          <w:sz w:val="32"/>
          <w:szCs w:val="32"/>
          <w:lang w:eastAsia="zh-CN"/>
        </w:rPr>
        <w:t>投资促进部</w:t>
      </w:r>
      <w:r>
        <w:rPr>
          <w:rFonts w:eastAsia="仿宋_GB2312"/>
          <w:b w:val="0"/>
          <w:bCs w:val="0"/>
          <w:color w:val="auto"/>
          <w:sz w:val="32"/>
          <w:szCs w:val="32"/>
        </w:rPr>
        <w:t>组成，</w:t>
      </w:r>
      <w:r>
        <w:rPr>
          <w:rFonts w:eastAsia="仿宋_GB2312"/>
          <w:b w:val="0"/>
          <w:bCs w:val="0"/>
          <w:color w:val="auto"/>
          <w:sz w:val="32"/>
          <w:szCs w:val="32"/>
          <w:lang w:eastAsia="zh-CN"/>
        </w:rPr>
        <w:t>投资促进部</w:t>
      </w:r>
      <w:r>
        <w:rPr>
          <w:rFonts w:eastAsia="仿宋_GB2312"/>
          <w:b w:val="0"/>
          <w:bCs w:val="0"/>
          <w:color w:val="auto"/>
          <w:sz w:val="32"/>
          <w:szCs w:val="32"/>
        </w:rPr>
        <w:t>负责搜集资料并自评，财务部负责审核。</w:t>
      </w:r>
    </w:p>
    <w:p>
      <w:pPr>
        <w:keepNext w:val="0"/>
        <w:keepLines w:val="0"/>
        <w:pageBreakBefore w:val="0"/>
        <w:suppressAutoHyphens/>
        <w:kinsoku/>
        <w:wordWrap/>
        <w:overflowPunct/>
        <w:topLinePunct w:val="0"/>
        <w:autoSpaceDE/>
        <w:autoSpaceDN/>
        <w:adjustRightInd w:val="0"/>
        <w:snapToGrid w:val="0"/>
        <w:spacing w:line="578" w:lineRule="exact"/>
        <w:ind w:firstLine="640" w:firstLineChars="200"/>
        <w:rPr>
          <w:rFonts w:eastAsia="仿宋_GB2312"/>
          <w:b w:val="0"/>
          <w:bCs w:val="0"/>
          <w:color w:val="auto"/>
          <w:sz w:val="32"/>
          <w:szCs w:val="32"/>
          <w:u w:val="none"/>
          <w:lang w:val="zh-CN"/>
        </w:rPr>
      </w:pPr>
      <w:r>
        <w:rPr>
          <w:rFonts w:eastAsia="黑体"/>
          <w:b w:val="0"/>
          <w:bCs w:val="0"/>
          <w:color w:val="auto"/>
          <w:sz w:val="32"/>
          <w:szCs w:val="32"/>
          <w:u w:val="none"/>
        </w:rPr>
        <w:t>三、</w:t>
      </w:r>
      <w:r>
        <w:rPr>
          <w:rFonts w:eastAsia="黑体"/>
          <w:b w:val="0"/>
          <w:bCs w:val="0"/>
          <w:color w:val="auto"/>
          <w:sz w:val="32"/>
          <w:szCs w:val="32"/>
          <w:u w:val="none"/>
          <w:lang w:eastAsia="zh-CN"/>
        </w:rPr>
        <w:t>绩效分析</w:t>
      </w:r>
      <w:r>
        <w:rPr>
          <w:rFonts w:eastAsia="仿宋_GB2312"/>
          <w:b w:val="0"/>
          <w:bCs w:val="0"/>
          <w:color w:val="auto"/>
          <w:sz w:val="32"/>
          <w:szCs w:val="32"/>
          <w:u w:val="none"/>
          <w:lang w:val="zh-CN"/>
        </w:rPr>
        <w:tab/>
      </w:r>
    </w:p>
    <w:p>
      <w:pPr>
        <w:keepNext w:val="0"/>
        <w:keepLines w:val="0"/>
        <w:pageBreakBefore w:val="0"/>
        <w:widowControl w:val="0"/>
        <w:suppressAutoHyphens/>
        <w:kinsoku/>
        <w:wordWrap/>
        <w:overflowPunct/>
        <w:topLinePunct w:val="0"/>
        <w:autoSpaceDE/>
        <w:autoSpaceDN/>
        <w:spacing w:line="578" w:lineRule="exact"/>
        <w:ind w:firstLine="640"/>
        <w:rPr>
          <w:rFonts w:eastAsia="楷体_GB2312"/>
          <w:b w:val="0"/>
          <w:bCs w:val="0"/>
          <w:color w:val="auto"/>
          <w:sz w:val="32"/>
          <w:szCs w:val="32"/>
          <w:u w:val="none"/>
          <w:lang w:val="zh-CN" w:eastAsia="zh-CN"/>
        </w:rPr>
      </w:pPr>
      <w:r>
        <w:rPr>
          <w:rFonts w:eastAsia="楷体_GB2312"/>
          <w:b w:val="0"/>
          <w:bCs w:val="0"/>
          <w:color w:val="auto"/>
          <w:sz w:val="32"/>
          <w:szCs w:val="32"/>
          <w:u w:val="none"/>
          <w:lang w:val="zh-CN" w:eastAsia="zh-CN"/>
        </w:rPr>
        <w:t>（一）通用指标绩效分析</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zh-CN" w:eastAsia="zh-CN" w:bidi="ar-SA"/>
        </w:rPr>
      </w:pPr>
      <w:r>
        <w:rPr>
          <w:rFonts w:eastAsia="仿宋_GB2312"/>
          <w:b w:val="0"/>
          <w:bCs w:val="0"/>
          <w:color w:val="auto"/>
          <w:kern w:val="2"/>
          <w:position w:val="0"/>
          <w:sz w:val="32"/>
          <w:szCs w:val="32"/>
          <w:lang w:val="zh-CN" w:eastAsia="zh-CN" w:bidi="ar-SA"/>
        </w:rPr>
        <w:t>1.项目决策。项目设立、调整延续等方面严格按照资金管理基本规范和决策程序要求执行，经八届市政府第38次、57次常务会议审定，同意给予该项目合资公司1350万元产业发展扶持资金，并明确由广元国际铁路港管委会、市财政局负责按程序组织实施，符合市政府相关决策部署。项目绩效目标设置科学合理，绩效目标和绩效指标是量化可考核，完全相匹配，全面完整，契合项目实质，与部门的长期规划目标、年度工作目标相一致，产出和效果相关联。</w:t>
      </w:r>
    </w:p>
    <w:p>
      <w:pPr>
        <w:pStyle w:val="36"/>
        <w:keepNext w:val="0"/>
        <w:keepLines w:val="0"/>
        <w:widowControl w:val="0"/>
        <w:shd w:val="clear" w:color="auto" w:fill="auto"/>
        <w:spacing w:before="0" w:after="60" w:line="575" w:lineRule="exact"/>
        <w:ind w:left="0" w:firstLine="0"/>
        <w:jc w:val="center"/>
        <w:rPr>
          <w:rFonts w:ascii="Times New Roman" w:hAnsi="Times New Roman" w:cs="Times New Roman"/>
          <w:b w:val="0"/>
          <w:bCs w:val="0"/>
          <w:color w:val="auto"/>
          <w:spacing w:val="0"/>
          <w:w w:val="100"/>
          <w:position w:val="0"/>
          <w:sz w:val="30"/>
        </w:rPr>
      </w:pPr>
      <w:r>
        <w:rPr>
          <w:rFonts w:ascii="Times New Roman" w:hAnsi="Times New Roman" w:cs="Times New Roman"/>
          <w:b w:val="0"/>
          <w:bCs w:val="0"/>
          <w:color w:val="auto"/>
          <w:spacing w:val="-20"/>
          <w:w w:val="100"/>
          <w:position w:val="0"/>
          <w:sz w:val="30"/>
          <w:szCs w:val="30"/>
          <w:lang w:val="en-US" w:eastAsia="zh-CN"/>
        </w:rPr>
        <w:t>川陕甘铁路冷链及粮食供应链产业园区项目</w:t>
      </w:r>
      <w:r>
        <w:rPr>
          <w:rFonts w:ascii="Times New Roman" w:hAnsi="Times New Roman" w:cs="Times New Roman"/>
          <w:b w:val="0"/>
          <w:bCs w:val="0"/>
          <w:color w:val="auto"/>
          <w:spacing w:val="0"/>
          <w:w w:val="100"/>
          <w:position w:val="0"/>
          <w:sz w:val="30"/>
        </w:rPr>
        <w:t>绩效目标表</w:t>
      </w:r>
    </w:p>
    <w:tbl>
      <w:tblPr>
        <w:tblStyle w:val="18"/>
        <w:tblW w:w="90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5"/>
        <w:gridCol w:w="1431"/>
        <w:gridCol w:w="2689"/>
        <w:gridCol w:w="39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005"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一级指标</w:t>
            </w:r>
          </w:p>
        </w:tc>
        <w:tc>
          <w:tcPr>
            <w:tcW w:w="1431"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二级指标</w:t>
            </w: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三级指标</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 w:hRule="atLeast"/>
        </w:trPr>
        <w:tc>
          <w:tcPr>
            <w:tcW w:w="1005" w:type="dxa"/>
            <w:vMerge w:val="restart"/>
            <w:tcBorders>
              <w:top w:val="single" w:color="000000" w:sz="4" w:space="0"/>
              <w:left w:val="single" w:color="000000" w:sz="4" w:space="0"/>
              <w:bottom w:val="nil"/>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产出指标</w:t>
            </w:r>
          </w:p>
        </w:tc>
        <w:tc>
          <w:tcPr>
            <w:tcW w:w="1431" w:type="dxa"/>
            <w:vMerge w:val="restart"/>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数量指标</w:t>
            </w: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修建粮仓</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lang w:val="en-US"/>
              </w:rPr>
            </w:pPr>
            <w:r>
              <w:rPr>
                <w:rFonts w:eastAsia="宋体"/>
                <w:b w:val="0"/>
                <w:bCs w:val="0"/>
                <w:i w:val="0"/>
                <w:color w:val="auto"/>
                <w:spacing w:val="0"/>
                <w:w w:val="100"/>
                <w:kern w:val="0"/>
                <w:position w:val="0"/>
                <w:sz w:val="18"/>
                <w:szCs w:val="18"/>
                <w:u w:val="none"/>
                <w:shd w:val="clear" w:color="auto" w:fill="auto"/>
                <w:lang w:val="en-US" w:eastAsia="zh-CN" w:bidi="ar-SA"/>
              </w:rPr>
              <w:t>修建粮食仓储高标仓1座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nil"/>
              <w:right w:val="single" w:color="000000" w:sz="4" w:space="0"/>
              <w:tl2br w:val="nil"/>
              <w:tr2bl w:val="nil"/>
            </w:tcBorders>
            <w:noWrap/>
            <w:vAlign w:val="center"/>
          </w:tcPr>
          <w:p/>
        </w:tc>
        <w:tc>
          <w:tcPr>
            <w:tcW w:w="1431" w:type="dxa"/>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修建冷库</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修建多层冷库1座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1005" w:type="dxa"/>
            <w:vMerge w:val="continue"/>
            <w:tcBorders>
              <w:top w:val="single" w:color="000000" w:sz="4" w:space="0"/>
              <w:left w:val="single" w:color="000000" w:sz="4" w:space="0"/>
              <w:bottom w:val="nil"/>
              <w:right w:val="single" w:color="000000" w:sz="4" w:space="0"/>
              <w:tl2br w:val="nil"/>
              <w:tr2bl w:val="nil"/>
            </w:tcBorders>
            <w:noWrap/>
            <w:vAlign w:val="center"/>
          </w:tcPr>
          <w:p/>
        </w:tc>
        <w:tc>
          <w:tcPr>
            <w:tcW w:w="1431" w:type="dxa"/>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仓储能力</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年粮食仓储能力5万吨以上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nil"/>
              <w:right w:val="single" w:color="000000" w:sz="4" w:space="0"/>
              <w:tl2br w:val="nil"/>
              <w:tr2bl w:val="nil"/>
            </w:tcBorders>
            <w:noWrap/>
            <w:vAlign w:val="center"/>
          </w:tcPr>
          <w:p/>
        </w:tc>
        <w:tc>
          <w:tcPr>
            <w:tcW w:w="1431" w:type="dxa"/>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粮油交易能力</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年粮油交易能力10万吨左右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nil"/>
              <w:right w:val="single" w:color="000000" w:sz="4" w:space="0"/>
              <w:tl2br w:val="nil"/>
              <w:tr2bl w:val="nil"/>
            </w:tcBorders>
            <w:noWrap/>
            <w:vAlign w:val="center"/>
          </w:tcPr>
          <w:p/>
        </w:tc>
        <w:tc>
          <w:tcPr>
            <w:tcW w:w="1431" w:type="dxa"/>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园区产值</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园区年产值不低于5亿元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nil"/>
              <w:right w:val="single" w:color="000000" w:sz="4" w:space="0"/>
              <w:tl2br w:val="nil"/>
              <w:tr2bl w:val="nil"/>
            </w:tcBorders>
            <w:noWrap/>
            <w:vAlign w:val="center"/>
          </w:tcPr>
          <w:p/>
        </w:tc>
        <w:tc>
          <w:tcPr>
            <w:tcW w:w="1431" w:type="dxa"/>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实现税收</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园区年实现税收不低于600万元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 w:hRule="atLeast"/>
        </w:trPr>
        <w:tc>
          <w:tcPr>
            <w:tcW w:w="1005" w:type="dxa"/>
            <w:vMerge w:val="continue"/>
            <w:tcBorders>
              <w:top w:val="single" w:color="000000" w:sz="4" w:space="0"/>
              <w:left w:val="single" w:color="000000" w:sz="4" w:space="0"/>
              <w:bottom w:val="nil"/>
              <w:right w:val="single" w:color="000000" w:sz="4" w:space="0"/>
              <w:tl2br w:val="nil"/>
              <w:tr2bl w:val="nil"/>
            </w:tcBorders>
            <w:noWrap/>
            <w:vAlign w:val="center"/>
          </w:tcPr>
          <w:p/>
        </w:tc>
        <w:tc>
          <w:tcPr>
            <w:tcW w:w="1431" w:type="dxa"/>
            <w:vMerge w:val="continue"/>
            <w:tcBorders>
              <w:top w:val="single" w:color="000000" w:sz="4" w:space="0"/>
              <w:left w:val="single" w:color="000000" w:sz="4" w:space="0"/>
              <w:bottom w:val="single" w:color="000000" w:sz="4" w:space="0"/>
              <w:right w:val="single" w:color="000000" w:sz="4" w:space="0"/>
              <w:tl2br w:val="nil"/>
              <w:tr2bl w:val="nil"/>
            </w:tcBorders>
            <w:noWrap/>
            <w:vAlign w:val="center"/>
          </w:tcP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增加就业岗位</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带动增加就业岗位不少于30个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05" w:type="dxa"/>
            <w:vMerge w:val="restart"/>
            <w:tcBorders>
              <w:top w:val="single" w:color="000000" w:sz="4" w:space="0"/>
              <w:left w:val="single" w:color="000000" w:sz="4" w:space="0"/>
              <w:bottom w:val="nil"/>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项目效益</w:t>
            </w:r>
          </w:p>
        </w:tc>
        <w:tc>
          <w:tcPr>
            <w:tcW w:w="1431" w:type="dxa"/>
            <w:vMerge w:val="restart"/>
            <w:tcBorders>
              <w:top w:val="single" w:color="000000" w:sz="4" w:space="0"/>
              <w:left w:val="single" w:color="000000" w:sz="4" w:space="0"/>
              <w:bottom w:val="nil"/>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社会效益指标</w:t>
            </w:r>
          </w:p>
        </w:tc>
        <w:tc>
          <w:tcPr>
            <w:tcW w:w="2689"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降低粮食企业采购成本</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有效降低周边粮食加工企业原料采购成本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trPr>
        <w:tc>
          <w:tcPr>
            <w:tcW w:w="1005" w:type="dxa"/>
            <w:vMerge w:val="continue"/>
            <w:tcBorders>
              <w:top w:val="single" w:color="000000" w:sz="4" w:space="0"/>
              <w:left w:val="single" w:color="000000" w:sz="4" w:space="0"/>
              <w:bottom w:val="nil"/>
              <w:right w:val="single" w:color="000000" w:sz="4" w:space="0"/>
              <w:tl2br w:val="nil"/>
              <w:tr2bl w:val="nil"/>
            </w:tcBorders>
            <w:noWrap/>
            <w:vAlign w:val="center"/>
          </w:tcPr>
          <w:p/>
        </w:tc>
        <w:tc>
          <w:tcPr>
            <w:tcW w:w="1431" w:type="dxa"/>
            <w:vMerge w:val="continue"/>
            <w:tcBorders>
              <w:top w:val="single" w:color="000000" w:sz="4" w:space="0"/>
              <w:left w:val="single" w:color="000000" w:sz="4" w:space="0"/>
              <w:bottom w:val="nil"/>
              <w:right w:val="single" w:color="000000" w:sz="4" w:space="0"/>
              <w:tl2br w:val="nil"/>
              <w:tr2bl w:val="nil"/>
            </w:tcBorders>
            <w:noWrap/>
            <w:vAlign w:val="center"/>
          </w:tcPr>
          <w:p/>
        </w:tc>
        <w:tc>
          <w:tcPr>
            <w:tcW w:w="2689"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降低预制食品企业采购成本</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有效降低周边预制食品企业原材料采购成本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05"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满意度指标</w:t>
            </w:r>
          </w:p>
        </w:tc>
        <w:tc>
          <w:tcPr>
            <w:tcW w:w="1431"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满意度指标</w:t>
            </w:r>
          </w:p>
        </w:tc>
        <w:tc>
          <w:tcPr>
            <w:tcW w:w="2689"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jc w:val="center"/>
              <w:textAlignment w:val="center"/>
              <w:rPr>
                <w:rFonts w:eastAsia="宋体"/>
                <w:b w:val="0"/>
                <w:bCs w:val="0"/>
                <w:i w:val="0"/>
                <w:color w:val="auto"/>
                <w:sz w:val="18"/>
                <w:szCs w:val="18"/>
                <w:u w:val="none"/>
              </w:rPr>
            </w:pPr>
            <w:r>
              <w:rPr>
                <w:rFonts w:eastAsia="宋体"/>
                <w:b w:val="0"/>
                <w:bCs w:val="0"/>
                <w:i w:val="0"/>
                <w:color w:val="auto"/>
                <w:spacing w:val="0"/>
                <w:w w:val="100"/>
                <w:kern w:val="0"/>
                <w:position w:val="0"/>
                <w:sz w:val="18"/>
                <w:szCs w:val="18"/>
                <w:u w:val="none"/>
                <w:shd w:val="clear" w:color="auto" w:fill="auto"/>
                <w:lang w:val="en-US" w:eastAsia="zh-CN" w:bidi="ar-SA"/>
              </w:rPr>
              <w:t>服务对象满意度</w:t>
            </w:r>
          </w:p>
        </w:tc>
        <w:tc>
          <w:tcPr>
            <w:tcW w:w="3933"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suppressAutoHyphens/>
              <w:ind w:left="0" w:firstLine="0"/>
              <w:jc w:val="center"/>
              <w:textAlignment w:val="center"/>
              <w:rPr>
                <w:rFonts w:eastAsia="宋体"/>
                <w:b w:val="0"/>
                <w:bCs w:val="0"/>
                <w:i w:val="0"/>
                <w:color w:val="auto"/>
                <w:sz w:val="18"/>
                <w:szCs w:val="18"/>
                <w:u w:val="none"/>
                <w:lang w:val="en-US"/>
              </w:rPr>
            </w:pPr>
            <w:r>
              <w:rPr>
                <w:rFonts w:eastAsia="宋体"/>
                <w:b w:val="0"/>
                <w:bCs w:val="0"/>
                <w:i w:val="0"/>
                <w:color w:val="auto"/>
                <w:spacing w:val="0"/>
                <w:w w:val="100"/>
                <w:kern w:val="0"/>
                <w:position w:val="0"/>
                <w:sz w:val="18"/>
                <w:szCs w:val="18"/>
                <w:u w:val="none"/>
                <w:shd w:val="clear" w:color="auto" w:fill="auto"/>
                <w:lang w:val="en-US" w:eastAsia="zh-CN" w:bidi="ar-SA"/>
              </w:rPr>
              <w:t>服务对象满意度达到90%</w:t>
            </w:r>
          </w:p>
        </w:tc>
      </w:tr>
    </w:tbl>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zh-CN" w:eastAsia="zh-CN" w:bidi="ar-SA"/>
        </w:rPr>
      </w:pPr>
      <w:r>
        <w:rPr>
          <w:rFonts w:eastAsia="仿宋_GB2312"/>
          <w:b w:val="0"/>
          <w:bCs w:val="0"/>
          <w:color w:val="auto"/>
          <w:kern w:val="2"/>
          <w:position w:val="0"/>
          <w:sz w:val="32"/>
          <w:szCs w:val="32"/>
          <w:lang w:val="zh-CN" w:eastAsia="zh-CN" w:bidi="ar-SA"/>
        </w:rPr>
        <w:t>2.项目管理。资金管理办法等管理制度体系健全完善，实施过程中严格按照市要求全面完成绩效目标（含事前评估）、绩效评价、以前年度问题整改等预算绩效管理工作。</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3.项目实施。该项目资金财政拨付、单位执行和地方配套已全部到位，项目资金使用、拨付符合国家财经法规、财务管理制度及有关专项资金管理制度办法规定和审批程序。</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4.项目结果。该项目目前属于在建项目。项目实际工程进度大于计划工程进度，产业发展扶持资金按照资金拨付计划、合同约定正常拨付。</w:t>
      </w:r>
    </w:p>
    <w:p>
      <w:pPr>
        <w:keepNext w:val="0"/>
        <w:keepLines w:val="0"/>
        <w:pageBreakBefore w:val="0"/>
        <w:widowControl w:val="0"/>
        <w:suppressAutoHyphens/>
        <w:kinsoku/>
        <w:wordWrap/>
        <w:overflowPunct/>
        <w:topLinePunct w:val="0"/>
        <w:autoSpaceDE/>
        <w:autoSpaceDN/>
        <w:spacing w:line="578" w:lineRule="exact"/>
        <w:ind w:firstLine="640"/>
        <w:rPr>
          <w:rFonts w:eastAsia="楷体_GB2312"/>
          <w:b w:val="0"/>
          <w:bCs w:val="0"/>
          <w:color w:val="auto"/>
          <w:sz w:val="32"/>
          <w:szCs w:val="32"/>
          <w:u w:val="none"/>
          <w:lang w:val="zh-CN" w:eastAsia="zh-CN"/>
        </w:rPr>
      </w:pPr>
      <w:r>
        <w:rPr>
          <w:rFonts w:eastAsia="楷体_GB2312"/>
          <w:b w:val="0"/>
          <w:bCs w:val="0"/>
          <w:color w:val="auto"/>
          <w:sz w:val="32"/>
          <w:szCs w:val="32"/>
          <w:u w:val="none"/>
          <w:lang w:val="zh-CN" w:eastAsia="zh-CN"/>
        </w:rPr>
        <w:t>（二）专用指标绩效分析。</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该项目适用于产业发展指标进行绩效分析。</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该项目实施与市委市政府支持重点、优势产业支持政策相符合，是贯彻落实国家加强粮食应急储备战略的需要，也是贯彻落实国省加快构建现代物流体系的需要。</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对相关企业来说，通过投资建设川陕甘铁路冷链及粮食供应链物流园，一方面可以对当地物流产业进一步升级，以提升物流效率，扩大相关产业产值；另一方面，项目将在川陕甘区域提供全球外贸平台重要战略据点的同时，有效链接更多的上下游资源，加速周边物流资源整合与产业布局，实现物贸业务的可持续发展。</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港投新通道物流公司通过参与本项目，建立服务辐射川东北及陕甘交接区域的粮食冷链集散基地，增强公司现有供应链产业韧性，为后续做大相关业务提供基础设施保障，加速西部陆海新通道沿线资源整合与产业布局，与青白江、眉山、马尔康等已有项目连点成面，协同发展，形成覆盖川陕甘、西部乃至全国的现代粮食冷链物流聚集地。</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en-US" w:eastAsia="zh-CN" w:bidi="ar-SA"/>
        </w:rPr>
        <w:t>川陕甘地区粮食加工产业发达，原粮需求量高，是新通道物流公司开辟物贸业务的重点战略区域。通过建立“仓干配、采购销”为一体的粮油供应链体系，项目运营周期内可累计节约成本2.2亿元。项目建成投产后，将对周边辐射地市产生进一步资源聚集效应，促使园区功能与供应链业务的协同增长，结合冷链加工的赋能升级与战略储备的功能完善，实现降本增效的正向循环。另一方面，通过投资建设冷链及粮食物流园区并实施全自主运营，将极大增强新通道物流公司川陕甘地区供应链业务开展过程中对货权的掌控能力，进一步做实粮食大宗商品贸易，有效降低贸易风险。</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2"/>
          <w:position w:val="0"/>
          <w:sz w:val="32"/>
          <w:szCs w:val="32"/>
          <w:lang w:val="en-US" w:eastAsia="zh-CN" w:bidi="ar-SA"/>
        </w:rPr>
      </w:pPr>
      <w:r>
        <w:rPr>
          <w:rFonts w:eastAsia="仿宋_GB2312"/>
          <w:b w:val="0"/>
          <w:bCs w:val="0"/>
          <w:color w:val="auto"/>
          <w:kern w:val="2"/>
          <w:position w:val="0"/>
          <w:sz w:val="32"/>
          <w:szCs w:val="32"/>
          <w:lang w:val="zh-CN" w:eastAsia="zh-CN" w:bidi="ar-SA"/>
        </w:rPr>
        <w:t>该项目绩效自评总分</w:t>
      </w:r>
      <w:r>
        <w:rPr>
          <w:rFonts w:eastAsia="仿宋_GB2312"/>
          <w:b w:val="0"/>
          <w:bCs w:val="0"/>
          <w:color w:val="auto"/>
          <w:kern w:val="2"/>
          <w:position w:val="0"/>
          <w:sz w:val="32"/>
          <w:szCs w:val="32"/>
          <w:lang w:val="en-US" w:eastAsia="zh-CN" w:bidi="ar-SA"/>
        </w:rPr>
        <w:t>84</w:t>
      </w:r>
      <w:r>
        <w:rPr>
          <w:rFonts w:eastAsia="仿宋_GB2312"/>
          <w:b w:val="0"/>
          <w:bCs w:val="0"/>
          <w:color w:val="auto"/>
          <w:kern w:val="2"/>
          <w:position w:val="0"/>
          <w:sz w:val="32"/>
          <w:szCs w:val="32"/>
          <w:lang w:val="zh-CN" w:eastAsia="zh-CN" w:bidi="ar-SA"/>
        </w:rPr>
        <w:t>分，经自查，通用指标绩效</w:t>
      </w:r>
      <w:r>
        <w:rPr>
          <w:rFonts w:eastAsia="仿宋_GB2312"/>
          <w:b w:val="0"/>
          <w:bCs w:val="0"/>
          <w:color w:val="auto"/>
          <w:kern w:val="2"/>
          <w:position w:val="0"/>
          <w:sz w:val="32"/>
          <w:szCs w:val="32"/>
          <w:lang w:val="en-US" w:eastAsia="zh-CN" w:bidi="ar-SA"/>
        </w:rPr>
        <w:t>54分，得分54分</w:t>
      </w:r>
      <w:r>
        <w:rPr>
          <w:rFonts w:eastAsia="仿宋_GB2312"/>
          <w:b w:val="0"/>
          <w:bCs w:val="0"/>
          <w:color w:val="auto"/>
          <w:kern w:val="2"/>
          <w:position w:val="0"/>
          <w:sz w:val="32"/>
          <w:szCs w:val="32"/>
          <w:lang w:val="zh-CN" w:eastAsia="zh-CN" w:bidi="ar-SA"/>
        </w:rPr>
        <w:t>；专用指标</w:t>
      </w:r>
      <w:r>
        <w:rPr>
          <w:rFonts w:eastAsia="仿宋_GB2312"/>
          <w:b w:val="0"/>
          <w:bCs w:val="0"/>
          <w:color w:val="auto"/>
          <w:kern w:val="2"/>
          <w:position w:val="0"/>
          <w:sz w:val="32"/>
          <w:szCs w:val="32"/>
          <w:lang w:val="en-US" w:eastAsia="zh-CN" w:bidi="ar-SA"/>
        </w:rPr>
        <w:t>30分，得分30分</w:t>
      </w:r>
      <w:r>
        <w:rPr>
          <w:rFonts w:eastAsia="仿宋_GB2312"/>
          <w:b w:val="0"/>
          <w:bCs w:val="0"/>
          <w:color w:val="auto"/>
          <w:kern w:val="2"/>
          <w:position w:val="0"/>
          <w:sz w:val="32"/>
          <w:szCs w:val="32"/>
          <w:lang w:val="zh-CN" w:eastAsia="zh-CN" w:bidi="ar-SA"/>
        </w:rPr>
        <w:t>，完成率100%，按</w:t>
      </w:r>
      <w:r>
        <w:rPr>
          <w:rFonts w:eastAsia="仿宋_GB2312"/>
          <w:b w:val="0"/>
          <w:bCs w:val="0"/>
          <w:color w:val="auto"/>
          <w:kern w:val="2"/>
          <w:position w:val="0"/>
          <w:sz w:val="32"/>
          <w:szCs w:val="32"/>
          <w:lang w:val="en-US" w:eastAsia="zh-CN" w:bidi="ar-SA"/>
        </w:rPr>
        <w:t>100分总分折算：84/84*100=100分。</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en-US" w:bidi="ar-SA"/>
        </w:rPr>
      </w:pPr>
      <w:r>
        <w:rPr>
          <w:rFonts w:eastAsia="黑体"/>
          <w:b w:val="0"/>
          <w:bCs w:val="0"/>
          <w:color w:val="auto"/>
          <w:kern w:val="0"/>
          <w:position w:val="3"/>
          <w:sz w:val="32"/>
          <w:szCs w:val="32"/>
          <w:u w:val="none"/>
          <w:lang w:val="en-US" w:eastAsia="zh-CN" w:bidi="ar-SA"/>
        </w:rPr>
        <w:t>四</w:t>
      </w:r>
      <w:r>
        <w:rPr>
          <w:rFonts w:eastAsia="黑体"/>
          <w:b w:val="0"/>
          <w:bCs w:val="0"/>
          <w:color w:val="auto"/>
          <w:kern w:val="0"/>
          <w:position w:val="3"/>
          <w:sz w:val="32"/>
          <w:szCs w:val="32"/>
          <w:u w:val="none"/>
          <w:lang w:val="en-US" w:bidi="ar-SA"/>
        </w:rPr>
        <w:t>、评价结论</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完成专项预算绩效目标，自评得分100分</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en-US" w:eastAsia="zh-CN" w:bidi="ar-SA"/>
        </w:rPr>
      </w:pPr>
      <w:r>
        <w:rPr>
          <w:rFonts w:eastAsia="黑体"/>
          <w:b w:val="0"/>
          <w:bCs w:val="0"/>
          <w:color w:val="auto"/>
          <w:kern w:val="0"/>
          <w:position w:val="3"/>
          <w:sz w:val="32"/>
          <w:szCs w:val="32"/>
          <w:u w:val="none"/>
          <w:lang w:val="en-US" w:eastAsia="zh-CN" w:bidi="ar-SA"/>
        </w:rPr>
        <w:t>五、存在主要问题</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pageBreakBefore w:val="0"/>
        <w:widowControl/>
        <w:suppressAutoHyphens/>
        <w:kinsoku/>
        <w:wordWrap/>
        <w:overflowPunct/>
        <w:topLinePunct w:val="0"/>
        <w:autoSpaceDE/>
        <w:autoSpaceDN/>
        <w:adjustRightInd/>
        <w:spacing w:line="600" w:lineRule="exact"/>
        <w:ind w:left="0" w:firstLine="640" w:firstLineChars="200"/>
        <w:jc w:val="left"/>
        <w:rPr>
          <w:rFonts w:eastAsia="黑体"/>
          <w:b w:val="0"/>
          <w:bCs w:val="0"/>
          <w:color w:val="auto"/>
          <w:kern w:val="0"/>
          <w:position w:val="3"/>
          <w:sz w:val="32"/>
          <w:szCs w:val="32"/>
          <w:u w:val="none"/>
          <w:lang w:val="zh-CN" w:eastAsia="zh-CN" w:bidi="ar-SA"/>
        </w:rPr>
      </w:pPr>
      <w:r>
        <w:rPr>
          <w:rFonts w:eastAsia="黑体"/>
          <w:b w:val="0"/>
          <w:bCs w:val="0"/>
          <w:color w:val="auto"/>
          <w:kern w:val="0"/>
          <w:position w:val="3"/>
          <w:sz w:val="32"/>
          <w:szCs w:val="32"/>
          <w:u w:val="none"/>
          <w:lang w:val="zh-CN" w:eastAsia="zh-CN" w:bidi="ar-SA"/>
        </w:rPr>
        <w:t>六、改进建议</w:t>
      </w:r>
    </w:p>
    <w:p>
      <w:pPr>
        <w:widowControl w:val="0"/>
        <w:tabs>
          <w:tab w:val="left" w:pos="1911"/>
        </w:tabs>
        <w:suppressAutoHyphens/>
        <w:ind w:firstLine="640" w:firstLineChars="200"/>
        <w:jc w:val="left"/>
        <w:rPr>
          <w:rFonts w:eastAsia="仿宋_GB2312"/>
          <w:b w:val="0"/>
          <w:bCs w:val="0"/>
          <w:color w:val="auto"/>
          <w:kern w:val="0"/>
          <w:position w:val="0"/>
          <w:sz w:val="32"/>
          <w:szCs w:val="32"/>
          <w:lang w:val="en-US" w:eastAsia="zh-CN" w:bidi="ar-SA"/>
        </w:rPr>
      </w:pPr>
      <w:r>
        <w:rPr>
          <w:rFonts w:eastAsia="仿宋_GB2312"/>
          <w:b w:val="0"/>
          <w:bCs w:val="0"/>
          <w:color w:val="auto"/>
          <w:kern w:val="0"/>
          <w:position w:val="0"/>
          <w:sz w:val="32"/>
          <w:szCs w:val="32"/>
          <w:lang w:val="en-US" w:eastAsia="zh-CN" w:bidi="ar-SA"/>
        </w:rPr>
        <w:t>无</w:t>
      </w:r>
    </w:p>
    <w:p>
      <w:pPr>
        <w:keepNext w:val="0"/>
        <w:keepLines w:val="0"/>
        <w:pageBreakBefore w:val="0"/>
        <w:suppressAutoHyphens/>
        <w:kinsoku/>
        <w:wordWrap/>
        <w:overflowPunct/>
        <w:topLinePunct w:val="0"/>
        <w:autoSpaceDE/>
        <w:autoSpaceDN/>
        <w:adjustRightInd/>
        <w:snapToGrid w:val="0"/>
        <w:spacing w:line="578" w:lineRule="exact"/>
        <w:ind w:left="0" w:firstLine="640" w:firstLineChars="200"/>
        <w:rPr>
          <w:rFonts w:eastAsia="仿宋_GB2312"/>
          <w:b w:val="0"/>
          <w:bCs w:val="0"/>
          <w:color w:val="auto"/>
          <w:kern w:val="0"/>
          <w:sz w:val="32"/>
          <w:szCs w:val="32"/>
          <w:shd w:val="clear" w:color="auto" w:fill="FFFFFF"/>
          <w:lang w:val="zh-CN" w:eastAsia="zh-CN"/>
        </w:rPr>
      </w:pPr>
    </w:p>
    <w:p>
      <w:pPr>
        <w:widowControl/>
        <w:suppressAutoHyphens/>
        <w:jc w:val="center"/>
        <w:rPr>
          <w:rFonts w:eastAsia="黑体"/>
          <w:sz w:val="44"/>
          <w:szCs w:val="44"/>
          <w:shd w:val="clear" w:color="auto" w:fill="auto"/>
        </w:rPr>
      </w:pPr>
      <w:bookmarkStart w:id="141" w:name="_Toc15396618"/>
    </w:p>
    <w:p>
      <w:pPr>
        <w:widowControl/>
        <w:suppressAutoHyphens/>
        <w:jc w:val="center"/>
        <w:rPr>
          <w:rFonts w:eastAsia="黑体"/>
          <w:sz w:val="44"/>
          <w:szCs w:val="44"/>
          <w:shd w:val="clear" w:color="auto" w:fill="auto"/>
        </w:rPr>
      </w:pPr>
    </w:p>
    <w:p>
      <w:pPr>
        <w:widowControl/>
        <w:suppressAutoHyphens/>
        <w:jc w:val="center"/>
        <w:rPr>
          <w:rFonts w:eastAsia="黑体"/>
          <w:sz w:val="44"/>
          <w:szCs w:val="44"/>
          <w:shd w:val="clear" w:color="auto" w:fill="auto"/>
        </w:rPr>
      </w:pPr>
    </w:p>
    <w:p>
      <w:pPr>
        <w:widowControl/>
        <w:suppressAutoHyphens/>
        <w:jc w:val="center"/>
        <w:rPr>
          <w:rFonts w:eastAsia="黑体"/>
          <w:sz w:val="44"/>
          <w:szCs w:val="44"/>
          <w:shd w:val="clear" w:color="auto" w:fill="auto"/>
        </w:rPr>
      </w:pPr>
      <w:r>
        <w:rPr>
          <w:rFonts w:eastAsia="黑体"/>
          <w:sz w:val="44"/>
          <w:szCs w:val="44"/>
          <w:shd w:val="clear" w:color="auto" w:fill="auto"/>
        </w:rPr>
        <w:t>第</w:t>
      </w:r>
      <w:r>
        <w:rPr>
          <w:rFonts w:eastAsia="黑体"/>
          <w:bCs/>
          <w:sz w:val="44"/>
          <w:szCs w:val="44"/>
          <w:shd w:val="clear" w:color="auto" w:fill="auto"/>
        </w:rPr>
        <w:t>五部分 附表</w:t>
      </w:r>
      <w:bookmarkEnd w:id="83"/>
      <w:bookmarkEnd w:id="141"/>
      <w:bookmarkStart w:id="142" w:name="_Toc15396619"/>
    </w:p>
    <w:p>
      <w:pPr>
        <w:pStyle w:val="17"/>
        <w:adjustRightInd w:val="0"/>
        <w:snapToGrid w:val="0"/>
        <w:spacing w:line="560" w:lineRule="exact"/>
        <w:jc w:val="left"/>
        <w:rPr>
          <w:rFonts w:eastAsia="仿宋_GB2312"/>
          <w:sz w:val="32"/>
          <w:szCs w:val="32"/>
        </w:rPr>
      </w:pPr>
    </w:p>
    <w:p>
      <w:pPr>
        <w:pStyle w:val="17"/>
        <w:adjustRightInd w:val="0"/>
        <w:snapToGrid w:val="0"/>
        <w:spacing w:line="560" w:lineRule="exact"/>
        <w:jc w:val="left"/>
        <w:rPr>
          <w:rFonts w:eastAsia="仿宋_GB2312"/>
          <w:sz w:val="32"/>
          <w:szCs w:val="32"/>
        </w:rPr>
      </w:pPr>
      <w:r>
        <w:rPr>
          <w:rFonts w:eastAsia="仿宋_GB2312"/>
          <w:sz w:val="32"/>
          <w:szCs w:val="32"/>
        </w:rPr>
        <w:t>一、收入支出决算总表</w:t>
      </w:r>
      <w:bookmarkEnd w:id="142"/>
    </w:p>
    <w:p>
      <w:pPr>
        <w:pStyle w:val="17"/>
        <w:adjustRightInd w:val="0"/>
        <w:snapToGrid w:val="0"/>
        <w:spacing w:line="560" w:lineRule="exact"/>
        <w:jc w:val="left"/>
        <w:rPr>
          <w:rFonts w:eastAsia="仿宋_GB2312"/>
          <w:sz w:val="32"/>
          <w:szCs w:val="32"/>
        </w:rPr>
      </w:pPr>
      <w:bookmarkStart w:id="143" w:name="_Toc15396620"/>
      <w:r>
        <w:rPr>
          <w:rFonts w:eastAsia="仿宋_GB2312"/>
          <w:sz w:val="32"/>
          <w:szCs w:val="32"/>
        </w:rPr>
        <w:t>二、收入决算表</w:t>
      </w:r>
      <w:bookmarkEnd w:id="143"/>
    </w:p>
    <w:p>
      <w:pPr>
        <w:pStyle w:val="17"/>
        <w:adjustRightInd w:val="0"/>
        <w:snapToGrid w:val="0"/>
        <w:spacing w:line="560" w:lineRule="exact"/>
        <w:jc w:val="left"/>
        <w:rPr>
          <w:rFonts w:eastAsia="仿宋_GB2312"/>
          <w:sz w:val="32"/>
          <w:szCs w:val="32"/>
        </w:rPr>
      </w:pPr>
      <w:bookmarkStart w:id="144" w:name="_Toc15396621"/>
      <w:r>
        <w:rPr>
          <w:rFonts w:eastAsia="仿宋_GB2312"/>
          <w:sz w:val="32"/>
          <w:szCs w:val="32"/>
        </w:rPr>
        <w:t>三、支出决算表</w:t>
      </w:r>
      <w:bookmarkEnd w:id="144"/>
    </w:p>
    <w:p>
      <w:pPr>
        <w:pStyle w:val="17"/>
        <w:adjustRightInd w:val="0"/>
        <w:snapToGrid w:val="0"/>
        <w:spacing w:line="560" w:lineRule="exact"/>
        <w:jc w:val="left"/>
        <w:rPr>
          <w:rFonts w:eastAsia="仿宋_GB2312"/>
          <w:sz w:val="32"/>
          <w:szCs w:val="32"/>
        </w:rPr>
      </w:pPr>
      <w:bookmarkStart w:id="145" w:name="_Toc15396622"/>
      <w:r>
        <w:rPr>
          <w:rFonts w:eastAsia="仿宋_GB2312"/>
          <w:sz w:val="32"/>
          <w:szCs w:val="32"/>
        </w:rPr>
        <w:t>四、财政拨款收入支出决算总表</w:t>
      </w:r>
      <w:bookmarkEnd w:id="145"/>
    </w:p>
    <w:p>
      <w:pPr>
        <w:pStyle w:val="17"/>
        <w:adjustRightInd w:val="0"/>
        <w:snapToGrid w:val="0"/>
        <w:spacing w:line="560" w:lineRule="exact"/>
        <w:jc w:val="left"/>
        <w:rPr>
          <w:rFonts w:eastAsia="仿宋_GB2312"/>
          <w:sz w:val="32"/>
          <w:szCs w:val="32"/>
        </w:rPr>
      </w:pPr>
      <w:bookmarkStart w:id="146" w:name="_Toc15396623"/>
      <w:r>
        <w:rPr>
          <w:rFonts w:eastAsia="仿宋_GB2312"/>
          <w:sz w:val="32"/>
          <w:szCs w:val="32"/>
        </w:rPr>
        <w:t>五、财政拨款支出决算明细表</w:t>
      </w:r>
      <w:bookmarkEnd w:id="146"/>
      <w:bookmarkStart w:id="147" w:name="_Toc15396624"/>
    </w:p>
    <w:p>
      <w:pPr>
        <w:pStyle w:val="17"/>
        <w:adjustRightInd w:val="0"/>
        <w:snapToGrid w:val="0"/>
        <w:spacing w:line="560" w:lineRule="exact"/>
        <w:jc w:val="left"/>
        <w:rPr>
          <w:rFonts w:eastAsia="仿宋_GB2312"/>
          <w:sz w:val="32"/>
          <w:szCs w:val="32"/>
        </w:rPr>
      </w:pPr>
      <w:r>
        <w:rPr>
          <w:rFonts w:eastAsia="仿宋_GB2312"/>
          <w:sz w:val="32"/>
          <w:szCs w:val="32"/>
        </w:rPr>
        <w:t>六、一般公共预算财政拨款支出决算表</w:t>
      </w:r>
      <w:bookmarkEnd w:id="147"/>
    </w:p>
    <w:p>
      <w:pPr>
        <w:pStyle w:val="17"/>
        <w:adjustRightInd w:val="0"/>
        <w:snapToGrid w:val="0"/>
        <w:spacing w:line="560" w:lineRule="exact"/>
        <w:jc w:val="left"/>
        <w:rPr>
          <w:rFonts w:eastAsia="仿宋_GB2312"/>
          <w:sz w:val="32"/>
          <w:szCs w:val="32"/>
        </w:rPr>
      </w:pPr>
      <w:bookmarkStart w:id="148" w:name="_Toc15396625"/>
      <w:r>
        <w:rPr>
          <w:rFonts w:eastAsia="仿宋_GB2312"/>
          <w:sz w:val="32"/>
          <w:szCs w:val="32"/>
        </w:rPr>
        <w:t>七、一般公共预算财政拨款支出决算明细表</w:t>
      </w:r>
      <w:bookmarkEnd w:id="148"/>
    </w:p>
    <w:p>
      <w:pPr>
        <w:pStyle w:val="17"/>
        <w:adjustRightInd w:val="0"/>
        <w:snapToGrid w:val="0"/>
        <w:spacing w:line="560" w:lineRule="exact"/>
        <w:jc w:val="left"/>
        <w:rPr>
          <w:rFonts w:eastAsia="仿宋_GB2312"/>
          <w:sz w:val="32"/>
          <w:szCs w:val="32"/>
        </w:rPr>
      </w:pPr>
      <w:bookmarkStart w:id="149" w:name="_Toc15396626"/>
      <w:r>
        <w:rPr>
          <w:rFonts w:eastAsia="仿宋_GB2312"/>
          <w:sz w:val="32"/>
          <w:szCs w:val="32"/>
        </w:rPr>
        <w:t>八、一般公共预算财政拨款基本支出决算表</w:t>
      </w:r>
      <w:bookmarkEnd w:id="149"/>
    </w:p>
    <w:p>
      <w:pPr>
        <w:pStyle w:val="17"/>
        <w:adjustRightInd w:val="0"/>
        <w:snapToGrid w:val="0"/>
        <w:spacing w:line="560" w:lineRule="exact"/>
        <w:jc w:val="left"/>
        <w:rPr>
          <w:rFonts w:eastAsia="仿宋_GB2312"/>
          <w:sz w:val="32"/>
          <w:szCs w:val="32"/>
        </w:rPr>
      </w:pPr>
      <w:bookmarkStart w:id="150" w:name="_Toc15396627"/>
      <w:r>
        <w:rPr>
          <w:rFonts w:eastAsia="仿宋_GB2312"/>
          <w:sz w:val="32"/>
          <w:szCs w:val="32"/>
        </w:rPr>
        <w:t>九、一般公共预算财政拨款项目支出决算表</w:t>
      </w:r>
      <w:bookmarkEnd w:id="150"/>
    </w:p>
    <w:p>
      <w:pPr>
        <w:pStyle w:val="17"/>
        <w:adjustRightInd w:val="0"/>
        <w:snapToGrid w:val="0"/>
        <w:spacing w:line="560" w:lineRule="exact"/>
        <w:jc w:val="left"/>
        <w:rPr>
          <w:rFonts w:eastAsia="仿宋_GB2312"/>
          <w:sz w:val="32"/>
          <w:szCs w:val="32"/>
        </w:rPr>
      </w:pPr>
      <w:bookmarkStart w:id="151" w:name="_Toc15396628"/>
      <w:r>
        <w:rPr>
          <w:rFonts w:eastAsia="仿宋_GB2312"/>
          <w:sz w:val="32"/>
          <w:szCs w:val="32"/>
        </w:rPr>
        <w:t>十、</w:t>
      </w:r>
      <w:bookmarkEnd w:id="151"/>
      <w:r>
        <w:rPr>
          <w:rFonts w:eastAsia="仿宋_GB2312"/>
          <w:sz w:val="32"/>
          <w:szCs w:val="32"/>
        </w:rPr>
        <w:t>政府性基金预算财政拨款收入支出决算表</w:t>
      </w:r>
    </w:p>
    <w:p>
      <w:pPr>
        <w:pStyle w:val="17"/>
        <w:adjustRightInd w:val="0"/>
        <w:snapToGrid w:val="0"/>
        <w:spacing w:line="560" w:lineRule="exact"/>
        <w:jc w:val="left"/>
        <w:rPr>
          <w:rFonts w:eastAsia="仿宋_GB2312"/>
          <w:sz w:val="32"/>
          <w:szCs w:val="32"/>
        </w:rPr>
      </w:pPr>
      <w:bookmarkStart w:id="152" w:name="_Toc15396629"/>
      <w:r>
        <w:rPr>
          <w:rFonts w:eastAsia="仿宋_GB2312"/>
          <w:sz w:val="32"/>
          <w:szCs w:val="32"/>
        </w:rPr>
        <w:t>十一、</w:t>
      </w:r>
      <w:bookmarkEnd w:id="152"/>
      <w:r>
        <w:rPr>
          <w:rFonts w:eastAsia="仿宋_GB2312"/>
          <w:sz w:val="32"/>
          <w:szCs w:val="32"/>
        </w:rPr>
        <w:t>国有资本经营预算财政拨款收入支出决算表</w:t>
      </w:r>
    </w:p>
    <w:p>
      <w:pPr>
        <w:pStyle w:val="17"/>
        <w:adjustRightInd w:val="0"/>
        <w:snapToGrid w:val="0"/>
        <w:spacing w:line="560" w:lineRule="exact"/>
        <w:jc w:val="left"/>
        <w:rPr>
          <w:rFonts w:eastAsia="仿宋_GB2312"/>
          <w:sz w:val="32"/>
          <w:szCs w:val="32"/>
        </w:rPr>
      </w:pPr>
      <w:bookmarkStart w:id="153" w:name="_Toc15396630"/>
      <w:r>
        <w:rPr>
          <w:rFonts w:eastAsia="仿宋_GB2312"/>
          <w:sz w:val="32"/>
          <w:szCs w:val="32"/>
        </w:rPr>
        <w:t>十二、</w:t>
      </w:r>
      <w:bookmarkEnd w:id="153"/>
      <w:r>
        <w:rPr>
          <w:rFonts w:eastAsia="仿宋_GB2312"/>
          <w:sz w:val="32"/>
          <w:szCs w:val="32"/>
        </w:rPr>
        <w:t>国有资本经营预算财政拨款支出决算表</w:t>
      </w:r>
    </w:p>
    <w:p>
      <w:pPr>
        <w:pStyle w:val="17"/>
        <w:adjustRightInd w:val="0"/>
        <w:snapToGrid w:val="0"/>
        <w:spacing w:line="560" w:lineRule="exact"/>
        <w:jc w:val="left"/>
        <w:rPr>
          <w:rFonts w:eastAsia="仿宋_GB2312"/>
          <w:sz w:val="32"/>
          <w:szCs w:val="32"/>
        </w:rPr>
      </w:pPr>
      <w:bookmarkStart w:id="154" w:name="_Toc15396631"/>
      <w:r>
        <w:rPr>
          <w:rFonts w:eastAsia="仿宋_GB2312"/>
          <w:sz w:val="32"/>
          <w:szCs w:val="32"/>
        </w:rPr>
        <w:t>十三、</w:t>
      </w:r>
      <w:bookmarkEnd w:id="154"/>
      <w:r>
        <w:rPr>
          <w:rFonts w:eastAsia="仿宋_GB2312"/>
          <w:sz w:val="32"/>
          <w:szCs w:val="32"/>
        </w:rPr>
        <w:t>财政拨款“三公”经费支出决算表</w:t>
      </w:r>
    </w:p>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Arial"/>
    <w:panose1 w:val="02040503050406030204"/>
    <w:charset w:val="00"/>
    <w:family w:val="roman"/>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
    <w:altName w:val="Ari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Lucida Sans">
    <w:panose1 w:val="020B0602030504020204"/>
    <w:charset w:val="01"/>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simhei">
    <w:altName w:val="Mangal"/>
    <w:panose1 w:val="00000000000000000000"/>
    <w:charset w:val="00"/>
    <w:family w:val="auto"/>
    <w:pitch w:val="default"/>
    <w:sig w:usb0="00000000" w:usb1="00000000" w:usb2="00000000" w:usb3="00000000" w:csb0="00000000" w:csb1="00000000"/>
  </w:font>
  <w:font w:name="微软雅黑">
    <w:altName w:val="黑体"/>
    <w:panose1 w:val="00000000000000000000"/>
    <w:charset w:val="00"/>
    <w:family w:val="auto"/>
    <w:pitch w:val="default"/>
    <w:sig w:usb0="00000000" w:usb1="00000000" w:usb2="00000000" w:usb3="00000000" w:csb0="00000000" w:csb1="00000000"/>
  </w:font>
  <w:font w:name="方正仿宋简体">
    <w:panose1 w:val="03000509000000000000"/>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Mangal">
    <w:panose1 w:val="00000400000000000000"/>
    <w:charset w:val="00"/>
    <w:family w:val="auto"/>
    <w:pitch w:val="default"/>
    <w:sig w:usb0="00008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0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04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1"/>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uppressAutoHyphens/>
      <w:snapToGrid w:val="0"/>
      <w:ind w:firstLine="418"/>
      <w:jc w:val="left"/>
      <w:rPr>
        <w:rFonts w:ascii="Times New Roman" w:hAnsi="Times New Roman" w:eastAsia="仿宋_GB2312" w:cs="Times New Roman"/>
        <w:kern w:val="2"/>
        <w:sz w:val="18"/>
        <w:szCs w:val="18"/>
        <w:lang w:val="zh-CN" w:eastAsia="zh-CN" w:bidi="ar-SA"/>
      </w:rPr>
    </w:pPr>
    <w:r>
      <w:rPr>
        <w:sz w:val="18"/>
      </w:rPr>
      <mc:AlternateContent>
        <mc:Choice Requires="wps">
          <w:drawing>
            <wp:anchor distT="0" distB="0" distL="114300" distR="114300" simplePos="0" relativeHeight="1024" behindDoc="0" locked="0" layoutInCell="1" allowOverlap="1">
              <wp:simplePos x="0" y="0"/>
              <wp:positionH relativeFrom="margin">
                <wp:align>outside</wp:align>
              </wp:positionH>
              <wp:positionV relativeFrom="paragraph">
                <wp:posOffset>0</wp:posOffset>
              </wp:positionV>
              <wp:extent cx="800100" cy="230505"/>
              <wp:effectExtent l="0" t="0" r="0" b="0"/>
              <wp:wrapNone/>
              <wp:docPr id="11" name="文本框 5"/>
              <wp:cNvGraphicFramePr/>
              <a:graphic xmlns:a="http://schemas.openxmlformats.org/drawingml/2006/main">
                <a:graphicData uri="http://schemas.microsoft.com/office/word/2010/wordprocessingShape">
                  <wps:wsp>
                    <wps:cNvSpPr/>
                    <wps:spPr>
                      <a:xfrm>
                        <a:off x="0" y="0"/>
                        <a:ext cx="800100" cy="230583"/>
                      </a:xfrm>
                      <a:prstGeom prst="rect">
                        <a:avLst/>
                      </a:prstGeom>
                      <a:noFill/>
                      <a:ln w="9525" cap="flat" cmpd="sng">
                        <a:noFill/>
                        <a:prstDash val="solid"/>
                        <a:miter/>
                      </a:ln>
                    </wps:spPr>
                    <wps:txbx>
                      <w:txbxContent>
                        <w:p>
                          <w:pPr>
                            <w:pStyle w:val="11"/>
                            <w:widowControl w:val="0"/>
                            <w:tabs>
                              <w:tab w:val="right" w:leader="dot" w:pos="8296"/>
                            </w:tabs>
                            <w:suppressAutoHyphens/>
                            <w:rPr>
                              <w:rFonts w:hint="eastAsia" w:ascii="宋体" w:hAnsi="宋体" w:eastAsia="宋体" w:cs="宋体"/>
                              <w:sz w:val="28"/>
                              <w:szCs w:val="44"/>
                            </w:rPr>
                          </w:pPr>
                          <w:r>
                            <w:rPr>
                              <w:rFonts w:hint="eastAsia" w:ascii="宋体" w:hAnsi="宋体" w:cs="宋体"/>
                              <w:sz w:val="28"/>
                              <w:szCs w:val="44"/>
                            </w:rPr>
                            <w:t xml:space="preserve">— </w:t>
                          </w:r>
                          <w:r>
                            <w:rPr>
                              <w:rFonts w:hint="eastAsia" w:ascii="宋体" w:hAnsi="宋体" w:cs="宋体"/>
                              <w:sz w:val="28"/>
                              <w:szCs w:val="44"/>
                            </w:rPr>
                            <w:fldChar w:fldCharType="begin"/>
                          </w:r>
                          <w:r>
                            <w:rPr>
                              <w:rFonts w:hint="eastAsia" w:ascii="宋体" w:hAnsi="宋体" w:cs="宋体"/>
                              <w:sz w:val="28"/>
                              <w:szCs w:val="44"/>
                            </w:rPr>
                            <w:instrText xml:space="preserve"> PAGE  \* MERGEFORMAT </w:instrText>
                          </w:r>
                          <w:r>
                            <w:rPr>
                              <w:rFonts w:hint="eastAsia" w:ascii="宋体" w:hAnsi="宋体" w:cs="宋体"/>
                              <w:sz w:val="28"/>
                              <w:szCs w:val="44"/>
                            </w:rPr>
                            <w:fldChar w:fldCharType="separate"/>
                          </w:r>
                          <w:r>
                            <w:rPr>
                              <w:rFonts w:hint="eastAsia" w:ascii="宋体" w:hAnsi="宋体" w:cs="宋体"/>
                              <w:sz w:val="28"/>
                              <w:szCs w:val="44"/>
                            </w:rPr>
                            <w:t>55</w:t>
                          </w:r>
                          <w:r>
                            <w:rPr>
                              <w:rFonts w:hint="eastAsia" w:ascii="宋体" w:hAnsi="宋体" w:cs="宋体"/>
                              <w:sz w:val="28"/>
                              <w:szCs w:val="44"/>
                            </w:rPr>
                            <w:fldChar w:fldCharType="end"/>
                          </w:r>
                          <w:r>
                            <w:rPr>
                              <w:rFonts w:hint="eastAsia" w:ascii="宋体" w:hAnsi="宋体" w:cs="宋体"/>
                              <w:sz w:val="28"/>
                              <w:szCs w:val="44"/>
                            </w:rPr>
                            <w:t xml:space="preserve"> —</w:t>
                          </w:r>
                        </w:p>
                      </w:txbxContent>
                    </wps:txbx>
                    <wps:bodyPr vert="horz" wrap="none" lIns="0" tIns="0" rIns="0" bIns="0" anchor="t" anchorCtr="false" upright="true">
                      <a:spAutoFit/>
                    </wps:bodyPr>
                  </wps:wsp>
                </a:graphicData>
              </a:graphic>
            </wp:anchor>
          </w:drawing>
        </mc:Choice>
        <mc:Fallback>
          <w:pict>
            <v:rect id="文本框 5" o:spid="_x0000_s1026" o:spt="1" style="position:absolute;left:0pt;margin-top:0pt;height:18.15pt;width:63pt;mso-position-horizontal:outside;mso-position-horizontal-relative:margin;mso-wrap-style:none;z-index:1024;mso-width-relative:page;mso-height-relative:page;" filled="f" stroked="f" coordsize="21600,21600" o:gfxdata="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5Z2WMdEAAAAEAQAADwAAAAAAAAABACAAAAA4AAAAZHJzL2Rvd25yZXYu&#10;eG1sUEsBAhQAFAAAAAgAh07iQH6DY2nsAQAArgMAAA4AAAAAAAAAAQAgAAAANgEAAGRycy9lMm9E&#10;b2MueG1sUEsFBgAAAAAGAAYAWQEAAJQFAAAAAA==&#10;">
              <v:fill on="f" focussize="0,0"/>
              <v:stroke on="f" joinstyle="miter"/>
              <v:imagedata o:title=""/>
              <o:lock v:ext="edit" aspectratio="f"/>
              <v:textbox inset="0mm,0mm,0mm,0mm" style="mso-fit-shape-to-text:t;">
                <w:txbxContent>
                  <w:p>
                    <w:pPr>
                      <w:pStyle w:val="11"/>
                      <w:widowControl w:val="0"/>
                      <w:tabs>
                        <w:tab w:val="right" w:leader="dot" w:pos="8296"/>
                      </w:tabs>
                      <w:suppressAutoHyphens/>
                      <w:rPr>
                        <w:rFonts w:hint="eastAsia" w:ascii="宋体" w:hAnsi="宋体" w:eastAsia="宋体" w:cs="宋体"/>
                        <w:sz w:val="28"/>
                        <w:szCs w:val="44"/>
                      </w:rPr>
                    </w:pPr>
                    <w:r>
                      <w:rPr>
                        <w:rFonts w:hint="eastAsia" w:ascii="宋体" w:hAnsi="宋体" w:cs="宋体"/>
                        <w:sz w:val="28"/>
                        <w:szCs w:val="44"/>
                      </w:rPr>
                      <w:t xml:space="preserve">— </w:t>
                    </w:r>
                    <w:r>
                      <w:rPr>
                        <w:rFonts w:hint="eastAsia" w:ascii="宋体" w:hAnsi="宋体" w:cs="宋体"/>
                        <w:sz w:val="28"/>
                        <w:szCs w:val="44"/>
                      </w:rPr>
                      <w:fldChar w:fldCharType="begin"/>
                    </w:r>
                    <w:r>
                      <w:rPr>
                        <w:rFonts w:hint="eastAsia" w:ascii="宋体" w:hAnsi="宋体" w:cs="宋体"/>
                        <w:sz w:val="28"/>
                        <w:szCs w:val="44"/>
                      </w:rPr>
                      <w:instrText xml:space="preserve"> PAGE  \* MERGEFORMAT </w:instrText>
                    </w:r>
                    <w:r>
                      <w:rPr>
                        <w:rFonts w:hint="eastAsia" w:ascii="宋体" w:hAnsi="宋体" w:cs="宋体"/>
                        <w:sz w:val="28"/>
                        <w:szCs w:val="44"/>
                      </w:rPr>
                      <w:fldChar w:fldCharType="separate"/>
                    </w:r>
                    <w:r>
                      <w:rPr>
                        <w:rFonts w:hint="eastAsia" w:ascii="宋体" w:hAnsi="宋体" w:cs="宋体"/>
                        <w:sz w:val="28"/>
                        <w:szCs w:val="44"/>
                      </w:rPr>
                      <w:t>55</w:t>
                    </w:r>
                    <w:r>
                      <w:rPr>
                        <w:rFonts w:hint="eastAsia" w:ascii="宋体" w:hAnsi="宋体" w:cs="宋体"/>
                        <w:sz w:val="28"/>
                        <w:szCs w:val="44"/>
                      </w:rPr>
                      <w:fldChar w:fldCharType="end"/>
                    </w:r>
                    <w:r>
                      <w:rPr>
                        <w:rFonts w:hint="eastAsia" w:ascii="宋体" w:hAnsi="宋体" w:cs="宋体"/>
                        <w:sz w:val="28"/>
                        <w:szCs w:val="44"/>
                      </w:rPr>
                      <w:t xml:space="preserve"> —</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30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307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40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409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1EAAA9"/>
    <w:multiLevelType w:val="singleLevel"/>
    <w:tmpl w:val="9E1EAAA9"/>
    <w:lvl w:ilvl="0" w:tentative="0">
      <w:start w:val="2"/>
      <w:numFmt w:val="chineseCounting"/>
      <w:suff w:val="nothing"/>
      <w:lvlText w:val="（%1）"/>
      <w:lvlJc w:val="left"/>
      <w:rPr>
        <w:rFonts w:hint="eastAsia" w:ascii="楷体_GB2312" w:hAnsi="楷体_GB2312" w:eastAsia="楷体_GB2312" w:cs="楷体_GB2312"/>
      </w:rPr>
    </w:lvl>
  </w:abstractNum>
  <w:abstractNum w:abstractNumId="1">
    <w:nsid w:val="FABEE968"/>
    <w:multiLevelType w:val="singleLevel"/>
    <w:tmpl w:val="FABEE968"/>
    <w:lvl w:ilvl="0" w:tentative="0">
      <w:start w:val="2"/>
      <w:numFmt w:val="chineseCounting"/>
      <w:suff w:val="nothing"/>
      <w:lvlText w:val="（%1）"/>
      <w:lvlJc w:val="left"/>
      <w:rPr>
        <w:rFonts w:hint="eastAsia"/>
      </w:rPr>
    </w:lvl>
  </w:abstractNum>
  <w:abstractNum w:abstractNumId="2">
    <w:nsid w:val="FE5F29DB"/>
    <w:multiLevelType w:val="singleLevel"/>
    <w:tmpl w:val="FE5F29DB"/>
    <w:lvl w:ilvl="0" w:tentative="0">
      <w:start w:val="2"/>
      <w:numFmt w:val="chineseCounting"/>
      <w:suff w:val="nothing"/>
      <w:lvlText w:val="（%1）"/>
      <w:lvlJc w:val="left"/>
      <w:rPr>
        <w:rFonts w:hint="eastAsia"/>
      </w:rPr>
    </w:lvl>
  </w:abstractNum>
  <w:abstractNum w:abstractNumId="3">
    <w:nsid w:val="63F93AAE"/>
    <w:multiLevelType w:val="singleLevel"/>
    <w:tmpl w:val="63F93AAE"/>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EFCCA7"/>
    <w:rsid w:val="2DF94969"/>
    <w:rsid w:val="4D7F7BD1"/>
    <w:rsid w:val="4E7FE9DB"/>
    <w:rsid w:val="69ED8363"/>
    <w:rsid w:val="6BDFD75D"/>
    <w:rsid w:val="77D78AC8"/>
    <w:rsid w:val="7F6F083A"/>
    <w:rsid w:val="7FDF0FF4"/>
    <w:rsid w:val="BB72EA44"/>
    <w:rsid w:val="BEBF8EE4"/>
    <w:rsid w:val="CEFB9F82"/>
    <w:rsid w:val="DDC76A81"/>
    <w:rsid w:val="EFEA1261"/>
    <w:rsid w:val="F9EFA7CA"/>
    <w:rsid w:val="FDBFA327"/>
    <w:rsid w:val="FFFB8027"/>
    <w:rsid w:val="FFFB8DDE"/>
    <w:rsid w:val="FFFF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4"/>
    <w:qFormat/>
    <w:uiPriority w:val="0"/>
    <w:pPr>
      <w:keepNext/>
      <w:keepLines/>
      <w:spacing w:before="260" w:after="260" w:line="415" w:lineRule="auto"/>
      <w:outlineLvl w:val="1"/>
    </w:pPr>
    <w:rPr>
      <w:rFonts w:ascii="Cambria" w:hAnsi="Cambria" w:eastAsia="宋体" w:cs="Times New Roman"/>
      <w:b/>
      <w:bCs/>
      <w:sz w:val="32"/>
      <w:szCs w:val="32"/>
    </w:rPr>
  </w:style>
  <w:style w:type="paragraph" w:styleId="5">
    <w:name w:val="heading 3"/>
    <w:basedOn w:val="1"/>
    <w:next w:val="1"/>
    <w:link w:val="25"/>
    <w:qFormat/>
    <w:uiPriority w:val="0"/>
    <w:pPr>
      <w:keepNext/>
      <w:keepLines/>
      <w:spacing w:before="260" w:after="260" w:line="415" w:lineRule="auto"/>
      <w:outlineLvl w:val="2"/>
    </w:pPr>
    <w:rPr>
      <w:b/>
      <w:bCs/>
      <w:sz w:val="32"/>
      <w:szCs w:val="32"/>
    </w:rPr>
  </w:style>
  <w:style w:type="character" w:default="1" w:styleId="19">
    <w:name w:val="Default Paragraph Font"/>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30"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hAnsi="仿宋_GB2312"/>
      <w:szCs w:val="32"/>
    </w:rPr>
  </w:style>
  <w:style w:type="paragraph" w:styleId="7">
    <w:name w:val="Body Text First Indent 2"/>
    <w:basedOn w:val="6"/>
    <w:qFormat/>
    <w:uiPriority w:val="0"/>
    <w:pPr>
      <w:ind w:firstLine="200" w:firstLineChars="200"/>
    </w:pPr>
  </w:style>
  <w:style w:type="paragraph" w:styleId="8">
    <w:name w:val="toc 5"/>
    <w:basedOn w:val="1"/>
    <w:next w:val="1"/>
    <w:qFormat/>
    <w:uiPriority w:val="0"/>
    <w:pPr>
      <w:ind w:left="1680"/>
    </w:pPr>
  </w:style>
  <w:style w:type="paragraph" w:styleId="9">
    <w:name w:val="toc 3"/>
    <w:basedOn w:val="1"/>
    <w:next w:val="1"/>
    <w:qFormat/>
    <w:uiPriority w:val="0"/>
    <w:pPr>
      <w:tabs>
        <w:tab w:val="right" w:leader="dot" w:pos="8296"/>
      </w:tabs>
      <w:ind w:left="400" w:leftChars="400"/>
    </w:pPr>
  </w:style>
  <w:style w:type="paragraph" w:styleId="10">
    <w:name w:val="Balloon Text"/>
    <w:basedOn w:val="1"/>
    <w:qFormat/>
    <w:uiPriority w:val="0"/>
    <w:rPr>
      <w:sz w:val="18"/>
      <w:szCs w:val="18"/>
    </w:rPr>
  </w:style>
  <w:style w:type="paragraph" w:styleId="11">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14">
    <w:name w:val="toc 4"/>
    <w:basedOn w:val="1"/>
    <w:next w:val="1"/>
    <w:qFormat/>
    <w:uiPriority w:val="0"/>
    <w:pPr>
      <w:ind w:left="1260"/>
    </w:pPr>
  </w:style>
  <w:style w:type="paragraph" w:styleId="15">
    <w:name w:val="footnote text"/>
    <w:basedOn w:val="1"/>
    <w:next w:val="7"/>
    <w:qFormat/>
    <w:uiPriority w:val="0"/>
    <w:pPr>
      <w:snapToGrid w:val="0"/>
      <w:jc w:val="left"/>
    </w:pPr>
    <w:rPr>
      <w:sz w:val="18"/>
      <w:szCs w:val="18"/>
    </w:rPr>
  </w:style>
  <w:style w:type="paragraph" w:styleId="16">
    <w:name w:val="table of figures"/>
    <w:next w:val="1"/>
    <w:qFormat/>
    <w:uiPriority w:val="0"/>
    <w:pPr>
      <w:widowControl w:val="0"/>
      <w:ind w:left="400" w:leftChars="200" w:hanging="200" w:hangingChars="200"/>
      <w:jc w:val="both"/>
    </w:pPr>
    <w:rPr>
      <w:rFonts w:ascii="Times New Roman" w:hAnsi="Times New Roman" w:eastAsia="仿宋_GB2312" w:cs="Times New Roman"/>
      <w:kern w:val="2"/>
      <w:sz w:val="32"/>
      <w:szCs w:val="22"/>
      <w:lang w:val="en-US" w:eastAsia="zh-CN" w:bidi="ar-SA"/>
    </w:rPr>
  </w:style>
  <w:style w:type="paragraph" w:styleId="17">
    <w:name w:val="toc 2"/>
    <w:basedOn w:val="1"/>
    <w:next w:val="1"/>
    <w:qFormat/>
    <w:uiPriority w:val="0"/>
    <w:pPr>
      <w:tabs>
        <w:tab w:val="right" w:leader="dot" w:pos="8296"/>
      </w:tabs>
      <w:ind w:left="200" w:leftChars="200"/>
    </w:pPr>
  </w:style>
  <w:style w:type="character" w:styleId="20">
    <w:name w:val="Strong"/>
    <w:basedOn w:val="19"/>
    <w:qFormat/>
    <w:uiPriority w:val="0"/>
    <w:rPr>
      <w:b/>
    </w:rPr>
  </w:style>
  <w:style w:type="character" w:styleId="21">
    <w:name w:val="FollowedHyperlink"/>
    <w:basedOn w:val="19"/>
    <w:qFormat/>
    <w:uiPriority w:val="0"/>
    <w:rPr>
      <w:color w:val="800080"/>
      <w:u w:val="single"/>
    </w:rPr>
  </w:style>
  <w:style w:type="character" w:styleId="22">
    <w:name w:val="Hyperlink"/>
    <w:basedOn w:val="19"/>
    <w:qFormat/>
    <w:uiPriority w:val="0"/>
    <w:rPr>
      <w:color w:val="0000FF"/>
      <w:u w:val="single"/>
    </w:rPr>
  </w:style>
  <w:style w:type="character" w:customStyle="1" w:styleId="23">
    <w:name w:val="heading 1 Char"/>
    <w:basedOn w:val="19"/>
    <w:link w:val="3"/>
    <w:qFormat/>
    <w:uiPriority w:val="0"/>
    <w:rPr>
      <w:rFonts w:ascii="Times New Roman" w:hAnsi="Times New Roman" w:eastAsia="宋体" w:cs="Times New Roman"/>
      <w:b/>
      <w:bCs/>
      <w:kern w:val="44"/>
      <w:sz w:val="44"/>
      <w:szCs w:val="44"/>
      <w:lang w:val="en-US" w:eastAsia="zh-CN" w:bidi="ar-SA"/>
    </w:rPr>
  </w:style>
  <w:style w:type="character" w:customStyle="1" w:styleId="24">
    <w:name w:val="heading 2 Char"/>
    <w:basedOn w:val="19"/>
    <w:link w:val="4"/>
    <w:qFormat/>
    <w:uiPriority w:val="0"/>
    <w:rPr>
      <w:rFonts w:ascii="Cambria" w:hAnsi="Cambria" w:eastAsia="宋体" w:cs="Times New Roman"/>
      <w:b/>
      <w:bCs/>
      <w:kern w:val="2"/>
      <w:sz w:val="32"/>
      <w:szCs w:val="32"/>
      <w:lang w:val="en-US" w:eastAsia="zh-CN" w:bidi="ar-SA"/>
    </w:rPr>
  </w:style>
  <w:style w:type="character" w:customStyle="1" w:styleId="25">
    <w:name w:val="heading 3 Char"/>
    <w:basedOn w:val="19"/>
    <w:link w:val="5"/>
    <w:qFormat/>
    <w:uiPriority w:val="0"/>
    <w:rPr>
      <w:rFonts w:ascii="Times New Roman" w:hAnsi="Times New Roman" w:eastAsia="宋体" w:cs="Times New Roman"/>
      <w:b/>
      <w:bCs/>
      <w:kern w:val="2"/>
      <w:sz w:val="32"/>
      <w:szCs w:val="32"/>
      <w:lang w:val="en-US" w:eastAsia="zh-CN" w:bidi="ar-SA"/>
    </w:rPr>
  </w:style>
  <w:style w:type="paragraph" w:customStyle="1" w:styleId="26">
    <w:name w:val="标题 5（有编号）（绿盟科技）"/>
    <w:next w:val="1"/>
    <w:qFormat/>
    <w:uiPriority w:val="0"/>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7">
    <w:name w:val="Header Char"/>
    <w:basedOn w:val="19"/>
    <w:qFormat/>
    <w:uiPriority w:val="0"/>
    <w:rPr>
      <w:rFonts w:ascii="Times New Roman" w:hAnsi="Times New Roman"/>
      <w:sz w:val="18"/>
      <w:szCs w:val="18"/>
    </w:rPr>
  </w:style>
  <w:style w:type="character" w:customStyle="1" w:styleId="28">
    <w:name w:val="Footer Char"/>
    <w:basedOn w:val="19"/>
    <w:qFormat/>
    <w:uiPriority w:val="0"/>
    <w:rPr>
      <w:rFonts w:ascii="Times New Roman" w:hAnsi="Times New Roman"/>
      <w:sz w:val="18"/>
      <w:szCs w:val="18"/>
    </w:rPr>
  </w:style>
  <w:style w:type="character" w:customStyle="1" w:styleId="29">
    <w:name w:val="Body Text Char"/>
    <w:basedOn w:val="19"/>
    <w:qFormat/>
    <w:uiPriority w:val="0"/>
    <w:rPr>
      <w:rFonts w:ascii="Times New Roman" w:hAnsi="Times New Roman"/>
      <w:szCs w:val="24"/>
    </w:rPr>
  </w:style>
  <w:style w:type="paragraph" w:customStyle="1" w:styleId="30">
    <w:name w:val="Default"/>
    <w:next w:val="31"/>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31">
    <w:name w:val="四号正文"/>
    <w:basedOn w:val="1"/>
    <w:qFormat/>
    <w:uiPriority w:val="0"/>
    <w:pPr>
      <w:spacing w:line="360" w:lineRule="auto"/>
    </w:pPr>
    <w:rPr>
      <w:rFonts w:ascii="??" w:hAnsi="??"/>
      <w:color w:val="000000"/>
      <w:kern w:val="0"/>
      <w:sz w:val="28"/>
      <w:szCs w:val="21"/>
      <w:lang w:val="zh-CN"/>
    </w:rPr>
  </w:style>
  <w:style w:type="paragraph" w:styleId="32">
    <w:name w:val="List Paragraph"/>
    <w:basedOn w:val="1"/>
    <w:qFormat/>
    <w:uiPriority w:val="0"/>
    <w:pPr>
      <w:ind w:firstLine="200" w:firstLineChars="200"/>
    </w:pPr>
  </w:style>
  <w:style w:type="paragraph" w:customStyle="1" w:styleId="33">
    <w:name w:val="TOC 标题1"/>
    <w:basedOn w:val="3"/>
    <w:next w:val="1"/>
    <w:qFormat/>
    <w:uiPriority w:val="0"/>
    <w:pPr>
      <w:keepNext/>
      <w:keepLines/>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34">
    <w:name w:val="TOC 标题2"/>
    <w:basedOn w:val="3"/>
    <w:next w:val="1"/>
    <w:qFormat/>
    <w:uiPriority w:val="0"/>
    <w:pPr>
      <w:keepNext/>
      <w:keepLines/>
      <w:widowControl/>
      <w:spacing w:before="480" w:after="0" w:line="276" w:lineRule="auto"/>
      <w:jc w:val="left"/>
      <w:outlineLvl w:val="9"/>
    </w:pPr>
    <w:rPr>
      <w:rFonts w:ascii="Cambria" w:hAnsi="Cambria" w:eastAsia="宋体" w:cs="Times New Roman"/>
      <w:color w:val="365F91"/>
      <w:kern w:val="0"/>
      <w:sz w:val="28"/>
      <w:szCs w:val="28"/>
    </w:rPr>
  </w:style>
  <w:style w:type="character" w:customStyle="1" w:styleId="35">
    <w:name w:val="NormalCharacter"/>
    <w:qFormat/>
    <w:uiPriority w:val="0"/>
  </w:style>
  <w:style w:type="paragraph" w:customStyle="1" w:styleId="36">
    <w:name w:val="Body text|1"/>
    <w:qFormat/>
    <w:uiPriority w:val="0"/>
    <w:pPr>
      <w:widowControl w:val="0"/>
      <w:shd w:val="clear" w:color="auto" w:fill="auto"/>
      <w:spacing w:line="406" w:lineRule="auto"/>
      <w:ind w:firstLine="400"/>
      <w:jc w:val="both"/>
    </w:pPr>
    <w:rPr>
      <w:rFonts w:ascii="宋体" w:hAnsi="宋体" w:eastAsia="宋体" w:cs="宋体"/>
      <w:kern w:val="2"/>
      <w:sz w:val="30"/>
      <w:szCs w:val="30"/>
      <w:u w:val="none"/>
      <w:shd w:val="clear" w:color="auto" w:fill="auto"/>
      <w:lang w:val="zh-TW" w:eastAsia="zh-TW" w:bidi="zh-TW"/>
    </w:rPr>
  </w:style>
  <w:style w:type="paragraph" w:customStyle="1" w:styleId="37">
    <w:name w:val="WPSOffice手动目录 1"/>
    <w:qFormat/>
    <w:uiPriority w:val="0"/>
    <w:rPr>
      <w:rFonts w:ascii="Times New Roman" w:hAnsi="Times New Roman" w:eastAsia="宋体" w:cs="Times New Roman"/>
      <w:sz w:val="20"/>
      <w:szCs w:val="20"/>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Externa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Externa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Externa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Externa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External"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External"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Externa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lgn="ctr">
              <a:defRPr lang="zh-CN" sz="1400" b="0" i="0" u="none" strike="noStrike" kern="1200" baseline="0">
                <a:solidFill>
                  <a:srgbClr val="595959"/>
                </a:solidFill>
                <a:latin typeface="Times New Roman" panose="02020603050405020304"/>
                <a:ea typeface="宋体" panose="02010600030101010101" charset="-122"/>
                <a:cs typeface="Lucida Sans" panose="020B0602030504020204"/>
              </a:defRPr>
            </a:pPr>
            <a:r>
              <a:rPr lang="zh-CN"/>
              <a:t>	</a:t>
            </a:r>
            <a:endParaRPr lang="zh-CN"/>
          </a:p>
        </c:rich>
      </c:tx>
      <c:layout/>
      <c:overlay val="false"/>
      <c:spPr>
        <a:ln>
          <a:noFill/>
        </a:ln>
      </c:spPr>
    </c:title>
    <c:autoTitleDeleted val="false"/>
    <c:plotArea>
      <c:layout/>
      <c:barChart>
        <c:barDir val="col"/>
        <c:grouping val="clustered"/>
        <c:varyColors val="false"/>
        <c:ser>
          <c:idx val="0"/>
          <c:order val="0"/>
          <c:spPr>
            <a:solidFill>
              <a:srgbClr val="4472C4"/>
            </a:solidFill>
            <a:ln>
              <a:noFill/>
            </a:ln>
          </c:spPr>
          <c:invertIfNegative val="false"/>
          <c:dLbls>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={"2023年度收、支总计","2024年度收、支总计"}</c:f>
              <c:strCache>
                <c:ptCount val="2"/>
                <c:pt idx="0">
                  <c:v>2023年度收、支总计</c:v>
                </c:pt>
                <c:pt idx="1">
                  <c:v>2024年度收、支总计</c:v>
                </c:pt>
              </c:strCache>
            </c:strRef>
          </c:cat>
          <c:val>
            <c:numRef>
              <c:f>{2112.63,4212.91}</c:f>
              <c:numCache>
                <c:formatCode>General</c:formatCode>
                <c:ptCount val="2"/>
                <c:pt idx="0">
                  <c:v>2112.63</c:v>
                </c:pt>
                <c:pt idx="1">
                  <c:v>4212.91</c:v>
                </c:pt>
              </c:numCache>
            </c:numRef>
          </c:val>
        </c:ser>
        <c:dLbls>
          <c:showLegendKey val="false"/>
          <c:showVal val="true"/>
          <c:showCatName val="false"/>
          <c:showSerName val="false"/>
          <c:showPercent val="false"/>
          <c:showBubbleSize val="false"/>
        </c:dLbls>
        <c:gapWidth val="219"/>
        <c:overlap val="-27"/>
        <c:axId val="0"/>
        <c:axId val="1"/>
      </c:barChart>
      <c:catAx>
        <c:axId val="0"/>
        <c:scaling>
          <c:orientation val="minMax"/>
        </c:scaling>
        <c:delete val="false"/>
        <c:axPos val="b"/>
        <c:numFmt formatCode="General" sourceLinked="false"/>
        <c:majorTickMark val="none"/>
        <c:minorTickMark val="none"/>
        <c:tickLblPos val="nextTo"/>
        <c:spPr>
          <a:ln w="12700" cap="flat" cmpd="sng">
            <a:solidFill>
              <a:srgbClr val="D8D8D8"/>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crossAx val="1"/>
        <c:crosses val="autoZero"/>
        <c:auto val="true"/>
        <c:lblAlgn val="ctr"/>
        <c:lblOffset val="100"/>
        <c:noMultiLvlLbl val="false"/>
      </c:catAx>
      <c:valAx>
        <c:axId val="1"/>
        <c:scaling>
          <c:orientation val="minMax"/>
        </c:scaling>
        <c:delete val="false"/>
        <c:axPos val="l"/>
        <c:majorGridlines>
          <c:spPr>
            <a:ln w="12700" cap="flat" cmpd="sng">
              <a:solidFill>
                <a:srgbClr val="D8D8D8"/>
              </a:solidFill>
              <a:prstDash val="solid"/>
              <a:round/>
            </a:ln>
          </c:spPr>
        </c:majorGridlines>
        <c:numFmt formatCode="General" sourceLinked="true"/>
        <c:majorTickMark val="none"/>
        <c:minorTickMark val="none"/>
        <c:tickLblPos val="nextTo"/>
        <c:spPr>
          <a:ln w="9525" cap="flat" cmpd="sng">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crossAx val="0"/>
        <c:crosses val="autoZero"/>
        <c:crossBetween val="between"/>
      </c:valAx>
      <c:spPr>
        <a:noFill/>
        <a:ln>
          <a:noFill/>
        </a:ln>
      </c:spPr>
    </c:plotArea>
    <c:plotVisOnly val="true"/>
    <c:dispBlanksAs val="gap"/>
    <c:showDLblsOverMax val="false"/>
  </c:chart>
  <c:spPr>
    <a:solidFill>
      <a:srgbClr val="FFFFFF"/>
    </a:solidFill>
    <a:ln w="12700" cap="flat" cmpd="sng">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ln w="19050">
              <a:solidFill>
                <a:srgbClr val="FFFFFF"/>
              </a:solidFill>
              <a:prstDash val="solid"/>
            </a:ln>
          </c:spPr>
          <c:explosion val="0"/>
          <c:dPt>
            <c:idx val="0"/>
            <c:bubble3D val="false"/>
            <c:spPr>
              <a:solidFill>
                <a:srgbClr val="4472C4"/>
              </a:solidFill>
              <a:ln w="19050">
                <a:solidFill>
                  <a:srgbClr val="FFFFFF"/>
                </a:solidFill>
                <a:prstDash val="solid"/>
              </a:ln>
            </c:spPr>
          </c:dPt>
          <c:dPt>
            <c:idx val="1"/>
            <c:bubble3D val="false"/>
            <c:spPr>
              <a:solidFill>
                <a:srgbClr val="ED7D31"/>
              </a:solidFill>
              <a:ln w="19050">
                <a:solidFill>
                  <a:srgbClr val="FFFFFF"/>
                </a:solidFill>
                <a:prstDash val="solid"/>
              </a:ln>
            </c:spPr>
          </c:dPt>
          <c:dLbls>
            <c:dLbl>
              <c:idx val="0"/>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dLbl>
              <c:idx val="1"/>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={"一般公共预算财政拨款收入","其他收入"}</c:f>
              <c:strCache>
                <c:ptCount val="2"/>
                <c:pt idx="0">
                  <c:v>一般公共预算财政拨款收入</c:v>
                </c:pt>
                <c:pt idx="1">
                  <c:v>其他收入</c:v>
                </c:pt>
              </c:strCache>
            </c:strRef>
          </c:cat>
          <c:val>
            <c:numRef>
              <c:f>{4212.91,0}</c:f>
              <c:numCache>
                <c:formatCode>General</c:formatCode>
                <c:ptCount val="2"/>
                <c:pt idx="0">
                  <c:v>4212.91</c:v>
                </c:pt>
                <c:pt idx="1">
                  <c:v>0</c:v>
                </c:pt>
              </c:numCache>
            </c:numRef>
          </c:val>
        </c:ser>
        <c:dLbls>
          <c:showLegendKey val="false"/>
          <c:showVal val="false"/>
          <c:showCatName val="false"/>
          <c:showSerName val="false"/>
          <c:showPercent val="fals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legend>
    <c:plotVisOnly val="true"/>
    <c:dispBlanksAs val="gap"/>
    <c:showDLblsOverMax val="false"/>
  </c:chart>
  <c:spPr>
    <a:solidFill>
      <a:srgbClr val="FFFFFF"/>
    </a:solidFill>
    <a:ln w="12700" cap="flat" cmpd="sng">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ln w="19050">
              <a:solidFill>
                <a:srgbClr val="FFFFFF"/>
              </a:solidFill>
              <a:prstDash val="solid"/>
            </a:ln>
          </c:spPr>
          <c:explosion val="0"/>
          <c:dPt>
            <c:idx val="0"/>
            <c:bubble3D val="false"/>
            <c:spPr>
              <a:solidFill>
                <a:srgbClr val="4472C4"/>
              </a:solidFill>
              <a:ln w="19050">
                <a:solidFill>
                  <a:srgbClr val="FFFFFF"/>
                </a:solidFill>
                <a:prstDash val="solid"/>
              </a:ln>
            </c:spPr>
          </c:dPt>
          <c:dPt>
            <c:idx val="1"/>
            <c:bubble3D val="false"/>
            <c:spPr>
              <a:solidFill>
                <a:srgbClr val="ED7D31"/>
              </a:solidFill>
              <a:ln w="19050">
                <a:solidFill>
                  <a:srgbClr val="FFFFFF"/>
                </a:solidFill>
                <a:prstDash val="solid"/>
              </a:ln>
            </c:spPr>
          </c:dPt>
          <c:dLbls>
            <c:dLbl>
              <c:idx val="0"/>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dLbl>
              <c:idx val="1"/>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={"基本支出","项目支出"}</c:f>
              <c:strCache>
                <c:ptCount val="2"/>
                <c:pt idx="0">
                  <c:v>基本支出</c:v>
                </c:pt>
                <c:pt idx="1">
                  <c:v>项目支出</c:v>
                </c:pt>
              </c:strCache>
            </c:strRef>
          </c:cat>
          <c:val>
            <c:numRef>
              <c:f>{780.22,3432.69}</c:f>
              <c:numCache>
                <c:formatCode>General</c:formatCode>
                <c:ptCount val="2"/>
                <c:pt idx="0">
                  <c:v>780.22</c:v>
                </c:pt>
                <c:pt idx="1">
                  <c:v>3432.69</c:v>
                </c:pt>
              </c:numCache>
            </c:numRef>
          </c:val>
        </c:ser>
        <c:dLbls>
          <c:showLegendKey val="false"/>
          <c:showVal val="false"/>
          <c:showCatName val="false"/>
          <c:showSerName val="false"/>
          <c:showPercent val="fals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legend>
    <c:plotVisOnly val="true"/>
    <c:dispBlanksAs val="gap"/>
    <c:showDLblsOverMax val="false"/>
  </c:chart>
  <c:spPr>
    <a:solidFill>
      <a:srgbClr val="FFFFFF"/>
    </a:solidFill>
    <a:ln w="12700" cap="flat" cmpd="sng">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rgbClr val="4472C4"/>
            </a:solidFill>
            <a:ln>
              <a:noFill/>
            </a:ln>
          </c:spPr>
          <c:invertIfNegative val="false"/>
          <c:dLbls>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={"2023年度财政拨款收入、支出总计","2024年度财政拨款收入、支出总计"}</c:f>
              <c:strCache>
                <c:ptCount val="2"/>
                <c:pt idx="0">
                  <c:v>2023年度财政拨款收入、支出总计</c:v>
                </c:pt>
                <c:pt idx="1">
                  <c:v>2024年度财政拨款收入、支出总计</c:v>
                </c:pt>
              </c:strCache>
            </c:strRef>
          </c:cat>
          <c:val>
            <c:numRef>
              <c:f>{2111.38,4212.91}</c:f>
              <c:numCache>
                <c:formatCode>General</c:formatCode>
                <c:ptCount val="2"/>
                <c:pt idx="0">
                  <c:v>2111.38</c:v>
                </c:pt>
                <c:pt idx="1">
                  <c:v>4212.91</c:v>
                </c:pt>
              </c:numCache>
            </c:numRef>
          </c:val>
        </c:ser>
        <c:dLbls>
          <c:showLegendKey val="false"/>
          <c:showVal val="true"/>
          <c:showCatName val="false"/>
          <c:showSerName val="false"/>
          <c:showPercent val="false"/>
          <c:showBubbleSize val="false"/>
        </c:dLbls>
        <c:gapWidth val="219"/>
        <c:overlap val="-27"/>
        <c:axId val="0"/>
        <c:axId val="1"/>
      </c:barChart>
      <c:catAx>
        <c:axId val="0"/>
        <c:scaling>
          <c:orientation val="minMax"/>
        </c:scaling>
        <c:delete val="false"/>
        <c:axPos val="b"/>
        <c:numFmt formatCode="General" sourceLinked="false"/>
        <c:majorTickMark val="none"/>
        <c:minorTickMark val="none"/>
        <c:tickLblPos val="nextTo"/>
        <c:spPr>
          <a:ln w="12700" cap="flat" cmpd="sng">
            <a:solidFill>
              <a:srgbClr val="D8D8D8"/>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crossAx val="1"/>
        <c:crosses val="autoZero"/>
        <c:auto val="true"/>
        <c:lblAlgn val="ctr"/>
        <c:lblOffset val="100"/>
        <c:noMultiLvlLbl val="false"/>
      </c:catAx>
      <c:valAx>
        <c:axId val="1"/>
        <c:scaling>
          <c:orientation val="minMax"/>
        </c:scaling>
        <c:delete val="false"/>
        <c:axPos val="l"/>
        <c:majorGridlines>
          <c:spPr>
            <a:ln w="12700" cap="flat" cmpd="sng">
              <a:solidFill>
                <a:srgbClr val="D8D8D8"/>
              </a:solidFill>
              <a:prstDash val="solid"/>
              <a:round/>
            </a:ln>
          </c:spPr>
        </c:majorGridlines>
        <c:numFmt formatCode="General" sourceLinked="true"/>
        <c:majorTickMark val="none"/>
        <c:minorTickMark val="none"/>
        <c:tickLblPos val="nextTo"/>
        <c:spPr>
          <a:ln w="9525" cap="flat" cmpd="sng">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crossAx val="0"/>
        <c:crosses val="autoZero"/>
        <c:crossBetween val="between"/>
      </c:valAx>
      <c:spPr>
        <a:noFill/>
        <a:ln>
          <a:noFill/>
        </a:ln>
      </c:spPr>
    </c:plotArea>
    <c:plotVisOnly val="true"/>
    <c:dispBlanksAs val="gap"/>
    <c:showDLblsOverMax val="false"/>
  </c:chart>
  <c:spPr>
    <a:solidFill>
      <a:srgbClr val="FFFFFF"/>
    </a:solidFill>
    <a:ln w="12700" cap="flat" cmpd="sng">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rgbClr val="4472C4"/>
            </a:solidFill>
            <a:ln>
              <a:noFill/>
            </a:ln>
          </c:spPr>
          <c:invertIfNegative val="false"/>
          <c:dLbls>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={"2023年一般公共预算财政拨款支出","2024年度一般公共预算财政拨款支出"}</c:f>
              <c:strCache>
                <c:ptCount val="2"/>
                <c:pt idx="0">
                  <c:v>2023年一般公共预算财政拨款支出</c:v>
                </c:pt>
                <c:pt idx="1">
                  <c:v>2024年度一般公共预算财政拨款支出</c:v>
                </c:pt>
              </c:strCache>
            </c:strRef>
          </c:cat>
          <c:val>
            <c:numRef>
              <c:f>{2111.38,4212.91}</c:f>
              <c:numCache>
                <c:formatCode>General</c:formatCode>
                <c:ptCount val="2"/>
                <c:pt idx="0">
                  <c:v>2111.38</c:v>
                </c:pt>
                <c:pt idx="1">
                  <c:v>4212.91</c:v>
                </c:pt>
              </c:numCache>
            </c:numRef>
          </c:val>
        </c:ser>
        <c:dLbls>
          <c:showLegendKey val="false"/>
          <c:showVal val="true"/>
          <c:showCatName val="false"/>
          <c:showSerName val="false"/>
          <c:showPercent val="false"/>
          <c:showBubbleSize val="false"/>
        </c:dLbls>
        <c:gapWidth val="219"/>
        <c:overlap val="-27"/>
        <c:axId val="0"/>
        <c:axId val="1"/>
      </c:barChart>
      <c:catAx>
        <c:axId val="0"/>
        <c:scaling>
          <c:orientation val="minMax"/>
        </c:scaling>
        <c:delete val="false"/>
        <c:axPos val="b"/>
        <c:numFmt formatCode="General" sourceLinked="false"/>
        <c:majorTickMark val="none"/>
        <c:minorTickMark val="none"/>
        <c:tickLblPos val="nextTo"/>
        <c:spPr>
          <a:ln w="12700" cap="flat" cmpd="sng">
            <a:solidFill>
              <a:srgbClr val="D8D8D8"/>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crossAx val="1"/>
        <c:crosses val="autoZero"/>
        <c:auto val="true"/>
        <c:lblAlgn val="ctr"/>
        <c:lblOffset val="100"/>
        <c:noMultiLvlLbl val="false"/>
      </c:catAx>
      <c:valAx>
        <c:axId val="1"/>
        <c:scaling>
          <c:orientation val="minMax"/>
        </c:scaling>
        <c:delete val="false"/>
        <c:axPos val="l"/>
        <c:majorGridlines>
          <c:spPr>
            <a:ln w="12700" cap="flat" cmpd="sng">
              <a:solidFill>
                <a:srgbClr val="D8D8D8"/>
              </a:solidFill>
              <a:prstDash val="solid"/>
              <a:round/>
            </a:ln>
          </c:spPr>
        </c:majorGridlines>
        <c:numFmt formatCode="General" sourceLinked="true"/>
        <c:majorTickMark val="none"/>
        <c:minorTickMark val="none"/>
        <c:tickLblPos val="nextTo"/>
        <c:spPr>
          <a:ln w="9525" cap="flat" cmpd="sng">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crossAx val="0"/>
        <c:crosses val="autoZero"/>
        <c:crossBetween val="between"/>
      </c:valAx>
      <c:spPr>
        <a:noFill/>
        <a:ln>
          <a:noFill/>
        </a:ln>
      </c:spPr>
    </c:plotArea>
    <c:plotVisOnly val="true"/>
    <c:dispBlanksAs val="gap"/>
    <c:showDLblsOverMax val="false"/>
  </c:chart>
  <c:spPr>
    <a:solidFill>
      <a:srgbClr val="FFFFFF"/>
    </a:solidFill>
    <a:ln w="12700" cap="flat" cmpd="sng">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ln w="19050">
              <a:solidFill>
                <a:srgbClr val="FFFFFF"/>
              </a:solidFill>
              <a:prstDash val="solid"/>
            </a:ln>
          </c:spPr>
          <c:explosion val="0"/>
          <c:dPt>
            <c:idx val="0"/>
            <c:bubble3D val="false"/>
            <c:spPr>
              <a:solidFill>
                <a:srgbClr val="4472C4"/>
              </a:solidFill>
              <a:ln w="19050">
                <a:solidFill>
                  <a:srgbClr val="FFFFFF"/>
                </a:solidFill>
                <a:prstDash val="solid"/>
              </a:ln>
            </c:spPr>
          </c:dPt>
          <c:dPt>
            <c:idx val="1"/>
            <c:bubble3D val="false"/>
            <c:spPr>
              <a:solidFill>
                <a:srgbClr val="ED7D31"/>
              </a:solidFill>
              <a:ln w="19050">
                <a:solidFill>
                  <a:srgbClr val="FFFFFF"/>
                </a:solidFill>
                <a:prstDash val="solid"/>
              </a:ln>
            </c:spPr>
          </c:dPt>
          <c:dPt>
            <c:idx val="2"/>
            <c:bubble3D val="false"/>
            <c:spPr>
              <a:solidFill>
                <a:srgbClr val="A5A5A5"/>
              </a:solidFill>
              <a:ln w="19050">
                <a:solidFill>
                  <a:srgbClr val="FFFFFF"/>
                </a:solidFill>
                <a:prstDash val="solid"/>
              </a:ln>
            </c:spPr>
          </c:dPt>
          <c:dPt>
            <c:idx val="3"/>
            <c:bubble3D val="false"/>
            <c:spPr>
              <a:solidFill>
                <a:srgbClr val="FFC000"/>
              </a:solidFill>
              <a:ln w="19050">
                <a:solidFill>
                  <a:srgbClr val="FFFFFF"/>
                </a:solidFill>
                <a:prstDash val="solid"/>
              </a:ln>
            </c:spPr>
          </c:dPt>
          <c:dPt>
            <c:idx val="4"/>
            <c:bubble3D val="false"/>
            <c:spPr>
              <a:solidFill>
                <a:srgbClr val="5B9BD5"/>
              </a:solidFill>
              <a:ln w="19050">
                <a:solidFill>
                  <a:srgbClr val="FFFFFF"/>
                </a:solidFill>
                <a:prstDash val="solid"/>
              </a:ln>
            </c:spPr>
          </c:dPt>
          <c:dLbls>
            <c:dLbl>
              <c:idx val="0"/>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dLbl>
              <c:idx val="1"/>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dLbl>
              <c:idx val="2"/>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dLbl>
              <c:idx val="3"/>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dLbl>
              <c:idx val="4"/>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={"一般公共服务支出","社会保障和就业支出","卫生健康支出","交通运输支出","住房保障支出"}</c:f>
              <c:strCache>
                <c:ptCount val="5"/>
                <c:pt idx="0">
                  <c:v>一般公共服务支出</c:v>
                </c:pt>
                <c:pt idx="1">
                  <c:v>社会保障和就业支出</c:v>
                </c:pt>
                <c:pt idx="2">
                  <c:v>卫生健康支出</c:v>
                </c:pt>
                <c:pt idx="3">
                  <c:v>交通运输支出</c:v>
                </c:pt>
                <c:pt idx="4">
                  <c:v>住房保障支出</c:v>
                </c:pt>
              </c:strCache>
            </c:strRef>
          </c:cat>
          <c:val>
            <c:numRef>
              <c:f>{988.5,103.42,21.98,3044.02,55}</c:f>
              <c:numCache>
                <c:formatCode>General</c:formatCode>
                <c:ptCount val="5"/>
                <c:pt idx="0">
                  <c:v>988.5</c:v>
                </c:pt>
                <c:pt idx="1">
                  <c:v>103.42</c:v>
                </c:pt>
                <c:pt idx="2">
                  <c:v>21.98</c:v>
                </c:pt>
                <c:pt idx="3">
                  <c:v>3044.02</c:v>
                </c:pt>
                <c:pt idx="4">
                  <c:v>55</c:v>
                </c:pt>
              </c:numCache>
            </c:numRef>
          </c:val>
        </c:ser>
        <c:dLbls>
          <c:showLegendKey val="false"/>
          <c:showVal val="false"/>
          <c:showCatName val="false"/>
          <c:showSerName val="false"/>
          <c:showPercent val="fals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legend>
    <c:plotVisOnly val="true"/>
    <c:dispBlanksAs val="gap"/>
    <c:showDLblsOverMax val="false"/>
  </c:chart>
  <c:spPr>
    <a:solidFill>
      <a:srgbClr val="FFFFFF"/>
    </a:solidFill>
    <a:ln w="12700" cap="flat" cmpd="sng">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ln w="19050">
              <a:solidFill>
                <a:srgbClr val="FFFFFF"/>
              </a:solidFill>
              <a:prstDash val="solid"/>
            </a:ln>
          </c:spPr>
          <c:explosion val="0"/>
          <c:dPt>
            <c:idx val="0"/>
            <c:bubble3D val="false"/>
            <c:spPr>
              <a:solidFill>
                <a:srgbClr val="4472C4"/>
              </a:solidFill>
              <a:ln w="19050">
                <a:solidFill>
                  <a:srgbClr val="FFFFFF"/>
                </a:solidFill>
                <a:prstDash val="solid"/>
              </a:ln>
            </c:spPr>
          </c:dPt>
          <c:dPt>
            <c:idx val="1"/>
            <c:bubble3D val="false"/>
            <c:spPr>
              <a:solidFill>
                <a:srgbClr val="ED7D31"/>
              </a:solidFill>
              <a:ln w="19050">
                <a:solidFill>
                  <a:srgbClr val="FFFFFF"/>
                </a:solidFill>
                <a:prstDash val="solid"/>
              </a:ln>
            </c:spPr>
          </c:dPt>
          <c:dPt>
            <c:idx val="2"/>
            <c:bubble3D val="false"/>
            <c:spPr>
              <a:solidFill>
                <a:srgbClr val="A5A5A5"/>
              </a:solidFill>
              <a:ln w="19050">
                <a:solidFill>
                  <a:srgbClr val="FFFFFF"/>
                </a:solidFill>
                <a:prstDash val="solid"/>
              </a:ln>
            </c:spPr>
          </c:dPt>
          <c:dLbls>
            <c:dLbl>
              <c:idx val="0"/>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dLbl>
              <c:idx val="1"/>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dLbl>
              <c:idx val="2"/>
              <c:layout/>
              <c:numFmt formatCode="General" sourceLinked="false"/>
              <c:spPr>
                <a:noFill/>
                <a:ln>
                  <a:noFill/>
                </a:ln>
                <a:effectLst/>
              </c:spPr>
              <c:txPr>
                <a:bodyPr rot="0" spcFirstLastPara="0" vertOverflow="ellipsis" vert="horz" wrap="square" lIns="38100" tIns="19050" rIns="38100" bIns="19050" anchor="ctr" anchorCtr="true"/>
                <a:lstStyle/>
                <a:p>
                  <a:pPr algn="ctr">
                    <a:defRPr lang="zh-CN" sz="900" b="0" i="0" u="none" strike="noStrike" kern="1200" baseline="0">
                      <a:solidFill>
                        <a:srgbClr val="3F3F3F"/>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Times New Roman" panose="02020603050405020304"/>
                    <a:ea typeface="宋体" panose="02010600030101010101" charset="-122"/>
                    <a:cs typeface="Lucida Sans" panose="020B0602030504020204"/>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={"公务接待费支出","因公出国（境）费支出","公务用车购置及运行维护费支出"}</c:f>
              <c:strCache>
                <c:ptCount val="3"/>
                <c:pt idx="0">
                  <c:v>公务接待费支出</c:v>
                </c:pt>
                <c:pt idx="1">
                  <c:v>因公出国（境）费支出</c:v>
                </c:pt>
                <c:pt idx="2">
                  <c:v>公务用车购置及运行维护费支出</c:v>
                </c:pt>
              </c:strCache>
            </c:strRef>
          </c:cat>
          <c:val>
            <c:numRef>
              <c:f>{4.8,0,0}</c:f>
              <c:numCache>
                <c:formatCode>General</c:formatCode>
                <c:ptCount val="3"/>
                <c:pt idx="0">
                  <c:v>4.8</c:v>
                </c:pt>
                <c:pt idx="1">
                  <c:v>0</c:v>
                </c:pt>
                <c:pt idx="2">
                  <c:v>0</c:v>
                </c:pt>
              </c:numCache>
            </c:numRef>
          </c:val>
        </c:ser>
        <c:dLbls>
          <c:showLegendKey val="false"/>
          <c:showVal val="false"/>
          <c:showCatName val="false"/>
          <c:showSerName val="false"/>
          <c:showPercent val="fals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Lucida Sans" panose="020B0602030504020204"/>
            </a:defRPr>
          </a:pPr>
        </a:p>
      </c:txPr>
    </c:legend>
    <c:plotVisOnly val="true"/>
    <c:dispBlanksAs val="gap"/>
    <c:showDLblsOverMax val="false"/>
  </c:chart>
  <c:spPr>
    <a:solidFill>
      <a:srgbClr val="FFFFFF"/>
    </a:solidFill>
    <a:ln w="12700" cap="flat" cmpd="sng">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Lucida Sans" panose="020B0602030504020204"/>
        </a:defRPr>
      </a:pPr>
    </a:p>
  </c:txPr>
  <c:externalData r:id="rId1">
    <c:autoUpdate val="false"/>
  </c:externalData>
</c:chartSpace>
</file>

<file path=word/theme/theme1.xml><?xml version="1.0" encoding="utf-8"?>
<a:theme xmlns:a="http://schemas.openxmlformats.org/drawingml/2006/main" name="Office Theme">
  <a:themeElements>
    <a:clrScheme name="Office The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Theme">
      <a:majorFont>
        <a:latin typeface=""/>
        <a:ea typeface=""/>
        <a:cs typeface=""/>
      </a:majorFont>
      <a:minorFont>
        <a:latin typeface=""/>
        <a:ea typeface=""/>
        <a:cs typeface=""/>
      </a:minorFont>
    </a:fontScheme>
    <a:fmtScheme name="Office Them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true"/>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true">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117</Pages>
  <Words>0</Words>
  <Characters>48351</Characters>
  <Lines>0</Lines>
  <Paragraphs>696</Paragraphs>
  <TotalTime>2</TotalTime>
  <ScaleCrop>false</ScaleCrop>
  <LinksUpToDate>false</LinksUpToDate>
  <CharactersWithSpaces>64468</CharactersWithSpaces>
  <Application>WPS Office_11.8.2.9980_F1E327BC-269C-435d-A152-05C5408002CA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2025-09-16T15:45:00Z</dcterms:created>
  <dc:creator>曹颖</dc:creator>
  <cp:lastModifiedBy> </cp:lastModifiedBy>
  <cp:lastPrinted>2025-08-08T01:34:00Z</cp:lastPrinted>
  <dcterms:modified xsi:type="dcterms:W3CDTF">2025-09-30T10:47:24Z</dcterms:modified>
  <dc:title>四川省***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ies>
</file>