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adjustRightInd w:val="0"/>
        <w:snapToGrid w:val="0"/>
        <w:spacing w:line="360" w:lineRule="auto"/>
        <w:jc w:val="center"/>
        <w:outlineLvl w:val="0"/>
        <w:rPr>
          <w:rFonts w:hint="eastAsia" w:ascii="黑体" w:hAnsi="黑体" w:eastAsia="黑体"/>
          <w:color w:val="auto"/>
          <w:sz w:val="48"/>
          <w:szCs w:val="48"/>
          <w:highlight w:val="none"/>
          <w:lang w:val="en-US" w:eastAsia="zh-CN"/>
        </w:rPr>
      </w:pPr>
    </w:p>
    <w:p>
      <w:pPr>
        <w:shd w:val="clear"/>
        <w:adjustRightInd w:val="0"/>
        <w:snapToGrid w:val="0"/>
        <w:spacing w:line="360" w:lineRule="auto"/>
        <w:jc w:val="center"/>
        <w:outlineLvl w:val="0"/>
        <w:rPr>
          <w:rFonts w:hint="eastAsia" w:ascii="黑体" w:hAnsi="黑体" w:eastAsia="黑体"/>
          <w:color w:val="auto"/>
          <w:sz w:val="48"/>
          <w:szCs w:val="48"/>
          <w:highlight w:val="none"/>
          <w:lang w:val="en-US" w:eastAsia="zh-CN"/>
        </w:rPr>
      </w:pPr>
    </w:p>
    <w:p>
      <w:pPr>
        <w:shd w:val="clear"/>
        <w:adjustRightInd w:val="0"/>
        <w:snapToGrid w:val="0"/>
        <w:spacing w:line="360" w:lineRule="auto"/>
        <w:jc w:val="center"/>
        <w:outlineLvl w:val="0"/>
        <w:rPr>
          <w:rFonts w:hint="eastAsia" w:ascii="黑体" w:hAnsi="黑体" w:eastAsia="黑体"/>
          <w:color w:val="auto"/>
          <w:sz w:val="48"/>
          <w:szCs w:val="48"/>
          <w:highlight w:val="none"/>
          <w:lang w:val="en-US" w:eastAsia="zh-CN"/>
        </w:rPr>
      </w:pPr>
    </w:p>
    <w:p>
      <w:pPr>
        <w:shd w:val="clear"/>
        <w:adjustRightInd w:val="0"/>
        <w:snapToGrid w:val="0"/>
        <w:spacing w:line="360" w:lineRule="auto"/>
        <w:jc w:val="center"/>
        <w:outlineLvl w:val="0"/>
        <w:rPr>
          <w:rFonts w:hint="eastAsia" w:ascii="黑体" w:hAnsi="黑体" w:eastAsia="黑体"/>
          <w:color w:val="auto"/>
          <w:sz w:val="48"/>
          <w:szCs w:val="48"/>
          <w:highlight w:val="none"/>
          <w:lang w:val="en-US" w:eastAsia="zh-CN"/>
        </w:rPr>
      </w:pPr>
    </w:p>
    <w:p>
      <w:pPr>
        <w:shd w:val="clear"/>
        <w:adjustRightInd w:val="0"/>
        <w:snapToGrid w:val="0"/>
        <w:spacing w:line="360" w:lineRule="auto"/>
        <w:jc w:val="center"/>
        <w:outlineLvl w:val="0"/>
        <w:rPr>
          <w:rFonts w:hint="eastAsia" w:ascii="黑体" w:hAnsi="黑体" w:eastAsia="黑体"/>
          <w:color w:val="auto"/>
          <w:sz w:val="48"/>
          <w:szCs w:val="48"/>
          <w:highlight w:val="none"/>
          <w:lang w:val="en-US" w:eastAsia="zh-CN"/>
        </w:rPr>
      </w:pPr>
      <w:bookmarkStart w:id="0" w:name="_Toc12047"/>
      <w:r>
        <w:rPr>
          <w:rFonts w:hint="eastAsia" w:ascii="黑体" w:hAnsi="黑体" w:eastAsia="黑体"/>
          <w:color w:val="auto"/>
          <w:sz w:val="48"/>
          <w:szCs w:val="48"/>
          <w:highlight w:val="none"/>
          <w:lang w:val="en-US" w:eastAsia="zh-CN"/>
        </w:rPr>
        <w:t>2024年度广元市水利局部门决算公开</w:t>
      </w:r>
      <w:bookmarkEnd w:id="0"/>
    </w:p>
    <w:p>
      <w:pPr>
        <w:widowControl/>
        <w:shd w:val="clear"/>
        <w:jc w:val="center"/>
        <w:rPr>
          <w:rFonts w:hint="eastAsia" w:ascii="黑体" w:hAnsi="黑体" w:eastAsia="黑体"/>
          <w:color w:val="auto"/>
          <w:sz w:val="48"/>
          <w:szCs w:val="48"/>
          <w:highlight w:val="none"/>
        </w:rPr>
      </w:pPr>
    </w:p>
    <w:p>
      <w:pPr>
        <w:pStyle w:val="2"/>
        <w:jc w:val="center"/>
        <w:rPr>
          <w:rFonts w:hint="default" w:eastAsia="黑体"/>
          <w:lang w:val="en-US" w:eastAsia="zh-CN"/>
        </w:rPr>
        <w:sectPr>
          <w:headerReference r:id="rId3" w:type="default"/>
          <w:pgSz w:w="11906" w:h="16838"/>
          <w:pgMar w:top="1701" w:right="1587" w:bottom="1701" w:left="1587" w:header="851" w:footer="992" w:gutter="0"/>
          <w:pgNumType w:start="1"/>
          <w:cols w:space="425" w:num="1"/>
          <w:titlePg/>
          <w:docGrid w:type="lines" w:linePitch="312" w:charSpace="0"/>
        </w:sectPr>
      </w:pPr>
      <w:r>
        <w:rPr>
          <w:rFonts w:hint="eastAsia" w:ascii="黑体" w:hAnsi="黑体" w:eastAsia="黑体"/>
          <w:color w:val="auto"/>
          <w:sz w:val="48"/>
          <w:szCs w:val="48"/>
          <w:highlight w:val="none"/>
          <w:lang w:val="en-US" w:eastAsia="zh-CN"/>
        </w:rPr>
        <w:t>编制说明</w:t>
      </w:r>
    </w:p>
    <w:p>
      <w:pPr>
        <w:widowControl/>
        <w:shd w:val="clear"/>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1"/>
        <w:keepNext w:val="0"/>
        <w:keepLines w:val="0"/>
        <w:pageBreakBefore w:val="0"/>
        <w:shd w:val="clear"/>
        <w:kinsoku/>
        <w:wordWrap/>
        <w:overflowPunct/>
        <w:topLinePunct w:val="0"/>
        <w:autoSpaceDE/>
        <w:autoSpaceDN/>
        <w:bidi w:val="0"/>
        <w:spacing w:before="0" w:line="576" w:lineRule="exact"/>
        <w:ind w:left="0" w:leftChars="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公开时间：20</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日</w:t>
      </w:r>
    </w:p>
    <w:sdt>
      <w:sdtPr>
        <w:rPr>
          <w:rFonts w:ascii="宋体" w:hAnsi="宋体" w:eastAsia="宋体" w:cs="Times New Roman"/>
          <w:color w:val="auto"/>
          <w:kern w:val="2"/>
          <w:sz w:val="21"/>
          <w:szCs w:val="24"/>
          <w:highlight w:val="none"/>
          <w:lang w:val="en-US" w:eastAsia="zh-CN" w:bidi="ar-SA"/>
        </w:rPr>
        <w:id w:val="147458281"/>
        <w15:color w:val="DBDBDB"/>
        <w:docPartObj>
          <w:docPartGallery w:val="Table of Contents"/>
          <w:docPartUnique/>
        </w:docPartObj>
      </w:sdtPr>
      <w:sdtEndPr>
        <w:rPr>
          <w:rFonts w:hint="eastAsia" w:ascii="仿宋_GB2312" w:hAnsi="仿宋_GB2312" w:eastAsia="仿宋_GB2312" w:cs="仿宋_GB2312"/>
          <w:b/>
          <w:color w:val="auto"/>
          <w:kern w:val="2"/>
          <w:sz w:val="21"/>
          <w:szCs w:val="32"/>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color w:val="auto"/>
              <w:highlight w:val="none"/>
            </w:rPr>
          </w:pPr>
        </w:p>
        <w:p>
          <w:pPr>
            <w:pStyle w:val="11"/>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"1-2"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_Toc22109 </w:instrText>
          </w:r>
          <w:r>
            <w:rPr>
              <w:rFonts w:hint="eastAsia" w:ascii="仿宋_GB2312" w:hAnsi="仿宋_GB2312" w:eastAsia="仿宋_GB2312" w:cs="仿宋_GB2312"/>
              <w:szCs w:val="32"/>
              <w:highlight w:val="none"/>
            </w:rPr>
            <w:fldChar w:fldCharType="separate"/>
          </w:r>
          <w:r>
            <w:rPr>
              <w:rFonts w:hint="eastAsia" w:ascii="黑体" w:hAnsi="黑体" w:eastAsia="黑体"/>
              <w:highlight w:val="none"/>
            </w:rPr>
            <w:t xml:space="preserve">第一部分 </w:t>
          </w:r>
          <w:r>
            <w:rPr>
              <w:rFonts w:hint="eastAsia" w:ascii="黑体" w:hAnsi="黑体" w:eastAsia="黑体"/>
              <w:bCs w:val="0"/>
              <w:highlight w:val="none"/>
            </w:rPr>
            <w:t>部门概况</w:t>
          </w:r>
          <w:r>
            <w:tab/>
          </w:r>
          <w:r>
            <w:fldChar w:fldCharType="begin"/>
          </w:r>
          <w:r>
            <w:instrText xml:space="preserve"> PAGEREF _Toc22109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_Toc9704 </w:instrText>
          </w:r>
          <w:r>
            <w:rPr>
              <w:rFonts w:hint="eastAsia" w:ascii="仿宋_GB2312" w:hAnsi="仿宋_GB2312" w:eastAsia="仿宋_GB2312" w:cs="仿宋_GB2312"/>
              <w:szCs w:val="32"/>
              <w:highlight w:val="none"/>
            </w:rPr>
            <w:fldChar w:fldCharType="separate"/>
          </w:r>
          <w:r>
            <w:rPr>
              <w:rFonts w:hint="eastAsia" w:ascii="黑体" w:hAnsi="黑体" w:eastAsia="黑体"/>
              <w:highlight w:val="none"/>
              <w:lang w:eastAsia="zh-CN"/>
            </w:rPr>
            <w:t>一、部门职责</w:t>
          </w:r>
          <w:r>
            <w:tab/>
          </w:r>
          <w:r>
            <w:fldChar w:fldCharType="begin"/>
          </w:r>
          <w:r>
            <w:instrText xml:space="preserve"> PAGEREF _Toc9704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1"/>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lang w:val="en-US" w:eastAsia="zh-CN"/>
            </w:rPr>
            <w:t xml:space="preserve">   </w:t>
          </w: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_Toc5513 </w:instrText>
          </w:r>
          <w:r>
            <w:rPr>
              <w:rFonts w:hint="eastAsia" w:ascii="仿宋_GB2312" w:hAnsi="仿宋_GB2312" w:eastAsia="仿宋_GB2312" w:cs="仿宋_GB2312"/>
              <w:szCs w:val="32"/>
              <w:highlight w:val="none"/>
            </w:rPr>
            <w:fldChar w:fldCharType="separate"/>
          </w:r>
          <w:r>
            <w:rPr>
              <w:rFonts w:hint="eastAsia" w:ascii="黑体" w:hAnsi="黑体" w:eastAsia="黑体" w:cs="Times New Roman"/>
              <w:kern w:val="2"/>
              <w:sz w:val="21"/>
              <w:szCs w:val="24"/>
              <w:highlight w:val="none"/>
              <w:lang w:val="en-US" w:eastAsia="zh-CN" w:bidi="ar-SA"/>
            </w:rPr>
            <w:t>二、机构设置</w:t>
          </w:r>
          <w:r>
            <w:rPr>
              <w:rFonts w:hint="eastAsia" w:ascii="黑体" w:hAnsi="黑体" w:eastAsia="黑体" w:cs="Times New Roman"/>
              <w:kern w:val="2"/>
              <w:sz w:val="21"/>
              <w:szCs w:val="24"/>
              <w:highlight w:val="none"/>
              <w:lang w:val="en-US" w:eastAsia="zh-CN" w:bidi="ar-SA"/>
            </w:rPr>
            <w:tab/>
          </w:r>
          <w:r>
            <w:fldChar w:fldCharType="begin"/>
          </w:r>
          <w:r>
            <w:instrText xml:space="preserve"> PAGEREF _Toc5513 \h </w:instrText>
          </w:r>
          <w:r>
            <w:fldChar w:fldCharType="separate"/>
          </w:r>
          <w:r>
            <w:t>3</w:t>
          </w:r>
          <w:r>
            <w:fldChar w:fldCharType="end"/>
          </w:r>
          <w:r>
            <w:rPr>
              <w:rFonts w:hint="eastAsia" w:ascii="仿宋_GB2312" w:hAnsi="仿宋_GB2312" w:eastAsia="仿宋_GB2312" w:cs="仿宋_GB2312"/>
              <w:color w:val="auto"/>
              <w:szCs w:val="32"/>
              <w:highlight w:val="none"/>
            </w:rPr>
            <w:fldChar w:fldCharType="end"/>
          </w:r>
        </w:p>
        <w:p>
          <w:pPr>
            <w:pStyle w:val="11"/>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_Toc17507 </w:instrText>
          </w:r>
          <w:r>
            <w:rPr>
              <w:rFonts w:hint="eastAsia" w:ascii="仿宋_GB2312" w:hAnsi="仿宋_GB2312" w:eastAsia="仿宋_GB2312" w:cs="仿宋_GB2312"/>
              <w:szCs w:val="32"/>
              <w:highlight w:val="none"/>
            </w:rP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2024年度</w:t>
          </w:r>
          <w:r>
            <w:rPr>
              <w:rFonts w:hint="eastAsia" w:ascii="黑体" w:hAnsi="黑体" w:eastAsia="黑体"/>
              <w:bCs/>
              <w:highlight w:val="none"/>
            </w:rPr>
            <w:t>部门决算情况说明</w:t>
          </w:r>
          <w:r>
            <w:tab/>
          </w:r>
          <w:r>
            <w:fldChar w:fldCharType="begin"/>
          </w:r>
          <w:r>
            <w:instrText xml:space="preserve"> PAGEREF _Toc17507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_Toc6317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_Toc6317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_Toc19511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_Toc19511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_Toc24076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_Toc24076 \h </w:instrText>
          </w:r>
          <w:r>
            <w:fldChar w:fldCharType="separate"/>
          </w:r>
          <w:r>
            <w:t>5</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_Toc8045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_Toc8045 \h </w:instrText>
          </w:r>
          <w:r>
            <w:fldChar w:fldCharType="separate"/>
          </w:r>
          <w:r>
            <w:t>5</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_Toc21098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rPr>
            <w:t>五、</w:t>
          </w:r>
          <w:r>
            <w:rPr>
              <w:rFonts w:hint="eastAsia" w:ascii="黑体" w:hAnsi="黑体" w:eastAsia="黑体"/>
              <w:highlight w:val="none"/>
            </w:rPr>
            <w:t>一般公共预算财政拨款支出决算情况说明</w:t>
          </w:r>
          <w:r>
            <w:tab/>
          </w:r>
          <w:r>
            <w:fldChar w:fldCharType="begin"/>
          </w:r>
          <w:r>
            <w:instrText xml:space="preserve"> PAGEREF _Toc21098 \h </w:instrText>
          </w:r>
          <w:r>
            <w:fldChar w:fldCharType="separate"/>
          </w:r>
          <w:r>
            <w:t>6</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_Toc25181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_Toc25181 \h </w:instrText>
          </w:r>
          <w:r>
            <w:fldChar w:fldCharType="separate"/>
          </w:r>
          <w:r>
            <w:t>9</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_Toc28533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七、</w:t>
          </w:r>
          <w:r>
            <w:rPr>
              <w:rFonts w:hint="eastAsia" w:ascii="黑体" w:eastAsia="黑体"/>
              <w:szCs w:val="32"/>
              <w:highlight w:val="none"/>
              <w:lang w:eastAsia="zh-CN"/>
            </w:rPr>
            <w:t>财政拨款</w:t>
          </w:r>
          <w:r>
            <w:rPr>
              <w:rFonts w:hint="eastAsia" w:ascii="黑体" w:hAnsi="黑体" w:eastAsia="黑体"/>
              <w:highlight w:val="none"/>
            </w:rPr>
            <w:t>“三公”经费财政拨款支出决算情况说明</w:t>
          </w:r>
          <w:r>
            <w:tab/>
          </w:r>
          <w:r>
            <w:fldChar w:fldCharType="begin"/>
          </w:r>
          <w:r>
            <w:instrText xml:space="preserve"> PAGEREF _Toc28533 \h </w:instrText>
          </w:r>
          <w:r>
            <w:fldChar w:fldCharType="separate"/>
          </w:r>
          <w:r>
            <w:t>10</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_Toc10825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_Toc10825 \h </w:instrText>
          </w:r>
          <w:r>
            <w:fldChar w:fldCharType="separate"/>
          </w:r>
          <w:r>
            <w:t>11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_Toc18602 </w:instrText>
          </w:r>
          <w:r>
            <w:rPr>
              <w:rFonts w:hint="eastAsia" w:ascii="仿宋_GB2312" w:hAnsi="仿宋_GB2312" w:eastAsia="仿宋_GB2312" w:cs="仿宋_GB2312"/>
              <w:szCs w:val="32"/>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_Toc18602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_Toc24926 </w:instrText>
          </w:r>
          <w:r>
            <w:rPr>
              <w:rFonts w:hint="eastAsia" w:ascii="仿宋_GB2312" w:hAnsi="仿宋_GB2312" w:eastAsia="仿宋_GB2312" w:cs="仿宋_GB2312"/>
              <w:szCs w:val="32"/>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_Toc24926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1"/>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_Toc23147 </w:instrText>
          </w:r>
          <w:r>
            <w:rPr>
              <w:rFonts w:hint="eastAsia" w:ascii="仿宋_GB2312" w:hAnsi="仿宋_GB2312" w:eastAsia="仿宋_GB2312" w:cs="仿宋_GB2312"/>
              <w:szCs w:val="32"/>
              <w:highlight w:val="none"/>
            </w:rPr>
            <w:fldChar w:fldCharType="separate"/>
          </w:r>
          <w:r>
            <w:rPr>
              <w:rFonts w:hint="eastAsia" w:ascii="黑体" w:hAnsi="黑体" w:eastAsia="黑体"/>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_Toc23147 \h </w:instrText>
          </w:r>
          <w:r>
            <w:fldChar w:fldCharType="separate"/>
          </w:r>
          <w:r>
            <w:t>14</w:t>
          </w:r>
          <w:r>
            <w:fldChar w:fldCharType="end"/>
          </w:r>
          <w:r>
            <w:rPr>
              <w:rFonts w:hint="eastAsia" w:ascii="仿宋_GB2312" w:hAnsi="仿宋_GB2312" w:eastAsia="仿宋_GB2312" w:cs="仿宋_GB2312"/>
              <w:color w:val="auto"/>
              <w:szCs w:val="32"/>
              <w:highlight w:val="none"/>
            </w:rPr>
            <w:fldChar w:fldCharType="end"/>
          </w:r>
        </w:p>
        <w:p>
          <w:pPr>
            <w:pStyle w:val="11"/>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_Toc2492 </w:instrText>
          </w:r>
          <w:r>
            <w:rPr>
              <w:rFonts w:hint="eastAsia" w:ascii="仿宋_GB2312" w:hAnsi="仿宋_GB2312" w:eastAsia="仿宋_GB2312" w:cs="仿宋_GB2312"/>
              <w:szCs w:val="32"/>
              <w:highlight w:val="none"/>
            </w:rP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_Toc2492 \h </w:instrText>
          </w:r>
          <w:r>
            <w:fldChar w:fldCharType="separate"/>
          </w:r>
          <w:r>
            <w:t>18</w:t>
          </w:r>
          <w:r>
            <w:fldChar w:fldCharType="end"/>
          </w:r>
          <w:r>
            <w:rPr>
              <w:rFonts w:hint="eastAsia" w:ascii="仿宋_GB2312" w:hAnsi="仿宋_GB2312" w:eastAsia="仿宋_GB2312" w:cs="仿宋_GB2312"/>
              <w:color w:val="auto"/>
              <w:szCs w:val="32"/>
              <w:highlight w:val="none"/>
            </w:rPr>
            <w:fldChar w:fldCharType="end"/>
          </w:r>
        </w:p>
        <w:p>
          <w:pPr>
            <w:pStyle w:val="11"/>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_Toc20768 </w:instrText>
          </w:r>
          <w:r>
            <w:rPr>
              <w:rFonts w:hint="eastAsia" w:ascii="仿宋_GB2312" w:hAnsi="仿宋_GB2312" w:eastAsia="仿宋_GB2312" w:cs="仿宋_GB2312"/>
              <w:szCs w:val="32"/>
              <w:highlight w:val="none"/>
            </w:rPr>
            <w:fldChar w:fldCharType="separate"/>
          </w:r>
          <w:r>
            <w:rPr>
              <w:rFonts w:hint="eastAsia" w:ascii="黑体" w:hAnsi="黑体" w:eastAsia="黑体"/>
              <w:highlight w:val="none"/>
              <w:lang w:eastAsia="zh-CN"/>
            </w:rPr>
            <w:t>第五部分</w:t>
          </w:r>
          <w:r>
            <w:rPr>
              <w:rFonts w:hint="eastAsia" w:ascii="黑体" w:hAnsi="黑体" w:eastAsia="黑体"/>
              <w:highlight w:val="none"/>
              <w:lang w:val="en-US" w:eastAsia="zh-CN"/>
            </w:rPr>
            <w:t xml:space="preserve"> </w:t>
          </w:r>
          <w:r>
            <w:rPr>
              <w:rFonts w:hint="eastAsia" w:ascii="黑体" w:hAnsi="黑体" w:eastAsia="黑体"/>
              <w:highlight w:val="none"/>
            </w:rPr>
            <w:t>附表</w:t>
          </w:r>
          <w:r>
            <w:tab/>
          </w:r>
          <w:r>
            <w:fldChar w:fldCharType="begin"/>
          </w:r>
          <w:r>
            <w:instrText xml:space="preserve"> PAGEREF _Toc20768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_Toc13811 </w:instrText>
          </w:r>
          <w:r>
            <w:rPr>
              <w:rFonts w:hint="eastAsia" w:ascii="仿宋_GB2312" w:hAnsi="仿宋_GB2312" w:eastAsia="仿宋_GB2312" w:cs="仿宋_GB2312"/>
              <w:szCs w:val="32"/>
              <w:highlight w:val="none"/>
            </w:rPr>
            <w:fldChar w:fldCharType="separate"/>
          </w:r>
          <w:r>
            <w:rPr>
              <w:rFonts w:hint="eastAsia"/>
              <w:bCs w:val="0"/>
              <w:lang w:val="en-US" w:eastAsia="zh-CN"/>
            </w:rPr>
            <w:t>一、收入支出决算总表</w:t>
          </w:r>
          <w:r>
            <w:tab/>
          </w:r>
          <w:r>
            <w:fldChar w:fldCharType="begin"/>
          </w:r>
          <w:r>
            <w:instrText xml:space="preserve"> PAGEREF _Toc13811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_Toc25335 </w:instrText>
          </w:r>
          <w:r>
            <w:rPr>
              <w:rFonts w:hint="eastAsia" w:ascii="仿宋_GB2312" w:hAnsi="仿宋_GB2312" w:eastAsia="仿宋_GB2312" w:cs="仿宋_GB2312"/>
              <w:szCs w:val="32"/>
              <w:highlight w:val="none"/>
            </w:rPr>
            <w:fldChar w:fldCharType="separate"/>
          </w:r>
          <w:r>
            <w:rPr>
              <w:rFonts w:hint="eastAsia"/>
              <w:bCs w:val="0"/>
              <w:lang w:val="en-US" w:eastAsia="zh-CN"/>
            </w:rPr>
            <w:t>二、收入决算表</w:t>
          </w:r>
          <w:r>
            <w:tab/>
          </w:r>
          <w:r>
            <w:fldChar w:fldCharType="begin"/>
          </w:r>
          <w:r>
            <w:instrText xml:space="preserve"> PAGEREF _Toc25335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_Toc11423 </w:instrText>
          </w:r>
          <w:r>
            <w:rPr>
              <w:rFonts w:hint="eastAsia" w:ascii="仿宋_GB2312" w:hAnsi="仿宋_GB2312" w:eastAsia="仿宋_GB2312" w:cs="仿宋_GB2312"/>
              <w:szCs w:val="32"/>
              <w:highlight w:val="none"/>
            </w:rPr>
            <w:fldChar w:fldCharType="separate"/>
          </w:r>
          <w:r>
            <w:rPr>
              <w:rFonts w:hint="eastAsia"/>
              <w:bCs w:val="0"/>
              <w:lang w:val="en-US" w:eastAsia="zh-CN"/>
            </w:rPr>
            <w:t>三、支出决算表</w:t>
          </w:r>
          <w:r>
            <w:tab/>
          </w:r>
          <w:r>
            <w:fldChar w:fldCharType="begin"/>
          </w:r>
          <w:r>
            <w:instrText xml:space="preserve"> PAGEREF _Toc11423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_Toc29693 </w:instrText>
          </w:r>
          <w:r>
            <w:rPr>
              <w:rFonts w:hint="eastAsia" w:ascii="仿宋_GB2312" w:hAnsi="仿宋_GB2312" w:eastAsia="仿宋_GB2312" w:cs="仿宋_GB2312"/>
              <w:szCs w:val="32"/>
              <w:highlight w:val="none"/>
            </w:rPr>
            <w:fldChar w:fldCharType="separate"/>
          </w:r>
          <w:r>
            <w:rPr>
              <w:rFonts w:hint="eastAsia"/>
              <w:bCs w:val="0"/>
              <w:lang w:val="en-US" w:eastAsia="zh-CN"/>
            </w:rPr>
            <w:t>四、财政拨款收入支出决算总表</w:t>
          </w:r>
          <w:r>
            <w:tab/>
          </w:r>
          <w:r>
            <w:fldChar w:fldCharType="begin"/>
          </w:r>
          <w:r>
            <w:instrText xml:space="preserve"> PAGEREF _Toc29693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_Toc11661 </w:instrText>
          </w:r>
          <w:r>
            <w:rPr>
              <w:rFonts w:hint="eastAsia" w:ascii="仿宋_GB2312" w:hAnsi="仿宋_GB2312" w:eastAsia="仿宋_GB2312" w:cs="仿宋_GB2312"/>
              <w:szCs w:val="32"/>
              <w:highlight w:val="none"/>
            </w:rPr>
            <w:fldChar w:fldCharType="separate"/>
          </w:r>
          <w:r>
            <w:rPr>
              <w:rFonts w:hint="eastAsia"/>
              <w:bCs w:val="0"/>
              <w:lang w:val="en-US" w:eastAsia="zh-CN"/>
            </w:rPr>
            <w:t>五、财政拨款支出决算明细表</w:t>
          </w:r>
          <w:r>
            <w:tab/>
          </w:r>
          <w:r>
            <w:fldChar w:fldCharType="begin"/>
          </w:r>
          <w:r>
            <w:instrText xml:space="preserve"> PAGEREF _Toc11661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_Toc7121 </w:instrText>
          </w:r>
          <w:r>
            <w:rPr>
              <w:rFonts w:hint="eastAsia" w:ascii="仿宋_GB2312" w:hAnsi="仿宋_GB2312" w:eastAsia="仿宋_GB2312" w:cs="仿宋_GB2312"/>
              <w:szCs w:val="32"/>
              <w:highlight w:val="none"/>
            </w:rPr>
            <w:fldChar w:fldCharType="separate"/>
          </w:r>
          <w:r>
            <w:rPr>
              <w:rFonts w:hint="eastAsia"/>
              <w:bCs w:val="0"/>
              <w:lang w:val="en-US" w:eastAsia="zh-CN"/>
            </w:rPr>
            <w:t>六、一般公共预算财政拨款支出决算表</w:t>
          </w:r>
          <w:r>
            <w:tab/>
          </w:r>
          <w:r>
            <w:fldChar w:fldCharType="begin"/>
          </w:r>
          <w:r>
            <w:instrText xml:space="preserve"> PAGEREF _Toc7121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_Toc29730 </w:instrText>
          </w:r>
          <w:r>
            <w:rPr>
              <w:rFonts w:hint="eastAsia" w:ascii="仿宋_GB2312" w:hAnsi="仿宋_GB2312" w:eastAsia="仿宋_GB2312" w:cs="仿宋_GB2312"/>
              <w:szCs w:val="32"/>
              <w:highlight w:val="none"/>
            </w:rPr>
            <w:fldChar w:fldCharType="separate"/>
          </w:r>
          <w:r>
            <w:rPr>
              <w:rFonts w:hint="eastAsia"/>
              <w:bCs w:val="0"/>
              <w:lang w:val="en-US" w:eastAsia="zh-CN"/>
            </w:rPr>
            <w:t>七、一般公共预算财政拨款支出决算明细表</w:t>
          </w:r>
          <w:r>
            <w:tab/>
          </w:r>
          <w:r>
            <w:fldChar w:fldCharType="begin"/>
          </w:r>
          <w:r>
            <w:instrText xml:space="preserve"> PAGEREF _Toc29730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_Toc583 </w:instrText>
          </w:r>
          <w:r>
            <w:rPr>
              <w:rFonts w:hint="eastAsia" w:ascii="仿宋_GB2312" w:hAnsi="仿宋_GB2312" w:eastAsia="仿宋_GB2312" w:cs="仿宋_GB2312"/>
              <w:szCs w:val="32"/>
              <w:highlight w:val="none"/>
            </w:rPr>
            <w:fldChar w:fldCharType="separate"/>
          </w:r>
          <w:r>
            <w:rPr>
              <w:rFonts w:hint="eastAsia"/>
              <w:bCs w:val="0"/>
              <w:lang w:val="en-US" w:eastAsia="zh-CN"/>
            </w:rPr>
            <w:t>八、一般公共预算财政拨款基本支出决算表</w:t>
          </w:r>
          <w:r>
            <w:tab/>
          </w:r>
          <w:r>
            <w:fldChar w:fldCharType="begin"/>
          </w:r>
          <w:r>
            <w:instrText xml:space="preserve"> PAGEREF _Toc583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_Toc29289 </w:instrText>
          </w:r>
          <w:r>
            <w:rPr>
              <w:rFonts w:hint="eastAsia" w:ascii="仿宋_GB2312" w:hAnsi="仿宋_GB2312" w:eastAsia="仿宋_GB2312" w:cs="仿宋_GB2312"/>
              <w:szCs w:val="32"/>
              <w:highlight w:val="none"/>
            </w:rPr>
            <w:fldChar w:fldCharType="separate"/>
          </w:r>
          <w:r>
            <w:rPr>
              <w:rFonts w:hint="eastAsia"/>
              <w:bCs w:val="0"/>
              <w:lang w:val="en-US" w:eastAsia="zh-CN"/>
            </w:rPr>
            <w:t>九、一般公共预算财政拨款项目支出决算表</w:t>
          </w:r>
          <w:r>
            <w:tab/>
          </w:r>
          <w:r>
            <w:fldChar w:fldCharType="begin"/>
          </w:r>
          <w:r>
            <w:instrText xml:space="preserve"> PAGEREF _Toc29289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_Toc25468 </w:instrText>
          </w:r>
          <w:r>
            <w:rPr>
              <w:rFonts w:hint="eastAsia" w:ascii="仿宋_GB2312" w:hAnsi="仿宋_GB2312" w:eastAsia="仿宋_GB2312" w:cs="仿宋_GB2312"/>
              <w:szCs w:val="32"/>
              <w:highlight w:val="none"/>
            </w:rPr>
            <w:fldChar w:fldCharType="separate"/>
          </w:r>
          <w:r>
            <w:rPr>
              <w:rFonts w:hint="eastAsia"/>
              <w:bCs w:val="0"/>
              <w:lang w:val="en-US" w:eastAsia="zh-CN"/>
            </w:rPr>
            <w:t>十、政府性基金预算财政拨款收入支出决算表</w:t>
          </w:r>
          <w:r>
            <w:tab/>
          </w:r>
          <w:r>
            <w:fldChar w:fldCharType="begin"/>
          </w:r>
          <w:r>
            <w:instrText xml:space="preserve"> PAGEREF _Toc25468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_Toc22603 </w:instrText>
          </w:r>
          <w:r>
            <w:rPr>
              <w:rFonts w:hint="eastAsia" w:ascii="仿宋_GB2312" w:hAnsi="仿宋_GB2312" w:eastAsia="仿宋_GB2312" w:cs="仿宋_GB2312"/>
              <w:szCs w:val="32"/>
              <w:highlight w:val="none"/>
            </w:rPr>
            <w:fldChar w:fldCharType="separate"/>
          </w:r>
          <w:r>
            <w:rPr>
              <w:rFonts w:hint="eastAsia"/>
              <w:bCs w:val="0"/>
              <w:lang w:val="en-US" w:eastAsia="zh-CN"/>
            </w:rPr>
            <w:t>十一、国有资本经营预算财政拨款收入支出决算表</w:t>
          </w:r>
          <w:r>
            <w:tab/>
          </w:r>
          <w:r>
            <w:fldChar w:fldCharType="begin"/>
          </w:r>
          <w:r>
            <w:instrText xml:space="preserve"> PAGEREF _Toc22603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_Toc15481 </w:instrText>
          </w:r>
          <w:r>
            <w:rPr>
              <w:rFonts w:hint="eastAsia" w:ascii="仿宋_GB2312" w:hAnsi="仿宋_GB2312" w:eastAsia="仿宋_GB2312" w:cs="仿宋_GB2312"/>
              <w:szCs w:val="32"/>
              <w:highlight w:val="none"/>
            </w:rPr>
            <w:fldChar w:fldCharType="separate"/>
          </w:r>
          <w:r>
            <w:rPr>
              <w:rFonts w:hint="eastAsia"/>
              <w:bCs w:val="0"/>
              <w:lang w:val="en-US" w:eastAsia="zh-CN"/>
            </w:rPr>
            <w:t>十二、国有资本经营预算财政拨款支出决算表</w:t>
          </w:r>
          <w:r>
            <w:tab/>
          </w:r>
          <w:r>
            <w:fldChar w:fldCharType="begin"/>
          </w:r>
          <w:r>
            <w:instrText xml:space="preserve"> PAGEREF _Toc15481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pStyle w:val="14"/>
            <w:keepNext w:val="0"/>
            <w:keepLines w:val="0"/>
            <w:pageBreakBefore w:val="0"/>
            <w:widowControl w:val="0"/>
            <w:tabs>
              <w:tab w:val="right" w:leader="dot" w:pos="8732"/>
              <w:tab w:val="clear" w:pos="8296"/>
            </w:tabs>
            <w:kinsoku/>
            <w:wordWrap/>
            <w:overflowPunct/>
            <w:topLinePunct w:val="0"/>
            <w:autoSpaceDE/>
            <w:autoSpaceDN/>
            <w:bidi w:val="0"/>
            <w:adjustRightInd/>
            <w:snapToGrid/>
            <w:spacing w:line="300" w:lineRule="exact"/>
            <w:textAlignment w:val="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_Toc14349 </w:instrText>
          </w:r>
          <w:r>
            <w:rPr>
              <w:rFonts w:hint="eastAsia" w:ascii="仿宋_GB2312" w:hAnsi="仿宋_GB2312" w:eastAsia="仿宋_GB2312" w:cs="仿宋_GB2312"/>
              <w:szCs w:val="32"/>
              <w:highlight w:val="none"/>
            </w:rPr>
            <w:fldChar w:fldCharType="separate"/>
          </w:r>
          <w:r>
            <w:rPr>
              <w:rFonts w:hint="eastAsia"/>
              <w:bCs w:val="0"/>
              <w:lang w:val="en-US" w:eastAsia="zh-CN"/>
            </w:rPr>
            <w:t>十三、财政拨款“三公”经费支出决算表</w:t>
          </w:r>
          <w:r>
            <w:tab/>
          </w:r>
          <w:r>
            <w:fldChar w:fldCharType="begin"/>
          </w:r>
          <w:r>
            <w:instrText xml:space="preserve"> PAGEREF _Toc14349 \h </w:instrText>
          </w:r>
          <w:r>
            <w:fldChar w:fldCharType="separate"/>
          </w:r>
          <w:r>
            <w:t>61</w:t>
          </w:r>
          <w:r>
            <w:fldChar w:fldCharType="end"/>
          </w:r>
          <w:r>
            <w:rPr>
              <w:rFonts w:hint="eastAsia" w:ascii="仿宋_GB2312" w:hAnsi="仿宋_GB2312" w:eastAsia="仿宋_GB2312" w:cs="仿宋_GB2312"/>
              <w:color w:val="auto"/>
              <w:szCs w:val="32"/>
              <w:highlight w:val="none"/>
            </w:rPr>
            <w:fldChar w:fldCharType="end"/>
          </w:r>
        </w:p>
        <w:p>
          <w:pPr>
            <w:keepNext w:val="0"/>
            <w:keepLines w:val="0"/>
            <w:pageBreakBefore w:val="0"/>
            <w:shd w:val="clear"/>
            <w:kinsoku/>
            <w:wordWrap/>
            <w:overflowPunct/>
            <w:topLinePunct w:val="0"/>
            <w:autoSpaceDE/>
            <w:autoSpaceDN/>
            <w:bidi w:val="0"/>
            <w:spacing w:line="360" w:lineRule="auto"/>
            <w:ind w:left="0" w:leftChars="0"/>
            <w:jc w:val="both"/>
            <w:textAlignment w:val="auto"/>
            <w:rPr>
              <w:rFonts w:hint="eastAsia" w:ascii="黑体" w:hAnsi="黑体" w:eastAsia="黑体"/>
              <w:b w:val="0"/>
              <w:color w:val="auto"/>
              <w:highlight w:val="none"/>
            </w:rPr>
            <w:sectPr>
              <w:pgSz w:w="11906" w:h="16838"/>
              <w:pgMar w:top="1701" w:right="1587" w:bottom="1701" w:left="1587" w:header="851" w:footer="992" w:gutter="0"/>
              <w:pgNumType w:start="1"/>
              <w:cols w:space="425" w:num="1"/>
              <w:titlePg/>
              <w:docGrid w:type="lines" w:linePitch="312" w:charSpace="0"/>
            </w:sectPr>
          </w:pPr>
          <w:r>
            <w:rPr>
              <w:rFonts w:hint="eastAsia" w:ascii="仿宋_GB2312" w:hAnsi="仿宋_GB2312" w:eastAsia="仿宋_GB2312" w:cs="仿宋_GB2312"/>
              <w:color w:val="auto"/>
              <w:szCs w:val="32"/>
              <w:highlight w:val="none"/>
            </w:rPr>
            <w:fldChar w:fldCharType="end"/>
          </w:r>
          <w:bookmarkStart w:id="1" w:name="_Toc15396599"/>
          <w:bookmarkStart w:id="2" w:name="_Toc15377196"/>
        </w:p>
      </w:sdtContent>
    </w:sdt>
    <w:p>
      <w:pPr>
        <w:pStyle w:val="3"/>
        <w:shd w:val="clear"/>
        <w:jc w:val="center"/>
        <w:rPr>
          <w:rFonts w:ascii="黑体" w:eastAsia="黑体"/>
          <w:color w:val="auto"/>
          <w:sz w:val="32"/>
          <w:szCs w:val="32"/>
          <w:highlight w:val="none"/>
        </w:rPr>
      </w:pPr>
      <w:bookmarkStart w:id="3" w:name="_Toc22109"/>
      <w:r>
        <w:rPr>
          <w:rFonts w:hint="eastAsia" w:ascii="黑体" w:hAnsi="黑体" w:eastAsia="黑体"/>
          <w:b w:val="0"/>
          <w:color w:val="auto"/>
          <w:highlight w:val="none"/>
        </w:rPr>
        <w:t xml:space="preserve">第一部分 </w:t>
      </w:r>
      <w:r>
        <w:rPr>
          <w:rStyle w:val="21"/>
          <w:rFonts w:hint="eastAsia" w:ascii="黑体" w:hAnsi="黑体" w:eastAsia="黑体"/>
          <w:b w:val="0"/>
          <w:bCs w:val="0"/>
          <w:color w:val="auto"/>
          <w:highlight w:val="none"/>
        </w:rPr>
        <w:t>部门概况</w:t>
      </w:r>
      <w:bookmarkEnd w:id="1"/>
      <w:bookmarkEnd w:id="2"/>
      <w:bookmarkEnd w:id="3"/>
    </w:p>
    <w:p>
      <w:pPr>
        <w:pStyle w:val="4"/>
        <w:pageBreakBefore w:val="0"/>
        <w:numPr>
          <w:ilvl w:val="0"/>
          <w:numId w:val="0"/>
        </w:numPr>
        <w:shd w:val="clear"/>
        <w:kinsoku/>
        <w:wordWrap/>
        <w:overflowPunct/>
        <w:topLinePunct w:val="0"/>
        <w:autoSpaceDE/>
        <w:autoSpaceDN/>
        <w:bidi w:val="0"/>
        <w:adjustRightInd/>
        <w:snapToGrid/>
        <w:spacing w:before="0" w:after="0" w:line="576" w:lineRule="exact"/>
        <w:ind w:firstLine="640" w:firstLineChars="200"/>
        <w:jc w:val="both"/>
        <w:textAlignment w:val="auto"/>
        <w:rPr>
          <w:rStyle w:val="22"/>
          <w:rFonts w:hint="eastAsia" w:ascii="黑体" w:hAnsi="黑体" w:eastAsia="黑体"/>
          <w:b w:val="0"/>
          <w:bCs w:val="0"/>
          <w:color w:val="auto"/>
          <w:highlight w:val="none"/>
          <w:lang w:eastAsia="zh-CN"/>
        </w:rPr>
      </w:pPr>
      <w:bookmarkStart w:id="4" w:name="_Toc15377197"/>
      <w:bookmarkStart w:id="5" w:name="_Toc15396600"/>
      <w:bookmarkStart w:id="6" w:name="_Toc9704"/>
      <w:r>
        <w:rPr>
          <w:rFonts w:hint="eastAsia" w:ascii="黑体" w:hAnsi="黑体" w:eastAsia="黑体"/>
          <w:b w:val="0"/>
          <w:color w:val="auto"/>
          <w:highlight w:val="none"/>
          <w:lang w:eastAsia="zh-CN"/>
        </w:rPr>
        <w:t>一、</w:t>
      </w:r>
      <w:bookmarkEnd w:id="4"/>
      <w:bookmarkEnd w:id="5"/>
      <w:bookmarkStart w:id="7" w:name="_Toc15377198"/>
      <w:bookmarkStart w:id="8" w:name="_Toc15378445"/>
      <w:r>
        <w:rPr>
          <w:rFonts w:hint="eastAsia" w:ascii="黑体" w:hAnsi="黑体" w:eastAsia="黑体"/>
          <w:b w:val="0"/>
          <w:color w:val="auto"/>
          <w:highlight w:val="none"/>
          <w:lang w:eastAsia="zh-CN"/>
        </w:rPr>
        <w:t>部门职责</w:t>
      </w:r>
      <w:bookmarkEnd w:id="6"/>
    </w:p>
    <w:p>
      <w:pPr>
        <w:pStyle w:val="4"/>
        <w:pageBreakBefore w:val="0"/>
        <w:numPr>
          <w:ilvl w:val="0"/>
          <w:numId w:val="0"/>
        </w:numPr>
        <w:shd w:val="clear"/>
        <w:kinsoku/>
        <w:wordWrap/>
        <w:overflowPunct/>
        <w:topLinePunct w:val="0"/>
        <w:autoSpaceDE/>
        <w:autoSpaceDN/>
        <w:bidi w:val="0"/>
        <w:adjustRightInd/>
        <w:snapToGrid/>
        <w:spacing w:before="0" w:after="0" w:line="576" w:lineRule="exact"/>
        <w:ind w:firstLine="640" w:firstLineChars="200"/>
        <w:jc w:val="both"/>
        <w:textAlignment w:val="auto"/>
        <w:rPr>
          <w:rFonts w:hint="eastAsia" w:ascii="楷体_GB2312" w:hAnsi="楷体_GB2312" w:eastAsia="楷体_GB2312" w:cs="楷体_GB2312"/>
          <w:b w:val="0"/>
          <w:bCs w:val="0"/>
          <w:color w:val="auto"/>
          <w:sz w:val="32"/>
          <w:szCs w:val="32"/>
          <w:highlight w:val="none"/>
        </w:rPr>
      </w:pPr>
      <w:bookmarkStart w:id="9" w:name="_Toc27890"/>
      <w:bookmarkStart w:id="10" w:name="_Toc16087"/>
      <w:r>
        <w:rPr>
          <w:rFonts w:hint="eastAsia" w:ascii="楷体_GB2312" w:hAnsi="楷体_GB2312" w:eastAsia="楷体_GB2312" w:cs="楷体_GB2312"/>
          <w:b w:val="0"/>
          <w:bCs w:val="0"/>
          <w:color w:val="auto"/>
          <w:sz w:val="32"/>
          <w:szCs w:val="32"/>
          <w:highlight w:val="none"/>
        </w:rPr>
        <w:t>（一）主要职能</w:t>
      </w:r>
      <w:bookmarkEnd w:id="7"/>
      <w:bookmarkEnd w:id="8"/>
      <w:bookmarkEnd w:id="9"/>
      <w:bookmarkEnd w:id="10"/>
      <w:bookmarkStart w:id="11" w:name="_Toc15377199"/>
      <w:bookmarkStart w:id="12" w:name="_Toc15378446"/>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w:t>
      </w:r>
      <w:r>
        <w:rPr>
          <w:rFonts w:hint="eastAsia" w:ascii="仿宋_GB2312" w:hAnsi="仿宋_GB2312" w:eastAsia="仿宋_GB2312" w:cs="仿宋_GB2312"/>
          <w:i w:val="0"/>
          <w:caps w:val="0"/>
          <w:color w:val="auto"/>
          <w:spacing w:val="0"/>
          <w:sz w:val="32"/>
          <w:szCs w:val="32"/>
          <w:highlight w:val="none"/>
          <w:shd w:val="clear" w:fill="FFFFFF"/>
        </w:rPr>
        <w:t>贯彻执行国家有关水行政管理工作的方针、政策和法律、法规，组织起草水利行业管理重大规范性文件并监督实施；拟订全市水利战略规划，组织编制重大水利综合规划、专业规划和专项规划并组织实施。</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2.</w:t>
      </w:r>
      <w:r>
        <w:rPr>
          <w:rFonts w:hint="eastAsia" w:ascii="仿宋_GB2312" w:hAnsi="仿宋_GB2312" w:eastAsia="仿宋_GB2312" w:cs="仿宋_GB2312"/>
          <w:i w:val="0"/>
          <w:caps w:val="0"/>
          <w:color w:val="auto"/>
          <w:spacing w:val="0"/>
          <w:sz w:val="32"/>
          <w:szCs w:val="32"/>
          <w:highlight w:val="none"/>
          <w:shd w:val="clear" w:fill="FFFFFF"/>
        </w:rPr>
        <w:t>负责统一监督管理全市水资源（含地表水和地下水）。组织制定全市水资源总体规划、流域规划和专业规划；拟定全市和跨县区中长期供水计划、水量分配方案和旱情紧急情况下水量调度预案；组织开展全市国民经济发展总体规划、重大建设项目等有关水资源及防洪、抗旱、节水等方面的论证工作；组织实施取水许可、水资源有偿使用制度和水资源论证、防洪论证制度。</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3.</w:t>
      </w:r>
      <w:r>
        <w:rPr>
          <w:rFonts w:hint="eastAsia" w:ascii="仿宋_GB2312" w:hAnsi="仿宋_GB2312" w:eastAsia="仿宋_GB2312" w:cs="仿宋_GB2312"/>
          <w:i w:val="0"/>
          <w:caps w:val="0"/>
          <w:color w:val="auto"/>
          <w:spacing w:val="0"/>
          <w:sz w:val="32"/>
          <w:szCs w:val="32"/>
          <w:highlight w:val="none"/>
          <w:shd w:val="clear" w:fill="FFFFFF"/>
        </w:rPr>
        <w:t>负责水资源保护工作。组织编制全市水资源和水源地保护规划；负责水文水资源和水文站网建设和管理；监测江河湖库和地下水的水量、水质；指导饮用水水源保护、地下水开发利用和地下水资源的管理保护；按规定组织开展水能资源调查评价和水资源承载能力监测预警、组织指导地下水超采区综合治理；指导地下水动态监测、评价和预报；负责计划用水、节约用水工作，指导和推动节水型社会建设工作。</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4.</w:t>
      </w:r>
      <w:r>
        <w:rPr>
          <w:rFonts w:hint="eastAsia" w:ascii="仿宋_GB2312" w:hAnsi="仿宋_GB2312" w:eastAsia="仿宋_GB2312" w:cs="仿宋_GB2312"/>
          <w:i w:val="0"/>
          <w:caps w:val="0"/>
          <w:color w:val="auto"/>
          <w:spacing w:val="0"/>
          <w:sz w:val="32"/>
          <w:szCs w:val="32"/>
          <w:highlight w:val="none"/>
          <w:shd w:val="clear" w:fill="FFFFFF"/>
        </w:rPr>
        <w:t>组织建设和管理重要水利工程；指导农村水利改革创新和社会化服务体系建设；负责全市农村水利工作，负责全市乡镇集中供水、农村饮水安全、节水灌溉、排水等工程建设与管理工作；组织指导已建成农村水利工程的运行管理和除险加固工作。指导水利设施综合利用、农村水能资源开发、水利建设市场信用体系建设、水库工程管理制度改革、小水电改造及水电农村电气化相关工作。</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5.</w:t>
      </w:r>
      <w:r>
        <w:rPr>
          <w:rFonts w:hint="eastAsia" w:ascii="仿宋_GB2312" w:hAnsi="仿宋_GB2312" w:eastAsia="仿宋_GB2312" w:cs="仿宋_GB2312"/>
          <w:i w:val="0"/>
          <w:caps w:val="0"/>
          <w:color w:val="auto"/>
          <w:spacing w:val="0"/>
          <w:sz w:val="32"/>
          <w:szCs w:val="32"/>
          <w:highlight w:val="none"/>
          <w:shd w:val="clear" w:fill="FFFFFF"/>
        </w:rPr>
        <w:t>承担广元市防汛抗旱指挥部的日常工作。组织、协调、监督、指导全市防汛、抗旱工作。落实综合防灾减灾规划相关要求，组织编制并实施洪水干旱灾害防治规划和防洪标准；承担水情旱情预警工作。负责江河和重要水工程实施防洪抗旱调度和应急水量调度工作；组织协调指导防御洪水应急抢险的技术保障工作。组织指导水旱灾害防御演练、信息化建设工作。</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6.</w:t>
      </w:r>
      <w:r>
        <w:rPr>
          <w:rFonts w:hint="eastAsia" w:ascii="仿宋_GB2312" w:hAnsi="仿宋_GB2312" w:eastAsia="仿宋_GB2312" w:cs="仿宋_GB2312"/>
          <w:i w:val="0"/>
          <w:caps w:val="0"/>
          <w:color w:val="auto"/>
          <w:spacing w:val="0"/>
          <w:sz w:val="32"/>
          <w:szCs w:val="32"/>
          <w:highlight w:val="none"/>
          <w:shd w:val="clear" w:fill="FFFFFF"/>
        </w:rPr>
        <w:t>承担全市河（湖）长制日常工作。指导全市河湖管理与保护工作，组织编制重要河湖岸线保护和开发利用规划；负责组织审批和编制全市河道采砂规划和年度实施方案；指导全市河湖管理范围内建设项目管理、河道管理范围内采砂管理、河湖水系连通相关工作；负责全市堤防建设和管理。</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7.</w:t>
      </w:r>
      <w:r>
        <w:rPr>
          <w:rFonts w:hint="eastAsia" w:ascii="仿宋_GB2312" w:hAnsi="仿宋_GB2312" w:eastAsia="仿宋_GB2312" w:cs="仿宋_GB2312"/>
          <w:i w:val="0"/>
          <w:caps w:val="0"/>
          <w:color w:val="auto"/>
          <w:spacing w:val="0"/>
          <w:sz w:val="32"/>
          <w:szCs w:val="32"/>
          <w:highlight w:val="none"/>
          <w:shd w:val="clear" w:fill="FFFFFF"/>
        </w:rPr>
        <w:t>负责水土保持工作。拟订全市水土保持规划并监督实施；组织实施全市水土流失的综合防治、监测预报工作；负责有关重大建设项目水土保持方案的审批、监督实施及水土保持设施的验收工作，指导重点水土保持建设项目的实施。</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8.</w:t>
      </w:r>
      <w:r>
        <w:rPr>
          <w:rFonts w:hint="eastAsia" w:ascii="仿宋_GB2312" w:hAnsi="仿宋_GB2312" w:eastAsia="仿宋_GB2312" w:cs="仿宋_GB2312"/>
          <w:i w:val="0"/>
          <w:caps w:val="0"/>
          <w:color w:val="auto"/>
          <w:spacing w:val="0"/>
          <w:sz w:val="32"/>
          <w:szCs w:val="32"/>
          <w:highlight w:val="none"/>
          <w:shd w:val="clear" w:fill="FFFFFF"/>
        </w:rPr>
        <w:t>依法负责全市水利行业综合安全监督管理。负责监督指导、组织协调重大水事案件查处和跨区域的执法；统筹、协调、指导全市水利行政综合执法工作，协调仲裁重大水事纠纷；组织开展水利行业相关法律法规宣传教育工作。</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9.</w:t>
      </w:r>
      <w:r>
        <w:rPr>
          <w:rFonts w:hint="eastAsia" w:ascii="仿宋_GB2312" w:hAnsi="仿宋_GB2312" w:eastAsia="仿宋_GB2312" w:cs="仿宋_GB2312"/>
          <w:i w:val="0"/>
          <w:caps w:val="0"/>
          <w:color w:val="auto"/>
          <w:spacing w:val="0"/>
          <w:sz w:val="32"/>
          <w:szCs w:val="32"/>
          <w:highlight w:val="none"/>
          <w:shd w:val="clear" w:fill="FFFFFF"/>
        </w:rPr>
        <w:t>负责水利水电工程移民安置和后期扶持工作。</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10.</w:t>
      </w:r>
      <w:r>
        <w:rPr>
          <w:rFonts w:hint="eastAsia" w:ascii="仿宋_GB2312" w:hAnsi="仿宋_GB2312" w:eastAsia="仿宋_GB2312" w:cs="仿宋_GB2312"/>
          <w:i w:val="0"/>
          <w:caps w:val="0"/>
          <w:color w:val="auto"/>
          <w:spacing w:val="0"/>
          <w:sz w:val="32"/>
          <w:szCs w:val="32"/>
          <w:highlight w:val="none"/>
          <w:shd w:val="clear" w:fill="FFFFFF"/>
        </w:rPr>
        <w:t>组织指导全市重大水利项目对外合作工作；指导全市有关水利等项目的科学研究和技术推广；指导全市水利行业队伍建设、服务体系建设；承担水利统计工作。</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11.</w:t>
      </w:r>
      <w:r>
        <w:rPr>
          <w:rFonts w:hint="eastAsia" w:ascii="仿宋_GB2312" w:hAnsi="仿宋_GB2312" w:eastAsia="仿宋_GB2312" w:cs="仿宋_GB2312"/>
          <w:i w:val="0"/>
          <w:caps w:val="0"/>
          <w:color w:val="auto"/>
          <w:spacing w:val="0"/>
          <w:sz w:val="32"/>
          <w:szCs w:val="32"/>
          <w:highlight w:val="none"/>
          <w:shd w:val="clear" w:fill="FFFFFF"/>
        </w:rPr>
        <w:t>承担市政府公布的行政审批和公共服务事项。</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12.</w:t>
      </w:r>
      <w:r>
        <w:rPr>
          <w:rFonts w:hint="eastAsia" w:ascii="仿宋_GB2312" w:hAnsi="仿宋_GB2312" w:eastAsia="仿宋_GB2312" w:cs="仿宋_GB2312"/>
          <w:i w:val="0"/>
          <w:caps w:val="0"/>
          <w:color w:val="auto"/>
          <w:spacing w:val="0"/>
          <w:sz w:val="32"/>
          <w:szCs w:val="32"/>
          <w:highlight w:val="none"/>
          <w:shd w:val="clear" w:fill="FFFFFF"/>
        </w:rPr>
        <w:t>负责市栖凤湖水位调蓄、河道治“四乱”、堤防设施维护及安全巡查等事务工作。</w:t>
      </w:r>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承办市政府交办的其他事项。</w:t>
      </w:r>
    </w:p>
    <w:bookmarkEnd w:id="11"/>
    <w:bookmarkEnd w:id="12"/>
    <w:p>
      <w:pPr>
        <w:pStyle w:val="3"/>
        <w:pageBreakBefore w:val="0"/>
        <w:shd w:val="clear"/>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color w:val="auto"/>
          <w:sz w:val="32"/>
          <w:szCs w:val="32"/>
          <w:highlight w:val="none"/>
        </w:rPr>
      </w:pPr>
      <w:bookmarkStart w:id="13" w:name="_Toc15377200"/>
      <w:bookmarkStart w:id="14" w:name="_Toc15396601"/>
      <w:bookmarkStart w:id="15" w:name="_Toc5513"/>
      <w:r>
        <w:rPr>
          <w:rFonts w:hint="eastAsia" w:ascii="黑体" w:hAnsi="黑体" w:eastAsia="黑体" w:cs="黑体"/>
          <w:color w:val="auto"/>
          <w:sz w:val="32"/>
          <w:szCs w:val="32"/>
          <w:highlight w:val="none"/>
        </w:rPr>
        <w:t>二、机构设置</w:t>
      </w:r>
      <w:bookmarkEnd w:id="13"/>
      <w:bookmarkEnd w:id="14"/>
      <w:bookmarkEnd w:id="15"/>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广元市水利局下属二级单位4个，其中参照公务员法管理的事业单位1个（广元市水土保持站），其他事业单位3个（四川省广元水土保持生态环境监测分站、广元市水利水电综合服务中心（市水利水电工程质量安全事务中心）、市河湖管理保护总站（市水旱灾害防御中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无纳入2024年度部门决算编制范围的二级预算单位。</w:t>
      </w:r>
    </w:p>
    <w:p>
      <w:pPr>
        <w:keepNext w:val="0"/>
        <w:keepLines w:val="0"/>
        <w:widowControl/>
        <w:suppressLineNumbers w:val="0"/>
        <w:shd w:val="clear"/>
        <w:jc w:val="left"/>
        <w:rPr>
          <w:color w:val="auto"/>
          <w:highlight w:val="none"/>
        </w:rPr>
      </w:pPr>
    </w:p>
    <w:p>
      <w:pPr>
        <w:keepNext w:val="0"/>
        <w:keepLines w:val="0"/>
        <w:widowControl/>
        <w:suppressLineNumbers w:val="0"/>
        <w:shd w:val="clear"/>
        <w:jc w:val="left"/>
        <w:rPr>
          <w:color w:val="auto"/>
          <w:highlight w:val="none"/>
        </w:rPr>
      </w:pPr>
    </w:p>
    <w:p>
      <w:pPr>
        <w:widowControl/>
        <w:shd w:val="clear"/>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shd w:val="clear"/>
        <w:ind w:right="440"/>
        <w:jc w:val="center"/>
        <w:rPr>
          <w:rStyle w:val="21"/>
          <w:rFonts w:ascii="黑体" w:hAnsi="黑体" w:eastAsia="黑体"/>
          <w:b w:val="0"/>
          <w:bCs/>
          <w:color w:val="auto"/>
          <w:highlight w:val="none"/>
        </w:rPr>
      </w:pPr>
      <w:bookmarkStart w:id="16" w:name="_Toc15396602"/>
      <w:bookmarkStart w:id="17" w:name="_Toc15377204"/>
      <w:bookmarkStart w:id="18" w:name="_Toc17507"/>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2024年度</w:t>
      </w:r>
      <w:r>
        <w:rPr>
          <w:rStyle w:val="21"/>
          <w:rFonts w:hint="eastAsia" w:ascii="黑体" w:hAnsi="黑体" w:eastAsia="黑体"/>
          <w:b w:val="0"/>
          <w:bCs/>
          <w:color w:val="auto"/>
          <w:highlight w:val="none"/>
        </w:rPr>
        <w:t>部门决算情况说明</w:t>
      </w:r>
      <w:bookmarkEnd w:id="16"/>
      <w:bookmarkEnd w:id="17"/>
      <w:bookmarkEnd w:id="18"/>
    </w:p>
    <w:p>
      <w:pPr>
        <w:shd w:val="clear"/>
        <w:rPr>
          <w:color w:val="auto"/>
          <w:highlight w:val="none"/>
        </w:rPr>
      </w:pPr>
    </w:p>
    <w:p>
      <w:pPr>
        <w:pStyle w:val="31"/>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2"/>
          <w:rFonts w:ascii="黑体" w:hAnsi="黑体" w:eastAsia="黑体"/>
          <w:b w:val="0"/>
          <w:color w:val="auto"/>
          <w:highlight w:val="none"/>
        </w:rPr>
      </w:pPr>
      <w:bookmarkStart w:id="19" w:name="_Toc6317"/>
      <w:bookmarkStart w:id="20" w:name="_Toc15396603"/>
      <w:bookmarkStart w:id="21" w:name="_Toc153772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入支出决算总体情况说明</w:t>
      </w:r>
      <w:bookmarkEnd w:id="19"/>
      <w:bookmarkEnd w:id="20"/>
      <w:bookmarkEnd w:id="21"/>
    </w:p>
    <w:p>
      <w:pPr>
        <w:shd w:val="clear"/>
        <w:spacing w:line="600" w:lineRule="exact"/>
        <w:ind w:firstLine="640" w:firstLineChars="200"/>
        <w:rPr>
          <w:rFonts w:hint="eastAsia"/>
          <w:color w:val="auto"/>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3635.94</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6519.15</w:t>
      </w:r>
      <w:r>
        <w:rPr>
          <w:rFonts w:hint="eastAsia" w:ascii="仿宋_GB2312" w:hAnsi="仿宋_GB2312" w:eastAsia="仿宋_GB2312" w:cs="仿宋_GB2312"/>
          <w:color w:val="auto"/>
          <w:sz w:val="32"/>
          <w:szCs w:val="32"/>
          <w:highlight w:val="none"/>
        </w:rPr>
        <w:t>万元相比，收、支总计各</w:t>
      </w:r>
      <w:r>
        <w:rPr>
          <w:rFonts w:hint="eastAsia" w:ascii="仿宋_GB2312" w:hAnsi="仿宋_GB2312" w:eastAsia="仿宋_GB2312" w:cs="仿宋_GB2312"/>
          <w:color w:val="auto"/>
          <w:sz w:val="32"/>
          <w:szCs w:val="32"/>
          <w:highlight w:val="none"/>
          <w:lang w:eastAsia="zh-CN"/>
        </w:rPr>
        <w:t>减少</w:t>
      </w:r>
      <w:r>
        <w:rPr>
          <w:rFonts w:hint="eastAsia" w:ascii="仿宋_GB2312" w:hAnsi="仿宋_GB2312" w:eastAsia="仿宋_GB2312" w:cs="仿宋_GB2312"/>
          <w:color w:val="auto"/>
          <w:sz w:val="32"/>
          <w:szCs w:val="32"/>
          <w:highlight w:val="none"/>
          <w:lang w:val="en-US" w:eastAsia="zh-CN"/>
        </w:rPr>
        <w:t>2883.21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下降</w:t>
      </w:r>
      <w:r>
        <w:rPr>
          <w:rFonts w:hint="eastAsia" w:ascii="仿宋_GB2312" w:hAnsi="仿宋_GB2312" w:eastAsia="仿宋_GB2312" w:cs="仿宋_GB2312"/>
          <w:color w:val="auto"/>
          <w:sz w:val="32"/>
          <w:szCs w:val="32"/>
          <w:highlight w:val="none"/>
          <w:lang w:val="en-US" w:eastAsia="zh-CN"/>
        </w:rPr>
        <w:t>44.23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项目资金减少。</w:t>
      </w:r>
    </w:p>
    <w:p>
      <w:pPr>
        <w:pStyle w:val="2"/>
        <w:shd w:val="clear"/>
        <w:jc w:val="center"/>
        <w:rPr>
          <w:rFonts w:hint="eastAsia"/>
          <w:color w:val="auto"/>
          <w:highlight w:val="none"/>
          <w:lang w:eastAsia="zh-CN"/>
        </w:rPr>
      </w:pPr>
      <w:r>
        <w:drawing>
          <wp:inline distT="0" distB="0" distL="114300" distR="114300">
            <wp:extent cx="4629150" cy="2847975"/>
            <wp:effectExtent l="4445" t="5080" r="14605" b="4445"/>
            <wp:docPr id="103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35"/>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pStyle w:val="31"/>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2"/>
          <w:rFonts w:ascii="黑体" w:hAnsi="黑体" w:eastAsia="黑体"/>
          <w:b w:val="0"/>
          <w:color w:val="auto"/>
          <w:highlight w:val="none"/>
        </w:rPr>
      </w:pPr>
      <w:bookmarkStart w:id="22" w:name="_Toc15396604"/>
      <w:bookmarkStart w:id="23" w:name="_Toc19511"/>
      <w:bookmarkStart w:id="24" w:name="_Toc15377206"/>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2"/>
          <w:rFonts w:hint="eastAsia" w:ascii="黑体" w:hAnsi="黑体" w:eastAsia="黑体"/>
          <w:b w:val="0"/>
          <w:color w:val="auto"/>
          <w:highlight w:val="none"/>
        </w:rPr>
        <w:t>入决算情况说明</w:t>
      </w:r>
      <w:bookmarkEnd w:id="22"/>
      <w:bookmarkEnd w:id="23"/>
      <w:bookmarkEnd w:id="24"/>
    </w:p>
    <w:p>
      <w:pPr>
        <w:shd w:val="clea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25" w:name="_Toc26513"/>
      <w:bookmarkStart w:id="26" w:name="_Toc6381"/>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3635.94</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2551.24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70.17</w:t>
      </w:r>
      <w:r>
        <w:rPr>
          <w:rFonts w:hint="eastAsia" w:ascii="仿宋_GB2312" w:hAnsi="仿宋_GB2312" w:eastAsia="仿宋_GB2312" w:cs="仿宋_GB2312"/>
          <w:color w:val="auto"/>
          <w:sz w:val="32"/>
          <w:szCs w:val="32"/>
          <w:highlight w:val="none"/>
        </w:rPr>
        <w:t>%；政府性基金预算财政拨款收入</w:t>
      </w:r>
      <w:r>
        <w:rPr>
          <w:rFonts w:hint="eastAsia" w:ascii="仿宋_GB2312" w:hAnsi="仿宋_GB2312" w:eastAsia="仿宋_GB2312" w:cs="仿宋_GB2312"/>
          <w:color w:val="auto"/>
          <w:sz w:val="32"/>
          <w:szCs w:val="32"/>
          <w:highlight w:val="none"/>
          <w:lang w:val="en-US" w:eastAsia="zh-CN"/>
        </w:rPr>
        <w:t>1059.41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29.13</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25.29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0.7</w:t>
      </w:r>
      <w:r>
        <w:rPr>
          <w:rFonts w:hint="eastAsia" w:ascii="仿宋_GB2312" w:hAnsi="仿宋_GB2312" w:eastAsia="仿宋_GB2312" w:cs="仿宋_GB2312"/>
          <w:color w:val="auto"/>
          <w:sz w:val="32"/>
          <w:szCs w:val="32"/>
          <w:highlight w:val="none"/>
        </w:rPr>
        <w:t>%。</w:t>
      </w:r>
      <w:bookmarkEnd w:id="25"/>
      <w:bookmarkEnd w:id="26"/>
    </w:p>
    <w:p>
      <w:pPr>
        <w:pStyle w:val="35"/>
        <w:shd w:val="clear"/>
        <w:rPr>
          <w:rFonts w:hint="eastAsia" w:ascii="仿宋_GB2312" w:hAnsi="仿宋_GB2312" w:eastAsia="仿宋_GB2312" w:cs="仿宋_GB2312"/>
          <w:color w:val="auto"/>
          <w:highlight w:val="none"/>
        </w:rPr>
      </w:pPr>
    </w:p>
    <w:p>
      <w:pPr>
        <w:pStyle w:val="35"/>
        <w:shd w:val="clear"/>
        <w:rPr>
          <w:color w:val="auto"/>
          <w:highlight w:val="none"/>
        </w:rPr>
      </w:pPr>
    </w:p>
    <w:p>
      <w:pPr>
        <w:pStyle w:val="35"/>
        <w:shd w:val="clear"/>
        <w:jc w:val="center"/>
        <w:rPr>
          <w:rFonts w:hint="eastAsia" w:ascii="仿宋_GB2312" w:hAnsi="仿宋_GB2312" w:eastAsia="仿宋_GB2312" w:cs="仿宋_GB2312"/>
          <w:color w:val="auto"/>
          <w:sz w:val="32"/>
          <w:szCs w:val="32"/>
          <w:highlight w:val="none"/>
        </w:rPr>
      </w:pPr>
      <w:r>
        <w:drawing>
          <wp:inline distT="0" distB="0" distL="114300" distR="114300">
            <wp:extent cx="4638675" cy="2828925"/>
            <wp:effectExtent l="4445" t="4445" r="5080" b="5080"/>
            <wp:docPr id="102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5"/>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31"/>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2"/>
          <w:rFonts w:ascii="黑体" w:hAnsi="黑体" w:eastAsia="黑体"/>
          <w:b w:val="0"/>
          <w:color w:val="auto"/>
          <w:highlight w:val="none"/>
        </w:rPr>
      </w:pPr>
      <w:bookmarkStart w:id="27" w:name="_Toc15377207"/>
      <w:bookmarkStart w:id="28" w:name="_Toc24076"/>
      <w:bookmarkStart w:id="29"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2"/>
          <w:rFonts w:hint="eastAsia" w:ascii="黑体" w:hAnsi="黑体" w:eastAsia="黑体"/>
          <w:b w:val="0"/>
          <w:color w:val="auto"/>
          <w:highlight w:val="none"/>
        </w:rPr>
        <w:t>出决算情况说明</w:t>
      </w:r>
      <w:bookmarkEnd w:id="27"/>
      <w:bookmarkEnd w:id="28"/>
      <w:bookmarkEnd w:id="29"/>
    </w:p>
    <w:p>
      <w:pPr>
        <w:shd w:val="clea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0" w:name="_Toc24098"/>
      <w:bookmarkStart w:id="31" w:name="_Toc8626"/>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3635.94</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1640.18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45.11</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1995.76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54.89</w:t>
      </w:r>
      <w:r>
        <w:rPr>
          <w:rFonts w:hint="eastAsia" w:ascii="仿宋_GB2312" w:hAnsi="仿宋_GB2312" w:eastAsia="仿宋_GB2312" w:cs="仿宋_GB2312"/>
          <w:color w:val="auto"/>
          <w:sz w:val="32"/>
          <w:szCs w:val="32"/>
          <w:highlight w:val="none"/>
        </w:rPr>
        <w:t>%。</w:t>
      </w:r>
      <w:bookmarkEnd w:id="30"/>
      <w:bookmarkEnd w:id="31"/>
    </w:p>
    <w:p>
      <w:pPr>
        <w:pStyle w:val="35"/>
        <w:shd w:val="clear"/>
        <w:ind w:left="0" w:leftChars="0" w:firstLine="0" w:firstLineChars="0"/>
        <w:rPr>
          <w:rFonts w:ascii="仿宋" w:hAnsi="仿宋" w:eastAsia="仿宋"/>
          <w:color w:val="auto"/>
          <w:sz w:val="32"/>
          <w:szCs w:val="32"/>
          <w:highlight w:val="none"/>
          <w:shd w:val="pct10" w:color="auto" w:fill="FFFFFF"/>
        </w:rPr>
      </w:pPr>
    </w:p>
    <w:p>
      <w:pPr>
        <w:shd w:val="clear"/>
        <w:jc w:val="center"/>
        <w:rPr>
          <w:color w:val="auto"/>
          <w:highlight w:val="none"/>
        </w:rPr>
      </w:pPr>
      <w:r>
        <w:drawing>
          <wp:inline distT="0" distB="0" distL="114300" distR="114300">
            <wp:extent cx="4391025" cy="2686685"/>
            <wp:effectExtent l="4445" t="4445" r="5080" b="13970"/>
            <wp:docPr id="102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5"/>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shd w:val="clear"/>
        <w:spacing w:line="600" w:lineRule="exact"/>
        <w:ind w:firstLine="640" w:firstLineChars="200"/>
        <w:outlineLvl w:val="1"/>
        <w:rPr>
          <w:rStyle w:val="22"/>
          <w:rFonts w:ascii="黑体" w:hAnsi="黑体" w:eastAsia="黑体"/>
          <w:b w:val="0"/>
          <w:color w:val="auto"/>
          <w:highlight w:val="none"/>
        </w:rPr>
      </w:pPr>
      <w:bookmarkStart w:id="32" w:name="_Toc15396606"/>
      <w:bookmarkStart w:id="33" w:name="_Toc8045"/>
      <w:bookmarkStart w:id="34" w:name="_Toc15377208"/>
      <w:r>
        <w:rPr>
          <w:rFonts w:hint="eastAsia" w:ascii="黑体" w:hAnsi="黑体" w:eastAsia="黑体"/>
          <w:color w:val="auto"/>
          <w:sz w:val="32"/>
          <w:szCs w:val="32"/>
          <w:highlight w:val="none"/>
        </w:rPr>
        <w:t>四、财</w:t>
      </w:r>
      <w:r>
        <w:rPr>
          <w:rStyle w:val="22"/>
          <w:rFonts w:hint="eastAsia" w:ascii="黑体" w:hAnsi="黑体" w:eastAsia="黑体"/>
          <w:b w:val="0"/>
          <w:color w:val="auto"/>
          <w:highlight w:val="none"/>
        </w:rPr>
        <w:t>政拨款收入支出决算总体情况说明</w:t>
      </w:r>
      <w:bookmarkEnd w:id="32"/>
      <w:bookmarkEnd w:id="33"/>
      <w:bookmarkEnd w:id="34"/>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3610.65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6519.07</w:t>
      </w:r>
      <w:r>
        <w:rPr>
          <w:rFonts w:hint="eastAsia" w:ascii="仿宋_GB2312" w:hAnsi="仿宋_GB2312" w:eastAsia="仿宋_GB2312" w:cs="仿宋_GB2312"/>
          <w:color w:val="auto"/>
          <w:sz w:val="32"/>
          <w:szCs w:val="32"/>
          <w:highlight w:val="none"/>
        </w:rPr>
        <w:t>万元相比，财政拨款收、支总计</w:t>
      </w:r>
      <w:r>
        <w:rPr>
          <w:rFonts w:hint="eastAsia" w:ascii="仿宋_GB2312" w:hAnsi="仿宋_GB2312" w:eastAsia="仿宋_GB2312" w:cs="仿宋_GB2312"/>
          <w:color w:val="auto"/>
          <w:sz w:val="32"/>
          <w:szCs w:val="32"/>
          <w:highlight w:val="none"/>
          <w:lang w:eastAsia="zh-CN"/>
        </w:rPr>
        <w:t>减少</w:t>
      </w:r>
      <w:r>
        <w:rPr>
          <w:rFonts w:hint="eastAsia" w:ascii="仿宋_GB2312" w:hAnsi="仿宋_GB2312" w:eastAsia="仿宋_GB2312" w:cs="仿宋_GB2312"/>
          <w:color w:val="auto"/>
          <w:sz w:val="32"/>
          <w:szCs w:val="32"/>
          <w:highlight w:val="none"/>
          <w:lang w:val="en-US" w:eastAsia="zh-CN"/>
        </w:rPr>
        <w:t>2908.42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下降</w:t>
      </w:r>
      <w:r>
        <w:rPr>
          <w:rFonts w:hint="eastAsia" w:ascii="仿宋_GB2312" w:hAnsi="仿宋_GB2312" w:eastAsia="仿宋_GB2312" w:cs="仿宋_GB2312"/>
          <w:color w:val="auto"/>
          <w:sz w:val="32"/>
          <w:szCs w:val="32"/>
          <w:highlight w:val="none"/>
          <w:lang w:val="en-US" w:eastAsia="zh-CN"/>
        </w:rPr>
        <w:t>44.61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一般性项目减少。</w:t>
      </w:r>
    </w:p>
    <w:p>
      <w:pPr>
        <w:pStyle w:val="35"/>
        <w:shd w:val="clear"/>
        <w:rPr>
          <w:color w:val="auto"/>
          <w:highlight w:val="none"/>
        </w:rPr>
      </w:pPr>
      <w:r>
        <w:drawing>
          <wp:inline distT="0" distB="0" distL="114300" distR="114300">
            <wp:extent cx="4600575" cy="2590800"/>
            <wp:effectExtent l="4445" t="5080" r="5080" b="13970"/>
            <wp:docPr id="103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hd w:val="clear"/>
        <w:jc w:val="center"/>
        <w:rPr>
          <w:color w:val="auto"/>
          <w:highlight w:val="none"/>
        </w:rPr>
      </w:pPr>
    </w:p>
    <w:p>
      <w:pPr>
        <w:shd w:val="clear"/>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shd w:val="clear"/>
        <w:spacing w:line="600" w:lineRule="exact"/>
        <w:ind w:firstLine="640" w:firstLineChars="200"/>
        <w:outlineLvl w:val="1"/>
        <w:rPr>
          <w:rStyle w:val="22"/>
          <w:rFonts w:ascii="黑体" w:hAnsi="黑体" w:eastAsia="黑体"/>
          <w:b w:val="0"/>
          <w:color w:val="auto"/>
          <w:highlight w:val="none"/>
        </w:rPr>
      </w:pPr>
      <w:bookmarkStart w:id="35" w:name="_Toc15396607"/>
      <w:bookmarkStart w:id="36" w:name="_Toc15377209"/>
      <w:bookmarkStart w:id="37" w:name="_Toc21098"/>
      <w:r>
        <w:rPr>
          <w:rFonts w:hint="eastAsia" w:ascii="黑体" w:hAnsi="黑体" w:eastAsia="黑体"/>
          <w:color w:val="auto"/>
          <w:sz w:val="32"/>
          <w:szCs w:val="32"/>
          <w:highlight w:val="none"/>
        </w:rPr>
        <w:t>五、</w:t>
      </w:r>
      <w:r>
        <w:rPr>
          <w:rStyle w:val="22"/>
          <w:rFonts w:hint="eastAsia" w:ascii="黑体" w:hAnsi="黑体" w:eastAsia="黑体"/>
          <w:b w:val="0"/>
          <w:color w:val="auto"/>
          <w:highlight w:val="none"/>
        </w:rPr>
        <w:t>一般公共预算财政拨款支出决算情况说明</w:t>
      </w:r>
      <w:bookmarkEnd w:id="35"/>
      <w:bookmarkEnd w:id="36"/>
      <w:bookmarkEnd w:id="37"/>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38" w:name="_Toc15377210"/>
      <w:r>
        <w:rPr>
          <w:rFonts w:hint="eastAsia" w:ascii="楷体_GB2312" w:hAnsi="楷体_GB2312" w:eastAsia="楷体_GB2312" w:cs="楷体_GB2312"/>
          <w:b w:val="0"/>
          <w:bCs/>
          <w:color w:val="auto"/>
          <w:sz w:val="32"/>
          <w:szCs w:val="32"/>
          <w:highlight w:val="none"/>
        </w:rPr>
        <w:t>（一）一般公共预算财政拨款支出决算总体情况</w:t>
      </w:r>
      <w:bookmarkEnd w:id="38"/>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2551.24</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70.69</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5108.23</w:t>
      </w:r>
      <w:r>
        <w:rPr>
          <w:rFonts w:hint="eastAsia" w:ascii="仿宋_GB2312" w:hAnsi="仿宋_GB2312" w:eastAsia="仿宋_GB2312" w:cs="仿宋_GB2312"/>
          <w:color w:val="auto"/>
          <w:sz w:val="32"/>
          <w:szCs w:val="32"/>
          <w:highlight w:val="none"/>
        </w:rPr>
        <w:t>万元相比，一般公共预算财政拨款</w:t>
      </w:r>
      <w:r>
        <w:rPr>
          <w:rFonts w:hint="eastAsia" w:ascii="仿宋_GB2312" w:hAnsi="仿宋_GB2312" w:eastAsia="仿宋_GB2312" w:cs="仿宋_GB2312"/>
          <w:color w:val="auto"/>
          <w:sz w:val="32"/>
          <w:szCs w:val="32"/>
          <w:highlight w:val="none"/>
          <w:lang w:eastAsia="zh-CN"/>
        </w:rPr>
        <w:t>支出减少</w:t>
      </w:r>
      <w:r>
        <w:rPr>
          <w:rFonts w:hint="eastAsia" w:ascii="仿宋_GB2312" w:hAnsi="仿宋_GB2312" w:eastAsia="仿宋_GB2312" w:cs="仿宋_GB2312"/>
          <w:color w:val="auto"/>
          <w:sz w:val="32"/>
          <w:szCs w:val="32"/>
          <w:highlight w:val="none"/>
          <w:lang w:val="en-US" w:eastAsia="zh-CN"/>
        </w:rPr>
        <w:t>2556.99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下降</w:t>
      </w:r>
      <w:r>
        <w:rPr>
          <w:rFonts w:hint="eastAsia" w:ascii="仿宋_GB2312" w:hAnsi="仿宋_GB2312" w:eastAsia="仿宋_GB2312" w:cs="仿宋_GB2312"/>
          <w:color w:val="auto"/>
          <w:sz w:val="32"/>
          <w:szCs w:val="32"/>
          <w:highlight w:val="none"/>
          <w:lang w:val="en-US" w:eastAsia="zh-CN"/>
        </w:rPr>
        <w:t>50.05</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一般性项目减少。</w:t>
      </w:r>
    </w:p>
    <w:p>
      <w:pPr>
        <w:pStyle w:val="35"/>
        <w:shd w:val="clear"/>
        <w:ind w:left="0" w:leftChars="0" w:firstLine="0" w:firstLineChars="0"/>
        <w:rPr>
          <w:rFonts w:hint="eastAsia" w:ascii="仿宋_GB2312" w:hAnsi="仿宋_GB2312" w:eastAsia="仿宋_GB2312" w:cs="仿宋_GB2312"/>
          <w:color w:val="auto"/>
          <w:sz w:val="32"/>
          <w:szCs w:val="32"/>
          <w:highlight w:val="none"/>
        </w:rPr>
      </w:pPr>
    </w:p>
    <w:p>
      <w:pPr>
        <w:shd w:val="clear"/>
        <w:jc w:val="center"/>
        <w:rPr>
          <w:color w:val="auto"/>
          <w:highlight w:val="none"/>
        </w:rPr>
      </w:pPr>
      <w:r>
        <w:drawing>
          <wp:inline distT="0" distB="0" distL="114300" distR="114300">
            <wp:extent cx="4381500" cy="2905125"/>
            <wp:effectExtent l="4445" t="4445" r="14605" b="5080"/>
            <wp:docPr id="5"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hd w:val="clea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39" w:name="_Toc15377211"/>
      <w:r>
        <w:rPr>
          <w:rFonts w:hint="eastAsia" w:ascii="楷体_GB2312" w:hAnsi="楷体_GB2312" w:eastAsia="楷体_GB2312" w:cs="楷体_GB2312"/>
          <w:b w:val="0"/>
          <w:bCs/>
          <w:color w:val="auto"/>
          <w:sz w:val="32"/>
          <w:szCs w:val="32"/>
          <w:highlight w:val="none"/>
        </w:rPr>
        <w:t>（二）一般公共预算财政拨款支出决算结构情况</w:t>
      </w:r>
      <w:bookmarkEnd w:id="39"/>
    </w:p>
    <w:p>
      <w:pPr>
        <w:shd w:val="clea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20</w:t>
      </w:r>
      <w:r>
        <w:rPr>
          <w:rFonts w:hint="eastAsia" w:ascii="仿宋_GB2312" w:hAnsi="仿宋_GB2312" w:eastAsia="仿宋_GB2312" w:cs="仿宋_GB2312"/>
          <w:b w:val="0"/>
          <w:bCs w:val="0"/>
          <w:color w:val="auto"/>
          <w:sz w:val="32"/>
          <w:szCs w:val="32"/>
          <w:highlight w:val="none"/>
          <w:lang w:val="en-US" w:eastAsia="zh-CN"/>
        </w:rPr>
        <w:t>24</w:t>
      </w:r>
      <w:r>
        <w:rPr>
          <w:rFonts w:hint="eastAsia" w:ascii="仿宋_GB2312" w:hAnsi="仿宋_GB2312" w:eastAsia="仿宋_GB2312" w:cs="仿宋_GB2312"/>
          <w:b w:val="0"/>
          <w:bCs w:val="0"/>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2551.24</w:t>
      </w:r>
      <w:r>
        <w:rPr>
          <w:rFonts w:hint="eastAsia" w:ascii="仿宋_GB2312" w:hAnsi="仿宋_GB2312" w:eastAsia="仿宋_GB2312" w:cs="仿宋_GB2312"/>
          <w:b w:val="0"/>
          <w:bCs w:val="0"/>
          <w:color w:val="auto"/>
          <w:sz w:val="32"/>
          <w:szCs w:val="32"/>
          <w:highlight w:val="none"/>
        </w:rPr>
        <w:t>万元，主要用于以下方面</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社会保障和就业（类）支出</w:t>
      </w:r>
      <w:r>
        <w:rPr>
          <w:rFonts w:hint="eastAsia" w:ascii="仿宋_GB2312" w:hAnsi="仿宋_GB2312" w:eastAsia="仿宋_GB2312" w:cs="仿宋_GB2312"/>
          <w:b w:val="0"/>
          <w:bCs w:val="0"/>
          <w:color w:val="auto"/>
          <w:sz w:val="32"/>
          <w:szCs w:val="32"/>
          <w:highlight w:val="none"/>
          <w:lang w:val="en-US" w:eastAsia="zh-CN"/>
        </w:rPr>
        <w:t>176.08</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6.9</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卫生健康支出</w:t>
      </w:r>
      <w:r>
        <w:rPr>
          <w:rFonts w:hint="eastAsia" w:ascii="仿宋_GB2312" w:hAnsi="仿宋_GB2312" w:eastAsia="仿宋_GB2312" w:cs="仿宋_GB2312"/>
          <w:b w:val="0"/>
          <w:bCs w:val="0"/>
          <w:color w:val="auto"/>
          <w:sz w:val="32"/>
          <w:szCs w:val="32"/>
          <w:highlight w:val="none"/>
          <w:lang w:val="en-US" w:eastAsia="zh-CN"/>
        </w:rPr>
        <w:t>40.38</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1.58</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；农林水（类）支出</w:t>
      </w:r>
      <w:r>
        <w:rPr>
          <w:rFonts w:hint="eastAsia" w:ascii="仿宋_GB2312" w:hAnsi="仿宋_GB2312" w:eastAsia="仿宋_GB2312" w:cs="仿宋_GB2312"/>
          <w:b w:val="0"/>
          <w:bCs w:val="0"/>
          <w:color w:val="auto"/>
          <w:sz w:val="32"/>
          <w:szCs w:val="32"/>
          <w:highlight w:val="none"/>
          <w:lang w:val="en-US" w:eastAsia="zh-CN"/>
        </w:rPr>
        <w:t>2239.04万元，</w:t>
      </w:r>
      <w:r>
        <w:rPr>
          <w:rFonts w:hint="eastAsia" w:ascii="仿宋_GB2312" w:hAnsi="仿宋_GB2312" w:eastAsia="仿宋_GB2312" w:cs="仿宋_GB2312"/>
          <w:b w:val="0"/>
          <w:bCs w:val="0"/>
          <w:color w:val="auto"/>
          <w:sz w:val="32"/>
          <w:szCs w:val="32"/>
          <w:highlight w:val="none"/>
        </w:rPr>
        <w:t>占</w:t>
      </w:r>
      <w:r>
        <w:rPr>
          <w:rFonts w:hint="eastAsia" w:ascii="仿宋_GB2312" w:hAnsi="仿宋_GB2312" w:eastAsia="仿宋_GB2312" w:cs="仿宋_GB2312"/>
          <w:b w:val="0"/>
          <w:bCs w:val="0"/>
          <w:color w:val="auto"/>
          <w:sz w:val="32"/>
          <w:szCs w:val="32"/>
          <w:highlight w:val="none"/>
          <w:lang w:val="en-US" w:eastAsia="zh-CN"/>
        </w:rPr>
        <w:t>87.76</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住房保障支出</w:t>
      </w:r>
      <w:r>
        <w:rPr>
          <w:rFonts w:hint="eastAsia" w:ascii="仿宋_GB2312" w:hAnsi="仿宋_GB2312" w:eastAsia="仿宋_GB2312" w:cs="仿宋_GB2312"/>
          <w:b w:val="0"/>
          <w:bCs w:val="0"/>
          <w:color w:val="auto"/>
          <w:sz w:val="32"/>
          <w:szCs w:val="32"/>
          <w:highlight w:val="none"/>
          <w:lang w:val="en-US" w:eastAsia="zh-CN"/>
        </w:rPr>
        <w:t>95.74</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3.76</w:t>
      </w:r>
      <w:r>
        <w:rPr>
          <w:rFonts w:hint="eastAsia" w:ascii="仿宋_GB2312" w:hAnsi="仿宋_GB2312" w:eastAsia="仿宋_GB2312" w:cs="仿宋_GB2312"/>
          <w:b w:val="0"/>
          <w:bCs w:val="0"/>
          <w:color w:val="auto"/>
          <w:sz w:val="32"/>
          <w:szCs w:val="32"/>
          <w:highlight w:val="none"/>
        </w:rPr>
        <w:t>%。</w:t>
      </w:r>
    </w:p>
    <w:p>
      <w:pPr>
        <w:pStyle w:val="2"/>
        <w:rPr>
          <w:rFonts w:hint="eastAsia"/>
        </w:rPr>
      </w:pPr>
      <w:r>
        <w:rPr>
          <w:rFonts w:hint="eastAsia"/>
          <w:lang w:val="en-US" w:eastAsia="zh-CN"/>
        </w:rPr>
        <w:t xml:space="preserve">   </w:t>
      </w:r>
      <w:r>
        <w:drawing>
          <wp:inline distT="0" distB="0" distL="114300" distR="114300">
            <wp:extent cx="4400550" cy="2876550"/>
            <wp:effectExtent l="4445" t="4445" r="14605" b="14605"/>
            <wp:docPr id="103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35"/>
        <w:shd w:val="clear"/>
        <w:ind w:left="0" w:leftChars="0" w:firstLine="0" w:firstLineChars="0"/>
        <w:jc w:val="center"/>
        <w:rPr>
          <w:color w:val="auto"/>
          <w:highlight w:val="none"/>
        </w:rPr>
      </w:pPr>
    </w:p>
    <w:p>
      <w:pPr>
        <w:shd w:val="clea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0" w:name="_Toc15377212"/>
      <w:r>
        <w:rPr>
          <w:rFonts w:hint="eastAsia" w:ascii="楷体_GB2312" w:hAnsi="楷体_GB2312" w:eastAsia="楷体_GB2312" w:cs="楷体_GB2312"/>
          <w:b w:val="0"/>
          <w:bCs/>
          <w:color w:val="auto"/>
          <w:sz w:val="32"/>
          <w:szCs w:val="32"/>
          <w:highlight w:val="none"/>
        </w:rPr>
        <w:t>（三）一般公共预算财政拨款支出决算具体情况</w:t>
      </w:r>
      <w:bookmarkEnd w:id="4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b w:val="0"/>
          <w:bCs/>
          <w:color w:val="auto"/>
          <w:sz w:val="32"/>
          <w:szCs w:val="32"/>
          <w:highlight w:val="none"/>
        </w:rPr>
      </w:pPr>
      <w:bookmarkStart w:id="41" w:name="_Toc15378460"/>
      <w:bookmarkStart w:id="42" w:name="_Toc15377213"/>
      <w:bookmarkStart w:id="43" w:name="_Toc15377444"/>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24</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般公共预算支出决算数为</w:t>
      </w:r>
      <w:r>
        <w:rPr>
          <w:rFonts w:hint="eastAsia" w:ascii="仿宋_GB2312" w:hAnsi="仿宋_GB2312" w:eastAsia="仿宋_GB2312" w:cs="仿宋_GB2312"/>
          <w:color w:val="auto"/>
          <w:sz w:val="32"/>
          <w:szCs w:val="32"/>
          <w:highlight w:val="none"/>
          <w:lang w:val="en-US" w:eastAsia="zh-CN"/>
        </w:rPr>
        <w:t>2551.24</w:t>
      </w:r>
      <w:r>
        <w:rPr>
          <w:rFonts w:hint="eastAsia" w:ascii="仿宋_GB2312" w:hAnsi="仿宋_GB2312" w:eastAsia="仿宋_GB2312" w:cs="仿宋_GB2312"/>
          <w:b w:val="0"/>
          <w:bCs/>
          <w:color w:val="auto"/>
          <w:sz w:val="32"/>
          <w:szCs w:val="32"/>
          <w:highlight w:val="none"/>
          <w:lang w:val="en-US" w:eastAsia="zh-CN"/>
        </w:rPr>
        <w:t>万元</w:t>
      </w:r>
      <w:r>
        <w:rPr>
          <w:rFonts w:hint="eastAsia" w:ascii="仿宋_GB2312" w:hAnsi="仿宋_GB2312" w:eastAsia="仿宋_GB2312" w:cs="仿宋_GB2312"/>
          <w:b w:val="0"/>
          <w:bCs/>
          <w:color w:val="auto"/>
          <w:sz w:val="32"/>
          <w:szCs w:val="32"/>
          <w:highlight w:val="none"/>
        </w:rPr>
        <w:t>，</w:t>
      </w:r>
      <w:r>
        <w:rPr>
          <w:rStyle w:val="19"/>
          <w:rFonts w:hint="eastAsia" w:ascii="仿宋_GB2312" w:hAnsi="仿宋_GB2312" w:eastAsia="仿宋_GB2312" w:cs="仿宋_GB2312"/>
          <w:b w:val="0"/>
          <w:bCs/>
          <w:color w:val="auto"/>
          <w:sz w:val="32"/>
          <w:szCs w:val="32"/>
          <w:highlight w:val="none"/>
        </w:rPr>
        <w:t>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lang w:val="en-US" w:eastAsia="zh-CN"/>
        </w:rPr>
        <w:t>主</w:t>
      </w:r>
      <w:r>
        <w:rPr>
          <w:rStyle w:val="19"/>
          <w:rFonts w:hint="eastAsia" w:ascii="仿宋_GB2312" w:hAnsi="仿宋_GB2312" w:eastAsia="仿宋_GB2312" w:cs="仿宋_GB2312"/>
          <w:b w:val="0"/>
          <w:bCs/>
          <w:color w:val="auto"/>
          <w:sz w:val="32"/>
          <w:szCs w:val="32"/>
          <w:highlight w:val="none"/>
        </w:rPr>
        <w:t>。其中：</w:t>
      </w:r>
      <w:bookmarkEnd w:id="41"/>
      <w:bookmarkEnd w:id="42"/>
      <w:bookmarkEnd w:id="43"/>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Style w:val="19"/>
          <w:rFonts w:hint="eastAsia" w:ascii="仿宋_GB2312" w:hAnsi="仿宋_GB2312" w:eastAsia="仿宋_GB2312" w:cs="仿宋_GB2312"/>
          <w:b w:val="0"/>
          <w:bCs/>
          <w:color w:val="auto"/>
          <w:sz w:val="32"/>
          <w:szCs w:val="32"/>
          <w:highlight w:val="none"/>
        </w:rPr>
      </w:pPr>
      <w:r>
        <w:rPr>
          <w:rStyle w:val="19"/>
          <w:rFonts w:hint="eastAsia" w:ascii="仿宋_GB2312" w:hAnsi="仿宋_GB2312" w:eastAsia="仿宋_GB2312" w:cs="仿宋_GB2312"/>
          <w:b w:val="0"/>
          <w:bCs/>
          <w:color w:val="auto"/>
          <w:sz w:val="32"/>
          <w:szCs w:val="32"/>
          <w:highlight w:val="none"/>
        </w:rPr>
        <w:t>社会保障和就业（类）</w:t>
      </w:r>
      <w:r>
        <w:rPr>
          <w:rStyle w:val="19"/>
          <w:rFonts w:hint="eastAsia" w:ascii="仿宋_GB2312" w:hAnsi="仿宋_GB2312" w:eastAsia="仿宋_GB2312" w:cs="仿宋_GB2312"/>
          <w:b w:val="0"/>
          <w:bCs/>
          <w:color w:val="auto"/>
          <w:sz w:val="32"/>
          <w:szCs w:val="32"/>
          <w:highlight w:val="none"/>
          <w:lang w:eastAsia="zh-CN"/>
        </w:rPr>
        <w:t>人力资源和社会保障管理事务</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引进人才费用</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eastAsia" w:ascii="仿宋_GB2312" w:hAnsi="仿宋_GB2312" w:eastAsia="仿宋_GB2312" w:cs="仿宋_GB2312"/>
          <w:b w:val="0"/>
          <w:bCs/>
          <w:color w:val="auto"/>
          <w:sz w:val="32"/>
          <w:szCs w:val="32"/>
          <w:highlight w:val="none"/>
          <w:lang w:val="en-US" w:eastAsia="zh-CN"/>
        </w:rPr>
        <w:t>3</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pStyle w:val="2"/>
        <w:numPr>
          <w:ilvl w:val="0"/>
          <w:numId w:val="1"/>
        </w:numPr>
        <w:shd w:val="clear"/>
        <w:ind w:left="0" w:leftChars="0" w:firstLine="640" w:firstLineChars="200"/>
        <w:rPr>
          <w:rStyle w:val="19"/>
          <w:rFonts w:hint="eastAsia" w:hAnsi="仿宋_GB2312" w:cs="仿宋_GB2312"/>
          <w:b w:val="0"/>
          <w:bCs/>
          <w:color w:val="auto"/>
          <w:sz w:val="32"/>
          <w:szCs w:val="32"/>
          <w:highlight w:val="none"/>
          <w:lang w:val="en-US" w:eastAsia="zh-CN"/>
        </w:rPr>
      </w:pPr>
      <w:r>
        <w:rPr>
          <w:rStyle w:val="19"/>
          <w:rFonts w:hint="eastAsia" w:ascii="仿宋_GB2312" w:hAnsi="仿宋_GB2312" w:eastAsia="仿宋_GB2312" w:cs="仿宋_GB2312"/>
          <w:b w:val="0"/>
          <w:bCs/>
          <w:color w:val="auto"/>
          <w:sz w:val="32"/>
          <w:szCs w:val="32"/>
          <w:highlight w:val="none"/>
        </w:rPr>
        <w:t>社会保障和就业（类）</w:t>
      </w:r>
      <w:r>
        <w:rPr>
          <w:rStyle w:val="19"/>
          <w:rFonts w:hint="eastAsia" w:hAnsi="仿宋_GB2312" w:cs="仿宋_GB2312"/>
          <w:b w:val="0"/>
          <w:bCs/>
          <w:color w:val="auto"/>
          <w:sz w:val="32"/>
          <w:szCs w:val="32"/>
          <w:highlight w:val="none"/>
          <w:lang w:eastAsia="zh-CN"/>
        </w:rPr>
        <w:t>行政事业单位养老支出</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机关事业单位基本养老保险缴费支出</w:t>
      </w:r>
      <w:r>
        <w:rPr>
          <w:rStyle w:val="19"/>
          <w:rFonts w:hint="eastAsia" w:ascii="仿宋_GB2312" w:hAnsi="仿宋_GB2312" w:eastAsia="仿宋_GB2312" w:cs="仿宋_GB2312"/>
          <w:b w:val="0"/>
          <w:bCs/>
          <w:color w:val="auto"/>
          <w:sz w:val="32"/>
          <w:szCs w:val="32"/>
          <w:highlight w:val="none"/>
        </w:rPr>
        <w:t>（项）</w:t>
      </w:r>
      <w:r>
        <w:rPr>
          <w:rStyle w:val="19"/>
          <w:rFonts w:hint="eastAsia" w:hAnsi="仿宋_GB2312" w:cs="仿宋_GB2312"/>
          <w:b w:val="0"/>
          <w:bCs/>
          <w:color w:val="auto"/>
          <w:sz w:val="32"/>
          <w:szCs w:val="32"/>
          <w:highlight w:val="none"/>
          <w:lang w:eastAsia="zh-CN"/>
        </w:rPr>
        <w:t>：支出决算为</w:t>
      </w:r>
      <w:r>
        <w:rPr>
          <w:rStyle w:val="19"/>
          <w:rFonts w:hint="eastAsia" w:hAnsi="仿宋_GB2312" w:cs="仿宋_GB2312"/>
          <w:b w:val="0"/>
          <w:bCs/>
          <w:color w:val="auto"/>
          <w:sz w:val="32"/>
          <w:szCs w:val="32"/>
          <w:highlight w:val="none"/>
          <w:lang w:val="en-US" w:eastAsia="zh-CN"/>
        </w:rPr>
        <w:t>128.65万元，完成预算100%。</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Style w:val="19"/>
          <w:rFonts w:hint="eastAsia" w:ascii="仿宋_GB2312" w:hAnsi="仿宋_GB2312" w:eastAsia="仿宋_GB2312" w:cs="仿宋_GB2312"/>
          <w:b w:val="0"/>
          <w:bCs/>
          <w:color w:val="auto"/>
          <w:sz w:val="32"/>
          <w:szCs w:val="32"/>
          <w:highlight w:val="none"/>
        </w:rPr>
      </w:pPr>
      <w:r>
        <w:rPr>
          <w:rStyle w:val="19"/>
          <w:rFonts w:hint="eastAsia" w:ascii="仿宋_GB2312" w:hAnsi="仿宋_GB2312" w:eastAsia="仿宋_GB2312" w:cs="仿宋_GB2312"/>
          <w:b w:val="0"/>
          <w:bCs/>
          <w:color w:val="auto"/>
          <w:sz w:val="32"/>
          <w:szCs w:val="32"/>
          <w:highlight w:val="none"/>
        </w:rPr>
        <w:t>社会保障和就业（类）</w:t>
      </w:r>
      <w:r>
        <w:rPr>
          <w:rStyle w:val="19"/>
          <w:rFonts w:hint="eastAsia" w:ascii="仿宋_GB2312" w:hAnsi="仿宋_GB2312" w:eastAsia="仿宋_GB2312" w:cs="仿宋_GB2312"/>
          <w:b w:val="0"/>
          <w:bCs/>
          <w:color w:val="auto"/>
          <w:sz w:val="32"/>
          <w:szCs w:val="32"/>
          <w:highlight w:val="none"/>
          <w:lang w:eastAsia="zh-CN"/>
        </w:rPr>
        <w:t>行政事业单位养老支出</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机关事业单位职业年金缴费支出</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eastAsia" w:ascii="仿宋_GB2312" w:hAnsi="仿宋_GB2312" w:eastAsia="仿宋_GB2312" w:cs="仿宋_GB2312"/>
          <w:b w:val="0"/>
          <w:bCs/>
          <w:color w:val="auto"/>
          <w:sz w:val="32"/>
          <w:szCs w:val="32"/>
          <w:highlight w:val="none"/>
          <w:lang w:val="en-US" w:eastAsia="zh-CN"/>
        </w:rPr>
        <w:t>44.43</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Style w:val="19"/>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卫生健康</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行政事业单位医疗</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行政单位医疗</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40.38</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行政运行</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1108.97</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一般行政管理事务</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3</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Style w:val="19"/>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水利行业业务管理</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92.22</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lang w:eastAsia="zh-CN"/>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水土保持</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5</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水资源节约管理与保护</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25</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Style w:val="19"/>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水文测报</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169</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防汛</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75</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水利</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其他水利支出</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538.84</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农林水</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巩固脱贫衔接乡村振兴</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事业运行</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222.02</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住房保障</w:t>
      </w:r>
      <w:r>
        <w:rPr>
          <w:rStyle w:val="19"/>
          <w:rFonts w:hint="eastAsia" w:ascii="仿宋_GB2312" w:hAnsi="仿宋_GB2312" w:eastAsia="仿宋_GB2312" w:cs="仿宋_GB2312"/>
          <w:b w:val="0"/>
          <w:bCs/>
          <w:color w:val="auto"/>
          <w:sz w:val="32"/>
          <w:szCs w:val="32"/>
          <w:highlight w:val="none"/>
        </w:rPr>
        <w:t>（类）</w:t>
      </w:r>
      <w:r>
        <w:rPr>
          <w:rStyle w:val="19"/>
          <w:rFonts w:hint="eastAsia" w:ascii="仿宋_GB2312" w:hAnsi="仿宋_GB2312" w:eastAsia="仿宋_GB2312" w:cs="仿宋_GB2312"/>
          <w:b w:val="0"/>
          <w:bCs/>
          <w:color w:val="auto"/>
          <w:sz w:val="32"/>
          <w:szCs w:val="32"/>
          <w:highlight w:val="none"/>
          <w:lang w:eastAsia="zh-CN"/>
        </w:rPr>
        <w:t>住房改革支出</w:t>
      </w:r>
      <w:r>
        <w:rPr>
          <w:rStyle w:val="19"/>
          <w:rFonts w:hint="eastAsia" w:ascii="仿宋_GB2312" w:hAnsi="仿宋_GB2312" w:eastAsia="仿宋_GB2312" w:cs="仿宋_GB2312"/>
          <w:b w:val="0"/>
          <w:bCs/>
          <w:color w:val="auto"/>
          <w:sz w:val="32"/>
          <w:szCs w:val="32"/>
          <w:highlight w:val="none"/>
        </w:rPr>
        <w:t>（款）</w:t>
      </w:r>
      <w:r>
        <w:rPr>
          <w:rStyle w:val="19"/>
          <w:rFonts w:hint="eastAsia" w:ascii="仿宋_GB2312" w:hAnsi="仿宋_GB2312" w:eastAsia="仿宋_GB2312" w:cs="仿宋_GB2312"/>
          <w:b w:val="0"/>
          <w:bCs/>
          <w:color w:val="auto"/>
          <w:sz w:val="32"/>
          <w:szCs w:val="32"/>
          <w:highlight w:val="none"/>
          <w:lang w:eastAsia="zh-CN"/>
        </w:rPr>
        <w:t>住房公积金</w:t>
      </w:r>
      <w:r>
        <w:rPr>
          <w:rStyle w:val="19"/>
          <w:rFonts w:hint="eastAsia" w:ascii="仿宋_GB2312" w:hAnsi="仿宋_GB2312" w:eastAsia="仿宋_GB2312" w:cs="仿宋_GB2312"/>
          <w:b w:val="0"/>
          <w:bCs/>
          <w:color w:val="auto"/>
          <w:sz w:val="32"/>
          <w:szCs w:val="32"/>
          <w:highlight w:val="none"/>
        </w:rPr>
        <w:t>（项）</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95.74</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p>
    <w:p>
      <w:pPr>
        <w:shd w:val="clear"/>
        <w:tabs>
          <w:tab w:val="right" w:pos="8306"/>
        </w:tabs>
        <w:spacing w:line="600" w:lineRule="exact"/>
        <w:ind w:firstLine="640"/>
        <w:outlineLvl w:val="1"/>
        <w:rPr>
          <w:rStyle w:val="22"/>
          <w:color w:val="auto"/>
          <w:highlight w:val="none"/>
        </w:rPr>
      </w:pPr>
      <w:bookmarkStart w:id="44" w:name="_Toc15396608"/>
      <w:bookmarkStart w:id="45" w:name="_Toc25181"/>
      <w:bookmarkStart w:id="46"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2"/>
          <w:rFonts w:hint="eastAsia" w:ascii="黑体" w:hAnsi="黑体" w:eastAsia="黑体"/>
          <w:b w:val="0"/>
          <w:color w:val="auto"/>
          <w:highlight w:val="none"/>
        </w:rPr>
        <w:t>般公共预算财政拨款基本支出决算情况说明</w:t>
      </w:r>
      <w:bookmarkEnd w:id="44"/>
      <w:bookmarkEnd w:id="45"/>
      <w:bookmarkEnd w:id="46"/>
      <w:r>
        <w:rPr>
          <w:rStyle w:val="22"/>
          <w:rFonts w:ascii="黑体" w:hAnsi="黑体" w:eastAsia="黑体"/>
          <w:b w:val="0"/>
          <w:color w:val="auto"/>
          <w:highlight w:val="none"/>
        </w:rPr>
        <w:tab/>
      </w:r>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1640.18</w:t>
      </w:r>
      <w:r>
        <w:rPr>
          <w:rFonts w:hint="eastAsia" w:ascii="仿宋_GB2312" w:hAnsi="仿宋_GB2312" w:eastAsia="仿宋_GB2312" w:cs="仿宋_GB2312"/>
          <w:color w:val="auto"/>
          <w:sz w:val="32"/>
          <w:szCs w:val="32"/>
          <w:highlight w:val="none"/>
        </w:rPr>
        <w:t>万元，其中：</w:t>
      </w:r>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1426.07</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eastAsia="zh-CN"/>
        </w:rPr>
        <w:t>职工基本医疗保险缴费、</w:t>
      </w:r>
      <w:r>
        <w:rPr>
          <w:rFonts w:hint="eastAsia" w:ascii="仿宋_GB2312" w:hAnsi="仿宋_GB2312" w:eastAsia="仿宋_GB2312" w:cs="仿宋_GB2312"/>
          <w:color w:val="auto"/>
          <w:sz w:val="32"/>
          <w:szCs w:val="32"/>
          <w:highlight w:val="none"/>
        </w:rPr>
        <w:t>其他社会保障缴费、</w:t>
      </w:r>
      <w:r>
        <w:rPr>
          <w:rFonts w:hint="eastAsia" w:ascii="仿宋_GB2312" w:hAnsi="仿宋_GB2312" w:eastAsia="仿宋_GB2312" w:cs="仿宋_GB2312"/>
          <w:color w:val="auto"/>
          <w:sz w:val="32"/>
          <w:szCs w:val="32"/>
          <w:highlight w:val="none"/>
          <w:lang w:eastAsia="zh-CN"/>
        </w:rPr>
        <w:t>住房公积金、</w:t>
      </w:r>
      <w:r>
        <w:rPr>
          <w:rFonts w:hint="eastAsia" w:ascii="仿宋_GB2312" w:hAnsi="仿宋_GB2312" w:eastAsia="仿宋_GB2312" w:cs="仿宋_GB2312"/>
          <w:color w:val="auto"/>
          <w:sz w:val="32"/>
          <w:szCs w:val="32"/>
          <w:highlight w:val="none"/>
        </w:rPr>
        <w:t>生活补助、</w:t>
      </w:r>
      <w:r>
        <w:rPr>
          <w:rFonts w:hint="eastAsia" w:ascii="仿宋_GB2312" w:hAnsi="仿宋_GB2312" w:eastAsia="仿宋_GB2312" w:cs="仿宋_GB2312"/>
          <w:color w:val="auto"/>
          <w:sz w:val="32"/>
          <w:szCs w:val="32"/>
          <w:highlight w:val="none"/>
          <w:lang w:eastAsia="zh-CN"/>
        </w:rPr>
        <w:t>奖励金</w:t>
      </w:r>
      <w:r>
        <w:rPr>
          <w:rFonts w:hint="eastAsia" w:ascii="仿宋_GB2312" w:hAnsi="仿宋_GB2312" w:eastAsia="仿宋_GB2312" w:cs="仿宋_GB2312"/>
          <w:color w:val="auto"/>
          <w:sz w:val="32"/>
          <w:szCs w:val="32"/>
          <w:highlight w:val="none"/>
        </w:rPr>
        <w:t>。</w:t>
      </w:r>
    </w:p>
    <w:p>
      <w:pPr>
        <w:shd w:val="clear"/>
        <w:spacing w:line="600" w:lineRule="exact"/>
        <w:ind w:firstLine="645"/>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214.12</w:t>
      </w:r>
      <w:r>
        <w:rPr>
          <w:rFonts w:hint="eastAsia" w:ascii="仿宋_GB2312" w:hAnsi="仿宋_GB2312" w:eastAsia="仿宋_GB2312" w:cs="仿宋_GB2312"/>
          <w:color w:val="auto"/>
          <w:sz w:val="32"/>
          <w:szCs w:val="32"/>
          <w:highlight w:val="none"/>
        </w:rPr>
        <w:t>万元，主要包括：办公费、印刷费、水费、电费、邮电费、物业管理费、差旅费、会议费、公务接待费、工会经费、福利费、公务用车运行维护费、其他交通费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hd w:val="clear"/>
        <w:spacing w:line="600" w:lineRule="exact"/>
        <w:ind w:firstLine="640"/>
        <w:outlineLvl w:val="1"/>
        <w:rPr>
          <w:rStyle w:val="22"/>
          <w:rFonts w:ascii="黑体" w:hAnsi="黑体" w:eastAsia="黑体"/>
          <w:b w:val="0"/>
          <w:color w:val="auto"/>
          <w:highlight w:val="none"/>
        </w:rPr>
      </w:pPr>
      <w:bookmarkStart w:id="47" w:name="_Toc15377215"/>
      <w:bookmarkStart w:id="48" w:name="_Toc15396609"/>
      <w:bookmarkStart w:id="49" w:name="_Toc28533"/>
      <w:r>
        <w:rPr>
          <w:rFonts w:hint="eastAsia" w:ascii="黑体" w:eastAsia="黑体"/>
          <w:color w:val="auto"/>
          <w:sz w:val="32"/>
          <w:szCs w:val="32"/>
          <w:highlight w:val="none"/>
        </w:rPr>
        <w:t>七、</w:t>
      </w:r>
      <w:r>
        <w:rPr>
          <w:rFonts w:hint="eastAsia" w:ascii="黑体" w:eastAsia="黑体"/>
          <w:color w:val="auto"/>
          <w:sz w:val="32"/>
          <w:szCs w:val="32"/>
          <w:highlight w:val="none"/>
          <w:lang w:eastAsia="zh-CN"/>
        </w:rPr>
        <w:t>财政拨款</w:t>
      </w:r>
      <w:r>
        <w:rPr>
          <w:rStyle w:val="22"/>
          <w:rFonts w:hint="eastAsia" w:ascii="黑体" w:hAnsi="黑体" w:eastAsia="黑体"/>
          <w:color w:val="auto"/>
          <w:highlight w:val="none"/>
        </w:rPr>
        <w:t>“</w:t>
      </w:r>
      <w:r>
        <w:rPr>
          <w:rStyle w:val="22"/>
          <w:rFonts w:hint="eastAsia" w:ascii="黑体" w:hAnsi="黑体" w:eastAsia="黑体"/>
          <w:b w:val="0"/>
          <w:color w:val="auto"/>
          <w:highlight w:val="none"/>
        </w:rPr>
        <w:t>三公”经费财政拨款支出决算情况说明</w:t>
      </w:r>
      <w:bookmarkEnd w:id="47"/>
      <w:bookmarkEnd w:id="48"/>
      <w:bookmarkEnd w:id="49"/>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50"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50"/>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23.15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持平。我局加强“三公经费”的内控管理，严格执行“三公经费”管理规定</w:t>
      </w:r>
      <w:r>
        <w:rPr>
          <w:rFonts w:hint="eastAsia" w:ascii="仿宋_GB2312" w:hAnsi="仿宋_GB2312" w:eastAsia="仿宋_GB2312" w:cs="仿宋_GB2312"/>
          <w:color w:val="auto"/>
          <w:sz w:val="32"/>
          <w:szCs w:val="32"/>
          <w:highlight w:val="none"/>
        </w:rPr>
        <w:t>。</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51"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51"/>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86.39</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3.15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13.61</w:t>
      </w:r>
      <w:r>
        <w:rPr>
          <w:rFonts w:hint="eastAsia" w:ascii="仿宋_GB2312" w:hAnsi="仿宋_GB2312" w:eastAsia="仿宋_GB2312" w:cs="仿宋_GB2312"/>
          <w:color w:val="auto"/>
          <w:sz w:val="32"/>
          <w:szCs w:val="32"/>
          <w:highlight w:val="none"/>
        </w:rPr>
        <w:t>%。具体情况如下：</w:t>
      </w:r>
    </w:p>
    <w:p>
      <w:pPr>
        <w:pStyle w:val="35"/>
        <w:shd w:val="clear"/>
        <w:jc w:val="center"/>
        <w:rPr>
          <w:color w:val="auto"/>
          <w:highlight w:val="none"/>
        </w:rPr>
      </w:pPr>
      <w:r>
        <w:drawing>
          <wp:inline distT="0" distB="0" distL="114300" distR="114300">
            <wp:extent cx="4391025" cy="2686685"/>
            <wp:effectExtent l="4445" t="4445" r="5080" b="13970"/>
            <wp:docPr id="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hd w:val="clear"/>
        <w:spacing w:line="600" w:lineRule="exact"/>
        <w:ind w:firstLine="645"/>
        <w:jc w:val="cente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（图7：“三公”经费财政拨款支出结构）</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rPr>
          <w:rStyle w:val="19"/>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因公出国（境）经费支出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Style w:val="19"/>
          <w:rFonts w:hint="eastAsia" w:ascii="仿宋_GB2312" w:hAnsi="仿宋_GB2312" w:eastAsia="仿宋_GB2312" w:cs="仿宋_GB2312"/>
          <w:b w:val="0"/>
          <w:bCs w:val="0"/>
          <w:color w:val="auto"/>
          <w:sz w:val="32"/>
          <w:szCs w:val="32"/>
          <w:highlight w:val="none"/>
        </w:rPr>
        <w:t>年初未安排预算</w:t>
      </w:r>
      <w:r>
        <w:rPr>
          <w:rStyle w:val="19"/>
          <w:rFonts w:hint="eastAsia" w:ascii="仿宋_GB2312" w:hAnsi="仿宋_GB2312" w:eastAsia="仿宋_GB2312" w:cs="仿宋_GB2312"/>
          <w:b w:val="0"/>
          <w:bCs w:val="0"/>
          <w:color w:val="auto"/>
          <w:sz w:val="32"/>
          <w:szCs w:val="32"/>
          <w:highlight w:val="none"/>
          <w:lang w:eastAsia="zh-CN"/>
        </w:rPr>
        <w:t>，年度未发生费用</w:t>
      </w:r>
      <w:r>
        <w:rPr>
          <w:rStyle w:val="19"/>
          <w:rFonts w:hint="eastAsia" w:ascii="仿宋_GB2312" w:hAnsi="仿宋_GB2312" w:eastAsia="仿宋_GB2312" w:cs="仿宋_GB2312"/>
          <w:b w:val="0"/>
          <w:bCs w:val="0"/>
          <w:color w:val="auto"/>
          <w:sz w:val="32"/>
          <w:szCs w:val="32"/>
          <w:highlight w:val="none"/>
          <w:lang w:val="en-US" w:eastAsia="zh-CN"/>
        </w:rPr>
        <w:t>，较2023年度无变化。</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2.公务用车购置及运行维护费支出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Style w:val="19"/>
          <w:rFonts w:hint="eastAsia" w:ascii="仿宋_GB2312" w:hAnsi="仿宋_GB2312" w:eastAsia="仿宋_GB2312" w:cs="仿宋_GB2312"/>
          <w:b w:val="0"/>
          <w:bCs w:val="0"/>
          <w:color w:val="auto"/>
          <w:sz w:val="32"/>
          <w:szCs w:val="32"/>
          <w:highlight w:val="none"/>
        </w:rPr>
        <w:t>完成预算</w:t>
      </w:r>
      <w:r>
        <w:rPr>
          <w:rStyle w:val="19"/>
          <w:rFonts w:hint="eastAsia" w:ascii="仿宋_GB2312" w:hAnsi="仿宋_GB2312" w:eastAsia="仿宋_GB2312" w:cs="仿宋_GB2312"/>
          <w:b w:val="0"/>
          <w:bCs w:val="0"/>
          <w:color w:val="auto"/>
          <w:sz w:val="32"/>
          <w:szCs w:val="32"/>
          <w:highlight w:val="none"/>
          <w:lang w:val="en-US" w:eastAsia="zh-CN"/>
        </w:rPr>
        <w:t>100</w:t>
      </w:r>
      <w:r>
        <w:rPr>
          <w:rStyle w:val="19"/>
          <w:rFonts w:hint="eastAsia" w:ascii="仿宋_GB2312" w:hAnsi="仿宋_GB2312" w:eastAsia="仿宋_GB2312" w:cs="仿宋_GB2312"/>
          <w:b w:val="0"/>
          <w:bCs w:val="0"/>
          <w:color w:val="auto"/>
          <w:sz w:val="32"/>
          <w:szCs w:val="32"/>
          <w:highlight w:val="none"/>
        </w:rPr>
        <w:t>%。</w:t>
      </w:r>
      <w:r>
        <w:rPr>
          <w:rStyle w:val="19"/>
          <w:rFonts w:hint="eastAsia" w:ascii="仿宋_GB2312" w:hAnsi="仿宋_GB2312" w:eastAsia="仿宋_GB2312" w:cs="仿宋_GB2312"/>
          <w:b w:val="0"/>
          <w:bCs w:val="0"/>
          <w:color w:val="auto"/>
          <w:sz w:val="32"/>
          <w:szCs w:val="32"/>
          <w:highlight w:val="none"/>
          <w:lang w:val="en-US" w:eastAsia="zh-CN"/>
        </w:rPr>
        <w:t>较2023年度无变化。</w:t>
      </w:r>
    </w:p>
    <w:p>
      <w:pPr>
        <w:shd w:val="clear"/>
        <w:spacing w:line="600" w:lineRule="exact"/>
        <w:ind w:firstLine="640" w:firstLineChars="200"/>
        <w:rPr>
          <w:rFonts w:ascii="仿宋_GB2312" w:eastAsia="仿宋_GB2312"/>
          <w:b/>
          <w:color w:val="auto"/>
          <w:sz w:val="32"/>
          <w:szCs w:val="32"/>
          <w:highlight w:val="none"/>
        </w:rPr>
      </w:pPr>
      <w:r>
        <w:rPr>
          <w:rFonts w:hint="eastAsia" w:ascii="仿宋_GB2312" w:hAnsi="仿宋_GB2312" w:eastAsia="仿宋_GB2312" w:cs="仿宋_GB2312"/>
          <w:b w:val="0"/>
          <w:bCs w:val="0"/>
          <w:color w:val="auto"/>
          <w:sz w:val="32"/>
          <w:szCs w:val="32"/>
          <w:highlight w:val="none"/>
        </w:rPr>
        <w:t>其中：公务用车购置支出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万元。按规定更新购置公务用车</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辆。</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w:t>
      </w:r>
    </w:p>
    <w:p>
      <w:pPr>
        <w:pageBreakBefore w:val="0"/>
        <w:shd w:val="clear"/>
        <w:kinsoku/>
        <w:wordWrap/>
        <w:overflowPunct/>
        <w:topLinePunct w:val="0"/>
        <w:bidi w:val="0"/>
        <w:spacing w:line="576" w:lineRule="exact"/>
        <w:ind w:firstLine="640"/>
        <w:jc w:val="both"/>
        <w:textAlignment w:val="auto"/>
        <w:rPr>
          <w:color w:val="auto"/>
          <w:highlight w:val="none"/>
        </w:rPr>
      </w:pPr>
      <w:r>
        <w:rPr>
          <w:rFonts w:hint="eastAsia" w:ascii="仿宋_GB2312" w:eastAsia="仿宋_GB2312"/>
          <w:b w:val="0"/>
          <w:bCs/>
          <w:color w:val="auto"/>
          <w:sz w:val="32"/>
          <w:szCs w:val="32"/>
          <w:highlight w:val="none"/>
        </w:rPr>
        <w:t>公务用车运行维护费支出</w:t>
      </w:r>
      <w:r>
        <w:rPr>
          <w:rFonts w:hint="eastAsia" w:ascii="仿宋_GB2312" w:eastAsia="仿宋_GB2312"/>
          <w:b w:val="0"/>
          <w:bCs/>
          <w:color w:val="auto"/>
          <w:sz w:val="32"/>
          <w:szCs w:val="32"/>
          <w:highlight w:val="none"/>
          <w:lang w:val="en-US" w:eastAsia="zh-CN"/>
        </w:rPr>
        <w:t>20</w:t>
      </w:r>
      <w:r>
        <w:rPr>
          <w:rFonts w:hint="eastAsia" w:ascii="仿宋_GB2312" w:eastAsia="仿宋_GB2312"/>
          <w:b w:val="0"/>
          <w:bCs/>
          <w:color w:val="auto"/>
          <w:sz w:val="32"/>
          <w:szCs w:val="32"/>
          <w:highlight w:val="none"/>
        </w:rPr>
        <w:t>万元。主要用于水质监测、防汛抗旱、水利执法检查、农村安全饮水、河长制、</w:t>
      </w:r>
      <w:r>
        <w:rPr>
          <w:rFonts w:hint="eastAsia" w:ascii="仿宋_GB2312" w:eastAsia="仿宋_GB2312"/>
          <w:b w:val="0"/>
          <w:bCs/>
          <w:color w:val="auto"/>
          <w:sz w:val="32"/>
          <w:szCs w:val="32"/>
          <w:highlight w:val="none"/>
          <w:lang w:eastAsia="zh-CN"/>
        </w:rPr>
        <w:t>移民后扶、乡村振兴</w:t>
      </w:r>
      <w:r>
        <w:rPr>
          <w:rFonts w:hint="eastAsia" w:ascii="仿宋_GB2312" w:eastAsia="仿宋_GB2312"/>
          <w:b w:val="0"/>
          <w:bCs/>
          <w:color w:val="auto"/>
          <w:sz w:val="32"/>
          <w:szCs w:val="32"/>
          <w:highlight w:val="none"/>
        </w:rPr>
        <w:t>等所需的公务用车燃料费、维修费、过路过桥费、保险费等支出。</w:t>
      </w:r>
    </w:p>
    <w:p>
      <w:pPr>
        <w:shd w:val="clear"/>
        <w:spacing w:line="600" w:lineRule="exact"/>
        <w:ind w:firstLine="64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3.公务接待费支出</w:t>
      </w:r>
      <w:r>
        <w:rPr>
          <w:rFonts w:hint="eastAsia" w:ascii="仿宋_GB2312" w:hAnsi="仿宋_GB2312" w:eastAsia="仿宋_GB2312" w:cs="仿宋_GB2312"/>
          <w:b w:val="0"/>
          <w:bCs/>
          <w:color w:val="auto"/>
          <w:sz w:val="32"/>
          <w:szCs w:val="32"/>
          <w:highlight w:val="none"/>
          <w:lang w:val="en-US" w:eastAsia="zh-CN"/>
        </w:rPr>
        <w:t>3.15</w:t>
      </w:r>
      <w:r>
        <w:rPr>
          <w:rFonts w:hint="eastAsia" w:ascii="仿宋_GB2312" w:hAnsi="仿宋_GB2312" w:eastAsia="仿宋_GB2312" w:cs="仿宋_GB2312"/>
          <w:b w:val="0"/>
          <w:bCs/>
          <w:color w:val="auto"/>
          <w:sz w:val="32"/>
          <w:szCs w:val="32"/>
          <w:highlight w:val="none"/>
        </w:rPr>
        <w:t>万元，</w:t>
      </w:r>
      <w:r>
        <w:rPr>
          <w:rStyle w:val="19"/>
          <w:rFonts w:hint="eastAsia" w:ascii="仿宋_GB2312" w:hAnsi="仿宋_GB2312" w:eastAsia="仿宋_GB2312" w:cs="仿宋_GB2312"/>
          <w:b w:val="0"/>
          <w:bCs/>
          <w:color w:val="auto"/>
          <w:sz w:val="32"/>
          <w:szCs w:val="32"/>
          <w:highlight w:val="none"/>
        </w:rPr>
        <w:t>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公务接待费支出决算比20</w:t>
      </w:r>
      <w:r>
        <w:rPr>
          <w:rFonts w:hint="eastAsia" w:ascii="仿宋_GB2312" w:hAnsi="仿宋_GB2312" w:eastAsia="仿宋_GB2312" w:cs="仿宋_GB2312"/>
          <w:b w:val="0"/>
          <w:bCs/>
          <w:color w:val="auto"/>
          <w:sz w:val="32"/>
          <w:szCs w:val="32"/>
          <w:highlight w:val="none"/>
          <w:lang w:val="en-US" w:eastAsia="zh-CN"/>
        </w:rPr>
        <w:t>23</w:t>
      </w:r>
      <w:r>
        <w:rPr>
          <w:rFonts w:hint="eastAsia" w:ascii="仿宋_GB2312" w:hAnsi="仿宋_GB2312" w:eastAsia="仿宋_GB2312" w:cs="仿宋_GB2312"/>
          <w:b w:val="0"/>
          <w:bCs/>
          <w:color w:val="auto"/>
          <w:sz w:val="32"/>
          <w:szCs w:val="32"/>
          <w:highlight w:val="none"/>
        </w:rPr>
        <w:t>年</w:t>
      </w:r>
      <w:r>
        <w:rPr>
          <w:rStyle w:val="19"/>
          <w:rFonts w:hint="eastAsia" w:ascii="仿宋_GB2312" w:hAnsi="仿宋_GB2312" w:eastAsia="仿宋_GB2312" w:cs="仿宋_GB2312"/>
          <w:b w:val="0"/>
          <w:bCs w:val="0"/>
          <w:color w:val="auto"/>
          <w:sz w:val="32"/>
          <w:szCs w:val="32"/>
          <w:highlight w:val="none"/>
          <w:lang w:val="en-US" w:eastAsia="zh-CN"/>
        </w:rPr>
        <w:t>无变化</w:t>
      </w:r>
      <w:r>
        <w:rPr>
          <w:rFonts w:hint="eastAsia" w:ascii="仿宋_GB2312" w:hAnsi="仿宋_GB2312" w:eastAsia="仿宋_GB2312" w:cs="仿宋_GB2312"/>
          <w:b w:val="0"/>
          <w:bCs/>
          <w:color w:val="auto"/>
          <w:sz w:val="32"/>
          <w:szCs w:val="32"/>
          <w:highlight w:val="none"/>
        </w:rPr>
        <w:t>。其中：</w:t>
      </w:r>
    </w:p>
    <w:p>
      <w:pPr>
        <w:shd w:val="clear"/>
        <w:spacing w:line="600" w:lineRule="exact"/>
        <w:ind w:firstLine="640"/>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rPr>
        <w:t>国内公务接待支出</w:t>
      </w:r>
      <w:r>
        <w:rPr>
          <w:rFonts w:hint="eastAsia" w:ascii="仿宋_GB2312" w:hAnsi="仿宋_GB2312" w:eastAsia="仿宋_GB2312" w:cs="仿宋_GB2312"/>
          <w:b w:val="0"/>
          <w:bCs/>
          <w:color w:val="auto"/>
          <w:sz w:val="32"/>
          <w:szCs w:val="32"/>
          <w:highlight w:val="none"/>
          <w:lang w:val="en-US" w:eastAsia="zh-CN"/>
        </w:rPr>
        <w:t>3.15</w:t>
      </w:r>
      <w:r>
        <w:rPr>
          <w:rFonts w:hint="eastAsia" w:ascii="仿宋_GB2312" w:hAnsi="仿宋_GB2312" w:eastAsia="仿宋_GB2312" w:cs="仿宋_GB2312"/>
          <w:b w:val="0"/>
          <w:bCs/>
          <w:color w:val="auto"/>
          <w:sz w:val="32"/>
          <w:szCs w:val="32"/>
          <w:highlight w:val="none"/>
        </w:rPr>
        <w:t>万元，主要用于</w:t>
      </w:r>
      <w:r>
        <w:rPr>
          <w:rFonts w:hint="eastAsia" w:ascii="仿宋_GB2312" w:hAnsi="仿宋_GB2312" w:eastAsia="仿宋_GB2312" w:cs="仿宋_GB2312"/>
          <w:b w:val="0"/>
          <w:bCs/>
          <w:color w:val="auto"/>
          <w:sz w:val="32"/>
          <w:szCs w:val="32"/>
          <w:highlight w:val="none"/>
          <w:lang w:eastAsia="zh-CN"/>
        </w:rPr>
        <w:t>部、省等</w:t>
      </w:r>
      <w:r>
        <w:rPr>
          <w:rFonts w:hint="eastAsia" w:ascii="仿宋_GB2312" w:hAnsi="仿宋_GB2312" w:eastAsia="仿宋_GB2312" w:cs="仿宋_GB2312"/>
          <w:b w:val="0"/>
          <w:bCs/>
          <w:color w:val="auto"/>
          <w:sz w:val="32"/>
          <w:szCs w:val="32"/>
          <w:highlight w:val="none"/>
        </w:rPr>
        <w:t>执行公务、开展业务活动开支的用餐费等。</w:t>
      </w:r>
      <w:r>
        <w:rPr>
          <w:rFonts w:hint="eastAsia" w:ascii="Times New Roman" w:hAnsi="Times New Roman" w:eastAsia="仿宋_GB2312" w:cs="仿宋_GB2312"/>
          <w:color w:val="auto"/>
          <w:kern w:val="2"/>
          <w:sz w:val="32"/>
          <w:szCs w:val="32"/>
          <w:highlight w:val="none"/>
          <w:lang w:val="en-US" w:eastAsia="zh-CN" w:bidi="ar-SA"/>
        </w:rPr>
        <w:t>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27</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207</w:t>
      </w:r>
      <w:r>
        <w:rPr>
          <w:rFonts w:hint="eastAsia" w:ascii="Times New Roman" w:hAnsi="Times New Roman" w:eastAsia="仿宋_GB2312" w:cs="仿宋_GB2312"/>
          <w:color w:val="auto"/>
          <w:kern w:val="2"/>
          <w:sz w:val="32"/>
          <w:szCs w:val="32"/>
          <w:highlight w:val="none"/>
          <w:lang w:val="en-US" w:eastAsia="zh-CN" w:bidi="ar-SA"/>
        </w:rPr>
        <w:t>人次（不包括陪同人员），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3.15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具体为防汛抗旱督导0.99万元、水利执法调研0.33万元、河湖管理调研0.25万元、水资源工作督导0.67万元、水利项目储备0.35万元、水利工程建设检查0.56万元。</w:t>
      </w:r>
    </w:p>
    <w:p>
      <w:pPr>
        <w:shd w:val="clear"/>
        <w:ind w:firstLine="640" w:firstLineChars="200"/>
        <w:rPr>
          <w:rFonts w:hint="eastAsia" w:ascii="仿宋_GB2312" w:eastAsia="仿宋_GB2312"/>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外事接待支出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color w:val="auto"/>
          <w:sz w:val="32"/>
          <w:szCs w:val="32"/>
          <w:highlight w:val="none"/>
        </w:rPr>
        <w:t>。</w:t>
      </w:r>
    </w:p>
    <w:p>
      <w:pPr>
        <w:shd w:val="clear"/>
        <w:spacing w:line="600" w:lineRule="exact"/>
        <w:ind w:firstLine="640"/>
        <w:outlineLvl w:val="1"/>
        <w:rPr>
          <w:rStyle w:val="22"/>
          <w:rFonts w:ascii="黑体" w:hAnsi="黑体" w:eastAsia="黑体"/>
          <w:color w:val="auto"/>
          <w:highlight w:val="none"/>
        </w:rPr>
      </w:pPr>
      <w:bookmarkStart w:id="52" w:name="_Toc15377218"/>
      <w:bookmarkStart w:id="53" w:name="_Toc15396610"/>
      <w:bookmarkStart w:id="54" w:name="_Toc10825"/>
      <w:r>
        <w:rPr>
          <w:rFonts w:hint="eastAsia" w:ascii="黑体" w:eastAsia="黑体"/>
          <w:color w:val="auto"/>
          <w:sz w:val="32"/>
          <w:szCs w:val="32"/>
          <w:highlight w:val="none"/>
        </w:rPr>
        <w:t>八、</w:t>
      </w:r>
      <w:r>
        <w:rPr>
          <w:rStyle w:val="22"/>
          <w:rFonts w:hint="eastAsia" w:ascii="黑体" w:hAnsi="黑体" w:eastAsia="黑体"/>
          <w:b w:val="0"/>
          <w:color w:val="auto"/>
          <w:highlight w:val="none"/>
        </w:rPr>
        <w:t>政府性基金预算支出决算情况说明</w:t>
      </w:r>
      <w:bookmarkEnd w:id="52"/>
      <w:bookmarkEnd w:id="53"/>
      <w:bookmarkEnd w:id="54"/>
    </w:p>
    <w:p>
      <w:pPr>
        <w:shd w:val="clear"/>
        <w:spacing w:line="600" w:lineRule="exact"/>
        <w:ind w:firstLine="640"/>
        <w:rPr>
          <w:color w:val="auto"/>
          <w:highlight w:val="none"/>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1059.41</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29.13</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。与2023年度相比，政府性基金预算财政拨款支出减少</w:t>
      </w:r>
      <w:r>
        <w:rPr>
          <w:rFonts w:hint="eastAsia" w:eastAsia="仿宋_GB2312" w:cs="仿宋_GB2312"/>
          <w:color w:val="auto"/>
          <w:kern w:val="2"/>
          <w:sz w:val="32"/>
          <w:szCs w:val="32"/>
          <w:highlight w:val="none"/>
          <w:lang w:val="en-US" w:eastAsia="zh-CN" w:bidi="ar-SA"/>
        </w:rPr>
        <w:t>265.59</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20.04</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基金项目减少</w:t>
      </w:r>
      <w:r>
        <w:rPr>
          <w:rFonts w:hint="eastAsia" w:ascii="仿宋_GB2312" w:eastAsia="仿宋_GB2312"/>
          <w:b w:val="0"/>
          <w:bCs w:val="0"/>
          <w:color w:val="auto"/>
          <w:sz w:val="32"/>
          <w:szCs w:val="32"/>
          <w:highlight w:val="none"/>
          <w:lang w:val="en-US" w:eastAsia="zh-CN"/>
        </w:rPr>
        <w:t>。</w:t>
      </w:r>
    </w:p>
    <w:p>
      <w:pPr>
        <w:numPr>
          <w:ilvl w:val="0"/>
          <w:numId w:val="2"/>
        </w:numPr>
        <w:shd w:val="clear"/>
        <w:spacing w:line="600" w:lineRule="exact"/>
        <w:ind w:firstLine="640"/>
        <w:outlineLvl w:val="1"/>
        <w:rPr>
          <w:rStyle w:val="22"/>
          <w:rFonts w:ascii="黑体" w:hAnsi="黑体" w:eastAsia="黑体"/>
          <w:b w:val="0"/>
          <w:color w:val="auto"/>
          <w:highlight w:val="none"/>
        </w:rPr>
      </w:pPr>
      <w:bookmarkStart w:id="55" w:name="_Toc15396611"/>
      <w:bookmarkStart w:id="56" w:name="_Toc18602"/>
      <w:bookmarkStart w:id="57" w:name="_Toc15377219"/>
      <w:r>
        <w:rPr>
          <w:rStyle w:val="22"/>
          <w:rFonts w:hint="eastAsia" w:ascii="黑体" w:hAnsi="黑体" w:eastAsia="黑体"/>
          <w:b w:val="0"/>
          <w:color w:val="auto"/>
          <w:highlight w:val="none"/>
        </w:rPr>
        <w:t>国有资本经营预算支出决算情况说明</w:t>
      </w:r>
      <w:bookmarkEnd w:id="55"/>
      <w:bookmarkEnd w:id="56"/>
      <w:bookmarkEnd w:id="57"/>
    </w:p>
    <w:p>
      <w:pPr>
        <w:shd w:val="clear"/>
        <w:spacing w:line="600" w:lineRule="exact"/>
        <w:ind w:firstLine="640"/>
        <w:rPr>
          <w:rFonts w:hint="eastAsia"/>
          <w:color w:val="auto"/>
          <w:highlight w:val="none"/>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w:t>
      </w:r>
      <w:bookmarkStart w:id="58" w:name="_Toc15377221"/>
      <w:bookmarkStart w:id="59" w:name="_Toc15396612"/>
      <w:r>
        <w:rPr>
          <w:rFonts w:hint="eastAsia" w:eastAsia="仿宋_GB2312" w:cs="仿宋_GB2312"/>
          <w:color w:val="auto"/>
          <w:kern w:val="2"/>
          <w:sz w:val="32"/>
          <w:szCs w:val="32"/>
          <w:highlight w:val="none"/>
          <w:lang w:val="en-US" w:eastAsia="zh-CN" w:bidi="ar-SA"/>
        </w:rPr>
        <w:t>持平。</w:t>
      </w:r>
    </w:p>
    <w:p>
      <w:pPr>
        <w:numPr>
          <w:ilvl w:val="0"/>
          <w:numId w:val="2"/>
        </w:numPr>
        <w:shd w:val="clear"/>
        <w:spacing w:line="600" w:lineRule="exact"/>
        <w:ind w:firstLine="640"/>
        <w:outlineLvl w:val="1"/>
        <w:rPr>
          <w:rStyle w:val="22"/>
          <w:rFonts w:hint="eastAsia" w:ascii="黑体" w:hAnsi="黑体" w:eastAsia="黑体"/>
          <w:b w:val="0"/>
          <w:color w:val="auto"/>
          <w:highlight w:val="none"/>
        </w:rPr>
      </w:pPr>
      <w:bookmarkStart w:id="60" w:name="_Toc24926"/>
      <w:r>
        <w:rPr>
          <w:rStyle w:val="22"/>
          <w:rFonts w:hint="eastAsia" w:ascii="黑体" w:hAnsi="黑体" w:eastAsia="黑体"/>
          <w:b w:val="0"/>
          <w:color w:val="auto"/>
          <w:highlight w:val="none"/>
        </w:rPr>
        <w:t>其他重要事项的情况说明</w:t>
      </w:r>
      <w:bookmarkEnd w:id="58"/>
      <w:bookmarkEnd w:id="59"/>
      <w:bookmarkEnd w:id="60"/>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1" w:name="_Toc15377222"/>
      <w:r>
        <w:rPr>
          <w:rFonts w:hint="eastAsia" w:ascii="楷体_GB2312" w:hAnsi="楷体_GB2312" w:eastAsia="楷体_GB2312" w:cs="楷体_GB2312"/>
          <w:b w:val="0"/>
          <w:bCs/>
          <w:color w:val="auto"/>
          <w:sz w:val="32"/>
          <w:szCs w:val="32"/>
          <w:highlight w:val="none"/>
        </w:rPr>
        <w:t>（一）机关运行经费支出情况</w:t>
      </w:r>
      <w:bookmarkEnd w:id="61"/>
    </w:p>
    <w:p>
      <w:pPr>
        <w:shd w:val="clear"/>
        <w:spacing w:line="600" w:lineRule="exact"/>
        <w:ind w:firstLine="640" w:firstLineChars="200"/>
        <w:rPr>
          <w:rFonts w:hint="default"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广元市水利局</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214.12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元，比2023年度减</w:t>
      </w:r>
      <w:r>
        <w:rPr>
          <w:rFonts w:hint="eastAsia" w:ascii="仿宋_GB2312" w:hAnsi="仿宋_GB2312" w:eastAsia="仿宋_GB2312" w:cs="仿宋_GB2312"/>
          <w:color w:val="auto"/>
          <w:kern w:val="2"/>
          <w:sz w:val="32"/>
          <w:szCs w:val="32"/>
          <w:highlight w:val="none"/>
          <w:lang w:val="en-US" w:eastAsia="zh-CN" w:bidi="ar-SA"/>
        </w:rPr>
        <w:t>少1.4万元，下降0.6%，主要原因是厉行节约，严控一般性支出。</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2" w:name="_Toc15377223"/>
      <w:r>
        <w:rPr>
          <w:rFonts w:hint="eastAsia" w:ascii="楷体_GB2312" w:hAnsi="楷体_GB2312" w:eastAsia="楷体_GB2312" w:cs="楷体_GB2312"/>
          <w:b w:val="0"/>
          <w:bCs/>
          <w:color w:val="auto"/>
          <w:sz w:val="32"/>
          <w:szCs w:val="32"/>
          <w:highlight w:val="none"/>
        </w:rPr>
        <w:t>（二）政府采购支出情况</w:t>
      </w:r>
      <w:bookmarkEnd w:id="62"/>
    </w:p>
    <w:p>
      <w:pPr>
        <w:shd w:val="clear"/>
        <w:spacing w:line="600" w:lineRule="exact"/>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2024年度，广元市水利局政府采购支出总额436.34万元，其中：政府采购货物支出11.84万元、政府采购工程支出0万元、政府采购服务支出424.5万元。主要用于办公设备采购、水网规划服务、山洪灾害隐患排查。授予中小企业合同金额436.34万元，占政府采购支出总额的100%，其中：授予小微企业合同金额436.34万元，占政府采购支出总额的100%。</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3" w:name="_Toc15377224"/>
      <w:r>
        <w:rPr>
          <w:rFonts w:hint="eastAsia" w:ascii="楷体_GB2312" w:hAnsi="楷体_GB2312" w:eastAsia="楷体_GB2312" w:cs="楷体_GB2312"/>
          <w:b w:val="0"/>
          <w:bCs/>
          <w:color w:val="auto"/>
          <w:sz w:val="32"/>
          <w:szCs w:val="32"/>
          <w:highlight w:val="none"/>
        </w:rPr>
        <w:t>（三）国有资产占有使用情况</w:t>
      </w:r>
      <w:bookmarkEnd w:id="63"/>
    </w:p>
    <w:p>
      <w:pPr>
        <w:spacing w:line="600" w:lineRule="exact"/>
        <w:ind w:firstLine="640"/>
        <w:rPr>
          <w:rFonts w:hint="eastAsia" w:ascii="仿宋_GB2312" w:eastAsia="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广元市水利局</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4</w:t>
      </w:r>
      <w:r>
        <w:rPr>
          <w:rFonts w:hint="eastAsia" w:ascii="仿宋_GB2312" w:hAnsi="仿宋_GB2312" w:eastAsia="仿宋_GB2312" w:cs="仿宋_GB2312"/>
          <w:color w:val="auto"/>
          <w:kern w:val="2"/>
          <w:sz w:val="32"/>
          <w:szCs w:val="32"/>
          <w:highlight w:val="none"/>
          <w:lang w:val="en-US" w:eastAsia="zh-CN" w:bidi="ar-SA"/>
        </w:rPr>
        <w:t>辆，其中：其他用车</w:t>
      </w:r>
      <w:r>
        <w:rPr>
          <w:rFonts w:hint="eastAsia" w:ascii="仿宋_GB2312" w:hAnsi="仿宋_GB2312" w:eastAsia="仿宋_GB2312" w:cs="仿宋_GB2312"/>
          <w:sz w:val="32"/>
          <w:szCs w:val="32"/>
        </w:rPr>
        <w:t>4</w:t>
      </w:r>
      <w:r>
        <w:rPr>
          <w:rFonts w:hint="eastAsia" w:ascii="仿宋_GB2312" w:hAnsi="仿宋_GB2312" w:eastAsia="仿宋_GB2312" w:cs="仿宋_GB2312"/>
          <w:color w:val="auto"/>
          <w:kern w:val="2"/>
          <w:sz w:val="32"/>
          <w:szCs w:val="32"/>
          <w:highlight w:val="none"/>
          <w:lang w:val="en-US" w:eastAsia="zh-CN" w:bidi="ar-SA"/>
        </w:rPr>
        <w:t>辆，</w:t>
      </w:r>
      <w:r>
        <w:rPr>
          <w:rFonts w:hint="eastAsia" w:ascii="仿宋_GB2312" w:eastAsia="仿宋_GB2312"/>
          <w:color w:val="auto"/>
          <w:sz w:val="32"/>
          <w:szCs w:val="32"/>
          <w:highlight w:val="none"/>
        </w:rPr>
        <w:t>其他用车主要是用于</w:t>
      </w:r>
      <w:r>
        <w:rPr>
          <w:rFonts w:hint="eastAsia" w:ascii="仿宋_GB2312" w:eastAsia="仿宋_GB2312"/>
          <w:b w:val="0"/>
          <w:bCs/>
          <w:color w:val="auto"/>
          <w:sz w:val="32"/>
          <w:szCs w:val="32"/>
          <w:highlight w:val="none"/>
        </w:rPr>
        <w:t>水质监测、防汛抗旱、水利执法检查、农村安全饮水、河长制、</w:t>
      </w:r>
      <w:r>
        <w:rPr>
          <w:rFonts w:hint="eastAsia" w:ascii="仿宋_GB2312" w:eastAsia="仿宋_GB2312"/>
          <w:b w:val="0"/>
          <w:bCs/>
          <w:color w:val="auto"/>
          <w:sz w:val="32"/>
          <w:szCs w:val="32"/>
          <w:highlight w:val="none"/>
          <w:lang w:eastAsia="zh-CN"/>
        </w:rPr>
        <w:t>移民后扶、乡村振兴</w:t>
      </w:r>
      <w:r>
        <w:rPr>
          <w:rFonts w:hint="eastAsia" w:ascii="仿宋_GB2312" w:eastAsia="仿宋_GB2312"/>
          <w:b w:val="0"/>
          <w:bCs/>
          <w:color w:val="auto"/>
          <w:sz w:val="32"/>
          <w:szCs w:val="32"/>
          <w:highlight w:val="none"/>
        </w:rPr>
        <w:t>等</w:t>
      </w:r>
      <w:r>
        <w:rPr>
          <w:rFonts w:hint="eastAsia" w:ascii="仿宋_GB2312" w:eastAsia="仿宋_GB2312"/>
          <w:b w:val="0"/>
          <w:bCs/>
          <w:color w:val="auto"/>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bidi="ar-SA"/>
        </w:rPr>
        <w:t>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pStyle w:val="2"/>
        <w:shd w:val="clear"/>
        <w:rPr>
          <w:rFonts w:hint="default" w:ascii="楷体_GB2312" w:hAnsi="楷体_GB2312" w:eastAsia="楷体_GB2312" w:cs="楷体_GB2312"/>
          <w:b w:val="0"/>
          <w:bCs/>
          <w:color w:val="auto"/>
          <w:kern w:val="2"/>
          <w:sz w:val="32"/>
          <w:szCs w:val="32"/>
          <w:highlight w:val="none"/>
          <w:lang w:val="en-US" w:eastAsia="zh-CN" w:bidi="ar-SA"/>
        </w:rPr>
      </w:pPr>
      <w:r>
        <w:rPr>
          <w:rFonts w:hint="eastAsia" w:ascii="楷体_GB2312" w:hAnsi="楷体_GB2312" w:eastAsia="楷体_GB2312" w:cs="楷体_GB2312"/>
          <w:b w:val="0"/>
          <w:bCs/>
          <w:color w:val="auto"/>
          <w:kern w:val="2"/>
          <w:sz w:val="32"/>
          <w:szCs w:val="32"/>
          <w:highlight w:val="none"/>
          <w:lang w:val="en-US" w:eastAsia="zh-CN" w:bidi="ar-SA"/>
        </w:rPr>
        <w:t xml:space="preserve">    （四）预算绩效管理情况</w:t>
      </w:r>
    </w:p>
    <w:p>
      <w:pPr>
        <w:spacing w:line="600" w:lineRule="exact"/>
        <w:ind w:firstLine="640"/>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eastAsia="zh-CN"/>
        </w:rPr>
        <w:t>根据预算绩效管理要求，本部门在</w:t>
      </w:r>
      <w:r>
        <w:rPr>
          <w:rFonts w:hint="eastAsia" w:ascii="仿宋_GB2312" w:eastAsia="仿宋_GB2312"/>
          <w:b w:val="0"/>
          <w:bCs/>
          <w:color w:val="auto"/>
          <w:sz w:val="32"/>
          <w:szCs w:val="32"/>
          <w:highlight w:val="none"/>
          <w:lang w:val="en-US" w:eastAsia="zh-CN"/>
        </w:rPr>
        <w:t>2024年度预算编制阶段，组织对河湖管理保护项目等12个项目开展了预算事前绩效评估，对12个项目编制了绩效目标，预算执行过程中，对12个项目开展绩效监控。</w:t>
      </w:r>
    </w:p>
    <w:p>
      <w:pPr>
        <w:pStyle w:val="2"/>
        <w:shd w:val="clear"/>
        <w:rPr>
          <w:rFonts w:hint="eastAsia" w:ascii="仿宋_GB2312" w:hAnsi="Times New Roman" w:eastAsia="仿宋_GB2312" w:cs="Times New Roman"/>
          <w:b w:val="0"/>
          <w:bCs/>
          <w:color w:val="auto"/>
          <w:kern w:val="2"/>
          <w:sz w:val="32"/>
          <w:szCs w:val="32"/>
          <w:highlight w:val="none"/>
          <w:lang w:val="en-US" w:eastAsia="zh-CN" w:bidi="ar-SA"/>
        </w:rPr>
      </w:pPr>
      <w:r>
        <w:rPr>
          <w:rFonts w:hint="eastAsia"/>
          <w:b w:val="0"/>
          <w:bCs/>
          <w:color w:val="auto"/>
          <w:sz w:val="32"/>
          <w:szCs w:val="32"/>
          <w:highlight w:val="none"/>
          <w:lang w:val="en-US" w:eastAsia="zh-CN"/>
        </w:rPr>
        <w:t xml:space="preserve">    </w:t>
      </w:r>
      <w:r>
        <w:rPr>
          <w:rFonts w:hint="eastAsia" w:ascii="仿宋_GB2312" w:hAnsi="Times New Roman" w:eastAsia="仿宋_GB2312" w:cs="Times New Roman"/>
          <w:b w:val="0"/>
          <w:bCs/>
          <w:color w:val="auto"/>
          <w:kern w:val="2"/>
          <w:sz w:val="32"/>
          <w:szCs w:val="32"/>
          <w:highlight w:val="none"/>
          <w:lang w:val="en-US" w:eastAsia="zh-CN" w:bidi="ar-SA"/>
        </w:rPr>
        <w:t>组织对202</w:t>
      </w:r>
      <w:r>
        <w:rPr>
          <w:rFonts w:hint="eastAsia" w:cs="Times New Roman"/>
          <w:b w:val="0"/>
          <w:bCs/>
          <w:color w:val="auto"/>
          <w:kern w:val="2"/>
          <w:sz w:val="32"/>
          <w:szCs w:val="32"/>
          <w:highlight w:val="none"/>
          <w:lang w:val="en-US" w:eastAsia="zh-CN" w:bidi="ar-SA"/>
        </w:rPr>
        <w:t>4</w:t>
      </w:r>
      <w:r>
        <w:rPr>
          <w:rFonts w:hint="eastAsia" w:ascii="仿宋_GB2312" w:hAnsi="Times New Roman" w:eastAsia="仿宋_GB2312" w:cs="Times New Roman"/>
          <w:b w:val="0"/>
          <w:bCs/>
          <w:color w:val="auto"/>
          <w:kern w:val="2"/>
          <w:sz w:val="32"/>
          <w:szCs w:val="32"/>
          <w:highlight w:val="none"/>
          <w:lang w:val="en-US" w:eastAsia="zh-CN" w:bidi="ar-SA"/>
        </w:rPr>
        <w:t>年度一般公共预算、政府性基金预算资金等全面开展绩效自评，形成广元市水利局部门整体（含部门预算项目）绩效自评报告、河湖管理保护项目等专项预算项目绩效自评报告，其中，广元市水利局部门整体（含部门预算项目）绩效自评得分为95.69分，绩效自评综述：严格落实预算绩效管理，突出动态监控，将绩效管理贯穿预算执行全过程，积极发挥绩效结果应用反馈作用，不断提升预算绩效的引领作用，全局各项工作整体稳步提升；河湖管理保护项目等</w:t>
      </w:r>
      <w:r>
        <w:rPr>
          <w:rFonts w:hint="eastAsia" w:cs="Times New Roman"/>
          <w:b w:val="0"/>
          <w:bCs/>
          <w:color w:val="auto"/>
          <w:kern w:val="2"/>
          <w:sz w:val="32"/>
          <w:szCs w:val="32"/>
          <w:highlight w:val="none"/>
          <w:lang w:val="en-US" w:eastAsia="zh-CN" w:bidi="ar-SA"/>
        </w:rPr>
        <w:t>9</w:t>
      </w:r>
      <w:r>
        <w:rPr>
          <w:rFonts w:hint="eastAsia" w:ascii="仿宋_GB2312" w:hAnsi="Times New Roman" w:eastAsia="仿宋_GB2312" w:cs="Times New Roman"/>
          <w:b w:val="0"/>
          <w:bCs/>
          <w:color w:val="auto"/>
          <w:kern w:val="2"/>
          <w:sz w:val="32"/>
          <w:szCs w:val="32"/>
          <w:highlight w:val="none"/>
          <w:lang w:val="en-US" w:eastAsia="zh-CN" w:bidi="ar-SA"/>
        </w:rPr>
        <w:t>个专项预算项目绩效自评得分均为100分，绩效自评综述：</w:t>
      </w:r>
      <w:r>
        <w:rPr>
          <w:rFonts w:hint="eastAsia" w:ascii="仿宋_GB2312" w:hAnsi="Times New Roman" w:eastAsia="仿宋_GB2312" w:cs="Times New Roman"/>
          <w:b w:val="0"/>
          <w:bCs/>
          <w:color w:val="auto"/>
          <w:kern w:val="2"/>
          <w:sz w:val="32"/>
          <w:szCs w:val="32"/>
          <w:highlight w:val="none"/>
          <w:lang w:val="zh-CN" w:eastAsia="zh-CN" w:bidi="ar-SA"/>
        </w:rPr>
        <w:t>全面完成了各项绩效目标，营造了良好的社会舆论氛围，增强了防灾减灾、河湖保护、节水护水等工作，提高了社会各界管理保护水环境的责任意识和参与意识，促进了生态产业化和产业生态化</w:t>
      </w:r>
      <w:r>
        <w:rPr>
          <w:rFonts w:hint="eastAsia" w:ascii="仿宋_GB2312" w:hAnsi="Times New Roman" w:eastAsia="仿宋_GB2312" w:cs="Times New Roman"/>
          <w:b w:val="0"/>
          <w:bCs/>
          <w:color w:val="auto"/>
          <w:kern w:val="2"/>
          <w:sz w:val="32"/>
          <w:szCs w:val="32"/>
          <w:highlight w:val="none"/>
          <w:lang w:val="en-US" w:eastAsia="zh-CN" w:bidi="ar-SA"/>
        </w:rPr>
        <w:t>。绩效自评报告详见附件。</w:t>
      </w:r>
    </w:p>
    <w:p>
      <w:pP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p>
    <w:p>
      <w:pPr>
        <w:rPr>
          <w:rFonts w:hint="default"/>
          <w:lang w:val="en-US" w:eastAsia="zh-CN"/>
        </w:rPr>
      </w:pPr>
    </w:p>
    <w:p>
      <w:pPr>
        <w:numPr>
          <w:ilvl w:val="0"/>
          <w:numId w:val="3"/>
        </w:numPr>
        <w:shd w:val="clear"/>
        <w:spacing w:line="600" w:lineRule="exact"/>
        <w:ind w:firstLine="660" w:firstLineChars="150"/>
        <w:jc w:val="center"/>
        <w:outlineLvl w:val="0"/>
        <w:rPr>
          <w:rStyle w:val="21"/>
          <w:rFonts w:ascii="黑体" w:hAnsi="黑体" w:eastAsia="黑体"/>
          <w:b w:val="0"/>
          <w:color w:val="auto"/>
          <w:highlight w:val="none"/>
        </w:rPr>
      </w:pPr>
      <w:bookmarkStart w:id="64" w:name="_Toc23147"/>
      <w:bookmarkStart w:id="65" w:name="_Toc15377225"/>
      <w:bookmarkStart w:id="66" w:name="_Toc15396613"/>
      <w:r>
        <w:rPr>
          <w:rFonts w:hint="eastAsia" w:ascii="黑体" w:hAnsi="黑体" w:eastAsia="黑体"/>
          <w:color w:val="auto"/>
          <w:sz w:val="44"/>
          <w:szCs w:val="44"/>
          <w:highlight w:val="none"/>
        </w:rPr>
        <w:t>名</w:t>
      </w:r>
      <w:r>
        <w:rPr>
          <w:rStyle w:val="21"/>
          <w:rFonts w:hint="eastAsia" w:ascii="黑体" w:hAnsi="黑体" w:eastAsia="黑体"/>
          <w:b w:val="0"/>
          <w:color w:val="auto"/>
          <w:highlight w:val="none"/>
        </w:rPr>
        <w:t>词解释</w:t>
      </w:r>
      <w:bookmarkEnd w:id="64"/>
      <w:bookmarkEnd w:id="65"/>
      <w:bookmarkEnd w:id="66"/>
    </w:p>
    <w:p>
      <w:pPr>
        <w:shd w:val="clear"/>
        <w:jc w:val="left"/>
        <w:rPr>
          <w:rFonts w:hint="eastAsia" w:ascii="仿宋_GB2312" w:hAnsi="仿宋_GB2312" w:eastAsia="仿宋_GB2312" w:cs="仿宋_GB2312"/>
          <w:color w:val="auto"/>
          <w:sz w:val="44"/>
          <w:szCs w:val="44"/>
          <w:highlight w:val="none"/>
        </w:rPr>
      </w:pPr>
    </w:p>
    <w:p>
      <w:pPr>
        <w:pStyle w:val="30"/>
        <w:numPr>
          <w:ilvl w:val="0"/>
          <w:numId w:val="4"/>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财政拨款收入：指单位从同级财政部门取得的财政预算资金。</w:t>
      </w:r>
    </w:p>
    <w:p>
      <w:pPr>
        <w:pStyle w:val="30"/>
        <w:numPr>
          <w:ilvl w:val="0"/>
          <w:numId w:val="4"/>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其他收入：指单位取得的除上述收入以外的各项收入。主要是省厅拨入项目经费</w:t>
      </w:r>
      <w:r>
        <w:rPr>
          <w:rFonts w:hint="eastAsia" w:ascii="仿宋_GB2312" w:hAnsi="仿宋_GB2312" w:eastAsia="仿宋_GB2312" w:cs="仿宋_GB2312"/>
          <w:color w:val="auto"/>
          <w:sz w:val="32"/>
          <w:szCs w:val="32"/>
          <w:highlight w:val="none"/>
          <w:lang w:eastAsia="zh-CN"/>
        </w:rPr>
        <w:t>。</w:t>
      </w:r>
    </w:p>
    <w:p>
      <w:pPr>
        <w:pStyle w:val="30"/>
        <w:numPr>
          <w:ilvl w:val="0"/>
          <w:numId w:val="4"/>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社会保障和就业支出（类）人力资源和社会保障管理事务（款）引进人才费用（项）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 反映局机关其他用于人力资源和社会保障管理事务方面的支出，主要是指引进高层次人才工作补助。</w:t>
      </w:r>
    </w:p>
    <w:p>
      <w:pPr>
        <w:pStyle w:val="30"/>
        <w:pageBreakBefore w:val="0"/>
        <w:numPr>
          <w:ilvl w:val="0"/>
          <w:numId w:val="4"/>
        </w:numPr>
        <w:shd w:val="clear"/>
        <w:kinsoku/>
        <w:wordWrap/>
        <w:overflowPunct/>
        <w:topLinePunct w:val="0"/>
        <w:bidi w:val="0"/>
        <w:spacing w:line="576" w:lineRule="exact"/>
        <w:ind w:left="0" w:leftChars="0" w:firstLine="400" w:firstLineChars="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社会保障和就业支出（类）行政事业单位养老支出（款）机关事业单位基本养老保险缴费支出（项）：反映机关事业单位实施养老保险制度由单位缴纳的基本养老保险费支出。</w:t>
      </w:r>
    </w:p>
    <w:p>
      <w:pPr>
        <w:pStyle w:val="30"/>
        <w:pageBreakBefore w:val="0"/>
        <w:numPr>
          <w:ilvl w:val="0"/>
          <w:numId w:val="4"/>
        </w:numPr>
        <w:shd w:val="clear"/>
        <w:kinsoku/>
        <w:wordWrap/>
        <w:overflowPunct/>
        <w:topLinePunct w:val="0"/>
        <w:bidi w:val="0"/>
        <w:spacing w:line="576" w:lineRule="exact"/>
        <w:ind w:left="0" w:leftChars="0" w:firstLine="400" w:firstLineChars="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社会保障和就业支出（类）行政事业单位养老支出（款）机关事业单位职业年金缴费支出（项）：反映机关事业单位实施养老保险制度由单位缴纳的职业年金支出。</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卫生健康支出（类）行政事业单位医疗（款）行政单位医疗（项）：反映财政部门安排的行政单位（包括试行公务员管理的事业单位）基本医疗保险缴费经费，未参加医疗保险的行政单位的公费医疗经费，按国家规定享受离休人员、红军老战士待遇人员的医疗经费。</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农林水支出（类）水利（款）行政运行（项）：指行政单位的基本支出。</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农林水支出（类）水利（款）一般行政管理事务（项）：反映行政单位（包括实行公务员管理的事业单位）未单独设置项级科目的其他项目支出。</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利行业业务管理（项）：指反映用于水利行业业务管理方面的支出。有关业务包括制定政策、法规及行业标准、进行水利宣传、审计监督检查、精神文明建设及农田水利管理、水利重大活动、水利工程质量监管、水利资金监督管理、水利国有资产监管、行政许可及监督管理等。</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土保持（项）：反映水利系统纳入预算管理的水土保持事业单位的支出，包括规划制定和实施，治理、生态修复、预防监测、调查协调、综合治理、开发技术示范、监督执法等支出以及水土保持生态工程措施和各项管理保护活动支出。</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资源节约管理与保护（项）：反映水利系统纳入预算管理的水资源管理与保护事业单位的支出。有关事项包括进行水资源调查评价和水资源规划，水量分配方案、节水以及相关标准的制定和监督实施，组织实施流域或跨流域水资源调度，水功能区监督管理，取水许可、江河湖库及水源地保护监管，水资源公报发布，基础资料整编，水量调度，节约用水，设备仪器运行维护，入河排污口监督管理、审定水域纳污能力和限制排污控制，水资源论证，地下水资源管理，超采区治理和保护，用水定额管理，水务管理和各项保护管理等。</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文测报（项）：反映水利系统纳入预算管理的水文事业单位的支出。有关事项包括江河湖库、海滨、区的水文测报，水文测检、水文情报预报、河道监测、水量调度监测，水文业务管理，水文水资源公报编制，水文资料整编及水文设施运行维护等。</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防汛（项）：反映防汛业务支出。有关事项包括防汛物资购置管护，防汛通讯设施设备、网络系统、车船设备运行维护，防汛值班、水情报汛、防汛指挥系统运行维护、水毁修复以及防汛组织，汛期调用民工及劳动保护，灾后重建，退田还湖，蓄滞洪区补偿、水情、雨情、决策支持，视频会商等。</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农林水支出（类）水利（款）其他水利支出（项）：反映除上述项目以外其他用于水利方面的支出。</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农林水支出（类）巩固脱贫衔接乡村振兴（款）事业运行（项）：反映事业单位基本支出，不包括行政单位（包括实行公务员管理的事业单位）后勤服务中心、医务室等附属事业单位的支出。</w:t>
      </w:r>
    </w:p>
    <w:p>
      <w:pPr>
        <w:numPr>
          <w:ilvl w:val="0"/>
          <w:numId w:val="4"/>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住房保障支出（类）住房改革支出（款）住房公积金（项）：反映行政事业单位按人力资源和社会保障部、财政部规定的基本工资和津贴补贴以及规定比例为职工缴纳的住房公积金。</w:t>
      </w:r>
    </w:p>
    <w:p>
      <w:pPr>
        <w:numPr>
          <w:ilvl w:val="0"/>
          <w:numId w:val="4"/>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4"/>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30"/>
        <w:numPr>
          <w:ilvl w:val="0"/>
          <w:numId w:val="4"/>
        </w:numPr>
        <w:shd w:val="clea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0"/>
        <w:numPr>
          <w:ilvl w:val="0"/>
          <w:numId w:val="4"/>
        </w:numPr>
        <w:shd w:val="clea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hd w:val="clear"/>
        <w:spacing w:line="600" w:lineRule="exact"/>
        <w:jc w:val="center"/>
        <w:outlineLvl w:val="9"/>
        <w:rPr>
          <w:rFonts w:ascii="宋体"/>
          <w:b/>
          <w:color w:val="auto"/>
          <w:sz w:val="44"/>
          <w:szCs w:val="44"/>
          <w:highlight w:val="none"/>
        </w:rPr>
      </w:pPr>
      <w:bookmarkStart w:id="67" w:name="_Toc15377226"/>
      <w:r>
        <w:rPr>
          <w:rFonts w:ascii="宋体"/>
          <w:b/>
          <w:color w:val="auto"/>
          <w:sz w:val="44"/>
          <w:szCs w:val="44"/>
          <w:highlight w:val="none"/>
        </w:rPr>
        <w:br w:type="page"/>
      </w:r>
      <w:bookmarkStart w:id="68" w:name="_Toc15396614"/>
    </w:p>
    <w:p>
      <w:pPr>
        <w:shd w:val="clear"/>
        <w:spacing w:line="600" w:lineRule="exact"/>
        <w:jc w:val="center"/>
        <w:outlineLvl w:val="9"/>
        <w:rPr>
          <w:rFonts w:ascii="宋体"/>
          <w:b/>
          <w:color w:val="auto"/>
          <w:sz w:val="44"/>
          <w:szCs w:val="44"/>
          <w:highlight w:val="none"/>
        </w:rPr>
      </w:pPr>
    </w:p>
    <w:p>
      <w:pPr>
        <w:shd w:val="clear"/>
        <w:spacing w:line="600" w:lineRule="exact"/>
        <w:jc w:val="center"/>
        <w:outlineLvl w:val="0"/>
        <w:rPr>
          <w:rStyle w:val="21"/>
          <w:rFonts w:hint="eastAsia" w:ascii="黑体" w:hAnsi="黑体" w:eastAsia="黑体"/>
          <w:b w:val="0"/>
          <w:color w:val="auto"/>
          <w:highlight w:val="none"/>
          <w:lang w:eastAsia="zh-CN"/>
        </w:rPr>
      </w:pPr>
      <w:bookmarkStart w:id="69" w:name="_Toc2492"/>
      <w:r>
        <w:rPr>
          <w:rFonts w:hint="eastAsia" w:ascii="黑体" w:hAnsi="黑体" w:eastAsia="黑体"/>
          <w:color w:val="auto"/>
          <w:sz w:val="44"/>
          <w:szCs w:val="44"/>
          <w:highlight w:val="none"/>
        </w:rPr>
        <w:t>第</w:t>
      </w:r>
      <w:r>
        <w:rPr>
          <w:rStyle w:val="21"/>
          <w:rFonts w:hint="eastAsia" w:ascii="黑体" w:hAnsi="黑体" w:eastAsia="黑体"/>
          <w:b w:val="0"/>
          <w:color w:val="auto"/>
          <w:highlight w:val="none"/>
        </w:rPr>
        <w:t>四部分 附件</w:t>
      </w:r>
      <w:bookmarkEnd w:id="68"/>
      <w:bookmarkEnd w:id="69"/>
    </w:p>
    <w:p>
      <w:pPr>
        <w:keepNext w:val="0"/>
        <w:keepLines w:val="0"/>
        <w:pageBreakBefore w:val="0"/>
        <w:shd w:val="clear"/>
        <w:kinsoku/>
        <w:wordWrap/>
        <w:overflowPunct/>
        <w:topLinePunct w:val="0"/>
        <w:autoSpaceDE/>
        <w:autoSpaceDN/>
        <w:bidi w:val="0"/>
        <w:spacing w:line="572" w:lineRule="exact"/>
        <w:jc w:val="left"/>
        <w:textAlignment w:val="auto"/>
        <w:outlineLvl w:val="0"/>
        <w:rPr>
          <w:rFonts w:hint="eastAsia" w:ascii="黑体" w:hAnsi="黑体" w:eastAsia="黑体" w:cs="黑体"/>
          <w:color w:val="auto"/>
          <w:sz w:val="32"/>
          <w:szCs w:val="32"/>
          <w:highlight w:val="none"/>
          <w:lang w:val="en-US" w:eastAsia="zh-CN"/>
        </w:rPr>
      </w:pPr>
      <w:bookmarkStart w:id="70" w:name="_Toc16531"/>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End w:id="70"/>
    </w:p>
    <w:p>
      <w:pPr>
        <w:keepNext w:val="0"/>
        <w:keepLines w:val="0"/>
        <w:pageBreakBefore w:val="0"/>
        <w:widowControl/>
        <w:kinsoku/>
        <w:wordWrap/>
        <w:overflowPunct/>
        <w:topLinePunct w:val="0"/>
        <w:autoSpaceDE/>
        <w:autoSpaceDN/>
        <w:bidi w:val="0"/>
        <w:spacing w:line="560" w:lineRule="exact"/>
        <w:contextualSpacing/>
        <w:jc w:val="center"/>
        <w:textAlignment w:val="auto"/>
        <w:rPr>
          <w:rFonts w:hint="eastAsia" w:ascii="方正小标宋简体" w:hAnsi="方正小标宋简体" w:eastAsia="方正小标宋简体" w:cs="方正小标宋简体"/>
          <w:b w:val="0"/>
          <w:bCs w:val="0"/>
          <w:sz w:val="44"/>
          <w:szCs w:val="44"/>
          <w:highlight w:val="none"/>
          <w:shd w:val="clear" w:color="auto" w:fill="FFFFFF"/>
          <w:lang w:eastAsia="zh-CN"/>
        </w:rPr>
      </w:pPr>
      <w:r>
        <w:rPr>
          <w:rFonts w:hint="eastAsia" w:ascii="方正小标宋简体" w:hAnsi="方正小标宋简体" w:eastAsia="方正小标宋简体" w:cs="方正小标宋简体"/>
          <w:b w:val="0"/>
          <w:bCs w:val="0"/>
          <w:sz w:val="44"/>
          <w:szCs w:val="44"/>
          <w:highlight w:val="none"/>
          <w:shd w:val="clear" w:color="auto" w:fill="FFFFFF"/>
          <w:lang w:eastAsia="zh-CN"/>
        </w:rPr>
        <w:t>广元市水利局</w:t>
      </w:r>
      <w:r>
        <w:rPr>
          <w:rFonts w:hint="eastAsia" w:ascii="方正小标宋简体" w:hAnsi="方正小标宋简体" w:eastAsia="方正小标宋简体" w:cs="方正小标宋简体"/>
          <w:b w:val="0"/>
          <w:bCs w:val="0"/>
          <w:sz w:val="44"/>
          <w:szCs w:val="44"/>
          <w:highlight w:val="none"/>
          <w:shd w:val="clear" w:color="auto" w:fill="FFFFFF"/>
        </w:rPr>
        <w:t>20</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24</w:t>
      </w:r>
      <w:r>
        <w:rPr>
          <w:rFonts w:hint="eastAsia" w:ascii="方正小标宋简体" w:hAnsi="方正小标宋简体" w:eastAsia="方正小标宋简体" w:cs="方正小标宋简体"/>
          <w:b w:val="0"/>
          <w:bCs w:val="0"/>
          <w:sz w:val="44"/>
          <w:szCs w:val="44"/>
          <w:highlight w:val="none"/>
          <w:shd w:val="clear" w:color="auto" w:fill="FFFFFF"/>
        </w:rPr>
        <w:t>年部门整体</w:t>
      </w:r>
      <w:r>
        <w:rPr>
          <w:rFonts w:hint="eastAsia" w:ascii="方正小标宋简体" w:hAnsi="方正小标宋简体" w:eastAsia="方正小标宋简体" w:cs="方正小标宋简体"/>
          <w:b w:val="0"/>
          <w:bCs w:val="0"/>
          <w:sz w:val="44"/>
          <w:szCs w:val="44"/>
          <w:highlight w:val="none"/>
          <w:shd w:val="clear" w:color="auto" w:fill="FFFFFF"/>
          <w:lang w:eastAsia="zh-CN"/>
        </w:rPr>
        <w:t>支出</w:t>
      </w:r>
    </w:p>
    <w:p>
      <w:pPr>
        <w:keepNext w:val="0"/>
        <w:keepLines w:val="0"/>
        <w:pageBreakBefore w:val="0"/>
        <w:widowControl/>
        <w:kinsoku/>
        <w:wordWrap/>
        <w:overflowPunct/>
        <w:topLinePunct w:val="0"/>
        <w:autoSpaceDE/>
        <w:autoSpaceDN/>
        <w:bidi w:val="0"/>
        <w:spacing w:line="560" w:lineRule="exact"/>
        <w:contextualSpacing/>
        <w:jc w:val="center"/>
        <w:textAlignment w:val="auto"/>
        <w:rPr>
          <w:rFonts w:hint="eastAsia" w:ascii="楷体_GB2312" w:hAnsi="楷体_GB2312" w:eastAsia="方正小标宋简体" w:cs="楷体_GB2312"/>
          <w:b w:val="0"/>
          <w:bCs w:val="0"/>
          <w:sz w:val="44"/>
          <w:szCs w:val="44"/>
          <w:highlight w:val="none"/>
          <w:shd w:val="clear" w:color="auto" w:fill="FFFFFF"/>
          <w:lang w:eastAsia="zh-CN"/>
        </w:rPr>
      </w:pPr>
      <w:r>
        <w:rPr>
          <w:rFonts w:hint="eastAsia" w:ascii="方正小标宋简体" w:hAnsi="方正小标宋简体" w:eastAsia="方正小标宋简体" w:cs="方正小标宋简体"/>
          <w:b w:val="0"/>
          <w:bCs w:val="0"/>
          <w:sz w:val="44"/>
          <w:szCs w:val="44"/>
          <w:highlight w:val="none"/>
          <w:shd w:val="clear" w:color="auto" w:fill="FFFFFF"/>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lang w:val="en-US" w:eastAsia="zh-CN"/>
        </w:rPr>
      </w:pPr>
    </w:p>
    <w:p>
      <w:pPr>
        <w:keepNext w:val="0"/>
        <w:keepLines w:val="0"/>
        <w:pageBreakBefore w:val="0"/>
        <w:widowControl w:val="0"/>
        <w:numPr>
          <w:ilvl w:val="0"/>
          <w:numId w:val="5"/>
        </w:numPr>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黑体" w:hAnsi="黑体" w:eastAsia="黑体" w:cs="黑体"/>
          <w:b w:val="0"/>
          <w:bCs w:val="0"/>
          <w:color w:val="000000"/>
          <w:kern w:val="0"/>
          <w:sz w:val="32"/>
          <w:szCs w:val="32"/>
          <w:highlight w:val="none"/>
          <w:shd w:val="clear" w:color="auto" w:fill="FFFFFF"/>
          <w:lang w:val="zh-CN"/>
        </w:rPr>
      </w:pPr>
      <w:r>
        <w:rPr>
          <w:rFonts w:hint="eastAsia" w:ascii="黑体" w:hAnsi="黑体" w:eastAsia="黑体" w:cs="黑体"/>
          <w:b w:val="0"/>
          <w:bCs w:val="0"/>
          <w:color w:val="000000"/>
          <w:kern w:val="0"/>
          <w:sz w:val="32"/>
          <w:szCs w:val="32"/>
          <w:highlight w:val="none"/>
          <w:shd w:val="clear" w:color="auto" w:fill="FFFFFF"/>
          <w:lang w:val="zh-CN"/>
        </w:rPr>
        <w:t>部门（单位）基本情况</w:t>
      </w:r>
    </w:p>
    <w:p>
      <w:pPr>
        <w:keepNext w:val="0"/>
        <w:keepLines w:val="0"/>
        <w:pageBreakBefore w:val="0"/>
        <w:widowControl w:val="0"/>
        <w:numPr>
          <w:ilvl w:val="0"/>
          <w:numId w:val="6"/>
        </w:numPr>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机构组成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我局</w:t>
      </w:r>
      <w:r>
        <w:rPr>
          <w:rFonts w:hint="eastAsia" w:ascii="仿宋_GB2312" w:hAnsi="仿宋_GB2312" w:eastAsia="仿宋_GB2312" w:cs="仿宋_GB2312"/>
          <w:sz w:val="32"/>
          <w:szCs w:val="32"/>
          <w:lang w:val="en-US" w:eastAsia="zh-CN"/>
        </w:rPr>
        <w:t>内设科室13个，分别为办公室、财务科、人事科、规划与建设管理科、政策法规科(行政审批科、执法监督科)、水资源科（市节约用水办公室）、河湖管理科(市河长制办公室)、水土保持科、农村水利科、水旱灾害防御科、综合执法科、移民工作管理科、水利水电安全监督科。下设事业单位4个，分别为广元市水土保持站（参公管理），四川省广元水土保持生态环境监测分站、广元市水利水电综合服务中心（市水利水电工程质量与安全事务中心）、市河湖管理保护总站（市水旱灾害防御中心）。</w:t>
      </w:r>
    </w:p>
    <w:p>
      <w:pPr>
        <w:keepNext w:val="0"/>
        <w:keepLines w:val="0"/>
        <w:pageBreakBefore w:val="0"/>
        <w:widowControl w:val="0"/>
        <w:numPr>
          <w:ilvl w:val="0"/>
          <w:numId w:val="6"/>
        </w:numPr>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机构职能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贯彻执行国家有关水行政管理工作的方针、政策和法律、法规，负责统一监督管理全市水资源（含地表水和地下水）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水资源保护工作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组织建设和管理重要水利工程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承担广元市防汛抗旱指挥部的日常工作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全市河（湖）长制日常工作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负责水土保持工作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依法负责全市水利行业综合安全监督管理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水利水电工程移民安置和后期扶持工作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组织指导全市重大水利项目对外合作工作；指导全市有关水利等项目的科学研究和技术推广</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全市水利行业队伍建设、服务体系建设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承担水利统计工作</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市政府公布的行政审批和公共服务事项。负责市栖凤湖水位调蓄、河道治“四乱”、堤防设施维护及安全巡查等事务工作。</w:t>
      </w:r>
    </w:p>
    <w:p>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en-US" w:eastAsia="zh-CN"/>
        </w:rPr>
      </w:pPr>
      <w:r>
        <w:rPr>
          <w:rFonts w:hint="eastAsia" w:ascii="楷体_GB2312" w:hAnsi="楷体_GB2312" w:eastAsia="楷体_GB2312" w:cs="楷体_GB2312"/>
          <w:b w:val="0"/>
          <w:bCs w:val="0"/>
          <w:color w:val="000000"/>
          <w:kern w:val="0"/>
          <w:sz w:val="32"/>
          <w:szCs w:val="32"/>
          <w:highlight w:val="none"/>
          <w:shd w:val="clear" w:color="auto" w:fill="FFFFFF"/>
          <w:lang w:val="en-US" w:eastAsia="zh-CN"/>
        </w:rPr>
        <w:t>人员概况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highlight w:val="yellow"/>
          <w:lang w:val="zh-CN"/>
        </w:rPr>
      </w:pP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年末，</w:t>
      </w:r>
      <w:r>
        <w:rPr>
          <w:rFonts w:hint="eastAsia" w:ascii="仿宋_GB2312" w:hAnsi="仿宋_GB2312" w:eastAsia="仿宋_GB2312" w:cs="仿宋_GB2312"/>
          <w:sz w:val="32"/>
          <w:szCs w:val="32"/>
          <w:highlight w:val="none"/>
        </w:rPr>
        <w:t>市水利局单位编制总数76</w:t>
      </w:r>
      <w:r>
        <w:rPr>
          <w:rFonts w:hint="eastAsia" w:ascii="仿宋_GB2312" w:hAnsi="仿宋_GB2312" w:eastAsia="仿宋_GB2312" w:cs="仿宋_GB2312"/>
          <w:sz w:val="32"/>
          <w:szCs w:val="32"/>
          <w:highlight w:val="none"/>
          <w:lang w:eastAsia="zh-CN"/>
        </w:rPr>
        <w:t>个，</w:t>
      </w:r>
      <w:r>
        <w:rPr>
          <w:rFonts w:hint="eastAsia" w:ascii="仿宋_GB2312" w:hAnsi="仿宋_GB2312" w:eastAsia="仿宋_GB2312" w:cs="仿宋_GB2312"/>
          <w:sz w:val="32"/>
          <w:szCs w:val="32"/>
          <w:highlight w:val="none"/>
        </w:rPr>
        <w:t>其中行政编制</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lang w:eastAsia="zh-CN"/>
        </w:rPr>
        <w:t>个</w:t>
      </w:r>
      <w:r>
        <w:rPr>
          <w:rFonts w:hint="eastAsia" w:ascii="仿宋_GB2312" w:hAnsi="仿宋_GB2312" w:eastAsia="仿宋_GB2312" w:cs="仿宋_GB2312"/>
          <w:sz w:val="32"/>
          <w:szCs w:val="32"/>
          <w:highlight w:val="none"/>
        </w:rPr>
        <w:t>，参照公务员管理事业编制</w:t>
      </w:r>
      <w:r>
        <w:rPr>
          <w:rFonts w:hint="eastAsia" w:ascii="仿宋_GB2312" w:hAnsi="仿宋_GB2312" w:eastAsia="仿宋_GB2312" w:cs="仿宋_GB2312"/>
          <w:sz w:val="32"/>
          <w:szCs w:val="32"/>
          <w:highlight w:val="none"/>
          <w:lang w:val="en-US" w:eastAsia="zh-CN"/>
        </w:rPr>
        <w:t>17个</w:t>
      </w:r>
      <w:r>
        <w:rPr>
          <w:rFonts w:hint="eastAsia" w:ascii="仿宋_GB2312" w:hAnsi="仿宋_GB2312" w:eastAsia="仿宋_GB2312" w:cs="仿宋_GB2312"/>
          <w:sz w:val="32"/>
          <w:szCs w:val="32"/>
          <w:highlight w:val="none"/>
        </w:rPr>
        <w:t>，事业编制</w:t>
      </w:r>
      <w:r>
        <w:rPr>
          <w:rFonts w:hint="eastAsia" w:ascii="仿宋_GB2312" w:hAnsi="仿宋_GB2312" w:eastAsia="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highlight w:val="none"/>
        </w:rPr>
        <w:t>，工勤人员3人。202</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年</w:t>
      </w:r>
      <w:r>
        <w:rPr>
          <w:rFonts w:hint="eastAsia" w:ascii="仿宋_GB2312" w:hAnsi="仿宋_GB2312" w:eastAsia="仿宋_GB2312" w:cs="仿宋_GB2312"/>
          <w:sz w:val="32"/>
          <w:szCs w:val="32"/>
          <w:highlight w:val="none"/>
        </w:rPr>
        <w:t>末</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市水利局实有在职人员</w:t>
      </w:r>
      <w:r>
        <w:rPr>
          <w:rFonts w:hint="eastAsia" w:ascii="仿宋_GB2312" w:hAnsi="仿宋_GB2312" w:eastAsia="仿宋_GB2312" w:cs="仿宋_GB2312"/>
          <w:sz w:val="32"/>
          <w:szCs w:val="32"/>
          <w:highlight w:val="none"/>
          <w:lang w:val="en-US" w:eastAsia="zh-CN"/>
        </w:rPr>
        <w:t>7</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人，其中行政编制</w:t>
      </w:r>
      <w:r>
        <w:rPr>
          <w:rFonts w:hint="eastAsia" w:ascii="仿宋_GB2312" w:hAnsi="仿宋_GB2312" w:eastAsia="仿宋_GB2312" w:cs="仿宋_GB2312"/>
          <w:sz w:val="32"/>
          <w:szCs w:val="32"/>
          <w:highlight w:val="none"/>
          <w:lang w:val="en-US" w:eastAsia="zh-CN"/>
        </w:rPr>
        <w:t>2</w:t>
      </w:r>
      <w:r>
        <w:rPr>
          <w:rFonts w:hint="eastAsia" w:ascii="仿宋_GB2312" w:hAnsi="仿宋_GB2312" w:cs="仿宋_GB2312"/>
          <w:sz w:val="32"/>
          <w:szCs w:val="32"/>
          <w:highlight w:val="none"/>
          <w:lang w:val="en-US" w:eastAsia="zh-CN"/>
        </w:rPr>
        <w:t>8</w:t>
      </w:r>
      <w:r>
        <w:rPr>
          <w:rFonts w:hint="eastAsia" w:ascii="仿宋_GB2312" w:hAnsi="仿宋_GB2312" w:eastAsia="仿宋_GB2312" w:cs="仿宋_GB2312"/>
          <w:sz w:val="32"/>
          <w:szCs w:val="32"/>
          <w:highlight w:val="none"/>
        </w:rPr>
        <w:t>人，参照公务员管理事业编制</w:t>
      </w:r>
      <w:r>
        <w:rPr>
          <w:rFonts w:hint="eastAsia" w:ascii="仿宋_GB2312" w:hAnsi="仿宋_GB2312" w:cs="仿宋_GB2312"/>
          <w:sz w:val="32"/>
          <w:szCs w:val="32"/>
          <w:highlight w:val="none"/>
          <w:lang w:val="en-US" w:eastAsia="zh-CN"/>
        </w:rPr>
        <w:t>8</w:t>
      </w:r>
      <w:r>
        <w:rPr>
          <w:rFonts w:hint="eastAsia" w:ascii="仿宋_GB2312" w:hAnsi="仿宋_GB2312" w:eastAsia="仿宋_GB2312" w:cs="仿宋_GB2312"/>
          <w:sz w:val="32"/>
          <w:szCs w:val="32"/>
          <w:highlight w:val="none"/>
        </w:rPr>
        <w:t>人，事业编制</w:t>
      </w:r>
      <w:r>
        <w:rPr>
          <w:rFonts w:hint="eastAsia" w:ascii="仿宋_GB2312" w:hAnsi="仿宋_GB2312" w:eastAsia="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人，工勤人员3人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退休人员6</w:t>
      </w:r>
      <w:r>
        <w:rPr>
          <w:rFonts w:hint="eastAsia" w:ascii="仿宋_GB2312" w:hAnsi="仿宋_GB2312" w:cs="仿宋_GB2312"/>
          <w:sz w:val="32"/>
          <w:szCs w:val="32"/>
          <w:highlight w:val="none"/>
          <w:lang w:val="en-US" w:eastAsia="zh-CN"/>
        </w:rPr>
        <w:t>7</w:t>
      </w:r>
      <w:r>
        <w:rPr>
          <w:rFonts w:hint="eastAsia" w:ascii="仿宋_GB2312" w:hAnsi="仿宋_GB2312" w:eastAsia="仿宋_GB2312" w:cs="仿宋_GB2312"/>
          <w:sz w:val="32"/>
          <w:szCs w:val="32"/>
          <w:highlight w:val="none"/>
          <w:lang w:val="en-US" w:eastAsia="zh-CN"/>
        </w:rPr>
        <w:t>人，遗属人员5人。</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黑体" w:hAnsi="黑体" w:eastAsia="黑体" w:cs="黑体"/>
          <w:b w:val="0"/>
          <w:bCs w:val="0"/>
          <w:color w:val="000000"/>
          <w:kern w:val="0"/>
          <w:sz w:val="32"/>
          <w:szCs w:val="32"/>
          <w:highlight w:val="none"/>
          <w:shd w:val="clear" w:color="auto" w:fill="FFFFFF"/>
        </w:rPr>
      </w:pPr>
      <w:r>
        <w:rPr>
          <w:rFonts w:hint="eastAsia" w:ascii="黑体" w:hAnsi="黑体" w:eastAsia="黑体" w:cs="黑体"/>
          <w:b w:val="0"/>
          <w:bCs w:val="0"/>
          <w:color w:val="000000"/>
          <w:kern w:val="0"/>
          <w:sz w:val="32"/>
          <w:szCs w:val="32"/>
          <w:highlight w:val="none"/>
          <w:shd w:val="clear" w:color="auto" w:fill="FFFFFF"/>
        </w:rPr>
        <w:t>二、</w:t>
      </w:r>
      <w:r>
        <w:rPr>
          <w:rFonts w:hint="eastAsia" w:ascii="黑体" w:hAnsi="黑体" w:eastAsia="黑体" w:cs="黑体"/>
          <w:b w:val="0"/>
          <w:bCs w:val="0"/>
          <w:color w:val="000000"/>
          <w:kern w:val="0"/>
          <w:sz w:val="32"/>
          <w:szCs w:val="32"/>
          <w:highlight w:val="none"/>
          <w:shd w:val="clear" w:color="auto" w:fill="FFFFFF"/>
          <w:lang w:eastAsia="zh-CN"/>
        </w:rPr>
        <w:t>部门</w:t>
      </w:r>
      <w:r>
        <w:rPr>
          <w:rFonts w:hint="eastAsia" w:ascii="黑体" w:hAnsi="黑体" w:eastAsia="黑体" w:cs="黑体"/>
          <w:b w:val="0"/>
          <w:bCs w:val="0"/>
          <w:color w:val="000000"/>
          <w:kern w:val="0"/>
          <w:sz w:val="32"/>
          <w:szCs w:val="32"/>
          <w:highlight w:val="none"/>
          <w:shd w:val="clear" w:color="auto" w:fill="FFFFFF"/>
        </w:rPr>
        <w:t>资金收支情况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（一）收入情况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1.年初预算收入情况。2024年年初预算收入安排资金为2021.98</w:t>
      </w:r>
      <w:r>
        <w:rPr>
          <w:rFonts w:hint="eastAsia" w:ascii="仿宋_GB2312" w:hAnsi="仿宋_GB2312" w:eastAsia="仿宋_GB2312" w:cs="仿宋_GB2312"/>
          <w:sz w:val="32"/>
          <w:szCs w:val="32"/>
          <w:highlight w:val="none"/>
          <w:lang w:val="en-US" w:eastAsia="zh-CN"/>
        </w:rPr>
        <w:t>万元，全为一般公共预算拨款收入，包括机关人员、运转经费1591.78万元，项目经费430.2万元。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b w:val="0"/>
          <w:bCs w:val="0"/>
          <w:sz w:val="32"/>
          <w:szCs w:val="32"/>
          <w:lang w:val="en-US" w:eastAsia="zh-CN"/>
        </w:rPr>
        <w:t>决算报表收入情况。</w:t>
      </w:r>
      <w:r>
        <w:rPr>
          <w:rFonts w:hint="eastAsia" w:ascii="仿宋_GB2312" w:hAnsi="仿宋_GB2312" w:eastAsia="仿宋_GB2312" w:cs="仿宋_GB2312"/>
          <w:color w:val="auto"/>
          <w:sz w:val="32"/>
          <w:szCs w:val="32"/>
          <w:highlight w:val="none"/>
          <w:lang w:val="en-US" w:eastAsia="zh-CN"/>
        </w:rPr>
        <w:t>2024年决算收入3610.65万元，包括</w:t>
      </w:r>
      <w:r>
        <w:rPr>
          <w:rFonts w:hint="eastAsia" w:ascii="仿宋_GB2312" w:hAnsi="仿宋_GB2312" w:eastAsia="仿宋_GB2312" w:cs="仿宋_GB2312"/>
          <w:sz w:val="32"/>
          <w:szCs w:val="32"/>
          <w:highlight w:val="none"/>
          <w:lang w:val="en-US" w:eastAsia="zh-CN"/>
        </w:rPr>
        <w:t>一般公共预算拨款收入2551.24万元，政府基金预算财政拨款收入1059.41万元</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shd w:val="clear" w:color="auto" w:fill="FFFFFF"/>
          <w:lang w:val="en-US" w:eastAsia="zh-CN"/>
        </w:rPr>
      </w:pPr>
      <w:r>
        <w:rPr>
          <w:rFonts w:hint="eastAsia" w:ascii="仿宋_GB2312" w:hAnsi="仿宋_GB2312" w:eastAsia="仿宋_GB2312" w:cs="仿宋_GB2312"/>
          <w:b w:val="0"/>
          <w:bCs w:val="0"/>
          <w:color w:val="000000"/>
          <w:kern w:val="0"/>
          <w:sz w:val="32"/>
          <w:szCs w:val="32"/>
          <w:highlight w:val="none"/>
          <w:shd w:val="clear" w:color="auto" w:fill="FFFFFF"/>
          <w:lang w:val="en-US" w:eastAsia="zh-CN"/>
        </w:rPr>
        <w:t>（二）支出情况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shd w:val="clear" w:color="auto" w:fill="FFFFFF"/>
          <w:lang w:val="en-US" w:eastAsia="zh-CN"/>
        </w:rPr>
        <w:t>1.</w:t>
      </w:r>
      <w:r>
        <w:rPr>
          <w:rFonts w:hint="eastAsia" w:ascii="仿宋_GB2312" w:hAnsi="仿宋_GB2312" w:eastAsia="仿宋_GB2312" w:cs="仿宋_GB2312"/>
          <w:sz w:val="32"/>
          <w:szCs w:val="32"/>
          <w:highlight w:val="none"/>
          <w:lang w:val="en-US" w:eastAsia="zh-CN"/>
        </w:rPr>
        <w:t xml:space="preserve">年初预算支出情况。2024年年初预算支出1999.37万元。其中社会保障和就业支出135.84万元；卫生健康支出40.38万元；农林水支出1727.41万元；住房保障支出95.74万元。 </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b w:val="0"/>
          <w:bCs w:val="0"/>
          <w:sz w:val="32"/>
          <w:szCs w:val="32"/>
          <w:lang w:val="en-US" w:eastAsia="zh-CN"/>
        </w:rPr>
        <w:t>决算报表支出情况。2024年决算支出3610.65万元，</w:t>
      </w:r>
      <w:r>
        <w:rPr>
          <w:rFonts w:hint="eastAsia" w:ascii="仿宋_GB2312" w:hAnsi="仿宋_GB2312" w:eastAsia="仿宋_GB2312" w:cs="仿宋_GB2312"/>
          <w:sz w:val="32"/>
          <w:szCs w:val="32"/>
          <w:highlight w:val="none"/>
          <w:lang w:val="en-US" w:eastAsia="zh-CN"/>
        </w:rPr>
        <w:t>其中社会保障和就业支出176.08万元，卫生健康支出40.38万元，城乡社区支出1059.41万元，农林水支出2239.04万元，住房保障支出95.74万元。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Chars="200"/>
        <w:contextualSpacing/>
        <w:jc w:val="both"/>
        <w:textAlignment w:val="auto"/>
        <w:rPr>
          <w:rFonts w:hint="eastAsia" w:ascii="仿宋_GB2312" w:hAnsi="仿宋_GB2312" w:eastAsia="仿宋_GB2312" w:cs="仿宋_GB2312"/>
          <w:b w:val="0"/>
          <w:bCs w:val="0"/>
          <w:color w:val="000000"/>
          <w:kern w:val="0"/>
          <w:sz w:val="32"/>
          <w:szCs w:val="32"/>
          <w:highlight w:val="none"/>
          <w:shd w:val="clear" w:color="auto" w:fill="FFFFFF"/>
          <w:lang w:val="en-US" w:eastAsia="zh-CN"/>
        </w:rPr>
      </w:pPr>
      <w:r>
        <w:rPr>
          <w:rFonts w:hint="eastAsia" w:ascii="仿宋_GB2312" w:hAnsi="仿宋_GB2312" w:eastAsia="仿宋_GB2312" w:cs="仿宋_GB2312"/>
          <w:b w:val="0"/>
          <w:bCs w:val="0"/>
          <w:color w:val="000000"/>
          <w:kern w:val="0"/>
          <w:sz w:val="32"/>
          <w:szCs w:val="32"/>
          <w:highlight w:val="none"/>
          <w:shd w:val="clear" w:color="auto" w:fill="FFFFFF"/>
          <w:lang w:val="en-US" w:eastAsia="zh-CN"/>
        </w:rPr>
        <w:t>（三）结转结余情况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2024年，决算报表财政拨款结转结余0万元。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Chars="200"/>
        <w:contextualSpacing/>
        <w:jc w:val="both"/>
        <w:textAlignment w:val="auto"/>
        <w:rPr>
          <w:rFonts w:hint="eastAsia" w:ascii="黑体" w:hAnsi="黑体" w:eastAsia="黑体" w:cs="黑体"/>
          <w:b w:val="0"/>
          <w:bCs w:val="0"/>
          <w:color w:val="000000"/>
          <w:kern w:val="0"/>
          <w:sz w:val="32"/>
          <w:szCs w:val="32"/>
          <w:highlight w:val="none"/>
          <w:u w:val="none"/>
          <w:shd w:val="clear" w:color="auto" w:fill="FFFFFF"/>
          <w:lang w:eastAsia="zh-CN"/>
        </w:rPr>
      </w:pPr>
      <w:r>
        <w:rPr>
          <w:rFonts w:hint="eastAsia" w:ascii="黑体" w:hAnsi="黑体" w:eastAsia="黑体" w:cs="黑体"/>
          <w:b w:val="0"/>
          <w:bCs w:val="0"/>
          <w:color w:val="000000"/>
          <w:kern w:val="0"/>
          <w:sz w:val="32"/>
          <w:szCs w:val="32"/>
          <w:highlight w:val="none"/>
          <w:u w:val="none"/>
          <w:shd w:val="clear" w:color="auto" w:fill="FFFFFF"/>
          <w:lang w:eastAsia="zh-CN"/>
        </w:rPr>
        <w:t>三、</w:t>
      </w:r>
      <w:r>
        <w:rPr>
          <w:rFonts w:hint="eastAsia" w:ascii="黑体" w:hAnsi="黑体" w:eastAsia="黑体" w:cs="黑体"/>
          <w:b w:val="0"/>
          <w:bCs w:val="0"/>
          <w:color w:val="000000"/>
          <w:kern w:val="0"/>
          <w:sz w:val="32"/>
          <w:szCs w:val="32"/>
          <w:highlight w:val="none"/>
          <w:u w:val="none"/>
          <w:shd w:val="clear" w:color="auto" w:fill="FFFFFF"/>
        </w:rPr>
        <w:t>部门</w:t>
      </w:r>
      <w:r>
        <w:rPr>
          <w:rFonts w:hint="eastAsia" w:ascii="黑体" w:hAnsi="黑体" w:eastAsia="黑体" w:cs="黑体"/>
          <w:b w:val="0"/>
          <w:bCs w:val="0"/>
          <w:color w:val="000000"/>
          <w:kern w:val="0"/>
          <w:sz w:val="32"/>
          <w:szCs w:val="32"/>
          <w:highlight w:val="none"/>
          <w:u w:val="none"/>
          <w:shd w:val="clear" w:color="auto" w:fill="FFFFFF"/>
          <w:lang w:eastAsia="zh-CN"/>
        </w:rPr>
        <w:t>预算</w:t>
      </w:r>
      <w:r>
        <w:rPr>
          <w:rFonts w:hint="eastAsia" w:ascii="黑体" w:hAnsi="黑体" w:eastAsia="黑体" w:cs="黑体"/>
          <w:b w:val="0"/>
          <w:bCs w:val="0"/>
          <w:color w:val="000000"/>
          <w:kern w:val="0"/>
          <w:sz w:val="32"/>
          <w:szCs w:val="32"/>
          <w:highlight w:val="none"/>
          <w:u w:val="none"/>
          <w:shd w:val="clear" w:color="auto" w:fill="FFFFFF"/>
        </w:rPr>
        <w:t>绩效</w:t>
      </w:r>
      <w:r>
        <w:rPr>
          <w:rFonts w:hint="eastAsia" w:ascii="黑体" w:hAnsi="黑体" w:eastAsia="黑体" w:cs="黑体"/>
          <w:b w:val="0"/>
          <w:bCs w:val="0"/>
          <w:color w:val="000000"/>
          <w:kern w:val="0"/>
          <w:sz w:val="32"/>
          <w:szCs w:val="32"/>
          <w:highlight w:val="none"/>
          <w:u w:val="none"/>
          <w:shd w:val="clear" w:color="auto" w:fill="FFFFFF"/>
          <w:lang w:eastAsia="zh-CN"/>
        </w:rPr>
        <w:t>分析</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（一）部门预算</w:t>
      </w:r>
      <w:r>
        <w:rPr>
          <w:rFonts w:hint="default" w:ascii="楷体_GB2312" w:hAnsi="楷体_GB2312" w:eastAsia="楷体_GB2312" w:cs="楷体_GB2312"/>
          <w:b w:val="0"/>
          <w:bCs w:val="0"/>
          <w:color w:val="000000"/>
          <w:kern w:val="0"/>
          <w:sz w:val="32"/>
          <w:szCs w:val="32"/>
          <w:highlight w:val="none"/>
          <w:shd w:val="clear" w:color="auto" w:fill="FFFFFF"/>
          <w:lang w:val="zh-CN"/>
        </w:rPr>
        <w:t>总体绩效分析。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zh-CN"/>
        </w:rPr>
        <w:t>按照有关职责职能，通过年初合理设置</w:t>
      </w:r>
      <w:r>
        <w:rPr>
          <w:rFonts w:hint="eastAsia" w:ascii="仿宋_GB2312" w:hAnsi="仿宋_GB2312" w:eastAsia="仿宋_GB2312" w:cs="仿宋_GB2312"/>
          <w:sz w:val="32"/>
          <w:szCs w:val="32"/>
          <w:lang w:val="zh-CN"/>
        </w:rPr>
        <w:t>清晰、细化、可衡量绩效目标</w:t>
      </w:r>
      <w:r>
        <w:rPr>
          <w:rFonts w:hint="eastAsia" w:ascii="仿宋_GB2312" w:hAnsi="仿宋_GB2312" w:cs="仿宋_GB2312"/>
          <w:sz w:val="32"/>
          <w:szCs w:val="32"/>
          <w:lang w:val="zh-CN"/>
        </w:rPr>
        <w:t>，年中对照目标加快预算执行，自评得</w:t>
      </w:r>
      <w:r>
        <w:rPr>
          <w:rFonts w:hint="eastAsia" w:ascii="仿宋_GB2312" w:hAnsi="仿宋_GB2312" w:cs="仿宋_GB2312"/>
          <w:sz w:val="32"/>
          <w:szCs w:val="32"/>
          <w:lang w:val="en-US" w:eastAsia="zh-CN"/>
        </w:rPr>
        <w:t>60.69分</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1.</w:t>
      </w:r>
      <w:r>
        <w:rPr>
          <w:rStyle w:val="43"/>
          <w:rFonts w:hint="eastAsia" w:ascii="仿宋_GB2312" w:hAnsi="Times New Roman" w:eastAsia="宋体" w:cs="仿宋_GB2312"/>
          <w:caps w:val="0"/>
          <w:color w:val="auto"/>
          <w:kern w:val="2"/>
          <w:sz w:val="32"/>
          <w:szCs w:val="32"/>
          <w:vertAlign w:val="baseline"/>
          <w:lang w:val="zh-CN" w:eastAsia="zh-CN" w:bidi="ar"/>
        </w:rPr>
        <w:t>履职效能</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color w:val="000000"/>
          <w:kern w:val="0"/>
          <w:szCs w:val="32"/>
          <w:highlight w:val="none"/>
          <w:shd w:val="clear" w:color="auto" w:fill="FFFFFF"/>
          <w:lang w:val="zh-CN"/>
        </w:rPr>
      </w:pPr>
      <w:r>
        <w:rPr>
          <w:rStyle w:val="43"/>
          <w:rFonts w:hint="eastAsia" w:ascii="仿宋_GB2312" w:cs="仿宋_GB2312"/>
          <w:caps w:val="0"/>
          <w:color w:val="auto"/>
          <w:kern w:val="2"/>
          <w:sz w:val="32"/>
          <w:szCs w:val="32"/>
          <w:vertAlign w:val="baseline"/>
          <w:lang w:val="en-US" w:eastAsia="zh-CN" w:bidi="ar"/>
        </w:rPr>
        <w:t>（1）经费保障履职效果。对本单位在编人员、退休人员、其他人员进行保障，包括基本工资、津补贴、绩效工资、养老保险、医疗保险、公积金等方面。</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cs="仿宋_GB2312"/>
          <w:b w:val="0"/>
          <w:bCs w:val="0"/>
          <w:caps w:val="0"/>
          <w:color w:val="auto"/>
          <w:kern w:val="2"/>
          <w:sz w:val="32"/>
          <w:szCs w:val="32"/>
          <w:vertAlign w:val="baseline"/>
          <w:lang w:val="en-US"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2）防汛履职效果。</w:t>
      </w:r>
      <w:r>
        <w:rPr>
          <w:rStyle w:val="43"/>
          <w:rFonts w:hint="eastAsia" w:ascii="仿宋_GB2312" w:hAnsi="Times New Roman" w:eastAsia="宋体" w:cs="仿宋_GB2312"/>
          <w:caps w:val="0"/>
          <w:color w:val="auto"/>
          <w:kern w:val="2"/>
          <w:sz w:val="32"/>
          <w:szCs w:val="32"/>
          <w:vertAlign w:val="baseline"/>
          <w:lang w:val="zh-CN" w:eastAsia="zh-CN" w:bidi="ar"/>
        </w:rPr>
        <w:t>规</w:t>
      </w:r>
      <w:r>
        <w:rPr>
          <w:rStyle w:val="43"/>
          <w:rFonts w:hint="eastAsia" w:ascii="仿宋_GB2312" w:hAnsi="Times New Roman" w:eastAsia="仿宋_GB2312" w:cs="Times New Roman"/>
          <w:sz w:val="32"/>
          <w:szCs w:val="32"/>
          <w:lang w:val="zh-CN" w:eastAsia="zh-CN"/>
        </w:rPr>
        <w:t>范预警发布流程和对象，累计</w:t>
      </w:r>
      <w:r>
        <w:rPr>
          <w:rStyle w:val="43"/>
          <w:rFonts w:hint="eastAsia" w:ascii="仿宋_GB2312" w:hAnsi="Times New Roman" w:eastAsia="仿宋_GB2312" w:cs="Times New Roman"/>
          <w:sz w:val="32"/>
          <w:szCs w:val="32"/>
          <w:lang w:eastAsia="zh-CN"/>
        </w:rPr>
        <w:t>发布各类预警信息</w:t>
      </w:r>
      <w:r>
        <w:rPr>
          <w:rStyle w:val="43"/>
          <w:rFonts w:hint="eastAsia" w:ascii="仿宋_GB2312" w:hAnsi="Times New Roman" w:eastAsia="仿宋_GB2312" w:cs="Times New Roman"/>
          <w:sz w:val="32"/>
          <w:szCs w:val="32"/>
          <w:lang w:val="en-US" w:eastAsia="zh-CN"/>
        </w:rPr>
        <w:t>178.8</w:t>
      </w:r>
      <w:r>
        <w:rPr>
          <w:rStyle w:val="43"/>
          <w:rFonts w:hint="eastAsia" w:ascii="仿宋_GB2312" w:hAnsi="Times New Roman" w:eastAsia="仿宋_GB2312" w:cs="Times New Roman"/>
          <w:sz w:val="32"/>
          <w:szCs w:val="32"/>
          <w:lang w:eastAsia="zh-CN"/>
        </w:rPr>
        <w:t>万余条</w:t>
      </w:r>
      <w:r>
        <w:rPr>
          <w:rStyle w:val="43"/>
          <w:rFonts w:hint="eastAsia" w:ascii="仿宋_GB2312" w:hAnsi="Times New Roman" w:eastAsia="仿宋_GB2312" w:cs="Times New Roman"/>
          <w:sz w:val="32"/>
          <w:szCs w:val="32"/>
          <w:lang w:val="zh-CN" w:eastAsia="zh-CN"/>
        </w:rPr>
        <w:t>次，启动运行“30123”叫应机制</w:t>
      </w:r>
      <w:r>
        <w:rPr>
          <w:rStyle w:val="43"/>
          <w:rFonts w:hint="eastAsia" w:ascii="仿宋_GB2312" w:hAnsi="Times New Roman" w:eastAsia="仿宋_GB2312" w:cs="Times New Roman"/>
          <w:sz w:val="32"/>
          <w:szCs w:val="32"/>
          <w:lang w:val="en-US" w:eastAsia="zh-CN"/>
        </w:rPr>
        <w:t>32</w:t>
      </w:r>
      <w:r>
        <w:rPr>
          <w:rStyle w:val="43"/>
          <w:rFonts w:hint="eastAsia" w:ascii="仿宋_GB2312" w:hAnsi="Times New Roman" w:eastAsia="仿宋_GB2312" w:cs="Times New Roman"/>
          <w:sz w:val="32"/>
          <w:szCs w:val="32"/>
          <w:lang w:val="zh-CN" w:eastAsia="zh-CN"/>
        </w:rPr>
        <w:t>次，喊醒叫应基层责任</w:t>
      </w:r>
      <w:r>
        <w:rPr>
          <w:rStyle w:val="43"/>
          <w:rFonts w:hint="eastAsia" w:ascii="仿宋_GB2312" w:hAnsi="Times New Roman" w:eastAsia="仿宋_GB2312" w:cs="Times New Roman"/>
          <w:sz w:val="32"/>
          <w:szCs w:val="32"/>
          <w:lang w:val="en-US" w:eastAsia="zh-CN"/>
        </w:rPr>
        <w:t>56784</w:t>
      </w:r>
      <w:r>
        <w:rPr>
          <w:rStyle w:val="43"/>
          <w:rFonts w:hint="eastAsia" w:ascii="仿宋_GB2312" w:hAnsi="Times New Roman" w:eastAsia="仿宋_GB2312" w:cs="Times New Roman"/>
          <w:sz w:val="32"/>
          <w:szCs w:val="32"/>
          <w:lang w:val="zh-CN" w:eastAsia="zh-CN"/>
        </w:rPr>
        <w:t>人</w:t>
      </w:r>
      <w:r>
        <w:rPr>
          <w:rStyle w:val="43"/>
          <w:rFonts w:hint="eastAsia" w:ascii="仿宋_GB2312" w:hAnsi="Times New Roman" w:eastAsia="仿宋_GB2312" w:cs="Times New Roman"/>
          <w:sz w:val="32"/>
          <w:szCs w:val="32"/>
          <w:lang w:val="en-US" w:eastAsia="zh-CN"/>
        </w:rPr>
        <w:t>次，严格按照时间节点和要求做好防范应对</w:t>
      </w:r>
      <w:r>
        <w:rPr>
          <w:rStyle w:val="43"/>
          <w:rFonts w:hint="eastAsia" w:ascii="仿宋_GB2312" w:hAnsi="Times New Roman" w:cs="Times New Roman"/>
          <w:sz w:val="32"/>
          <w:szCs w:val="32"/>
          <w:lang w:val="en-US" w:eastAsia="zh-CN"/>
        </w:rPr>
        <w:t>，</w:t>
      </w:r>
      <w:r>
        <w:rPr>
          <w:rFonts w:hint="eastAsia" w:ascii="仿宋_GB2312" w:eastAsia="仿宋_GB2312" w:cs="仿宋_GB2312"/>
          <w:b w:val="0"/>
          <w:bCs w:val="0"/>
          <w:caps w:val="0"/>
          <w:color w:val="auto"/>
          <w:kern w:val="2"/>
          <w:sz w:val="32"/>
          <w:szCs w:val="32"/>
          <w:vertAlign w:val="baseline"/>
          <w:lang w:val="en-US" w:eastAsia="zh-CN" w:bidi="ar"/>
        </w:rPr>
        <w:t>无人员伤亡</w:t>
      </w:r>
      <w:r>
        <w:rPr>
          <w:rFonts w:hint="eastAsia" w:ascii="仿宋_GB2312" w:cs="仿宋_GB2312"/>
          <w:b w:val="0"/>
          <w:bCs w:val="0"/>
          <w:caps w:val="0"/>
          <w:color w:val="auto"/>
          <w:kern w:val="2"/>
          <w:sz w:val="32"/>
          <w:szCs w:val="32"/>
          <w:vertAlign w:val="baseline"/>
          <w:lang w:val="en-US" w:eastAsia="zh-CN" w:bidi="ar"/>
        </w:rPr>
        <w:t>。</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en-US"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3）水资源监测履职效果。科学调度水资源，加强河流重要断面生态流量监测和预警处置，确保广元水文站、苍溪水文站、三垒坝水文站3个国家级生态流量考核断面，旺苍水文站、宝珠寺水电站等8个省级生态流量考核断面达标率达到90%以上。</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5</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2.</w:t>
      </w:r>
      <w:r>
        <w:rPr>
          <w:rStyle w:val="43"/>
          <w:rFonts w:hint="eastAsia" w:ascii="仿宋_GB2312" w:hAnsi="Times New Roman" w:eastAsia="宋体" w:cs="仿宋_GB2312"/>
          <w:caps w:val="0"/>
          <w:color w:val="auto"/>
          <w:kern w:val="2"/>
          <w:sz w:val="32"/>
          <w:szCs w:val="32"/>
          <w:vertAlign w:val="baseline"/>
          <w:lang w:val="zh-CN" w:eastAsia="zh-CN" w:bidi="ar"/>
        </w:rPr>
        <w:t>预算管理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1）预算编制质量。按照财政要求，2024年年初预算应编尽编，包括政府采购预算、资产配置预算年中无调整。</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8</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（2）支出执行进度。2024年年初预算2021.98万元，1-6月支出1075万元，进度53.16%，支出预警金额占比3%，无违规支出；1-10月支出1572万元，进度77.74%，支出预警金额占比2%，无违规支出。按公式测算</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4.94</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4）预算年终结余。2024年部门预算注销金额22.8万元，结转金额156.9万元，预算资金3610.65万元，部门整体预算结余率4.9%。按公式测算</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4.75</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default" w:ascii="仿宋_GB2312" w:hAnsi="Times New Roman" w:eastAsia="宋体" w:cs="仿宋_GB2312"/>
          <w:caps w:val="0"/>
          <w:color w:val="auto"/>
          <w:kern w:val="2"/>
          <w:sz w:val="32"/>
          <w:szCs w:val="32"/>
          <w:vertAlign w:val="baseline"/>
          <w:lang w:val="en-US"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（5）严控一般性支出。对于“三公”经费、会议、培训、差旅、办节办展、办公设备购置、信息网络及软件购置更新、课题8项经费，2023年年初预算、执行119.36万元,2024年年初预算127.15万元，执行127.05万元。</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3</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3.</w:t>
      </w:r>
      <w:r>
        <w:rPr>
          <w:rStyle w:val="43"/>
          <w:rFonts w:hint="eastAsia" w:ascii="仿宋_GB2312" w:hAnsi="Times New Roman" w:eastAsia="宋体" w:cs="仿宋_GB2312"/>
          <w:caps w:val="0"/>
          <w:color w:val="auto"/>
          <w:kern w:val="2"/>
          <w:sz w:val="32"/>
          <w:szCs w:val="32"/>
          <w:vertAlign w:val="baseline"/>
          <w:lang w:val="zh-CN" w:eastAsia="zh-CN" w:bidi="ar"/>
        </w:rPr>
        <w:t>财务管理。我局按要求制定了各项财务管理制度，并逐一落实到位，合理设置财务工作岗位，明确职责权限，并严格实行不相容岗位分离。自评得</w:t>
      </w:r>
      <w:r>
        <w:rPr>
          <w:rStyle w:val="43"/>
          <w:rFonts w:hint="eastAsia" w:ascii="仿宋_GB2312" w:hAnsi="Times New Roman" w:eastAsia="宋体" w:cs="仿宋_GB2312"/>
          <w:caps w:val="0"/>
          <w:color w:val="auto"/>
          <w:kern w:val="2"/>
          <w:sz w:val="32"/>
          <w:szCs w:val="32"/>
          <w:vertAlign w:val="baseline"/>
          <w:lang w:val="en-US" w:eastAsia="zh-CN" w:bidi="ar"/>
        </w:rPr>
        <w:t>10</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4.</w:t>
      </w:r>
      <w:r>
        <w:rPr>
          <w:rStyle w:val="43"/>
          <w:rFonts w:hint="eastAsia" w:ascii="仿宋_GB2312" w:hAnsi="Times New Roman" w:eastAsia="宋体" w:cs="仿宋_GB2312"/>
          <w:caps w:val="0"/>
          <w:color w:val="auto"/>
          <w:kern w:val="2"/>
          <w:sz w:val="32"/>
          <w:szCs w:val="32"/>
          <w:vertAlign w:val="baseline"/>
          <w:lang w:val="zh-CN" w:eastAsia="zh-CN" w:bidi="ar"/>
        </w:rPr>
        <w:t>资产管理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1）人均资产变化率。2023年人均资产48.33万元/人（3528.3/73），2024年人均资产46.91万元/人（3424.5/73），人均资产增长率-2.93%。</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3</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2）资产利用率。</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3</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en-US"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（3）资产盘活率。无闲置资产，</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3</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en-US" w:eastAsia="zh-CN" w:bidi="ar"/>
        </w:rPr>
        <w:t>5.</w:t>
      </w:r>
      <w:r>
        <w:rPr>
          <w:rStyle w:val="43"/>
          <w:rFonts w:hint="eastAsia" w:ascii="仿宋_GB2312" w:hAnsi="Times New Roman" w:eastAsia="宋体" w:cs="仿宋_GB2312"/>
          <w:caps w:val="0"/>
          <w:color w:val="auto"/>
          <w:kern w:val="2"/>
          <w:sz w:val="32"/>
          <w:szCs w:val="32"/>
          <w:vertAlign w:val="baseline"/>
          <w:lang w:val="zh-CN" w:eastAsia="zh-CN" w:bidi="ar"/>
        </w:rPr>
        <w:t>采购管理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1）支持中小企业发展。对适宜由中小企业提供的采购项目和采购包，预留采购份额专门面向中小企业采购，并在采购预算中单独列示。</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3</w:t>
      </w:r>
      <w:r>
        <w:rPr>
          <w:rStyle w:val="43"/>
          <w:rFonts w:hint="eastAsia" w:ascii="仿宋_GB2312" w:hAnsi="Times New Roman" w:eastAsia="宋体" w:cs="仿宋_GB2312"/>
          <w:caps w:val="0"/>
          <w:color w:val="auto"/>
          <w:kern w:val="2"/>
          <w:sz w:val="32"/>
          <w:szCs w:val="32"/>
          <w:vertAlign w:val="baseline"/>
          <w:lang w:val="zh-CN" w:eastAsia="zh-CN" w:bidi="ar"/>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3"/>
          <w:rFonts w:hint="eastAsia" w:ascii="仿宋_GB2312" w:hAnsi="Times New Roman" w:eastAsia="宋体" w:cs="仿宋_GB2312"/>
          <w:caps w:val="0"/>
          <w:color w:val="auto"/>
          <w:kern w:val="2"/>
          <w:sz w:val="32"/>
          <w:szCs w:val="32"/>
          <w:vertAlign w:val="baseline"/>
          <w:lang w:val="zh-CN" w:eastAsia="zh-CN" w:bidi="ar"/>
        </w:rPr>
      </w:pPr>
      <w:r>
        <w:rPr>
          <w:rStyle w:val="43"/>
          <w:rFonts w:hint="eastAsia" w:ascii="仿宋_GB2312" w:hAnsi="Times New Roman" w:eastAsia="宋体" w:cs="仿宋_GB2312"/>
          <w:caps w:val="0"/>
          <w:color w:val="auto"/>
          <w:kern w:val="2"/>
          <w:sz w:val="32"/>
          <w:szCs w:val="32"/>
          <w:vertAlign w:val="baseline"/>
          <w:lang w:val="zh-CN" w:eastAsia="zh-CN" w:bidi="ar"/>
        </w:rPr>
        <w:t>（</w:t>
      </w:r>
      <w:r>
        <w:rPr>
          <w:rStyle w:val="43"/>
          <w:rFonts w:hint="eastAsia" w:ascii="仿宋_GB2312" w:hAnsi="Times New Roman" w:eastAsia="宋体" w:cs="仿宋_GB2312"/>
          <w:caps w:val="0"/>
          <w:color w:val="auto"/>
          <w:kern w:val="2"/>
          <w:sz w:val="32"/>
          <w:szCs w:val="32"/>
          <w:vertAlign w:val="baseline"/>
          <w:lang w:val="en-US" w:eastAsia="zh-CN" w:bidi="ar"/>
        </w:rPr>
        <w:t>2）采购执行率。政府采购已完成项目合同金额37.13万元，实际支付总金额37.13万元，执行率100%。</w:t>
      </w:r>
      <w:r>
        <w:rPr>
          <w:rStyle w:val="43"/>
          <w:rFonts w:hint="eastAsia" w:ascii="仿宋_GB2312" w:hAnsi="Times New Roman" w:eastAsia="宋体" w:cs="仿宋_GB2312"/>
          <w:caps w:val="0"/>
          <w:color w:val="auto"/>
          <w:kern w:val="2"/>
          <w:sz w:val="32"/>
          <w:szCs w:val="32"/>
          <w:vertAlign w:val="baseline"/>
          <w:lang w:val="zh-CN" w:eastAsia="zh-CN" w:bidi="ar"/>
        </w:rPr>
        <w:t>自评得</w:t>
      </w:r>
      <w:r>
        <w:rPr>
          <w:rStyle w:val="43"/>
          <w:rFonts w:hint="eastAsia" w:ascii="仿宋_GB2312" w:hAnsi="Times New Roman" w:eastAsia="宋体" w:cs="仿宋_GB2312"/>
          <w:caps w:val="0"/>
          <w:color w:val="auto"/>
          <w:kern w:val="2"/>
          <w:sz w:val="32"/>
          <w:szCs w:val="32"/>
          <w:vertAlign w:val="baseline"/>
          <w:lang w:val="en-US" w:eastAsia="zh-CN" w:bidi="ar"/>
        </w:rPr>
        <w:t>3</w:t>
      </w:r>
      <w:r>
        <w:rPr>
          <w:rStyle w:val="43"/>
          <w:rFonts w:hint="eastAsia" w:ascii="仿宋_GB2312" w:hAnsi="Times New Roman" w:eastAsia="宋体" w:cs="仿宋_GB2312"/>
          <w:caps w:val="0"/>
          <w:color w:val="auto"/>
          <w:kern w:val="2"/>
          <w:sz w:val="32"/>
          <w:szCs w:val="32"/>
          <w:vertAlign w:val="baseline"/>
          <w:lang w:val="zh-CN" w:eastAsia="zh-CN" w:bidi="ar"/>
        </w:rPr>
        <w:t>分。</w:t>
      </w:r>
    </w:p>
    <w:p>
      <w:pPr>
        <w:pStyle w:val="2"/>
        <w:keepNext w:val="0"/>
        <w:keepLines w:val="0"/>
        <w:pageBreakBefore w:val="0"/>
        <w:widowControl w:val="0"/>
        <w:kinsoku/>
        <w:wordWrap/>
        <w:overflowPunct/>
        <w:topLinePunct w:val="0"/>
        <w:autoSpaceDE/>
        <w:autoSpaceDN/>
        <w:bidi w:val="0"/>
        <w:spacing w:line="580" w:lineRule="exact"/>
        <w:ind w:firstLine="600" w:firstLineChars="200"/>
        <w:textAlignment w:val="auto"/>
        <w:rPr>
          <w:rFonts w:hint="default" w:eastAsia="仿宋_GB2312"/>
          <w:lang w:val="en-US" w:eastAsia="zh-CN"/>
        </w:rPr>
      </w:pPr>
      <w:r>
        <w:rPr>
          <w:rFonts w:hint="default" w:ascii="Times New Roman" w:hAnsi="Times New Roman" w:eastAsia="楷体_GB2312" w:cs="Times New Roman"/>
          <w:b w:val="0"/>
          <w:bCs w:val="0"/>
          <w:color w:val="000000"/>
          <w:kern w:val="0"/>
          <w:szCs w:val="32"/>
          <w:highlight w:val="none"/>
          <w:shd w:val="clear" w:color="auto" w:fill="FFFFFF"/>
          <w:lang w:val="zh-CN"/>
        </w:rPr>
        <w:t>（二）部门预算项目绩效分析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cs="仿宋_GB2312"/>
          <w:b w:val="0"/>
          <w:bCs w:val="0"/>
          <w:sz w:val="32"/>
          <w:szCs w:val="32"/>
          <w:highlight w:val="none"/>
          <w:u w:val="none"/>
          <w:lang w:val="zh-CN" w:eastAsia="zh-CN"/>
        </w:rPr>
      </w:pPr>
      <w:r>
        <w:rPr>
          <w:rFonts w:hint="eastAsia" w:ascii="仿宋_GB2312" w:hAnsi="仿宋_GB2312" w:cs="仿宋_GB2312"/>
          <w:b w:val="0"/>
          <w:bCs w:val="0"/>
          <w:sz w:val="32"/>
          <w:szCs w:val="32"/>
          <w:highlight w:val="none"/>
          <w:u w:val="none"/>
          <w:lang w:val="en-US" w:eastAsia="zh-CN"/>
        </w:rPr>
        <w:t>2024年</w:t>
      </w:r>
      <w:r>
        <w:rPr>
          <w:rFonts w:hint="default" w:ascii="仿宋_GB2312" w:hAnsi="仿宋_GB2312" w:eastAsia="仿宋_GB2312" w:cs="仿宋_GB2312"/>
          <w:b w:val="0"/>
          <w:bCs w:val="0"/>
          <w:sz w:val="32"/>
          <w:szCs w:val="32"/>
          <w:highlight w:val="none"/>
          <w:u w:val="none"/>
          <w:lang w:val="zh-CN" w:eastAsia="zh-CN"/>
        </w:rPr>
        <w:t>项目总数</w:t>
      </w:r>
      <w:r>
        <w:rPr>
          <w:rFonts w:hint="eastAsia" w:ascii="仿宋_GB2312" w:hAnsi="仿宋_GB2312" w:cs="仿宋_GB2312"/>
          <w:b w:val="0"/>
          <w:bCs w:val="0"/>
          <w:sz w:val="32"/>
          <w:szCs w:val="32"/>
          <w:highlight w:val="none"/>
          <w:u w:val="none"/>
          <w:lang w:val="en-US" w:eastAsia="zh-CN"/>
        </w:rPr>
        <w:t>20</w:t>
      </w:r>
      <w:r>
        <w:rPr>
          <w:rFonts w:hint="default" w:ascii="仿宋_GB2312" w:hAnsi="仿宋_GB2312" w:eastAsia="仿宋_GB2312" w:cs="仿宋_GB2312"/>
          <w:b w:val="0"/>
          <w:bCs w:val="0"/>
          <w:sz w:val="32"/>
          <w:szCs w:val="32"/>
          <w:highlight w:val="none"/>
          <w:u w:val="none"/>
          <w:lang w:val="zh-CN" w:eastAsia="zh-CN"/>
        </w:rPr>
        <w:t>个，涉及预算总金额</w:t>
      </w:r>
      <w:r>
        <w:rPr>
          <w:rFonts w:hint="eastAsia" w:ascii="仿宋_GB2312" w:hAnsi="仿宋_GB2312" w:cs="仿宋_GB2312"/>
          <w:b w:val="0"/>
          <w:bCs w:val="0"/>
          <w:sz w:val="32"/>
          <w:szCs w:val="32"/>
          <w:highlight w:val="none"/>
          <w:u w:val="none"/>
          <w:lang w:val="en-US" w:eastAsia="zh-CN"/>
        </w:rPr>
        <w:t>1999.15</w:t>
      </w:r>
      <w:r>
        <w:rPr>
          <w:rFonts w:hint="default" w:ascii="仿宋_GB2312" w:hAnsi="仿宋_GB2312" w:eastAsia="仿宋_GB2312" w:cs="仿宋_GB2312"/>
          <w:b w:val="0"/>
          <w:bCs w:val="0"/>
          <w:sz w:val="32"/>
          <w:szCs w:val="32"/>
          <w:highlight w:val="none"/>
          <w:u w:val="none"/>
          <w:lang w:val="zh-CN" w:eastAsia="zh-CN"/>
        </w:rPr>
        <w:t>万元，</w:t>
      </w:r>
      <w:r>
        <w:rPr>
          <w:rFonts w:hint="eastAsia" w:ascii="仿宋_GB2312" w:hAnsi="仿宋_GB2312" w:cs="仿宋_GB2312"/>
          <w:b w:val="0"/>
          <w:bCs w:val="0"/>
          <w:sz w:val="32"/>
          <w:szCs w:val="32"/>
          <w:highlight w:val="none"/>
          <w:u w:val="none"/>
          <w:lang w:val="zh-CN" w:eastAsia="zh-CN"/>
        </w:rPr>
        <w:t>无阶段性项目，</w:t>
      </w:r>
      <w:r>
        <w:rPr>
          <w:rFonts w:hint="default" w:ascii="仿宋_GB2312" w:hAnsi="仿宋_GB2312" w:eastAsia="仿宋_GB2312" w:cs="仿宋_GB2312"/>
          <w:b w:val="0"/>
          <w:bCs w:val="0"/>
          <w:sz w:val="32"/>
          <w:szCs w:val="32"/>
          <w:highlight w:val="none"/>
          <w:u w:val="none"/>
          <w:lang w:val="zh-CN" w:eastAsia="zh-CN"/>
        </w:rPr>
        <w:t>1</w:t>
      </w:r>
      <w:r>
        <w:rPr>
          <w:rFonts w:hint="eastAsia" w:ascii="仿宋_GB2312" w:hAnsi="仿宋_GB2312" w:eastAsia="仿宋_GB2312" w:cs="仿宋_GB2312"/>
          <w:b w:val="0"/>
          <w:bCs w:val="0"/>
          <w:sz w:val="32"/>
          <w:szCs w:val="32"/>
          <w:highlight w:val="none"/>
          <w:u w:val="none"/>
          <w:lang w:val="zh-CN" w:eastAsia="zh-CN"/>
        </w:rPr>
        <w:t>—</w:t>
      </w:r>
      <w:r>
        <w:rPr>
          <w:rFonts w:hint="default" w:ascii="仿宋_GB2312" w:hAnsi="仿宋_GB2312" w:eastAsia="仿宋_GB2312" w:cs="仿宋_GB2312"/>
          <w:b w:val="0"/>
          <w:bCs w:val="0"/>
          <w:sz w:val="32"/>
          <w:szCs w:val="32"/>
          <w:highlight w:val="none"/>
          <w:u w:val="none"/>
          <w:lang w:val="zh-CN" w:eastAsia="zh-CN"/>
        </w:rPr>
        <w:t>1</w:t>
      </w:r>
      <w:r>
        <w:rPr>
          <w:rFonts w:hint="default" w:ascii="仿宋_GB2312" w:hAnsi="仿宋_GB2312" w:eastAsia="仿宋_GB2312" w:cs="仿宋_GB2312"/>
          <w:b w:val="0"/>
          <w:bCs w:val="0"/>
          <w:sz w:val="32"/>
          <w:szCs w:val="32"/>
          <w:highlight w:val="none"/>
          <w:u w:val="none"/>
          <w:lang w:val="en-US" w:eastAsia="zh-CN"/>
        </w:rPr>
        <w:t>2</w:t>
      </w:r>
      <w:r>
        <w:rPr>
          <w:rFonts w:hint="default" w:ascii="仿宋_GB2312" w:hAnsi="仿宋_GB2312" w:eastAsia="仿宋_GB2312" w:cs="仿宋_GB2312"/>
          <w:b w:val="0"/>
          <w:bCs w:val="0"/>
          <w:sz w:val="32"/>
          <w:szCs w:val="32"/>
          <w:highlight w:val="none"/>
          <w:u w:val="none"/>
          <w:lang w:val="zh-CN" w:eastAsia="zh-CN"/>
        </w:rPr>
        <w:t>月预算执行总体进度为</w:t>
      </w:r>
      <w:r>
        <w:rPr>
          <w:rFonts w:hint="eastAsia" w:ascii="仿宋_GB2312" w:hAnsi="仿宋_GB2312" w:cs="仿宋_GB2312"/>
          <w:b w:val="0"/>
          <w:bCs w:val="0"/>
          <w:sz w:val="32"/>
          <w:szCs w:val="32"/>
          <w:highlight w:val="none"/>
          <w:u w:val="none"/>
          <w:lang w:val="en-US" w:eastAsia="zh-CN"/>
        </w:rPr>
        <w:t>98.43</w:t>
      </w:r>
      <w:r>
        <w:rPr>
          <w:rFonts w:hint="default" w:ascii="仿宋_GB2312" w:hAnsi="仿宋_GB2312" w:eastAsia="仿宋_GB2312" w:cs="仿宋_GB2312"/>
          <w:b w:val="0"/>
          <w:bCs w:val="0"/>
          <w:sz w:val="32"/>
          <w:szCs w:val="32"/>
          <w:highlight w:val="none"/>
          <w:u w:val="none"/>
          <w:lang w:val="zh-CN" w:eastAsia="zh-CN"/>
        </w:rPr>
        <w:t>%，其中：预算结余率大于</w:t>
      </w:r>
      <w:r>
        <w:rPr>
          <w:rFonts w:hint="default" w:ascii="仿宋_GB2312" w:hAnsi="仿宋_GB2312" w:eastAsia="仿宋_GB2312" w:cs="仿宋_GB2312"/>
          <w:b w:val="0"/>
          <w:bCs w:val="0"/>
          <w:sz w:val="32"/>
          <w:szCs w:val="32"/>
          <w:highlight w:val="none"/>
          <w:u w:val="none"/>
          <w:lang w:val="en-US" w:eastAsia="zh-CN"/>
        </w:rPr>
        <w:t>10%</w:t>
      </w:r>
      <w:r>
        <w:rPr>
          <w:rFonts w:hint="default" w:ascii="仿宋_GB2312" w:hAnsi="仿宋_GB2312" w:eastAsia="仿宋_GB2312" w:cs="仿宋_GB2312"/>
          <w:b w:val="0"/>
          <w:bCs w:val="0"/>
          <w:sz w:val="32"/>
          <w:szCs w:val="32"/>
          <w:highlight w:val="none"/>
          <w:u w:val="none"/>
          <w:lang w:val="zh-CN" w:eastAsia="zh-CN"/>
        </w:rPr>
        <w:t>的</w:t>
      </w:r>
      <w:r>
        <w:rPr>
          <w:rFonts w:hint="default" w:ascii="仿宋_GB2312" w:hAnsi="仿宋_GB2312" w:cs="仿宋_GB2312"/>
          <w:b w:val="0"/>
          <w:bCs w:val="0"/>
          <w:sz w:val="32"/>
          <w:szCs w:val="32"/>
          <w:highlight w:val="none"/>
          <w:u w:val="none"/>
          <w:lang w:val="zh-CN" w:eastAsia="zh-CN"/>
        </w:rPr>
        <w:t>项目共计</w:t>
      </w:r>
      <w:r>
        <w:rPr>
          <w:rFonts w:hint="eastAsia" w:ascii="仿宋_GB2312" w:hAnsi="仿宋_GB2312" w:cs="仿宋_GB2312"/>
          <w:b w:val="0"/>
          <w:bCs w:val="0"/>
          <w:sz w:val="32"/>
          <w:szCs w:val="32"/>
          <w:highlight w:val="none"/>
          <w:u w:val="none"/>
          <w:lang w:val="en-US" w:eastAsia="zh-CN"/>
        </w:rPr>
        <w:t>0</w:t>
      </w:r>
      <w:r>
        <w:rPr>
          <w:rFonts w:hint="default" w:ascii="仿宋_GB2312" w:hAnsi="仿宋_GB2312" w:cs="仿宋_GB2312"/>
          <w:b w:val="0"/>
          <w:bCs w:val="0"/>
          <w:sz w:val="32"/>
          <w:szCs w:val="32"/>
          <w:highlight w:val="none"/>
          <w:u w:val="none"/>
          <w:lang w:val="zh-CN" w:eastAsia="zh-CN"/>
        </w:rPr>
        <w:t>个。</w:t>
      </w:r>
      <w:r>
        <w:rPr>
          <w:rFonts w:hint="eastAsia" w:ascii="仿宋_GB2312" w:hAnsi="仿宋_GB2312" w:cs="仿宋_GB2312"/>
          <w:b w:val="0"/>
          <w:bCs w:val="0"/>
          <w:sz w:val="32"/>
          <w:szCs w:val="32"/>
          <w:highlight w:val="none"/>
          <w:u w:val="none"/>
          <w:lang w:val="zh-CN" w:eastAsia="zh-CN"/>
        </w:rPr>
        <w:t>自评得</w:t>
      </w:r>
      <w:r>
        <w:rPr>
          <w:rFonts w:hint="eastAsia" w:ascii="仿宋_GB2312" w:hAnsi="仿宋_GB2312" w:cs="仿宋_GB2312"/>
          <w:b w:val="0"/>
          <w:bCs w:val="0"/>
          <w:sz w:val="32"/>
          <w:szCs w:val="32"/>
          <w:highlight w:val="none"/>
          <w:u w:val="none"/>
          <w:lang w:val="en-US" w:eastAsia="zh-CN"/>
        </w:rPr>
        <w:t>35</w:t>
      </w:r>
      <w:r>
        <w:rPr>
          <w:rFonts w:hint="eastAsia" w:ascii="仿宋_GB2312" w:hAnsi="仿宋_GB2312" w:cs="仿宋_GB2312"/>
          <w:b w:val="0"/>
          <w:bCs w:val="0"/>
          <w:sz w:val="32"/>
          <w:szCs w:val="32"/>
          <w:highlight w:val="none"/>
          <w:u w:val="none"/>
          <w:lang w:val="zh-CN" w:eastAsia="zh-CN"/>
        </w:rPr>
        <w:t>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b w:val="0"/>
          <w:bCs w:val="0"/>
          <w:sz w:val="32"/>
          <w:szCs w:val="32"/>
          <w:highlight w:val="none"/>
          <w:u w:val="none"/>
          <w:lang w:val="zh-CN" w:eastAsia="zh-CN"/>
        </w:rPr>
      </w:pPr>
      <w:r>
        <w:rPr>
          <w:rFonts w:hint="eastAsia" w:ascii="仿宋_GB2312" w:hAnsi="仿宋_GB2312" w:cs="仿宋_GB2312"/>
          <w:b w:val="0"/>
          <w:bCs w:val="0"/>
          <w:sz w:val="32"/>
          <w:szCs w:val="32"/>
          <w:highlight w:val="none"/>
          <w:u w:val="none"/>
          <w:lang w:val="en-US" w:eastAsia="zh-CN"/>
        </w:rPr>
        <w:t>1.</w:t>
      </w:r>
      <w:r>
        <w:rPr>
          <w:rFonts w:hint="eastAsia" w:ascii="仿宋_GB2312" w:hAnsi="仿宋_GB2312" w:cs="仿宋_GB2312"/>
          <w:b w:val="0"/>
          <w:bCs w:val="0"/>
          <w:sz w:val="32"/>
          <w:szCs w:val="32"/>
          <w:highlight w:val="none"/>
          <w:u w:val="none"/>
          <w:lang w:val="zh-CN" w:eastAsia="zh-CN"/>
        </w:rPr>
        <w:t>项目决策。一是涉及</w:t>
      </w:r>
      <w:r>
        <w:rPr>
          <w:rFonts w:hint="eastAsia" w:ascii="仿宋_GB2312" w:hAnsi="仿宋_GB2312" w:cs="仿宋_GB2312"/>
          <w:b w:val="0"/>
          <w:bCs w:val="0"/>
          <w:sz w:val="32"/>
          <w:szCs w:val="32"/>
          <w:highlight w:val="none"/>
          <w:u w:val="none"/>
          <w:lang w:val="en-US" w:eastAsia="zh-CN"/>
        </w:rPr>
        <w:t>13个人员运转类项目、7个部门特定目标项目均进行事前评估程序。二是通过精简数量、增加可量化指标、减少定性指标等措施，切实提高绩效目标设置质量。三是通过党组会会议审议，确定纳入部门预算的特定目标项目，及时入库或入库调整。</w:t>
      </w:r>
      <w:r>
        <w:rPr>
          <w:rFonts w:hint="eastAsia" w:ascii="仿宋_GB2312" w:hAnsi="仿宋_GB2312" w:cs="仿宋_GB2312"/>
          <w:b w:val="0"/>
          <w:bCs w:val="0"/>
          <w:sz w:val="32"/>
          <w:szCs w:val="32"/>
          <w:highlight w:val="none"/>
          <w:u w:val="none"/>
          <w:lang w:val="zh-CN" w:eastAsia="zh-CN"/>
        </w:rPr>
        <w:t>自评得</w:t>
      </w:r>
      <w:r>
        <w:rPr>
          <w:rFonts w:hint="eastAsia" w:ascii="仿宋_GB2312" w:hAnsi="仿宋_GB2312" w:cs="仿宋_GB2312"/>
          <w:b w:val="0"/>
          <w:bCs w:val="0"/>
          <w:sz w:val="32"/>
          <w:szCs w:val="32"/>
          <w:highlight w:val="none"/>
          <w:u w:val="none"/>
          <w:lang w:val="en-US" w:eastAsia="zh-CN"/>
        </w:rPr>
        <w:t>12</w:t>
      </w:r>
      <w:r>
        <w:rPr>
          <w:rFonts w:hint="eastAsia" w:ascii="仿宋_GB2312" w:hAnsi="仿宋_GB2312" w:cs="仿宋_GB2312"/>
          <w:b w:val="0"/>
          <w:bCs w:val="0"/>
          <w:sz w:val="32"/>
          <w:szCs w:val="32"/>
          <w:highlight w:val="none"/>
          <w:u w:val="none"/>
          <w:lang w:val="zh-CN" w:eastAsia="zh-CN"/>
        </w:rPr>
        <w:t>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cs="仿宋_GB2312"/>
          <w:b w:val="0"/>
          <w:bCs w:val="0"/>
          <w:sz w:val="32"/>
          <w:szCs w:val="32"/>
          <w:highlight w:val="none"/>
          <w:u w:val="none"/>
          <w:lang w:val="en-US" w:eastAsia="zh-CN"/>
        </w:rPr>
      </w:pPr>
      <w:r>
        <w:rPr>
          <w:rFonts w:hint="eastAsia" w:ascii="仿宋_GB2312" w:hAnsi="仿宋_GB2312" w:cs="仿宋_GB2312"/>
          <w:b w:val="0"/>
          <w:bCs w:val="0"/>
          <w:sz w:val="32"/>
          <w:szCs w:val="32"/>
          <w:highlight w:val="none"/>
          <w:u w:val="none"/>
          <w:lang w:val="en-US" w:eastAsia="zh-CN"/>
        </w:rPr>
        <w:t>2.项目执行</w:t>
      </w:r>
      <w:r>
        <w:rPr>
          <w:rFonts w:hint="eastAsia" w:ascii="仿宋_GB2312" w:hAnsi="仿宋_GB2312" w:cs="仿宋_GB2312"/>
          <w:b w:val="0"/>
          <w:bCs w:val="0"/>
          <w:sz w:val="32"/>
          <w:szCs w:val="32"/>
          <w:highlight w:val="none"/>
          <w:u w:val="none"/>
          <w:lang w:val="zh-CN" w:eastAsia="zh-CN"/>
        </w:rPr>
        <w:t>。一是完全按照绩效目标、资金预算科目进行使用资金，二是全年没有应采取未采取收回预算、调整目标等处置措施的部门预算特定目标类项目，三是</w:t>
      </w:r>
      <w:r>
        <w:rPr>
          <w:rFonts w:hint="eastAsia" w:ascii="仿宋_GB2312" w:hAnsi="仿宋_GB2312" w:cs="仿宋_GB2312"/>
          <w:b w:val="0"/>
          <w:bCs w:val="0"/>
          <w:sz w:val="32"/>
          <w:szCs w:val="32"/>
          <w:highlight w:val="none"/>
          <w:u w:val="none"/>
          <w:lang w:val="en-US" w:eastAsia="zh-CN"/>
        </w:rPr>
        <w:t>3</w:t>
      </w:r>
      <w:r>
        <w:rPr>
          <w:rFonts w:hint="eastAsia" w:ascii="仿宋_GB2312" w:hAnsi="仿宋_GB2312" w:cs="仿宋_GB2312"/>
          <w:b w:val="0"/>
          <w:bCs w:val="0"/>
          <w:sz w:val="32"/>
          <w:szCs w:val="32"/>
          <w:highlight w:val="none"/>
          <w:u w:val="none"/>
          <w:lang w:val="zh-CN" w:eastAsia="zh-CN"/>
        </w:rPr>
        <w:t>个项目存在结余，其中单位缴费（在职人员五险两金）结余率</w:t>
      </w:r>
      <w:r>
        <w:rPr>
          <w:rFonts w:hint="eastAsia" w:ascii="仿宋_GB2312" w:hAnsi="仿宋_GB2312" w:cs="仿宋_GB2312"/>
          <w:b w:val="0"/>
          <w:bCs w:val="0"/>
          <w:sz w:val="32"/>
          <w:szCs w:val="32"/>
          <w:highlight w:val="none"/>
          <w:u w:val="none"/>
          <w:lang w:val="en-US" w:eastAsia="zh-CN"/>
        </w:rPr>
        <w:t>9.8%，定额公用经费（事业）结余率0.01%，</w:t>
      </w:r>
      <w:r>
        <w:rPr>
          <w:rFonts w:hint="eastAsia" w:ascii="仿宋_GB2312" w:hAnsi="仿宋_GB2312" w:cs="仿宋_GB2312"/>
          <w:b w:val="0"/>
          <w:bCs w:val="0"/>
          <w:sz w:val="32"/>
          <w:szCs w:val="32"/>
          <w:highlight w:val="none"/>
          <w:u w:val="none"/>
          <w:lang w:val="zh-CN" w:eastAsia="zh-CN"/>
        </w:rPr>
        <w:t>水利审批项目结余率</w:t>
      </w:r>
      <w:r>
        <w:rPr>
          <w:rFonts w:hint="eastAsia" w:ascii="仿宋_GB2312" w:hAnsi="仿宋_GB2312" w:cs="仿宋_GB2312"/>
          <w:b w:val="0"/>
          <w:bCs w:val="0"/>
          <w:sz w:val="32"/>
          <w:szCs w:val="32"/>
          <w:highlight w:val="none"/>
          <w:u w:val="none"/>
          <w:lang w:val="en-US" w:eastAsia="zh-CN"/>
        </w:rPr>
        <w:t>1.7</w:t>
      </w:r>
      <w:r>
        <w:rPr>
          <w:rFonts w:hint="eastAsia" w:ascii="仿宋_GB2312" w:hAnsi="仿宋_GB2312" w:cs="仿宋_GB2312"/>
          <w:b w:val="0"/>
          <w:bCs w:val="0"/>
          <w:sz w:val="32"/>
          <w:szCs w:val="32"/>
          <w:highlight w:val="none"/>
          <w:u w:val="none"/>
          <w:lang w:val="zh-CN" w:eastAsia="zh-CN"/>
        </w:rPr>
        <w:t>%，均小于</w:t>
      </w:r>
      <w:r>
        <w:rPr>
          <w:rFonts w:hint="eastAsia" w:ascii="仿宋_GB2312" w:hAnsi="仿宋_GB2312" w:cs="仿宋_GB2312"/>
          <w:b w:val="0"/>
          <w:bCs w:val="0"/>
          <w:sz w:val="32"/>
          <w:szCs w:val="32"/>
          <w:highlight w:val="none"/>
          <w:u w:val="none"/>
          <w:lang w:val="en-US" w:eastAsia="zh-CN"/>
        </w:rPr>
        <w:t>10%。</w:t>
      </w:r>
      <w:r>
        <w:rPr>
          <w:rFonts w:hint="eastAsia" w:ascii="仿宋_GB2312" w:hAnsi="仿宋_GB2312" w:cs="仿宋_GB2312"/>
          <w:b w:val="0"/>
          <w:bCs w:val="0"/>
          <w:sz w:val="32"/>
          <w:szCs w:val="32"/>
          <w:highlight w:val="none"/>
          <w:u w:val="none"/>
          <w:lang w:val="zh-CN" w:eastAsia="zh-CN"/>
        </w:rPr>
        <w:t>自评得</w:t>
      </w:r>
      <w:r>
        <w:rPr>
          <w:rFonts w:hint="eastAsia" w:ascii="仿宋_GB2312" w:hAnsi="仿宋_GB2312" w:cs="仿宋_GB2312"/>
          <w:b w:val="0"/>
          <w:bCs w:val="0"/>
          <w:sz w:val="32"/>
          <w:szCs w:val="32"/>
          <w:highlight w:val="none"/>
          <w:u w:val="none"/>
          <w:lang w:val="en-US" w:eastAsia="zh-CN"/>
        </w:rPr>
        <w:t>12</w:t>
      </w:r>
      <w:r>
        <w:rPr>
          <w:rFonts w:hint="eastAsia" w:ascii="仿宋_GB2312" w:hAnsi="仿宋_GB2312" w:cs="仿宋_GB2312"/>
          <w:b w:val="0"/>
          <w:bCs w:val="0"/>
          <w:sz w:val="32"/>
          <w:szCs w:val="32"/>
          <w:highlight w:val="none"/>
          <w:u w:val="none"/>
          <w:lang w:val="zh-CN" w:eastAsia="zh-CN"/>
        </w:rPr>
        <w:t>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b w:val="0"/>
          <w:bCs w:val="0"/>
          <w:sz w:val="32"/>
          <w:szCs w:val="32"/>
          <w:highlight w:val="none"/>
          <w:u w:val="none"/>
          <w:lang w:val="zh-CN" w:eastAsia="zh-CN"/>
        </w:rPr>
      </w:pPr>
      <w:r>
        <w:rPr>
          <w:rFonts w:hint="eastAsia" w:ascii="仿宋_GB2312" w:hAnsi="仿宋_GB2312" w:cs="仿宋_GB2312"/>
          <w:b w:val="0"/>
          <w:bCs w:val="0"/>
          <w:sz w:val="32"/>
          <w:szCs w:val="32"/>
          <w:highlight w:val="none"/>
          <w:u w:val="none"/>
          <w:lang w:val="en-US" w:eastAsia="zh-CN"/>
        </w:rPr>
        <w:t>3.</w:t>
      </w:r>
      <w:r>
        <w:rPr>
          <w:rFonts w:hint="eastAsia" w:ascii="仿宋_GB2312" w:hAnsi="仿宋_GB2312" w:cs="仿宋_GB2312"/>
          <w:b w:val="0"/>
          <w:bCs w:val="0"/>
          <w:sz w:val="32"/>
          <w:szCs w:val="32"/>
          <w:highlight w:val="none"/>
          <w:u w:val="none"/>
          <w:lang w:val="zh-CN" w:eastAsia="zh-CN"/>
        </w:rPr>
        <w:t>目标实现。涉及</w:t>
      </w:r>
      <w:r>
        <w:rPr>
          <w:rFonts w:hint="eastAsia" w:ascii="仿宋_GB2312" w:hAnsi="仿宋_GB2312" w:cs="仿宋_GB2312"/>
          <w:b w:val="0"/>
          <w:bCs w:val="0"/>
          <w:sz w:val="32"/>
          <w:szCs w:val="32"/>
          <w:highlight w:val="none"/>
          <w:u w:val="none"/>
          <w:lang w:val="en-US" w:eastAsia="zh-CN"/>
        </w:rPr>
        <w:t>20个项目全部完成既定目标，其中7个特定目标类项目绩效指标完成情况如下。一是使用水利项目审批及监督经费，完成17台办公设备购置，审批涉水方案数量达到145件。二是使用防汛工作经费，完成1套</w:t>
      </w:r>
      <w:r>
        <w:rPr>
          <w:rFonts w:hint="eastAsia" w:ascii="仿宋_GB2312" w:hAnsi="仿宋_GB2312" w:cs="仿宋_GB2312"/>
          <w:b w:val="0"/>
          <w:bCs w:val="0"/>
          <w:sz w:val="32"/>
          <w:szCs w:val="32"/>
          <w:highlight w:val="none"/>
          <w:u w:val="none"/>
          <w:lang w:val="zh-CN" w:eastAsia="zh-CN"/>
        </w:rPr>
        <w:t>防汛系统运行及维护</w:t>
      </w:r>
      <w:r>
        <w:rPr>
          <w:rFonts w:hint="eastAsia" w:ascii="仿宋_GB2312" w:hAnsi="仿宋_GB2312" w:cs="仿宋_GB2312"/>
          <w:b w:val="0"/>
          <w:bCs w:val="0"/>
          <w:sz w:val="32"/>
          <w:szCs w:val="32"/>
          <w:highlight w:val="none"/>
          <w:u w:val="none"/>
          <w:lang w:val="en-US" w:eastAsia="zh-CN"/>
        </w:rPr>
        <w:t>，管理1处防汛储备物资仓库。三是使用水资源管理经费，编制水资源公报60本，在线监测2处饮用水源地水质。四是使用河湖管理保护经费，完成河长制平台正常运行维护，管理408条河湖。五是使用水文监测系统运行及水文测报经费，</w:t>
      </w:r>
      <w:r>
        <w:rPr>
          <w:rFonts w:hint="eastAsia" w:ascii="仿宋_GB2312" w:hAnsi="仿宋_GB2312" w:cs="仿宋_GB2312"/>
          <w:b w:val="0"/>
          <w:bCs w:val="0"/>
          <w:sz w:val="32"/>
          <w:szCs w:val="32"/>
          <w:highlight w:val="none"/>
          <w:u w:val="none"/>
          <w:lang w:val="zh-CN" w:eastAsia="zh-CN"/>
        </w:rPr>
        <w:t>完成</w:t>
      </w:r>
      <w:r>
        <w:rPr>
          <w:rFonts w:hint="eastAsia" w:ascii="仿宋_GB2312" w:hAnsi="仿宋_GB2312" w:cs="仿宋_GB2312"/>
          <w:b w:val="0"/>
          <w:bCs w:val="0"/>
          <w:sz w:val="32"/>
          <w:szCs w:val="32"/>
          <w:highlight w:val="none"/>
          <w:u w:val="none"/>
          <w:lang w:val="en-US" w:eastAsia="zh-CN"/>
        </w:rPr>
        <w:t>198个</w:t>
      </w:r>
      <w:r>
        <w:rPr>
          <w:rFonts w:hint="eastAsia" w:ascii="仿宋_GB2312" w:hAnsi="仿宋_GB2312" w:cs="仿宋_GB2312"/>
          <w:b w:val="0"/>
          <w:bCs w:val="0"/>
          <w:sz w:val="32"/>
          <w:szCs w:val="32"/>
          <w:highlight w:val="none"/>
          <w:u w:val="none"/>
          <w:lang w:val="zh-CN" w:eastAsia="zh-CN"/>
        </w:rPr>
        <w:t>中小河流水位站、雨量站站点维护，按时提供准确数据。六是使用乡村振兴工作经费，保障</w:t>
      </w:r>
      <w:r>
        <w:rPr>
          <w:rFonts w:hint="eastAsia" w:ascii="仿宋_GB2312" w:hAnsi="仿宋_GB2312" w:cs="仿宋_GB2312"/>
          <w:b w:val="0"/>
          <w:bCs w:val="0"/>
          <w:sz w:val="32"/>
          <w:szCs w:val="32"/>
          <w:highlight w:val="none"/>
          <w:u w:val="none"/>
          <w:lang w:val="en-US" w:eastAsia="zh-CN"/>
        </w:rPr>
        <w:t>3名驻村工作人员在2个村正常开展有关工作。七是使用争取项目资金工作经费，促进争取各类水利资金12.4亿元。</w:t>
      </w:r>
      <w:r>
        <w:rPr>
          <w:rFonts w:hint="eastAsia" w:ascii="仿宋_GB2312" w:hAnsi="仿宋_GB2312" w:cs="仿宋_GB2312"/>
          <w:b w:val="0"/>
          <w:bCs w:val="0"/>
          <w:sz w:val="32"/>
          <w:szCs w:val="32"/>
          <w:highlight w:val="none"/>
          <w:u w:val="none"/>
          <w:lang w:val="zh-CN" w:eastAsia="zh-CN"/>
        </w:rPr>
        <w:t>自评得</w:t>
      </w:r>
      <w:r>
        <w:rPr>
          <w:rFonts w:hint="eastAsia" w:ascii="仿宋_GB2312" w:hAnsi="仿宋_GB2312" w:cs="仿宋_GB2312"/>
          <w:b w:val="0"/>
          <w:bCs w:val="0"/>
          <w:sz w:val="32"/>
          <w:szCs w:val="32"/>
          <w:highlight w:val="none"/>
          <w:u w:val="none"/>
          <w:lang w:val="en-US" w:eastAsia="zh-CN"/>
        </w:rPr>
        <w:t>11</w:t>
      </w:r>
      <w:r>
        <w:rPr>
          <w:rFonts w:hint="eastAsia" w:ascii="仿宋_GB2312" w:hAnsi="仿宋_GB2312" w:cs="仿宋_GB2312"/>
          <w:b w:val="0"/>
          <w:bCs w:val="0"/>
          <w:sz w:val="32"/>
          <w:szCs w:val="32"/>
          <w:highlight w:val="none"/>
          <w:u w:val="none"/>
          <w:lang w:val="zh-CN" w:eastAsia="zh-CN"/>
        </w:rPr>
        <w:t>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b w:val="0"/>
          <w:bCs w:val="0"/>
          <w:sz w:val="32"/>
          <w:szCs w:val="32"/>
          <w:highlight w:val="none"/>
          <w:u w:val="none"/>
          <w:lang w:val="zh-CN" w:eastAsia="zh-CN"/>
        </w:rPr>
      </w:pPr>
      <w:r>
        <w:rPr>
          <w:rFonts w:hint="default" w:ascii="仿宋_GB2312" w:hAnsi="仿宋_GB2312" w:cs="仿宋_GB2312"/>
          <w:b w:val="0"/>
          <w:bCs w:val="0"/>
          <w:sz w:val="32"/>
          <w:szCs w:val="32"/>
          <w:highlight w:val="none"/>
          <w:u w:val="none"/>
          <w:lang w:val="zh-CN" w:eastAsia="zh-CN"/>
        </w:rPr>
        <w:t>（</w:t>
      </w:r>
      <w:r>
        <w:rPr>
          <w:rFonts w:hint="eastAsia" w:ascii="仿宋_GB2312" w:hAnsi="仿宋_GB2312" w:cs="仿宋_GB2312"/>
          <w:b w:val="0"/>
          <w:bCs w:val="0"/>
          <w:sz w:val="32"/>
          <w:szCs w:val="32"/>
          <w:highlight w:val="none"/>
          <w:u w:val="none"/>
          <w:lang w:val="zh-CN" w:eastAsia="zh-CN"/>
        </w:rPr>
        <w:t>三</w:t>
      </w:r>
      <w:r>
        <w:rPr>
          <w:rFonts w:hint="default" w:ascii="仿宋_GB2312" w:hAnsi="仿宋_GB2312" w:cs="仿宋_GB2312"/>
          <w:b w:val="0"/>
          <w:bCs w:val="0"/>
          <w:sz w:val="32"/>
          <w:szCs w:val="32"/>
          <w:highlight w:val="none"/>
          <w:u w:val="none"/>
          <w:lang w:val="zh-CN" w:eastAsia="zh-CN"/>
        </w:rPr>
        <w:t>）</w:t>
      </w:r>
      <w:r>
        <w:rPr>
          <w:rFonts w:hint="eastAsia" w:ascii="仿宋_GB2312" w:hAnsi="仿宋_GB2312" w:cs="仿宋_GB2312"/>
          <w:b w:val="0"/>
          <w:bCs w:val="0"/>
          <w:sz w:val="32"/>
          <w:szCs w:val="32"/>
          <w:highlight w:val="none"/>
          <w:u w:val="none"/>
          <w:lang w:val="zh-CN" w:eastAsia="zh-CN"/>
        </w:rPr>
        <w:t>绩效结果应用情况</w:t>
      </w:r>
      <w:r>
        <w:rPr>
          <w:rFonts w:hint="default" w:ascii="仿宋_GB2312" w:hAnsi="仿宋_GB2312" w:cs="仿宋_GB2312"/>
          <w:b w:val="0"/>
          <w:bCs w:val="0"/>
          <w:sz w:val="32"/>
          <w:szCs w:val="32"/>
          <w:highlight w:val="none"/>
          <w:u w:val="none"/>
          <w:lang w:val="zh-CN" w:eastAsia="zh-CN"/>
        </w:rPr>
        <w:t>。</w:t>
      </w:r>
      <w:r>
        <w:rPr>
          <w:rFonts w:hint="eastAsia" w:ascii="仿宋_GB2312" w:hAnsi="仿宋_GB2312" w:cs="仿宋_GB2312"/>
          <w:b w:val="0"/>
          <w:bCs w:val="0"/>
          <w:sz w:val="32"/>
          <w:szCs w:val="32"/>
          <w:highlight w:val="none"/>
          <w:u w:val="none"/>
          <w:lang w:val="en-US" w:eastAsia="zh-CN"/>
        </w:rPr>
        <w:t>在项目完成后，及时开展绩效评价工作，对资金使用效益进行全面评估，将绩效评价结果作为下一年度预算安排的重要依据，对绩效好的项目优先保障资金，对绩效差的项目进行整改或调整。</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default" w:ascii="Times New Roman" w:hAnsi="Times New Roman" w:eastAsia="黑体" w:cs="Times New Roman"/>
          <w:b w:val="0"/>
          <w:bCs w:val="0"/>
          <w:color w:val="000000"/>
          <w:kern w:val="0"/>
          <w:sz w:val="32"/>
          <w:szCs w:val="32"/>
          <w:highlight w:val="none"/>
          <w:shd w:val="clear" w:color="auto" w:fill="FFFFFF"/>
        </w:rPr>
      </w:pPr>
      <w:r>
        <w:rPr>
          <w:rFonts w:hint="default" w:ascii="Times New Roman" w:hAnsi="Times New Roman" w:eastAsia="黑体" w:cs="Times New Roman"/>
          <w:b w:val="0"/>
          <w:bCs w:val="0"/>
          <w:color w:val="000000"/>
          <w:kern w:val="0"/>
          <w:sz w:val="32"/>
          <w:szCs w:val="32"/>
          <w:highlight w:val="none"/>
          <w:shd w:val="clear" w:color="auto" w:fill="FFFFFF"/>
          <w:lang w:eastAsia="zh-CN"/>
        </w:rPr>
        <w:t>四、</w:t>
      </w:r>
      <w:r>
        <w:rPr>
          <w:rFonts w:hint="default" w:ascii="Times New Roman" w:hAnsi="Times New Roman" w:eastAsia="黑体" w:cs="Times New Roman"/>
          <w:b w:val="0"/>
          <w:bCs w:val="0"/>
          <w:color w:val="000000"/>
          <w:kern w:val="0"/>
          <w:sz w:val="32"/>
          <w:szCs w:val="32"/>
          <w:highlight w:val="none"/>
          <w:shd w:val="clear" w:color="auto" w:fill="FFFFFF"/>
        </w:rPr>
        <w:t>评价结论及建议</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仿宋_GB2312" w:hAnsi="仿宋_GB2312" w:eastAsia="仿宋_GB2312" w:cs="仿宋_GB2312"/>
          <w:b w:val="0"/>
          <w:bCs w:val="0"/>
          <w:color w:val="000000"/>
          <w:kern w:val="0"/>
          <w:sz w:val="32"/>
          <w:szCs w:val="32"/>
          <w:highlight w:val="none"/>
          <w:shd w:val="clear" w:color="auto" w:fill="FFFFFF"/>
          <w:lang w:val="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（一）评价结论。</w:t>
      </w:r>
      <w:r>
        <w:rPr>
          <w:rFonts w:hint="eastAsia" w:ascii="仿宋_GB2312" w:hAnsi="仿宋_GB2312" w:eastAsia="仿宋_GB2312" w:cs="仿宋_GB2312"/>
          <w:color w:val="auto"/>
          <w:kern w:val="0"/>
          <w:sz w:val="32"/>
          <w:szCs w:val="32"/>
          <w:shd w:val="clear" w:color="auto" w:fill="FFFFFF"/>
          <w:lang w:val="zh-CN"/>
        </w:rPr>
        <w:t>按照202</w:t>
      </w:r>
      <w:r>
        <w:rPr>
          <w:rFonts w:hint="eastAsia" w:ascii="仿宋_GB2312" w:hAnsi="仿宋_GB2312" w:cs="仿宋_GB2312"/>
          <w:color w:val="auto"/>
          <w:kern w:val="0"/>
          <w:sz w:val="32"/>
          <w:szCs w:val="32"/>
          <w:shd w:val="clear" w:color="auto" w:fill="FFFFFF"/>
          <w:lang w:val="en-US" w:eastAsia="zh-CN"/>
        </w:rPr>
        <w:t>4</w:t>
      </w:r>
      <w:r>
        <w:rPr>
          <w:rFonts w:hint="eastAsia" w:ascii="仿宋_GB2312" w:hAnsi="仿宋_GB2312" w:eastAsia="仿宋_GB2312" w:cs="仿宋_GB2312"/>
          <w:color w:val="auto"/>
          <w:kern w:val="0"/>
          <w:sz w:val="32"/>
          <w:szCs w:val="32"/>
          <w:shd w:val="clear" w:color="auto" w:fill="FFFFFF"/>
          <w:lang w:val="zh-CN"/>
        </w:rPr>
        <w:t>年度部门整体支出绩效评价指标体系，绩效评价得分</w:t>
      </w:r>
      <w:r>
        <w:rPr>
          <w:rFonts w:hint="eastAsia" w:ascii="仿宋_GB2312" w:hAnsi="仿宋_GB2312" w:eastAsia="仿宋_GB2312" w:cs="仿宋_GB2312"/>
          <w:color w:val="auto"/>
          <w:kern w:val="0"/>
          <w:sz w:val="32"/>
          <w:szCs w:val="32"/>
          <w:shd w:val="clear" w:color="auto" w:fill="FFFFFF"/>
          <w:lang w:val="en-US" w:eastAsia="zh-CN"/>
        </w:rPr>
        <w:t>9</w:t>
      </w:r>
      <w:r>
        <w:rPr>
          <w:rFonts w:hint="eastAsia" w:ascii="仿宋_GB2312" w:hAnsi="仿宋_GB2312" w:cs="仿宋_GB2312"/>
          <w:color w:val="auto"/>
          <w:kern w:val="0"/>
          <w:sz w:val="32"/>
          <w:szCs w:val="32"/>
          <w:shd w:val="clear" w:color="auto" w:fill="FFFFFF"/>
          <w:lang w:val="en-US" w:eastAsia="zh-CN"/>
        </w:rPr>
        <w:t>5.69</w:t>
      </w:r>
      <w:r>
        <w:rPr>
          <w:rFonts w:hint="eastAsia" w:ascii="仿宋_GB2312" w:hAnsi="仿宋_GB2312" w:eastAsia="仿宋_GB2312" w:cs="仿宋_GB2312"/>
          <w:color w:val="auto"/>
          <w:kern w:val="0"/>
          <w:sz w:val="32"/>
          <w:szCs w:val="32"/>
          <w:shd w:val="clear" w:color="auto" w:fill="FFFFFF"/>
          <w:lang w:val="zh-CN"/>
        </w:rPr>
        <w:t>分</w:t>
      </w:r>
      <w:r>
        <w:rPr>
          <w:rFonts w:hint="eastAsia" w:ascii="仿宋_GB2312" w:hAnsi="仿宋_GB2312" w:eastAsia="仿宋_GB2312" w:cs="仿宋_GB2312"/>
          <w:color w:val="auto"/>
          <w:kern w:val="0"/>
          <w:sz w:val="32"/>
          <w:szCs w:val="32"/>
          <w:highlight w:val="none"/>
          <w:shd w:val="clear" w:color="auto" w:fill="FFFFFF"/>
          <w:lang w:val="en-US" w:eastAsia="zh-CN"/>
        </w:rPr>
        <w:t>。</w:t>
      </w:r>
      <w:r>
        <w:rPr>
          <w:rFonts w:hint="eastAsia" w:ascii="仿宋_GB2312" w:hAnsi="仿宋_GB2312" w:eastAsia="仿宋_GB2312" w:cs="仿宋_GB2312"/>
          <w:color w:val="auto"/>
          <w:kern w:val="0"/>
          <w:sz w:val="32"/>
          <w:szCs w:val="32"/>
          <w:highlight w:val="none"/>
          <w:shd w:val="clear" w:color="auto" w:fill="FFFFFF"/>
          <w:lang w:val="zh-CN"/>
        </w:rPr>
        <w:t>基本完成了年度预算绩效管理目标，扣分项主要涉及</w:t>
      </w:r>
      <w:r>
        <w:rPr>
          <w:rFonts w:hint="eastAsia" w:ascii="仿宋_GB2312" w:hAnsi="仿宋_GB2312" w:cs="仿宋_GB2312"/>
          <w:color w:val="auto"/>
          <w:kern w:val="0"/>
          <w:sz w:val="32"/>
          <w:szCs w:val="32"/>
          <w:highlight w:val="none"/>
          <w:shd w:val="clear" w:color="auto" w:fill="FFFFFF"/>
          <w:lang w:val="zh-CN"/>
        </w:rPr>
        <w:t>一般性支出压减、</w:t>
      </w:r>
      <w:r>
        <w:rPr>
          <w:rFonts w:hint="eastAsia" w:ascii="仿宋_GB2312" w:hAnsi="仿宋_GB2312" w:eastAsia="仿宋_GB2312" w:cs="仿宋_GB2312"/>
          <w:color w:val="auto"/>
          <w:kern w:val="0"/>
          <w:sz w:val="32"/>
          <w:szCs w:val="32"/>
          <w:highlight w:val="none"/>
          <w:shd w:val="clear" w:color="auto" w:fill="FFFFFF"/>
          <w:lang w:val="zh-CN"/>
        </w:rPr>
        <w:t>预算执行进度</w:t>
      </w:r>
      <w:r>
        <w:rPr>
          <w:rFonts w:hint="eastAsia" w:ascii="仿宋_GB2312" w:hAnsi="仿宋_GB2312" w:cs="仿宋_GB2312"/>
          <w:color w:val="auto"/>
          <w:kern w:val="0"/>
          <w:sz w:val="32"/>
          <w:szCs w:val="32"/>
          <w:highlight w:val="none"/>
          <w:shd w:val="clear" w:color="auto" w:fill="FFFFFF"/>
          <w:lang w:val="zh-CN"/>
        </w:rPr>
        <w:t>、预算年终结余方面</w:t>
      </w:r>
      <w:r>
        <w:rPr>
          <w:rFonts w:hint="eastAsia" w:ascii="仿宋_GB2312" w:hAnsi="仿宋_GB2312" w:eastAsia="仿宋_GB2312" w:cs="仿宋_GB2312"/>
          <w:color w:val="auto"/>
          <w:kern w:val="0"/>
          <w:sz w:val="32"/>
          <w:szCs w:val="32"/>
          <w:highlight w:val="none"/>
          <w:shd w:val="clear" w:color="auto" w:fill="FFFFFF"/>
          <w:lang w:val="zh-CN"/>
        </w:rPr>
        <w:t>。</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Times New Roman" w:hAnsi="Times New Roman" w:eastAsia="楷体_GB2312" w:cs="Times New Roman"/>
          <w:b w:val="0"/>
          <w:bCs w:val="0"/>
          <w:color w:val="000000"/>
          <w:kern w:val="0"/>
          <w:sz w:val="32"/>
          <w:szCs w:val="32"/>
          <w:highlight w:val="none"/>
          <w:shd w:val="clear" w:color="auto" w:fill="FFFFFF"/>
          <w:lang w:val="en-US" w:eastAsia="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（二）存在问题。</w:t>
      </w:r>
      <w:r>
        <w:rPr>
          <w:rFonts w:hint="eastAsia" w:ascii="仿宋_GB2312" w:hAnsi="仿宋_GB2312" w:eastAsia="仿宋_GB2312" w:cs="仿宋_GB2312"/>
          <w:color w:val="auto"/>
          <w:kern w:val="0"/>
          <w:sz w:val="32"/>
          <w:szCs w:val="32"/>
          <w:highlight w:val="none"/>
          <w:shd w:val="clear" w:color="auto" w:fill="FFFFFF"/>
          <w:lang w:val="zh-CN"/>
        </w:rPr>
        <w:t>一是</w:t>
      </w:r>
      <w:r>
        <w:rPr>
          <w:rFonts w:hint="eastAsia" w:ascii="仿宋_GB2312" w:hAnsi="仿宋_GB2312" w:cs="仿宋_GB2312"/>
          <w:color w:val="auto"/>
          <w:kern w:val="0"/>
          <w:sz w:val="32"/>
          <w:szCs w:val="32"/>
          <w:highlight w:val="none"/>
          <w:shd w:val="clear" w:color="auto" w:fill="FFFFFF"/>
          <w:lang w:val="zh-CN"/>
        </w:rPr>
        <w:t>部分业务科室在制定年初计划时细化不够，导致绩效目标编制不够精准；二是一般性支出压减难度较大，近几年来，一般性支出已逐年压减，但在岗职工人数只增不减，单位运转保障紧张，特别是差旅费支出压减空间有限</w:t>
      </w:r>
      <w:r>
        <w:rPr>
          <w:rFonts w:hint="eastAsia" w:ascii="仿宋_GB2312" w:hAnsi="仿宋_GB2312" w:eastAsia="仿宋_GB2312" w:cs="仿宋_GB2312"/>
          <w:b w:val="0"/>
          <w:bCs w:val="0"/>
          <w:w w:val="95"/>
          <w:kern w:val="0"/>
          <w:position w:val="0"/>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hAnsi="仿宋_GB2312" w:cs="仿宋_GB2312"/>
          <w:b w:val="0"/>
          <w:bCs w:val="0"/>
          <w:color w:val="000000" w:themeColor="text1"/>
          <w:kern w:val="0"/>
          <w:sz w:val="32"/>
          <w:szCs w:val="32"/>
          <w:highlight w:val="none"/>
          <w:shd w:val="clear" w:color="auto" w:fill="FFFFFF"/>
          <w:lang w:val="zh-CN"/>
          <w14:textFill>
            <w14:solidFill>
              <w14:schemeClr w14:val="tx1"/>
            </w14:solidFill>
          </w14:textFill>
        </w:rPr>
      </w:pPr>
      <w:r>
        <w:rPr>
          <w:rFonts w:hint="default" w:ascii="Times New Roman" w:hAnsi="Times New Roman" w:eastAsia="楷体_GB2312" w:cs="Times New Roman"/>
          <w:b w:val="0"/>
          <w:bCs w:val="0"/>
          <w:color w:val="000000"/>
          <w:kern w:val="0"/>
          <w:sz w:val="32"/>
          <w:szCs w:val="32"/>
          <w:highlight w:val="none"/>
          <w:shd w:val="clear" w:color="auto" w:fill="FFFFFF"/>
          <w:lang w:val="zh-CN" w:eastAsia="zh-CN"/>
        </w:rPr>
        <w:t>（三）改进建议。</w:t>
      </w:r>
      <w:bookmarkStart w:id="71" w:name="_Hlk110546638"/>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202</w:t>
      </w:r>
      <w:r>
        <w:rPr>
          <w:rFonts w:hint="eastAsia" w:ascii="仿宋_GB2312" w:hAnsi="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年，我</w:t>
      </w:r>
      <w:r>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单位</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将采取以下措施，提升预算绩效工作水平。</w:t>
      </w:r>
      <w:r>
        <w:rPr>
          <w:rFonts w:hint="eastAsia" w:ascii="仿宋_GB2312" w:hAnsi="仿宋_GB2312" w:cs="仿宋_GB2312"/>
          <w:b w:val="0"/>
          <w:bCs w:val="0"/>
          <w:color w:val="000000" w:themeColor="text1"/>
          <w:kern w:val="0"/>
          <w:sz w:val="32"/>
          <w:szCs w:val="32"/>
          <w:highlight w:val="none"/>
          <w:shd w:val="clear" w:color="auto" w:fill="FFFFFF"/>
          <w:lang w:val="zh-CN"/>
          <w14:textFill>
            <w14:solidFill>
              <w14:schemeClr w14:val="tx1"/>
            </w14:solidFill>
          </w14:textFill>
        </w:rPr>
        <w:t>一是参考各业务科室年度总结，合理、精准编制指标，指标值设置尽可能数据化，方便考核；二是编制一般性支出预算时强制进行压减，倒逼各业务科室优化出差计划，减少出差次数、人数，并统筹好有关经费支出，争取一般性支出预算、拨款双下降。</w:t>
      </w:r>
    </w:p>
    <w:p>
      <w:pPr>
        <w:pStyle w:val="2"/>
        <w:rPr>
          <w:rFonts w:hint="eastAsia"/>
          <w:lang w:val="en" w:eastAsia="zh-CN"/>
        </w:rPr>
      </w:pPr>
    </w:p>
    <w:bookmarkEnd w:id="71"/>
    <w:p>
      <w:pPr>
        <w:pStyle w:val="1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color w:val="auto"/>
          <w:sz w:val="32"/>
          <w:szCs w:val="32"/>
          <w:highlight w:val="none"/>
          <w:lang w:val="zh-CN" w:eastAsia="zh-CN"/>
        </w:rPr>
      </w:pPr>
      <w:r>
        <w:rPr>
          <w:rFonts w:hint="eastAsia" w:hAnsi="Times New Roman" w:cs="Times New Roman"/>
          <w:color w:val="auto"/>
          <w:sz w:val="32"/>
          <w:szCs w:val="32"/>
          <w:highlight w:val="none"/>
          <w:lang w:val="zh-CN" w:eastAsia="zh-CN"/>
        </w:rPr>
        <w:t>附表：</w:t>
      </w:r>
      <w:r>
        <w:rPr>
          <w:rFonts w:hint="eastAsia" w:hAnsi="Times New Roman" w:cs="Times New Roman"/>
          <w:color w:val="auto"/>
          <w:sz w:val="32"/>
          <w:szCs w:val="32"/>
          <w:highlight w:val="none"/>
          <w:lang w:val="en-US" w:eastAsia="zh-CN"/>
        </w:rPr>
        <w:t>部门预算项目支出绩效自评表（202</w:t>
      </w:r>
      <w:r>
        <w:rPr>
          <w:rFonts w:hint="eastAsia" w:cs="Times New Roman"/>
          <w:color w:val="auto"/>
          <w:sz w:val="32"/>
          <w:szCs w:val="32"/>
          <w:highlight w:val="none"/>
          <w:lang w:val="en-US" w:eastAsia="zh-CN"/>
        </w:rPr>
        <w:t>4</w:t>
      </w:r>
      <w:r>
        <w:rPr>
          <w:rFonts w:hint="eastAsia" w:hAnsi="Times New Roman" w:cs="Times New Roman"/>
          <w:color w:val="auto"/>
          <w:sz w:val="32"/>
          <w:szCs w:val="32"/>
          <w:highlight w:val="none"/>
          <w:lang w:val="en-US" w:eastAsia="zh-CN"/>
        </w:rPr>
        <w:t>年度）</w:t>
      </w:r>
    </w:p>
    <w:p>
      <w:pPr>
        <w:pStyle w:val="2"/>
        <w:ind w:firstLine="600" w:firstLineChars="200"/>
        <w:rPr>
          <w:rFonts w:hint="eastAsia"/>
          <w:lang w:val="zh-CN"/>
        </w:rPr>
      </w:pPr>
      <w:r>
        <w:rPr>
          <w:rFonts w:hint="eastAsia"/>
          <w:lang w:val="zh-CN"/>
        </w:rPr>
        <w:t>具体内容见附表</w:t>
      </w: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sz w:val="32"/>
          <w:szCs w:val="32"/>
          <w:highlight w:val="none"/>
          <w:lang w:val="en-US" w:eastAsia="zh-CN"/>
        </w:rPr>
      </w:pPr>
      <w:bookmarkStart w:id="87" w:name="_GoBack"/>
      <w:bookmarkEnd w:id="87"/>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bookmarkStart w:id="72" w:name="_Toc15396618"/>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关于2024年“十五五”水利规划编制经费</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年度“十五五”水利规划编制经费</w:t>
      </w:r>
      <w:r>
        <w:rPr>
          <w:rFonts w:hint="eastAsia" w:ascii="仿宋_GB2312" w:hAnsi="仿宋_GB2312" w:cs="仿宋_GB2312"/>
          <w:sz w:val="32"/>
          <w:szCs w:val="32"/>
          <w:lang w:val="en-US" w:eastAsia="zh-CN"/>
        </w:rPr>
        <w:t>支出</w:t>
      </w:r>
      <w:r>
        <w:rPr>
          <w:rFonts w:hint="eastAsia" w:ascii="仿宋_GB2312" w:hAnsi="仿宋_GB2312" w:eastAsia="仿宋_GB2312" w:cs="仿宋_GB2312"/>
          <w:sz w:val="32"/>
          <w:szCs w:val="32"/>
          <w:lang w:val="en-US" w:eastAsia="zh-CN"/>
        </w:rPr>
        <w:t>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拟订全市水利战略规划，组织编制重大水利综合规划、专业规划和专项规划，审核重要水利、水旱灾害防御、水土保持、地方电力工程的初步设计的编制和评审工作。负责水利行业基本建设技术质量标准和规程、规范的技术指导和技术监督。组织指导水库工程管理制度的改革。组织小型水库以上水利工程项目的建设、监理和竣工验收。负责监督指导河道沿岸和跨(穿)河道建设项目的评估审查。组织指导水利、农村水电工程安全监管和运行管理与划界工作。负责重点水利工程招投标管理，指导水利招投标工作。指导水利建设市场信用体系建设。指导水利设施综合利用工作。指导农村水能资源开发、小水电改造及水电农村电气化工作。</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仿宋_GB2312" w:hAnsi="Times New Roman" w:eastAsia="仿宋_GB2312" w:cs="仿宋_GB2312"/>
          <w:color w:val="000000"/>
          <w:sz w:val="32"/>
          <w:szCs w:val="32"/>
          <w:lang w:val="en-US" w:eastAsia="zh-CN"/>
        </w:rPr>
        <w:t>为</w:t>
      </w:r>
      <w:r>
        <w:rPr>
          <w:rFonts w:hint="eastAsia" w:ascii="仿宋_GB2312" w:cs="仿宋_GB2312"/>
          <w:color w:val="000000"/>
          <w:sz w:val="32"/>
          <w:szCs w:val="32"/>
          <w:lang w:val="en-US" w:eastAsia="zh-CN"/>
        </w:rPr>
        <w:t>提前启动并做好全市</w:t>
      </w:r>
      <w:r>
        <w:rPr>
          <w:rFonts w:hint="eastAsia" w:ascii="仿宋_GB2312" w:hAnsi="Times New Roman" w:eastAsia="仿宋_GB2312" w:cs="仿宋_GB2312"/>
          <w:color w:val="000000"/>
          <w:sz w:val="32"/>
          <w:szCs w:val="32"/>
          <w:lang w:val="en-US" w:eastAsia="zh-CN"/>
        </w:rPr>
        <w:t>“十五五”</w:t>
      </w:r>
      <w:r>
        <w:rPr>
          <w:rFonts w:hint="eastAsia" w:ascii="仿宋_GB2312" w:cs="仿宋_GB2312"/>
          <w:color w:val="000000"/>
          <w:sz w:val="32"/>
          <w:szCs w:val="32"/>
          <w:lang w:val="en-US" w:eastAsia="zh-CN"/>
        </w:rPr>
        <w:t>水安全保障规划编制工作，确保</w:t>
      </w:r>
      <w:r>
        <w:rPr>
          <w:rFonts w:hint="eastAsia" w:ascii="仿宋_GB2312" w:hAnsi="Times New Roman" w:eastAsia="仿宋_GB2312" w:cs="仿宋_GB2312"/>
          <w:color w:val="000000"/>
          <w:sz w:val="32"/>
          <w:szCs w:val="32"/>
          <w:lang w:val="en-US" w:eastAsia="zh-CN"/>
        </w:rPr>
        <w:t>“十五五”</w:t>
      </w:r>
      <w:r>
        <w:rPr>
          <w:rFonts w:hint="eastAsia" w:ascii="仿宋_GB2312" w:cs="仿宋_GB2312"/>
          <w:color w:val="000000"/>
          <w:sz w:val="32"/>
          <w:szCs w:val="32"/>
          <w:lang w:val="en-US" w:eastAsia="zh-CN"/>
        </w:rPr>
        <w:t>期间水安全保障项目储备和争取。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Times New Roman" w:eastAsia="仿宋_GB2312" w:cs="仿宋_GB2312"/>
          <w:color w:val="000000"/>
          <w:sz w:val="32"/>
          <w:szCs w:val="32"/>
          <w:lang w:val="zh-CN"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Times New Roman" w:eastAsia="仿宋_GB2312" w:cs="仿宋_GB2312"/>
          <w:color w:val="000000"/>
          <w:sz w:val="32"/>
          <w:szCs w:val="32"/>
          <w:lang w:val="en-US" w:eastAsia="zh-CN"/>
        </w:rPr>
        <w:t>主要用于规划编制</w:t>
      </w:r>
      <w:r>
        <w:rPr>
          <w:rFonts w:hint="eastAsia" w:ascii="仿宋_GB2312" w:cs="仿宋_GB2312"/>
          <w:color w:val="000000"/>
          <w:sz w:val="32"/>
          <w:szCs w:val="32"/>
          <w:lang w:val="en-US" w:eastAsia="zh-CN"/>
        </w:rPr>
        <w:t>前期调研，规划编制、调整、修订等方面费用。</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一次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主要设置规划编制涉及年度等于</w:t>
      </w:r>
      <w:r>
        <w:rPr>
          <w:rFonts w:hint="eastAsia" w:ascii="仿宋_GB2312" w:hAnsi="仿宋_GB2312" w:cs="仿宋_GB2312"/>
          <w:color w:val="auto"/>
          <w:kern w:val="0"/>
          <w:sz w:val="32"/>
          <w:szCs w:val="32"/>
          <w:highlight w:val="none"/>
          <w:u w:val="none"/>
          <w:shd w:val="clear" w:color="auto" w:fill="FFFFFF"/>
          <w:lang w:val="en-US" w:eastAsia="zh-CN"/>
        </w:rPr>
        <w:t>5年，审核通过率等于100%，项目资金成本小于等于3万元。</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对项目支持方向</w:t>
      </w:r>
      <w:r>
        <w:rPr>
          <w:rFonts w:hint="eastAsia" w:ascii="仿宋_GB2312" w:hAnsi="仿宋_GB2312" w:cs="仿宋_GB2312"/>
          <w:sz w:val="32"/>
          <w:szCs w:val="32"/>
          <w:lang w:val="en-US" w:eastAsia="zh-CN"/>
        </w:rPr>
        <w:t>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default" w:ascii="仿宋_GB2312" w:hAnsi="宋体" w:eastAsia="仿宋_GB2312" w:cs="仿宋_GB2312"/>
          <w:b w:val="0"/>
          <w:bCs/>
          <w:color w:val="auto"/>
          <w:sz w:val="32"/>
          <w:szCs w:val="32"/>
          <w:lang w:val="en-US"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000000"/>
          <w:sz w:val="32"/>
          <w:szCs w:val="32"/>
          <w:lang w:eastAsia="zh-CN"/>
        </w:rPr>
        <w:t>该项目主要用于规划建设科编制规划前期调研费用</w:t>
      </w:r>
      <w:r>
        <w:rPr>
          <w:rFonts w:hint="eastAsia" w:ascii="仿宋_GB2312" w:hAnsi="仿宋_GB2312" w:cs="仿宋_GB2312"/>
          <w:color w:val="000000"/>
          <w:sz w:val="32"/>
          <w:szCs w:val="32"/>
          <w:lang w:val="en-US" w:eastAsia="zh-CN"/>
        </w:rPr>
        <w:t>2.23万元，办公资料费用0.77万元</w:t>
      </w:r>
      <w:r>
        <w:rPr>
          <w:rFonts w:hint="eastAsia" w:ascii="仿宋_GB2312" w:hAnsi="仿宋_GB2312" w:eastAsia="仿宋_GB2312" w:cs="仿宋_GB2312"/>
          <w:color w:val="000000"/>
          <w:sz w:val="32"/>
          <w:szCs w:val="32"/>
        </w:rPr>
        <w:t>。</w:t>
      </w:r>
      <w:r>
        <w:rPr>
          <w:rFonts w:hint="eastAsia" w:ascii="仿宋_GB2312" w:hAnsi="仿宋_GB2312" w:cs="仿宋_GB2312"/>
          <w:color w:val="000000"/>
          <w:sz w:val="32"/>
          <w:szCs w:val="32"/>
          <w:lang w:eastAsia="zh-CN"/>
        </w:rPr>
        <w:t>为规划编制完成打下坚实的基础，推动今后水利工作开创新的局面。由于无相应个性指标，折合</w:t>
      </w:r>
      <w:r>
        <w:rPr>
          <w:rFonts w:hint="eastAsia" w:ascii="仿宋_GB2312" w:hAnsi="仿宋_GB2312" w:eastAsia="仿宋_GB2312" w:cs="仿宋_GB2312"/>
          <w:color w:val="auto"/>
          <w:sz w:val="32"/>
          <w:szCs w:val="32"/>
          <w:lang w:val="en-US" w:eastAsia="zh-CN"/>
        </w:rPr>
        <w:t>自评得分</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Times New Roman" w:hAnsi="Times New Roman" w:cs="Times New Roman"/>
          <w:color w:val="000000"/>
          <w:kern w:val="0"/>
          <w:szCs w:val="32"/>
          <w:highlight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lang w:val="zh-CN" w:eastAsia="zh-CN"/>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sz w:val="32"/>
          <w:szCs w:val="32"/>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关于2024年高层次人才安家补助和工作补助</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年度高层次人才安家补助和工作补助</w:t>
      </w:r>
      <w:r>
        <w:rPr>
          <w:rFonts w:hint="eastAsia" w:ascii="仿宋_GB2312" w:hAnsi="仿宋_GB2312" w:cs="仿宋_GB2312"/>
          <w:sz w:val="32"/>
          <w:szCs w:val="32"/>
          <w:lang w:val="en-US" w:eastAsia="zh-CN"/>
        </w:rPr>
        <w:t>支出</w:t>
      </w:r>
      <w:r>
        <w:rPr>
          <w:rFonts w:hint="eastAsia" w:ascii="仿宋_GB2312" w:hAnsi="仿宋_GB2312" w:eastAsia="仿宋_GB2312" w:cs="仿宋_GB2312"/>
          <w:sz w:val="32"/>
          <w:szCs w:val="32"/>
          <w:lang w:val="en-US" w:eastAsia="zh-CN"/>
        </w:rPr>
        <w:t>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Times New Roman" w:eastAsia="仿宋_GB2312" w:cs="仿宋_GB2312"/>
          <w:color w:val="000000"/>
          <w:sz w:val="32"/>
          <w:szCs w:val="32"/>
          <w:lang w:val="zh-CN" w:eastAsia="zh-CN"/>
        </w:rPr>
      </w:pPr>
      <w:r>
        <w:rPr>
          <w:rFonts w:hint="eastAsia" w:ascii="仿宋_GB2312" w:hAnsi="Times New Roman" w:eastAsia="仿宋_GB2312" w:cs="仿宋_GB2312"/>
          <w:color w:val="000000"/>
          <w:sz w:val="32"/>
          <w:szCs w:val="32"/>
          <w:lang w:val="en-US" w:eastAsia="zh-CN"/>
        </w:rPr>
        <w:t>承办机关并指导局属事业单位的人事管理、机构编制、劳动工资和专家工作。配合组织部门实施局属单位班子和后备干部队伍建设。负责全市水利行业中级技术职务资格评审和局属单位的初级技术职务评审日常工作，负责初审并向高评委推荐全市水利行业申请评审高级技术职务的工作。组织指导水利系统工人技术等级培训考核，劳动保护、社会保障工作。配合有关部门组织国家公务员和科技干部的培训考核工作。组织指导水利行业职工队伍建设和服务体系建设。负责退休人员管理工作。组织指导水利行业科学研究和重大科技成果鉴定，应用和技术推广工作。</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sz w:val="32"/>
          <w:szCs w:val="32"/>
          <w:lang w:eastAsia="zh-CN"/>
        </w:rPr>
      </w:pPr>
      <w:r>
        <w:rPr>
          <w:rFonts w:hint="eastAsia" w:ascii="仿宋_GB2312"/>
          <w:sz w:val="32"/>
          <w:szCs w:val="32"/>
          <w:lang w:eastAsia="zh-CN"/>
        </w:rPr>
        <w:t>按人才引进有关文件要求，对</w:t>
      </w:r>
      <w:r>
        <w:rPr>
          <w:rFonts w:hint="eastAsia" w:ascii="仿宋_GB2312"/>
          <w:sz w:val="32"/>
          <w:szCs w:val="32"/>
          <w:lang w:val="en-US" w:eastAsia="zh-CN"/>
        </w:rPr>
        <w:t>2022-2023年引进人员3人发放每月500元工作补助，</w:t>
      </w:r>
      <w:r>
        <w:rPr>
          <w:rFonts w:hint="eastAsia" w:ascii="仿宋_GB2312" w:eastAsia="仿宋_GB2312"/>
          <w:sz w:val="32"/>
          <w:szCs w:val="32"/>
        </w:rPr>
        <w:t>进一步加强公开引进（招聘）高层次人才管理服务</w:t>
      </w:r>
      <w:r>
        <w:rPr>
          <w:rFonts w:hint="eastAsia" w:ascii="仿宋_GB2312"/>
          <w:sz w:val="32"/>
          <w:szCs w:val="32"/>
          <w:lang w:eastAsia="zh-CN"/>
        </w:rPr>
        <w:t>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Times New Roman" w:eastAsia="仿宋_GB2312" w:cs="仿宋_GB2312"/>
          <w:color w:val="000000"/>
          <w:sz w:val="32"/>
          <w:szCs w:val="32"/>
          <w:lang w:val="zh-CN"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Times New Roman" w:eastAsia="仿宋_GB2312" w:cs="仿宋_GB2312"/>
          <w:color w:val="000000"/>
          <w:sz w:val="32"/>
          <w:szCs w:val="32"/>
          <w:lang w:val="en-US" w:eastAsia="zh-CN"/>
        </w:rPr>
        <w:t>主要用于</w:t>
      </w:r>
      <w:r>
        <w:rPr>
          <w:rFonts w:hint="eastAsia" w:ascii="仿宋_GB2312" w:cs="仿宋_GB2312"/>
          <w:color w:val="000000"/>
          <w:sz w:val="32"/>
          <w:szCs w:val="32"/>
          <w:lang w:val="en-US" w:eastAsia="zh-CN"/>
        </w:rPr>
        <w:t>每月500元工作补助发放。</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主要设置引进高层次人才人数</w:t>
      </w:r>
      <w:r>
        <w:rPr>
          <w:rFonts w:hint="eastAsia" w:ascii="仿宋_GB2312" w:hAnsi="仿宋_GB2312" w:cs="仿宋_GB2312"/>
          <w:color w:val="auto"/>
          <w:kern w:val="0"/>
          <w:sz w:val="32"/>
          <w:szCs w:val="32"/>
          <w:highlight w:val="none"/>
          <w:u w:val="none"/>
          <w:shd w:val="clear" w:color="auto" w:fill="FFFFFF"/>
          <w:lang w:val="en-US" w:eastAsia="zh-CN"/>
        </w:rPr>
        <w:t>3人，完成时间小于等于1个月，项目金额小于等于3万元。</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对项目支持方向</w:t>
      </w:r>
      <w:r>
        <w:rPr>
          <w:rFonts w:hint="eastAsia" w:ascii="仿宋_GB2312" w:hAnsi="仿宋_GB2312" w:cs="仿宋_GB2312"/>
          <w:sz w:val="32"/>
          <w:szCs w:val="32"/>
          <w:lang w:val="en-US" w:eastAsia="zh-CN"/>
        </w:rPr>
        <w:t>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000000"/>
          <w:sz w:val="32"/>
          <w:szCs w:val="32"/>
          <w:lang w:eastAsia="zh-CN"/>
        </w:rPr>
        <w:t>财政分批下达该项资金，</w:t>
      </w:r>
      <w:r>
        <w:rPr>
          <w:rFonts w:hint="eastAsia" w:ascii="仿宋_GB2312" w:hAnsi="仿宋_GB2312" w:cs="仿宋_GB2312"/>
          <w:color w:val="000000"/>
          <w:sz w:val="32"/>
          <w:szCs w:val="32"/>
          <w:lang w:val="en-US" w:eastAsia="zh-CN"/>
        </w:rPr>
        <w:t>4月份下达1人1.2万元，12月份下达2人1.8万元，共计3万元，资金到位后</w:t>
      </w:r>
      <w:r>
        <w:rPr>
          <w:rFonts w:hint="eastAsia" w:ascii="仿宋_GB2312" w:hAnsi="仿宋_GB2312" w:cs="仿宋_GB2312"/>
          <w:color w:val="000000"/>
          <w:sz w:val="32"/>
          <w:szCs w:val="32"/>
          <w:lang w:eastAsia="zh-CN"/>
        </w:rPr>
        <w:t>采取一次性发放的方式补助到位。由于无相应个性指标，折合</w:t>
      </w:r>
      <w:r>
        <w:rPr>
          <w:rFonts w:hint="eastAsia" w:ascii="仿宋_GB2312" w:hAnsi="仿宋_GB2312" w:eastAsia="仿宋_GB2312" w:cs="仿宋_GB2312"/>
          <w:color w:val="auto"/>
          <w:sz w:val="32"/>
          <w:szCs w:val="32"/>
          <w:lang w:val="en-US" w:eastAsia="zh-CN"/>
        </w:rPr>
        <w:t>自评得分</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Times New Roman" w:hAnsi="Times New Roman" w:cs="Times New Roman"/>
          <w:color w:val="000000"/>
          <w:kern w:val="0"/>
          <w:szCs w:val="32"/>
          <w:highlight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lang w:val="zh-CN" w:eastAsia="zh-CN"/>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37"/>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关于2024年广元市及7个县区现代水网规划项目</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年度广元市及7个县区现代水网规划项目</w:t>
      </w:r>
      <w:r>
        <w:rPr>
          <w:rFonts w:hint="eastAsia" w:ascii="仿宋_GB2312" w:hAnsi="仿宋_GB2312" w:cs="仿宋_GB2312"/>
          <w:sz w:val="32"/>
          <w:szCs w:val="32"/>
          <w:lang w:val="en-US" w:eastAsia="zh-CN"/>
        </w:rPr>
        <w:t>支出</w:t>
      </w:r>
      <w:r>
        <w:rPr>
          <w:rFonts w:hint="eastAsia" w:ascii="仿宋_GB2312" w:hAnsi="仿宋_GB2312" w:eastAsia="仿宋_GB2312" w:cs="仿宋_GB2312"/>
          <w:sz w:val="32"/>
          <w:szCs w:val="32"/>
          <w:lang w:val="en-US" w:eastAsia="zh-CN"/>
        </w:rPr>
        <w:t>绩效评价，有关情况如下：</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80"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拟订全市水利战略规划，组织编制重大水利综合规划、专业规划和专项规划，审核重要水利、水旱灾害防御、水土保持、地方电力工程的初步设计的编制和评审工作。负责水利行业基本建设技术质量标准和规程、规范的技术指导和技术监督。组织指导水库工程管理制度的改革。组织小型水库以上水利工程项目的建设、监理和竣工验收。负责监督指导河道沿岸和跨(穿)河道建设项目的评估审查。组织指导水利、农村水电工程安全监管和运行管理与划界工作。负责重点水利工程招投标管理，指导水利招投标工作。指导水利建设市场信用体系建设。指导水利设施综合利用工作。指导农村水能资源开发、小水电改造及水电农村电气化工作。</w:t>
      </w:r>
    </w:p>
    <w:p>
      <w:pPr>
        <w:keepNext w:val="0"/>
        <w:keepLines w:val="0"/>
        <w:pageBreakBefore w:val="0"/>
        <w:widowControl w:val="0"/>
        <w:numPr>
          <w:ilvl w:val="0"/>
          <w:numId w:val="7"/>
        </w:numPr>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cs="仿宋_GB2312"/>
          <w:sz w:val="32"/>
          <w:szCs w:val="32"/>
          <w:lang w:eastAsia="zh-CN"/>
        </w:rPr>
        <w:t>按照</w:t>
      </w:r>
      <w:r>
        <w:rPr>
          <w:rFonts w:hint="eastAsia" w:ascii="仿宋_GB2312" w:hAnsi="仿宋_GB2312" w:eastAsia="仿宋_GB2312" w:cs="仿宋_GB2312"/>
          <w:sz w:val="32"/>
          <w:szCs w:val="32"/>
          <w:lang w:eastAsia="zh-CN"/>
        </w:rPr>
        <w:t>《国家水网建设规划纲要》</w:t>
      </w:r>
      <w:r>
        <w:rPr>
          <w:rFonts w:hint="eastAsia" w:ascii="仿宋_GB2312" w:hAnsi="仿宋_GB2312" w:cs="仿宋_GB2312"/>
          <w:sz w:val="32"/>
          <w:szCs w:val="32"/>
          <w:lang w:eastAsia="zh-CN"/>
        </w:rPr>
        <w:t>，并结合我市实际情况，以及市领导对《关于开展全市水网规划的请示》文件的批示同意，对</w:t>
      </w:r>
      <w:r>
        <w:rPr>
          <w:rFonts w:hint="eastAsia" w:ascii="仿宋_GB2312" w:hAnsi="仿宋_GB2312" w:eastAsia="仿宋_GB2312" w:cs="仿宋_GB2312"/>
          <w:color w:val="000000"/>
          <w:sz w:val="32"/>
          <w:szCs w:val="32"/>
          <w:lang w:val="en-US" w:eastAsia="zh-CN"/>
        </w:rPr>
        <w:t>广元市及7个县区现代水网规划的编制，可以在省级水网亭子口、罐子坝、武引等骨干工程的基础上，谋划广元市级水网体系，增强水资源统筹调配能力、供水保障能力、战略储备能力，保障防洪安全、供水安全、粮食安全、能源安全、生态安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2" w:firstLineChars="200"/>
        <w:textAlignment w:val="auto"/>
        <w:rPr>
          <w:rFonts w:hint="eastAsia" w:ascii="仿宋_GB2312" w:hAnsi="宋体" w:eastAsia="楷体_GB2312"/>
          <w:b w:val="0"/>
          <w:bCs w:val="0"/>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bCs/>
          <w:color w:val="auto"/>
          <w:kern w:val="0"/>
          <w:sz w:val="32"/>
          <w:szCs w:val="32"/>
          <w:lang w:val="en-US" w:eastAsia="zh-CN" w:bidi="ar-SA"/>
        </w:rPr>
        <w:t>一是系统性的梳理水利基础设施体系现状及存在问题，二是研究广元市及7个县区的水网布局，三是构建完善的防洪减灾体系、节约高效的水资源配置体系和水生态良好的保护修复体系，四是提升水网数字化和信息化，创新水网工程建设运行机制，五是完成广元市“1+7”现代水网规划报告。</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一次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80"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主要设置水网规划报告数量小于等于</w:t>
      </w:r>
      <w:r>
        <w:rPr>
          <w:rFonts w:hint="eastAsia" w:ascii="仿宋_GB2312" w:hAnsi="仿宋_GB2312" w:cs="仿宋_GB2312"/>
          <w:color w:val="auto"/>
          <w:kern w:val="0"/>
          <w:sz w:val="32"/>
          <w:szCs w:val="32"/>
          <w:highlight w:val="none"/>
          <w:u w:val="none"/>
          <w:shd w:val="clear" w:color="auto" w:fill="FFFFFF"/>
          <w:lang w:val="en-US" w:eastAsia="zh-CN"/>
        </w:rPr>
        <w:t>8个，促进水网建设，完成时间</w:t>
      </w:r>
      <w:r>
        <w:rPr>
          <w:rFonts w:hint="eastAsia" w:ascii="仿宋_GB2312" w:hAnsi="仿宋_GB2312" w:cs="仿宋_GB2312"/>
          <w:color w:val="auto"/>
          <w:kern w:val="0"/>
          <w:sz w:val="32"/>
          <w:szCs w:val="32"/>
          <w:highlight w:val="none"/>
          <w:u w:val="none"/>
          <w:shd w:val="clear" w:color="auto" w:fill="FFFFFF"/>
          <w:lang w:val="zh-CN" w:eastAsia="zh-CN"/>
        </w:rPr>
        <w:t>小于等于</w:t>
      </w:r>
      <w:r>
        <w:rPr>
          <w:rFonts w:hint="eastAsia" w:ascii="仿宋_GB2312" w:hAnsi="仿宋_GB2312" w:cs="仿宋_GB2312"/>
          <w:color w:val="auto"/>
          <w:kern w:val="0"/>
          <w:sz w:val="32"/>
          <w:szCs w:val="32"/>
          <w:highlight w:val="none"/>
          <w:u w:val="none"/>
          <w:shd w:val="clear" w:color="auto" w:fill="FFFFFF"/>
          <w:lang w:val="en-US" w:eastAsia="zh-CN"/>
        </w:rPr>
        <w:t>15个月，项目成本</w:t>
      </w:r>
      <w:r>
        <w:rPr>
          <w:rFonts w:hint="eastAsia" w:ascii="仿宋_GB2312" w:hAnsi="仿宋_GB2312" w:cs="仿宋_GB2312"/>
          <w:color w:val="auto"/>
          <w:kern w:val="0"/>
          <w:sz w:val="32"/>
          <w:szCs w:val="32"/>
          <w:highlight w:val="none"/>
          <w:u w:val="none"/>
          <w:shd w:val="clear" w:color="auto" w:fill="FFFFFF"/>
          <w:lang w:val="zh-CN" w:eastAsia="zh-CN"/>
        </w:rPr>
        <w:t>小于等于</w:t>
      </w:r>
      <w:r>
        <w:rPr>
          <w:rFonts w:hint="eastAsia" w:ascii="仿宋_GB2312" w:hAnsi="仿宋_GB2312" w:cs="仿宋_GB2312"/>
          <w:color w:val="auto"/>
          <w:kern w:val="0"/>
          <w:sz w:val="32"/>
          <w:szCs w:val="32"/>
          <w:highlight w:val="none"/>
          <w:u w:val="none"/>
          <w:shd w:val="clear" w:color="auto" w:fill="FFFFFF"/>
          <w:lang w:val="en-US" w:eastAsia="zh-CN"/>
        </w:rPr>
        <w:t>480万元。</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对项目实施补助时间、企业满意度</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财政资金拨付100%，单位资金使用达到80%。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zh-CN" w:eastAsia="zh-CN"/>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sz w:val="32"/>
          <w:szCs w:val="32"/>
          <w:lang w:val="zh-CN" w:bidi="ar"/>
        </w:rPr>
        <w:t>通过第三方</w:t>
      </w:r>
      <w:r>
        <w:rPr>
          <w:rFonts w:hint="eastAsia" w:ascii="仿宋_GB2312" w:hAnsi="仿宋_GB2312" w:eastAsia="仿宋_GB2312" w:cs="仿宋_GB2312"/>
          <w:bCs/>
          <w:color w:val="auto"/>
          <w:kern w:val="0"/>
          <w:sz w:val="32"/>
          <w:szCs w:val="32"/>
          <w:lang w:val="en-US" w:eastAsia="zh-CN" w:bidi="ar-SA"/>
        </w:rPr>
        <w:t>梳理水利基础设施体系现状及存在问题，研究</w:t>
      </w:r>
      <w:r>
        <w:rPr>
          <w:rFonts w:hint="eastAsia" w:ascii="仿宋_GB2312" w:hAnsi="仿宋_GB2312" w:cs="仿宋_GB2312"/>
          <w:bCs/>
          <w:color w:val="auto"/>
          <w:kern w:val="0"/>
          <w:sz w:val="32"/>
          <w:szCs w:val="32"/>
          <w:lang w:val="en-US" w:eastAsia="zh-CN" w:bidi="ar-SA"/>
        </w:rPr>
        <w:t>全市</w:t>
      </w:r>
      <w:r>
        <w:rPr>
          <w:rFonts w:hint="eastAsia" w:ascii="仿宋_GB2312" w:hAnsi="仿宋_GB2312" w:eastAsia="仿宋_GB2312" w:cs="仿宋_GB2312"/>
          <w:bCs/>
          <w:color w:val="auto"/>
          <w:kern w:val="0"/>
          <w:sz w:val="32"/>
          <w:szCs w:val="32"/>
          <w:lang w:val="en-US" w:eastAsia="zh-CN" w:bidi="ar-SA"/>
        </w:rPr>
        <w:t>水网布局，</w:t>
      </w:r>
      <w:r>
        <w:rPr>
          <w:rFonts w:hint="eastAsia" w:ascii="仿宋_GB2312" w:hAnsi="仿宋_GB2312" w:cs="仿宋_GB2312"/>
          <w:bCs/>
          <w:color w:val="auto"/>
          <w:kern w:val="0"/>
          <w:sz w:val="32"/>
          <w:szCs w:val="32"/>
          <w:lang w:val="en-US" w:eastAsia="zh-CN" w:bidi="ar-SA"/>
        </w:rPr>
        <w:t>已初步形成</w:t>
      </w:r>
      <w:r>
        <w:rPr>
          <w:rFonts w:hint="eastAsia" w:ascii="仿宋_GB2312" w:hAnsi="仿宋_GB2312" w:eastAsia="仿宋_GB2312" w:cs="仿宋_GB2312"/>
          <w:bCs/>
          <w:color w:val="auto"/>
          <w:kern w:val="0"/>
          <w:sz w:val="32"/>
          <w:szCs w:val="32"/>
          <w:lang w:val="en-US" w:eastAsia="zh-CN" w:bidi="ar-SA"/>
        </w:rPr>
        <w:t>广元市“1+7”现代水网规划报告</w:t>
      </w:r>
      <w:r>
        <w:rPr>
          <w:rFonts w:hint="eastAsia" w:ascii="仿宋_GB2312" w:hAnsi="仿宋_GB2312" w:cs="仿宋_GB2312"/>
          <w:bCs/>
          <w:color w:val="auto"/>
          <w:kern w:val="0"/>
          <w:sz w:val="32"/>
          <w:szCs w:val="32"/>
          <w:lang w:val="en-US" w:eastAsia="zh-CN" w:bidi="ar-SA"/>
        </w:rPr>
        <w:t>,2024年按照合同要求已支付384万元，支付率80%</w:t>
      </w:r>
      <w:r>
        <w:rPr>
          <w:rFonts w:hint="eastAsia" w:ascii="仿宋_GB2312" w:hAnsi="仿宋_GB2312" w:eastAsia="仿宋_GB2312" w:cs="仿宋_GB2312"/>
          <w:color w:val="000000"/>
          <w:sz w:val="32"/>
          <w:szCs w:val="32"/>
        </w:rPr>
        <w:t>。</w:t>
      </w:r>
      <w:r>
        <w:rPr>
          <w:rFonts w:hint="eastAsia" w:ascii="仿宋_GB2312" w:hAnsi="仿宋_GB2312" w:cs="仿宋_GB2312"/>
          <w:color w:val="000000"/>
          <w:sz w:val="32"/>
          <w:szCs w:val="32"/>
          <w:lang w:eastAsia="zh-CN"/>
        </w:rPr>
        <w:t>由于无相应个性指标，折合</w:t>
      </w:r>
      <w:r>
        <w:rPr>
          <w:rFonts w:hint="eastAsia" w:ascii="仿宋_GB2312" w:hAnsi="仿宋_GB2312" w:eastAsia="仿宋_GB2312" w:cs="仿宋_GB2312"/>
          <w:color w:val="auto"/>
          <w:sz w:val="32"/>
          <w:szCs w:val="32"/>
          <w:lang w:val="en-US" w:eastAsia="zh-CN"/>
        </w:rPr>
        <w:t>自评得分</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Times New Roman" w:hAnsi="Times New Roman" w:cs="Times New Roman"/>
          <w:color w:val="000000"/>
          <w:kern w:val="0"/>
          <w:szCs w:val="32"/>
          <w:highlight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37"/>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sz w:val="44"/>
          <w:szCs w:val="44"/>
          <w:highlight w:val="none"/>
          <w:shd w:val="clear" w:color="auto" w:fill="FFFFFF"/>
          <w:lang w:eastAsia="zh-CN"/>
        </w:rPr>
      </w:pPr>
      <w:r>
        <w:rPr>
          <w:rFonts w:hint="eastAsia" w:ascii="方正小标宋简体" w:hAnsi="方正小标宋简体" w:eastAsia="方正小标宋简体" w:cs="方正小标宋简体"/>
          <w:b w:val="0"/>
          <w:bCs w:val="0"/>
          <w:color w:val="auto"/>
          <w:kern w:val="2"/>
          <w:sz w:val="44"/>
          <w:szCs w:val="44"/>
          <w:lang w:eastAsia="zh-CN"/>
        </w:rPr>
        <w:t>关于</w:t>
      </w:r>
      <w:r>
        <w:rPr>
          <w:rFonts w:hint="eastAsia" w:ascii="方正小标宋简体" w:hAnsi="方正小标宋简体" w:eastAsia="方正小标宋简体" w:cs="方正小标宋简体"/>
          <w:b w:val="0"/>
          <w:bCs w:val="0"/>
          <w:color w:val="auto"/>
          <w:kern w:val="2"/>
          <w:sz w:val="44"/>
          <w:szCs w:val="44"/>
        </w:rPr>
        <w:t>河湖健康评价</w:t>
      </w:r>
      <w:r>
        <w:rPr>
          <w:rFonts w:hint="eastAsia" w:ascii="方正小标宋简体" w:hAnsi="方正小标宋简体" w:eastAsia="方正小标宋简体" w:cs="方正小标宋简体"/>
          <w:b w:val="0"/>
          <w:bCs w:val="0"/>
          <w:color w:val="auto"/>
          <w:kern w:val="2"/>
          <w:sz w:val="44"/>
          <w:szCs w:val="44"/>
          <w:lang w:eastAsia="zh-CN"/>
        </w:rPr>
        <w:t>项目支出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河湖健康评价项目绩效评价，有关情况如下：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w:t>
      </w:r>
      <w:r>
        <w:rPr>
          <w:rFonts w:hint="eastAsia" w:ascii="仿宋_GB2312" w:hAnsi="宋体"/>
          <w:b w:val="0"/>
          <w:bCs w:val="0"/>
          <w:sz w:val="32"/>
          <w:szCs w:val="32"/>
          <w:lang w:val="en-US" w:eastAsia="zh-CN"/>
        </w:rPr>
        <w:t>.</w:t>
      </w:r>
      <w:r>
        <w:rPr>
          <w:rFonts w:hint="eastAsia" w:ascii="仿宋_GB2312" w:hAnsi="宋体"/>
          <w:b w:val="0"/>
          <w:bCs w:val="0"/>
          <w:sz w:val="32"/>
          <w:szCs w:val="32"/>
          <w:lang w:val="zh-CN"/>
        </w:rPr>
        <w:t>部门管理职能</w:t>
      </w:r>
    </w:p>
    <w:p>
      <w:pPr>
        <w:keepNext w:val="0"/>
        <w:keepLines w:val="0"/>
        <w:pageBreakBefore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负责全市河湖管理保护工作；建立健全河长制工作机制，拟制市级河长制工作方案、相关制度及考核办法；统筹制定河湖管理保护方案，组织开展河长制相关工作；承担市防汛抗旱指挥部日常工作；承担水情旱情监测预警；科学调度洪水，及时启动应急响应；提供抢险救灾技术保障；落实上级防汛抗旱部门的安排部署；督促成员单位做好防汛抗旱工作；负责市栖凤湖水位调蓄、河道治“四乱”、堤防设施维护及安全巡查等事务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en-US" w:eastAsia="zh-CN"/>
        </w:rPr>
        <w:t>2.</w:t>
      </w:r>
      <w:r>
        <w:rPr>
          <w:rFonts w:hint="eastAsia" w:ascii="仿宋_GB2312" w:hAnsi="宋体"/>
          <w:b w:val="0"/>
          <w:bCs w:val="0"/>
          <w:sz w:val="32"/>
          <w:szCs w:val="32"/>
          <w:lang w:val="zh-CN"/>
        </w:rPr>
        <w:t>项目立项、资金申报的依据</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仿宋_GB2312" w:eastAsia="仿宋_GB2312"/>
          <w:color w:val="FF0000"/>
          <w:sz w:val="32"/>
          <w:szCs w:val="32"/>
          <w:lang w:val="zh-CN" w:eastAsia="zh-CN"/>
        </w:rPr>
      </w:pPr>
      <w:r>
        <w:rPr>
          <w:rFonts w:hint="eastAsia" w:ascii="仿宋_GB2312" w:hAnsi="宋体" w:eastAsia="仿宋_GB2312"/>
          <w:sz w:val="32"/>
          <w:szCs w:val="32"/>
          <w:lang w:val="en-US" w:eastAsia="zh-CN"/>
        </w:rPr>
        <w:t>根据</w:t>
      </w:r>
      <w:r>
        <w:rPr>
          <w:rFonts w:hint="eastAsia" w:ascii="仿宋_GB2312" w:hAnsi="宋体"/>
          <w:sz w:val="32"/>
          <w:szCs w:val="32"/>
          <w:lang w:val="en-US" w:eastAsia="zh-CN"/>
        </w:rPr>
        <w:t>2024</w:t>
      </w:r>
      <w:r>
        <w:rPr>
          <w:rFonts w:hint="eastAsia" w:ascii="仿宋_GB2312" w:hAnsi="宋体" w:eastAsia="仿宋_GB2312"/>
          <w:sz w:val="32"/>
          <w:szCs w:val="32"/>
          <w:lang w:val="en-US" w:eastAsia="zh-CN"/>
        </w:rPr>
        <w:t>年度河湖长制考核各项任务的需要，</w:t>
      </w:r>
      <w:r>
        <w:rPr>
          <w:rFonts w:hint="eastAsia" w:ascii="仿宋_GB2312" w:hAnsi="宋体" w:eastAsia="仿宋_GB2312"/>
          <w:kern w:val="2"/>
          <w:sz w:val="32"/>
          <w:szCs w:val="32"/>
          <w:lang w:val="en-US" w:eastAsia="zh-CN"/>
        </w:rPr>
        <w:t>编制成果满足了工作实际需要,实现了考核达标的目标。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jc w:val="both"/>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宋体" w:eastAsia="仿宋_GB2312"/>
          <w:kern w:val="2"/>
          <w:sz w:val="32"/>
          <w:szCs w:val="32"/>
          <w:lang w:val="en-US" w:eastAsia="zh-CN"/>
        </w:rPr>
        <w:t>主要是完成河湖健康评价、一河（湖）一策管理保护方案（2021-2025年）编制、栖凤湖堤防管理保护范围划定三项技术方案编制工作</w:t>
      </w:r>
      <w:r>
        <w:rPr>
          <w:rFonts w:hint="eastAsia" w:ascii="仿宋_GB2312" w:hAnsi="宋体"/>
          <w:kern w:val="2"/>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一次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主要设置健康评价报告编制涉及河流条数</w:t>
      </w:r>
      <w:r>
        <w:rPr>
          <w:rFonts w:hint="eastAsia" w:ascii="仿宋_GB2312" w:hAnsi="仿宋_GB2312" w:cs="仿宋_GB2312"/>
          <w:color w:val="auto"/>
          <w:kern w:val="0"/>
          <w:sz w:val="32"/>
          <w:szCs w:val="32"/>
          <w:highlight w:val="none"/>
          <w:u w:val="none"/>
          <w:shd w:val="clear" w:color="auto" w:fill="FFFFFF"/>
          <w:lang w:val="en-US" w:eastAsia="zh-CN"/>
        </w:rPr>
        <w:t>12条；验收合格率大于等于90%；政府满意度大于等于90%；</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w:t>
      </w:r>
      <w:r>
        <w:rPr>
          <w:rFonts w:hint="eastAsia" w:ascii="仿宋_GB2312" w:hAnsi="仿宋_GB2312" w:cs="仿宋_GB2312"/>
          <w:color w:val="auto"/>
          <w:kern w:val="0"/>
          <w:sz w:val="32"/>
          <w:szCs w:val="32"/>
          <w:highlight w:val="none"/>
          <w:u w:val="none"/>
          <w:shd w:val="clear" w:color="auto" w:fill="FFFFFF"/>
          <w:lang w:val="zh-CN" w:eastAsia="zh-CN"/>
        </w:rPr>
        <w:t>健康评价报告编制涉及河流条数</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000000"/>
          <w:sz w:val="32"/>
          <w:szCs w:val="32"/>
          <w:lang w:eastAsia="zh-CN"/>
        </w:rPr>
        <w:t>通过对</w:t>
      </w:r>
      <w:r>
        <w:rPr>
          <w:rFonts w:hint="eastAsia" w:ascii="仿宋_GB2312" w:hAnsi="仿宋_GB2312" w:cs="仿宋_GB2312"/>
          <w:color w:val="000000"/>
          <w:sz w:val="32"/>
          <w:szCs w:val="32"/>
          <w:lang w:val="en-US" w:eastAsia="zh-CN"/>
        </w:rPr>
        <w:t>12条河流健康评价工作，更加</w:t>
      </w:r>
      <w:r>
        <w:rPr>
          <w:rFonts w:hint="eastAsia" w:ascii="PingFang SC" w:hAnsi="PingFang SC" w:eastAsia="仿宋_GB2312" w:cs="仿宋_GB2312"/>
          <w:color w:val="000000"/>
          <w:spacing w:val="0"/>
          <w:kern w:val="2"/>
          <w:sz w:val="32"/>
          <w:szCs w:val="32"/>
          <w:shd w:val="clear" w:color="auto" w:fill="FFFFFF"/>
          <w:vertAlign w:val="baseline"/>
          <w:lang w:val="en-US" w:eastAsia="zh-CN" w:bidi="ar"/>
        </w:rPr>
        <w:t>严格管理水资源，加强涉水空间管控，强化水污染防治，改善水环境质量，加快修复水生态，完善</w:t>
      </w:r>
      <w:r>
        <w:rPr>
          <w:rFonts w:hint="eastAsia" w:ascii="PingFang SC" w:hAnsi="PingFang SC" w:cs="仿宋_GB2312"/>
          <w:color w:val="000000"/>
          <w:spacing w:val="0"/>
          <w:kern w:val="2"/>
          <w:sz w:val="32"/>
          <w:szCs w:val="32"/>
          <w:shd w:val="clear" w:color="auto" w:fill="FFFFFF"/>
          <w:vertAlign w:val="baseline"/>
          <w:lang w:val="en-US" w:eastAsia="zh-CN" w:bidi="ar"/>
        </w:rPr>
        <w:t>了</w:t>
      </w:r>
      <w:r>
        <w:rPr>
          <w:rFonts w:hint="eastAsia" w:ascii="PingFang SC" w:hAnsi="PingFang SC" w:eastAsia="仿宋_GB2312" w:cs="仿宋_GB2312"/>
          <w:color w:val="000000"/>
          <w:spacing w:val="0"/>
          <w:kern w:val="2"/>
          <w:sz w:val="32"/>
          <w:szCs w:val="32"/>
          <w:shd w:val="clear" w:color="auto" w:fill="FFFFFF"/>
          <w:vertAlign w:val="baseline"/>
          <w:lang w:val="en-US" w:eastAsia="zh-CN" w:bidi="ar"/>
        </w:rPr>
        <w:t>河湖管护体制机制，</w:t>
      </w:r>
      <w:r>
        <w:rPr>
          <w:rFonts w:hint="eastAsia" w:ascii="仿宋_GB2312" w:eastAsia="仿宋_GB2312" w:cs="仿宋_GB2312"/>
          <w:color w:val="000000"/>
          <w:sz w:val="32"/>
          <w:szCs w:val="32"/>
          <w:lang w:val="en-US" w:eastAsia="zh-CN" w:bidi="ar-SA"/>
        </w:rPr>
        <w:t>不断提升河湖保护和治理能力水平</w:t>
      </w:r>
      <w:r>
        <w:rPr>
          <w:rFonts w:hint="eastAsia" w:ascii="仿宋_GB2312" w:hAnsi="仿宋_GB2312" w:eastAsia="仿宋_GB2312" w:cs="仿宋_GB2312"/>
          <w:color w:val="000000"/>
          <w:sz w:val="32"/>
          <w:szCs w:val="32"/>
        </w:rPr>
        <w:t>。</w:t>
      </w:r>
      <w:r>
        <w:rPr>
          <w:rFonts w:hint="eastAsia" w:ascii="仿宋_GB2312" w:hAnsi="仿宋_GB2312" w:cs="仿宋_GB2312"/>
          <w:color w:val="000000"/>
          <w:sz w:val="32"/>
          <w:szCs w:val="32"/>
          <w:lang w:eastAsia="zh-CN"/>
        </w:rPr>
        <w:t>由于无相应个性指标，折合</w:t>
      </w:r>
      <w:r>
        <w:rPr>
          <w:rFonts w:hint="eastAsia" w:ascii="仿宋_GB2312" w:hAnsi="仿宋_GB2312" w:eastAsia="仿宋_GB2312" w:cs="仿宋_GB2312"/>
          <w:color w:val="auto"/>
          <w:sz w:val="32"/>
          <w:szCs w:val="32"/>
          <w:lang w:val="en-US" w:eastAsia="zh-CN"/>
        </w:rPr>
        <w:t>自评得分</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keepNext w:val="0"/>
        <w:keepLines w:val="0"/>
        <w:pageBreakBefore w:val="0"/>
        <w:kinsoku/>
        <w:wordWrap/>
        <w:overflowPunct/>
        <w:topLinePunct w:val="0"/>
        <w:autoSpaceDE/>
        <w:autoSpaceDN/>
        <w:bidi w:val="0"/>
        <w:spacing w:line="580" w:lineRule="exact"/>
        <w:textAlignment w:val="auto"/>
        <w:rPr>
          <w:rFonts w:hint="eastAsia"/>
          <w:lang w:val="zh-CN" w:eastAsia="zh-CN"/>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仿宋_GB2312" w:hAnsi="仿宋_GB2312" w:eastAsia="仿宋_GB2312" w:cs="仿宋_GB2312"/>
          <w:color w:val="auto"/>
          <w:kern w:val="2"/>
          <w:sz w:val="32"/>
          <w:szCs w:val="32"/>
          <w:lang w:val="en-US" w:eastAsia="zh-CN" w:bidi="ar-SA"/>
        </w:rPr>
      </w:pPr>
      <w:r>
        <w:rPr>
          <w:rFonts w:hint="eastAsia" w:ascii="方正小标宋简体" w:hAnsi="方正小标宋简体" w:eastAsia="方正小标宋简体" w:cs="方正小标宋简体"/>
          <w:b w:val="0"/>
          <w:bCs w:val="0"/>
          <w:color w:val="auto"/>
          <w:kern w:val="2"/>
          <w:sz w:val="44"/>
          <w:szCs w:val="44"/>
          <w:lang w:eastAsia="zh-CN"/>
        </w:rPr>
        <w:t>关于202</w:t>
      </w:r>
      <w:r>
        <w:rPr>
          <w:rFonts w:hint="eastAsia" w:ascii="方正小标宋简体" w:hAnsi="方正小标宋简体" w:eastAsia="方正小标宋简体" w:cs="方正小标宋简体"/>
          <w:b w:val="0"/>
          <w:bCs w:val="0"/>
          <w:color w:val="auto"/>
          <w:kern w:val="2"/>
          <w:sz w:val="44"/>
          <w:szCs w:val="44"/>
          <w:lang w:val="en-US" w:eastAsia="zh-CN"/>
        </w:rPr>
        <w:t>4</w:t>
      </w:r>
      <w:r>
        <w:rPr>
          <w:rFonts w:hint="eastAsia" w:ascii="方正小标宋简体" w:hAnsi="方正小标宋简体" w:eastAsia="方正小标宋简体" w:cs="方正小标宋简体"/>
          <w:b w:val="0"/>
          <w:bCs w:val="0"/>
          <w:color w:val="auto"/>
          <w:kern w:val="2"/>
          <w:sz w:val="44"/>
          <w:szCs w:val="44"/>
          <w:lang w:eastAsia="zh-CN"/>
        </w:rPr>
        <w:t>年度</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南河截污干管工程（拖欠企业欠款）项目</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2024年度南河截污干管工程（拖欠企业欠款）项目绩效评价，有关情况如下：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拟订全市水利战略规划，组织编制重大水利综合规划、专业规划和专项规划，审核重要水利、水旱灾害防御、水土保持、地方电力工程的初步设计的编制和评审工作。负责水利行业基本建设技术质量标准和规程、规范的技术指导和技术监督。组织指导水库工程管理制度的改革。组织小型水库以上水利工程项目的建设、监理和竣工验收。负责监督指导河道沿岸和跨(穿)河道建设项目的评估审查。组织指导水利、农村水电工程安全监管和运行管理与划界工作。负责重点水利工程招投标管理，指导水利招投标工作。指导水利建设市场信用体系建设。指导水利设施综合利用工作。指导农村水能资源开发、小水电改造及水电农村电气化工作。</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kinsoku/>
        <w:wordWrap/>
        <w:overflowPunct/>
        <w:topLinePunct w:val="0"/>
        <w:autoSpaceDE/>
        <w:autoSpaceDN/>
        <w:bidi w:val="0"/>
        <w:adjustRightInd/>
        <w:snapToGrid w:val="0"/>
        <w:spacing w:line="600" w:lineRule="exact"/>
        <w:ind w:left="0" w:firstLine="640" w:firstLineChars="200"/>
        <w:textAlignment w:val="auto"/>
        <w:rPr>
          <w:rFonts w:hint="eastAsia" w:ascii="仿宋_GB2312" w:eastAsia="仿宋_GB2312" w:cs="仿宋_GB2312"/>
          <w:sz w:val="32"/>
          <w:szCs w:val="32"/>
          <w:highlight w:val="none"/>
          <w:lang w:val="en-US" w:eastAsia="zh-CN" w:bidi="ar-SA"/>
        </w:rPr>
      </w:pPr>
      <w:r>
        <w:rPr>
          <w:rFonts w:hint="eastAsia" w:ascii="仿宋_GB2312" w:eastAsia="仿宋_GB2312" w:cs="仿宋_GB2312"/>
          <w:sz w:val="32"/>
          <w:szCs w:val="32"/>
          <w:highlight w:val="none"/>
          <w:lang w:eastAsia="zh-CN" w:bidi="ar-SA"/>
        </w:rPr>
        <w:t>南河截污干管工程</w:t>
      </w:r>
      <w:r>
        <w:rPr>
          <w:rFonts w:hint="eastAsia" w:ascii="仿宋_GB2312" w:eastAsia="仿宋_GB2312" w:cs="仿宋_GB2312"/>
          <w:sz w:val="32"/>
          <w:szCs w:val="32"/>
          <w:highlight w:val="none"/>
          <w:lang w:bidi="ar-SA"/>
        </w:rPr>
        <w:t>项目</w:t>
      </w:r>
      <w:r>
        <w:rPr>
          <w:rFonts w:hint="eastAsia" w:ascii="仿宋_GB2312" w:eastAsia="仿宋_GB2312" w:cs="仿宋_GB2312"/>
          <w:sz w:val="32"/>
          <w:szCs w:val="32"/>
          <w:highlight w:val="none"/>
          <w:lang w:eastAsia="zh-CN" w:bidi="ar-SA"/>
        </w:rPr>
        <w:t>是</w:t>
      </w:r>
      <w:r>
        <w:rPr>
          <w:rFonts w:hint="eastAsia" w:ascii="仿宋_GB2312" w:eastAsia="仿宋_GB2312" w:cs="仿宋_GB2312"/>
          <w:sz w:val="32"/>
          <w:szCs w:val="32"/>
          <w:highlight w:val="none"/>
          <w:lang w:bidi="ar-SA"/>
        </w:rPr>
        <w:t>市城区堤防灾后重建项目</w:t>
      </w:r>
      <w:r>
        <w:rPr>
          <w:rFonts w:hint="eastAsia" w:ascii="仿宋_GB2312" w:eastAsia="仿宋_GB2312" w:cs="仿宋_GB2312"/>
          <w:sz w:val="32"/>
          <w:szCs w:val="32"/>
          <w:highlight w:val="none"/>
          <w:lang w:eastAsia="zh-CN" w:bidi="ar-SA"/>
        </w:rPr>
        <w:t>之一，该项目于</w:t>
      </w:r>
      <w:r>
        <w:rPr>
          <w:rFonts w:hint="eastAsia" w:ascii="仿宋_GB2312" w:eastAsia="仿宋_GB2312" w:cs="仿宋_GB2312"/>
          <w:sz w:val="32"/>
          <w:szCs w:val="32"/>
          <w:highlight w:val="none"/>
          <w:lang w:val="en-US" w:eastAsia="zh-CN" w:bidi="ar-SA"/>
        </w:rPr>
        <w:t>2009年启动项目前期工作，20</w:t>
      </w:r>
      <w:r>
        <w:rPr>
          <w:rFonts w:hint="default" w:ascii="仿宋_GB2312" w:eastAsia="仿宋_GB2312" w:cs="仿宋_GB2312"/>
          <w:sz w:val="32"/>
          <w:szCs w:val="32"/>
          <w:highlight w:val="none"/>
          <w:lang w:val="en-US" w:eastAsia="zh-CN" w:bidi="ar-SA"/>
        </w:rPr>
        <w:t>1</w:t>
      </w:r>
      <w:r>
        <w:rPr>
          <w:rFonts w:hint="eastAsia" w:ascii="仿宋_GB2312" w:eastAsia="仿宋_GB2312" w:cs="仿宋_GB2312"/>
          <w:sz w:val="32"/>
          <w:szCs w:val="32"/>
          <w:highlight w:val="none"/>
          <w:lang w:val="en-US" w:eastAsia="zh-CN" w:bidi="ar-SA"/>
        </w:rPr>
        <w:t>1年5月12日开工建设，2013年11月30日竣工并投入使用，2017年12月完成工程结算审计，2021年10月完成项目财务决算批复。项目财务决算批复投资6354.4万元，财政已安排资金5583.98万元,项目资金差口770.41万元</w:t>
      </w:r>
      <w:r>
        <w:rPr>
          <w:rFonts w:hint="eastAsia" w:ascii="仿宋_GB2312" w:cs="仿宋_GB2312"/>
          <w:sz w:val="32"/>
          <w:szCs w:val="32"/>
          <w:highlight w:val="none"/>
          <w:lang w:val="en-US" w:eastAsia="zh-CN" w:bidi="ar-SA"/>
        </w:rPr>
        <w:t>,拖欠企业欠款</w:t>
      </w:r>
      <w:r>
        <w:rPr>
          <w:rFonts w:hint="eastAsia" w:ascii="仿宋_GB2312" w:eastAsia="仿宋_GB2312" w:cs="仿宋_GB2312"/>
          <w:sz w:val="32"/>
          <w:szCs w:val="32"/>
          <w:highlight w:val="none"/>
          <w:lang w:val="en-US" w:eastAsia="zh-CN" w:bidi="ar-SA"/>
        </w:rPr>
        <w:t>770.41万元。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cs="仿宋_GB2312"/>
          <w:sz w:val="32"/>
          <w:szCs w:val="32"/>
          <w:lang w:val="en-US" w:eastAsia="zh-CN"/>
        </w:rPr>
        <w:t>偿还拖欠企业账款</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一次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偿还欠款数量1批，欠款偿还率100%，营商环境提升率大于等于10%，企业满意度大于等于95%。</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w:t>
      </w:r>
      <w:r>
        <w:rPr>
          <w:rFonts w:hint="eastAsia" w:ascii="仿宋_GB2312" w:hAnsi="仿宋_GB2312" w:cs="仿宋_GB2312"/>
          <w:color w:val="auto"/>
          <w:kern w:val="0"/>
          <w:sz w:val="32"/>
          <w:szCs w:val="32"/>
          <w:highlight w:val="none"/>
          <w:u w:val="none"/>
          <w:shd w:val="clear" w:color="auto" w:fill="FFFFFF"/>
          <w:lang w:val="en-US" w:eastAsia="zh-CN"/>
        </w:rPr>
        <w:t>对偿还支付</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偿还欠款数量1批，欠款偿还率100%。对照项目实施方案和计划，未发现影响工程质量的问题，项目整体推进的各类要素是否保障齐备，并吸纳农村就业人口参与项目建设。</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16分。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b w:val="0"/>
          <w:bCs w:val="0"/>
          <w:color w:val="auto"/>
          <w:kern w:val="0"/>
          <w:sz w:val="32"/>
          <w:szCs w:val="32"/>
          <w:highlight w:val="none"/>
          <w:u w:val="none"/>
          <w:shd w:val="clear" w:color="auto" w:fill="FFFFFF"/>
          <w:lang w:val="en-US" w:eastAsia="zh-CN"/>
        </w:rPr>
        <w:t>按照文件要求，我局深度清理拖欠企业欠款770.41万元，并与企业沟通核实，按程序进申报财政资金偿还，做好偿还资料整理归档，改善提升水利行业营商环境。</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sz w:val="32"/>
          <w:szCs w:val="32"/>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sz w:val="32"/>
          <w:szCs w:val="32"/>
        </w:rPr>
      </w:pPr>
    </w:p>
    <w:p>
      <w:pPr>
        <w:rPr>
          <w:rFonts w:hint="eastAsia"/>
          <w:sz w:val="32"/>
          <w:szCs w:val="32"/>
        </w:rPr>
      </w:pPr>
    </w:p>
    <w:p>
      <w:pPr>
        <w:pStyle w:val="2"/>
        <w:rPr>
          <w:rFonts w:hint="eastAsia"/>
          <w:sz w:val="32"/>
          <w:szCs w:val="32"/>
        </w:rPr>
      </w:pPr>
    </w:p>
    <w:p>
      <w:pPr>
        <w:rPr>
          <w:rFonts w:hint="eastAsia"/>
          <w:sz w:val="32"/>
          <w:szCs w:val="32"/>
        </w:rPr>
      </w:pP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关于2024年栖凤湖运行维护项目</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年度栖凤湖运行维护项目</w:t>
      </w:r>
      <w:r>
        <w:rPr>
          <w:rFonts w:hint="eastAsia" w:ascii="仿宋_GB2312" w:hAnsi="仿宋_GB2312" w:cs="仿宋_GB2312"/>
          <w:sz w:val="32"/>
          <w:szCs w:val="32"/>
          <w:lang w:val="en-US" w:eastAsia="zh-CN"/>
        </w:rPr>
        <w:t>支出</w:t>
      </w:r>
      <w:r>
        <w:rPr>
          <w:rFonts w:hint="eastAsia" w:ascii="仿宋_GB2312" w:hAnsi="仿宋_GB2312" w:eastAsia="仿宋_GB2312" w:cs="仿宋_GB2312"/>
          <w:sz w:val="32"/>
          <w:szCs w:val="32"/>
          <w:lang w:val="en-US" w:eastAsia="zh-CN"/>
        </w:rPr>
        <w:t>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auto"/>
          <w:sz w:val="32"/>
          <w:szCs w:val="32"/>
          <w:lang w:val="zh-CN" w:eastAsia="zh-CN"/>
        </w:rPr>
      </w:pPr>
      <w:r>
        <w:rPr>
          <w:rFonts w:hint="eastAsia" w:ascii="仿宋_GB2312" w:eastAsia="仿宋_GB2312"/>
          <w:color w:val="auto"/>
          <w:sz w:val="32"/>
          <w:szCs w:val="32"/>
          <w:lang w:val="zh-CN" w:eastAsia="zh-CN"/>
        </w:rPr>
        <w:t>承担市防汛抗旱指挥部办公室日常工作</w:t>
      </w:r>
      <w:r>
        <w:rPr>
          <w:rFonts w:hint="eastAsia" w:ascii="仿宋_GB2312" w:eastAsia="仿宋_GB2312"/>
          <w:color w:val="auto"/>
          <w:sz w:val="32"/>
          <w:szCs w:val="32"/>
          <w:lang w:val="en" w:eastAsia="en"/>
        </w:rPr>
        <w:t>,</w:t>
      </w:r>
      <w:r>
        <w:rPr>
          <w:rFonts w:hint="eastAsia" w:ascii="仿宋_GB2312" w:eastAsia="仿宋_GB2312"/>
          <w:color w:val="auto"/>
          <w:sz w:val="32"/>
          <w:szCs w:val="32"/>
          <w:lang w:val="zh-CN" w:eastAsia="zh-CN"/>
        </w:rPr>
        <w:t>负责全市水旱灾害防治工作，组织、协调、监督、指挥全市防汛抗旱工作，督促指导县区编制县城、河道超标洪水防御预案;承担水情旱情监测预警工作；建立水旱灾害防御专家库，视应急抢险需要派出专家开展技术支撑；协调抗旱期间水源调度和农村供水；负责市本级水旱灾害防治和水利工程险灾情救援防汛抗旱物资储备、采购、调拔；认真完成市防指交办的其他防灾减灾救灾任务。</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adjustRightInd w:val="0"/>
        <w:snapToGrid w:val="0"/>
        <w:spacing w:line="52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根据市委、市政府安排及部门职能职责，我局常年开展栖凤湖运行维护工作。</w:t>
      </w:r>
    </w:p>
    <w:p>
      <w:pPr>
        <w:spacing w:line="576" w:lineRule="exact"/>
        <w:ind w:firstLine="642" w:firstLineChars="200"/>
        <w:rPr>
          <w:rFonts w:hint="eastAsia" w:ascii="仿宋_GB2312" w:hAnsi="宋体" w:eastAsia="楷体_GB2312"/>
          <w:b w:val="0"/>
          <w:bCs w:val="0"/>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 w:eastAsia="仿宋_GB2312" w:cs="仿宋"/>
          <w:sz w:val="32"/>
          <w:szCs w:val="32"/>
          <w:lang w:eastAsia="zh-CN"/>
        </w:rPr>
        <w:t>城区堤防工程（含栏杆）巡查、维护、岁修，城区休闲长廊、亲水码头安全巡查、维护，拦水坝的日常运行、维护等工作，开展堤防面板及栏杆修复、河道岸线整治、水毁堤防修复等系列抢险工程。</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eastAsia="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维护堤防长度大于等于43千米，设施安全运行率大于等于95%，项目资金成本小于等于214万元。</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对项目实施具体内容，以及项目金额</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default"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维护城区堤防长度43千米以上，维护后全年未发生事故，设施安全运行率100%。对照项目实施方案和计划，未发现影响工程质量的问题，项目整体推进的各类要素是否保障齐备，并吸纳农村就业人口参与项目建设。</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16分。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sz w:val="32"/>
          <w:szCs w:val="32"/>
          <w:lang w:val="zh-CN" w:bidi="ar"/>
        </w:rPr>
        <w:t>该项目为历年连续性项目，实行先建后补的方式实施，按照</w:t>
      </w:r>
      <w:r>
        <w:rPr>
          <w:rFonts w:hint="eastAsia" w:ascii="仿宋_GB2312"/>
          <w:sz w:val="32"/>
          <w:szCs w:val="32"/>
          <w:lang w:val="en-US" w:eastAsia="zh-CN" w:bidi="ar"/>
        </w:rPr>
        <w:t>2023年项目实施验收后，精准测算有关资金缺口，</w:t>
      </w:r>
      <w:r>
        <w:rPr>
          <w:rFonts w:hint="eastAsia" w:ascii="仿宋_GB2312"/>
          <w:sz w:val="32"/>
          <w:szCs w:val="32"/>
          <w:lang w:val="zh-CN" w:bidi="ar"/>
        </w:rPr>
        <w:t>下达资金</w:t>
      </w:r>
      <w:r>
        <w:rPr>
          <w:rFonts w:hint="eastAsia" w:ascii="仿宋_GB2312"/>
          <w:sz w:val="32"/>
          <w:szCs w:val="32"/>
          <w:lang w:val="en-US" w:eastAsia="zh-CN" w:bidi="ar"/>
        </w:rPr>
        <w:t>214万元，</w:t>
      </w:r>
      <w:r>
        <w:rPr>
          <w:rFonts w:hint="eastAsia" w:ascii="仿宋_GB2312" w:hAnsi="仿宋" w:eastAsia="仿宋_GB2312" w:cs="仿宋"/>
          <w:sz w:val="32"/>
          <w:szCs w:val="32"/>
          <w:lang w:eastAsia="zh-CN"/>
        </w:rPr>
        <w:t>确保了栖凤湖范围内的设施设备安全运行，维护了城区河道良好的水景观，进一步提升了城市形象。</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Times New Roman" w:hAnsi="Times New Roman" w:cs="Times New Roman"/>
          <w:color w:val="000000"/>
          <w:kern w:val="0"/>
          <w:sz w:val="32"/>
          <w:szCs w:val="32"/>
          <w:highlight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sz w:val="32"/>
          <w:szCs w:val="32"/>
          <w:lang w:val="zh-CN" w:eastAsia="zh-CN"/>
        </w:rPr>
      </w:pPr>
    </w:p>
    <w:p>
      <w:pPr>
        <w:pStyle w:val="2"/>
        <w:rPr>
          <w:rFonts w:hint="eastAsia"/>
          <w:sz w:val="32"/>
          <w:szCs w:val="32"/>
        </w:rPr>
      </w:pPr>
    </w:p>
    <w:p>
      <w:pPr>
        <w:rPr>
          <w:rFonts w:hint="eastAsia"/>
          <w:sz w:val="32"/>
          <w:szCs w:val="32"/>
        </w:rPr>
      </w:pPr>
    </w:p>
    <w:p>
      <w:pPr>
        <w:pStyle w:val="2"/>
        <w:rPr>
          <w:rFonts w:hint="eastAsia"/>
          <w:sz w:val="32"/>
          <w:szCs w:val="32"/>
        </w:rPr>
      </w:pPr>
    </w:p>
    <w:p>
      <w:pPr>
        <w:rPr>
          <w:rFonts w:hint="eastAsia"/>
          <w:sz w:val="32"/>
          <w:szCs w:val="32"/>
        </w:rPr>
      </w:pPr>
    </w:p>
    <w:p>
      <w:pPr>
        <w:pStyle w:val="2"/>
        <w:rPr>
          <w:rFonts w:hint="eastAsia"/>
          <w:sz w:val="32"/>
          <w:szCs w:val="32"/>
        </w:rPr>
      </w:pP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关于2024年上石盘电航综合枢纽工程征地移民安置费用</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年度上石盘电航综合枢纽工程征地移民安置费用</w:t>
      </w:r>
      <w:r>
        <w:rPr>
          <w:rFonts w:hint="eastAsia" w:ascii="仿宋_GB2312" w:hAnsi="仿宋_GB2312" w:cs="仿宋_GB2312"/>
          <w:sz w:val="32"/>
          <w:szCs w:val="32"/>
          <w:lang w:val="en-US" w:eastAsia="zh-CN"/>
        </w:rPr>
        <w:t>支出</w:t>
      </w:r>
      <w:r>
        <w:rPr>
          <w:rFonts w:hint="eastAsia" w:ascii="仿宋_GB2312" w:hAnsi="仿宋_GB2312" w:eastAsia="仿宋_GB2312" w:cs="仿宋_GB2312"/>
          <w:sz w:val="32"/>
          <w:szCs w:val="32"/>
          <w:lang w:val="en-US" w:eastAsia="zh-CN"/>
        </w:rPr>
        <w:t>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auto"/>
          <w:sz w:val="32"/>
          <w:szCs w:val="32"/>
          <w:lang w:val="zh-CN" w:eastAsia="zh-CN"/>
        </w:rPr>
      </w:pPr>
      <w:r>
        <w:rPr>
          <w:rFonts w:hint="eastAsia" w:ascii="仿宋_GB2312" w:eastAsia="仿宋_GB2312"/>
          <w:color w:val="auto"/>
          <w:sz w:val="32"/>
          <w:szCs w:val="32"/>
          <w:lang w:val="zh-CN" w:eastAsia="zh-CN"/>
        </w:rPr>
        <w:t>承担市防汛抗旱指挥部办公室日常工作</w:t>
      </w:r>
      <w:r>
        <w:rPr>
          <w:rFonts w:hint="eastAsia" w:ascii="仿宋_GB2312" w:eastAsia="仿宋_GB2312"/>
          <w:color w:val="auto"/>
          <w:sz w:val="32"/>
          <w:szCs w:val="32"/>
          <w:lang w:val="en" w:eastAsia="en"/>
        </w:rPr>
        <w:t>,</w:t>
      </w:r>
      <w:r>
        <w:rPr>
          <w:rFonts w:hint="eastAsia" w:ascii="仿宋_GB2312" w:eastAsia="仿宋_GB2312"/>
          <w:color w:val="auto"/>
          <w:sz w:val="32"/>
          <w:szCs w:val="32"/>
          <w:lang w:val="zh-CN" w:eastAsia="zh-CN"/>
        </w:rPr>
        <w:t>负责全市水旱灾害防治工作，组织、协调、监督、指挥全市防汛抗旱工作，督促指导县区编制县城、河道超标洪水防御预案;承担水情旱情监测预警工作；建立水旱灾害防御专家库，视应急抢险需要派出专家开展技术支撑；协调抗旱期间水源调度和农村供水；负责市本级水旱灾害防治和水利工程险灾情救援防汛抗旱物资储备、采购、调拔；认真完成市防指交办的其他防灾减灾救灾任务。</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kinsoku/>
        <w:wordWrap/>
        <w:overflowPunct/>
        <w:topLinePunct w:val="0"/>
        <w:autoSpaceDE/>
        <w:autoSpaceDN/>
        <w:bidi w:val="0"/>
        <w:adjustRightInd/>
        <w:snapToGrid w:val="0"/>
        <w:spacing w:line="576" w:lineRule="exact"/>
        <w:ind w:left="0" w:firstLine="640" w:firstLineChars="200"/>
        <w:textAlignment w:val="auto"/>
        <w:rPr>
          <w:rFonts w:hint="eastAsia" w:ascii="仿宋_GB2312" w:eastAsia="仿宋_GB2312"/>
          <w:color w:val="FF0000"/>
          <w:sz w:val="32"/>
          <w:szCs w:val="32"/>
          <w:lang w:val="zh-CN" w:eastAsia="zh-CN"/>
        </w:rPr>
      </w:pPr>
      <w:r>
        <w:rPr>
          <w:rFonts w:hint="eastAsia" w:ascii="仿宋_GB2312" w:hAnsi="仿宋_GB2312" w:eastAsia="仿宋_GB2312" w:cs="仿宋_GB2312"/>
          <w:sz w:val="32"/>
          <w:szCs w:val="32"/>
          <w:lang w:eastAsia="zh-CN"/>
        </w:rPr>
        <w:t>符合市政府办关于建立栖凤湖库区水位调蓄协调的通知精神。八届市人民政府第</w:t>
      </w:r>
      <w:r>
        <w:rPr>
          <w:rFonts w:hint="eastAsia" w:ascii="仿宋_GB2312" w:hAnsi="仿宋_GB2312" w:eastAsia="仿宋_GB2312" w:cs="仿宋_GB2312"/>
          <w:sz w:val="32"/>
          <w:szCs w:val="32"/>
          <w:lang w:val="en-US" w:eastAsia="zh-CN"/>
        </w:rPr>
        <w:t>49次常务会议议定，原则同意南河城市截污干管应急抢修工程施工期间上石盘电站发电损失补偿有关事宜。由市财政局负责筹措资金，通过委托方式补偿大唐四川川北电力开发有限公司降水发电损失。</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宋体" w:eastAsia="楷体_GB2312"/>
          <w:b w:val="0"/>
          <w:bCs w:val="0"/>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宋体"/>
          <w:b w:val="0"/>
          <w:bCs w:val="0"/>
          <w:sz w:val="32"/>
          <w:szCs w:val="32"/>
          <w:lang w:val="zh-CN"/>
        </w:rPr>
        <w:t>通过</w:t>
      </w:r>
      <w:r>
        <w:rPr>
          <w:rFonts w:hint="eastAsia" w:ascii="仿宋_GB2312" w:hAnsi="仿宋_GB2312" w:eastAsia="仿宋_GB2312" w:cs="仿宋_GB2312"/>
          <w:sz w:val="32"/>
          <w:szCs w:val="32"/>
          <w:lang w:val="en-US" w:eastAsia="zh-CN"/>
        </w:rPr>
        <w:t>上石盘电站</w:t>
      </w:r>
      <w:r>
        <w:rPr>
          <w:rFonts w:hint="eastAsia" w:ascii="仿宋_GB2312" w:hAnsi="仿宋_GB2312" w:cs="仿宋_GB2312"/>
          <w:sz w:val="32"/>
          <w:szCs w:val="32"/>
          <w:lang w:val="en-US" w:eastAsia="zh-CN"/>
        </w:rPr>
        <w:t>降低水位，</w:t>
      </w:r>
      <w:r>
        <w:rPr>
          <w:rFonts w:hint="eastAsia" w:ascii="仿宋_GB2312" w:hAnsi="宋体"/>
          <w:b w:val="0"/>
          <w:bCs w:val="0"/>
          <w:sz w:val="32"/>
          <w:szCs w:val="32"/>
          <w:lang w:val="zh-CN" w:eastAsia="zh-CN"/>
        </w:rPr>
        <w:t>进行</w:t>
      </w:r>
      <w:r>
        <w:rPr>
          <w:rFonts w:hint="eastAsia" w:ascii="仿宋_GB2312" w:hAnsi="仿宋_GB2312" w:eastAsia="仿宋_GB2312" w:cs="仿宋_GB2312"/>
          <w:sz w:val="32"/>
          <w:szCs w:val="32"/>
          <w:lang w:val="en-US" w:eastAsia="zh-CN"/>
        </w:rPr>
        <w:t>南河城市截污干管应急抢修</w:t>
      </w:r>
      <w:r>
        <w:rPr>
          <w:rFonts w:hint="eastAsia" w:ascii="仿宋_GB2312" w:hAnsi="仿宋_GB2312" w:cs="仿宋_GB2312"/>
          <w:sz w:val="32"/>
          <w:szCs w:val="32"/>
          <w:lang w:val="en-US" w:eastAsia="zh-CN"/>
        </w:rPr>
        <w:t>，保障城市排污功能正常，避免污染水体，所造成的发电损失进行补偿。</w:t>
      </w:r>
      <w:r>
        <w:rPr>
          <w:rFonts w:hint="eastAsia" w:ascii="仿宋_GB2312" w:hAnsi="宋体"/>
          <w:b w:val="0"/>
          <w:bCs w:val="0"/>
          <w:sz w:val="32"/>
          <w:szCs w:val="32"/>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一次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补助发电损失企业数量1家，</w:t>
      </w:r>
      <w:r>
        <w:rPr>
          <w:rFonts w:hint="default" w:ascii="仿宋_GB2312" w:hAnsi="仿宋_GB2312" w:cs="仿宋_GB2312"/>
          <w:color w:val="auto"/>
          <w:kern w:val="0"/>
          <w:sz w:val="32"/>
          <w:szCs w:val="32"/>
          <w:highlight w:val="none"/>
          <w:u w:val="none"/>
          <w:shd w:val="clear" w:color="auto" w:fill="FFFFFF"/>
          <w:lang w:val="en-US" w:eastAsia="zh-CN"/>
        </w:rPr>
        <w:t>资金支付时间</w:t>
      </w:r>
      <w:r>
        <w:rPr>
          <w:rFonts w:hint="eastAsia" w:ascii="仿宋_GB2312" w:hAnsi="仿宋_GB2312" w:cs="仿宋_GB2312"/>
          <w:color w:val="auto"/>
          <w:kern w:val="0"/>
          <w:sz w:val="32"/>
          <w:szCs w:val="32"/>
          <w:highlight w:val="none"/>
          <w:u w:val="none"/>
          <w:shd w:val="clear" w:color="auto" w:fill="FFFFFF"/>
          <w:lang w:val="en-US" w:eastAsia="zh-CN"/>
        </w:rPr>
        <w:t>小于等于2个月，企业满意度大于等于95%。</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对项目实施补助时间、企业满意度</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sz w:val="32"/>
          <w:szCs w:val="32"/>
          <w:lang w:val="zh-CN" w:bidi="ar"/>
        </w:rPr>
        <w:t>通过正常月份发电量进行测算发电损失，并与发电企业协商，并报市政府有关领导批准，最终确定补偿发电损失</w:t>
      </w:r>
      <w:r>
        <w:rPr>
          <w:rFonts w:hint="eastAsia" w:ascii="仿宋_GB2312"/>
          <w:sz w:val="32"/>
          <w:szCs w:val="32"/>
          <w:lang w:val="en-US" w:eastAsia="zh-CN" w:bidi="ar"/>
        </w:rPr>
        <w:t>75万元，由市水利局进行执行，在顺利完成截污干管抢修后，同时保证发电企业的利益，</w:t>
      </w:r>
      <w:r>
        <w:rPr>
          <w:rFonts w:hint="default" w:ascii="仿宋_GB2312" w:hAnsi="仿宋_GB2312" w:cs="仿宋_GB2312"/>
          <w:color w:val="auto"/>
          <w:kern w:val="0"/>
          <w:sz w:val="32"/>
          <w:szCs w:val="32"/>
          <w:highlight w:val="none"/>
          <w:u w:val="none"/>
          <w:shd w:val="clear" w:color="auto" w:fill="FFFFFF"/>
          <w:lang w:val="en-US" w:eastAsia="zh-CN"/>
        </w:rPr>
        <w:t>资金支付时间</w:t>
      </w:r>
      <w:r>
        <w:rPr>
          <w:rFonts w:hint="eastAsia" w:ascii="仿宋_GB2312" w:hAnsi="仿宋_GB2312" w:cs="仿宋_GB2312"/>
          <w:color w:val="auto"/>
          <w:kern w:val="0"/>
          <w:sz w:val="32"/>
          <w:szCs w:val="32"/>
          <w:highlight w:val="none"/>
          <w:u w:val="none"/>
          <w:shd w:val="clear" w:color="auto" w:fill="FFFFFF"/>
          <w:lang w:val="en-US" w:eastAsia="zh-CN"/>
        </w:rPr>
        <w:t>从资金下达起算等于16天，企业满意度100%。</w:t>
      </w:r>
      <w:r>
        <w:rPr>
          <w:rFonts w:hint="eastAsia" w:ascii="仿宋_GB2312" w:hAnsi="仿宋_GB2312" w:cs="仿宋_GB2312"/>
          <w:color w:val="000000"/>
          <w:sz w:val="32"/>
          <w:szCs w:val="32"/>
          <w:lang w:eastAsia="zh-CN"/>
        </w:rPr>
        <w:t>由于无相应个性指标，折合</w:t>
      </w:r>
      <w:r>
        <w:rPr>
          <w:rFonts w:hint="eastAsia" w:ascii="仿宋_GB2312" w:hAnsi="仿宋_GB2312" w:eastAsia="仿宋_GB2312" w:cs="仿宋_GB2312"/>
          <w:color w:val="auto"/>
          <w:sz w:val="32"/>
          <w:szCs w:val="32"/>
          <w:lang w:val="en-US" w:eastAsia="zh-CN"/>
        </w:rPr>
        <w:t>自评得分</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Times New Roman" w:hAnsi="Times New Roman" w:cs="Times New Roman"/>
          <w:color w:val="000000"/>
          <w:kern w:val="0"/>
          <w:szCs w:val="32"/>
          <w:highlight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关于2024年市级水利发展资金（水土保持）项目</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年度市级水利发展资金（水土保持）</w:t>
      </w:r>
      <w:r>
        <w:rPr>
          <w:rFonts w:hint="eastAsia" w:ascii="仿宋_GB2312" w:hAnsi="仿宋_GB2312" w:cs="仿宋_GB2312"/>
          <w:sz w:val="32"/>
          <w:szCs w:val="32"/>
          <w:lang w:val="en-US" w:eastAsia="zh-CN"/>
        </w:rPr>
        <w:t>项目支出</w:t>
      </w:r>
      <w:r>
        <w:rPr>
          <w:rFonts w:hint="eastAsia" w:ascii="仿宋_GB2312" w:hAnsi="仿宋_GB2312" w:eastAsia="仿宋_GB2312" w:cs="仿宋_GB2312"/>
          <w:sz w:val="32"/>
          <w:szCs w:val="32"/>
          <w:lang w:val="en-US" w:eastAsia="zh-CN"/>
        </w:rPr>
        <w:t>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spacing w:line="576" w:lineRule="exact"/>
        <w:ind w:firstLine="640" w:firstLineChars="200"/>
        <w:rPr>
          <w:rFonts w:hint="eastAsia" w:ascii="仿宋_GB2312" w:hAnsi="仿宋" w:eastAsia="仿宋_GB2312" w:cs="仿宋"/>
          <w:sz w:val="32"/>
          <w:szCs w:val="32"/>
          <w:lang w:val="zh-CN" w:eastAsia="zh-CN"/>
        </w:rPr>
      </w:pPr>
      <w:r>
        <w:rPr>
          <w:rFonts w:hint="eastAsia" w:ascii="仿宋_GB2312" w:hAnsi="仿宋" w:eastAsia="仿宋_GB2312" w:cs="仿宋"/>
          <w:sz w:val="32"/>
          <w:szCs w:val="32"/>
          <w:lang w:eastAsia="zh-CN"/>
        </w:rPr>
        <w:t>组织编制全市水土保持生态建设规划；承担水土保持中长期规划相关事务工作；协调、组织实施水土流失综合防治工作；指导全市国家重点水土保持建设项目实施；承担市水土保持委员会办公室日常工作。指导全市水土保持工作，拟订水土保持发展规划并监督实施，负责水土保持预防监督、水土流失监测、水土流失综合治理工作。指导重点水土保持建设项目的实施。审核开发建设项目水土保持方案并监督实施。</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spacing w:line="576" w:lineRule="exact"/>
        <w:ind w:firstLine="640" w:firstLineChars="200"/>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eastAsia="zh-CN"/>
        </w:rPr>
        <w:t>按照《关于加强新时代水土保持工作的意见》“加强水土保持监管能力建设，提高专业化水平和现代科技手段应用能力，保障必要的经费和装备投入。”</w:t>
      </w:r>
      <w:r>
        <w:rPr>
          <w:rFonts w:hint="eastAsia" w:ascii="仿宋_GB2312" w:hAnsi="仿宋" w:eastAsia="仿宋_GB2312" w:cs="仿宋"/>
          <w:sz w:val="32"/>
          <w:szCs w:val="32"/>
          <w:lang w:val="en-US" w:eastAsia="zh-CN"/>
        </w:rPr>
        <w:t>“加强水土保持科技创新。</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促进科技成果转化和技术推广”。</w:t>
      </w:r>
    </w:p>
    <w:p>
      <w:pPr>
        <w:adjustRightInd w:val="0"/>
        <w:snapToGrid w:val="0"/>
        <w:spacing w:line="520" w:lineRule="exact"/>
        <w:ind w:firstLine="640" w:firstLineChars="200"/>
        <w:rPr>
          <w:rFonts w:hint="eastAsia" w:ascii="仿宋_GB2312" w:hAnsi="仿宋" w:eastAsia="仿宋_GB2312"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eastAsia" w:ascii="仿宋_GB2312" w:hAnsi="宋体" w:eastAsia="楷体_GB2312"/>
          <w:b w:val="0"/>
          <w:bCs w:val="0"/>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sz w:val="32"/>
          <w:szCs w:val="32"/>
        </w:rPr>
        <w:t>配备必要的水土保持重点工程质量检测设备和水土保持监督执法设备，进一步提升市级水土保持预防监管能力水平。</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一次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eastAsia="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购买水土保持监测及监督设备数量25台，设备验收通过率大于等于95%，水土保持预防监督能力提升率大于等于5%，项目资金成本小于等于5万元。</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对项目实施具体内容，以及项目金额</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购买钢筋扫描仪、混泥土回弹仪、超声探伤仪等25台设备，设备验收通过率100%，水土保持预防监督能力提升率5%以上（如：</w:t>
      </w:r>
      <w:r>
        <w:rPr>
          <w:rFonts w:hint="default" w:ascii="Times New Roman" w:hAnsi="Times New Roman" w:eastAsia="仿宋_GB2312" w:cs="Times New Roman"/>
          <w:color w:val="000000"/>
          <w:sz w:val="32"/>
          <w:szCs w:val="32"/>
          <w:highlight w:val="none"/>
          <w:lang w:val="en-US" w:eastAsia="zh-CN" w:bidi="ar-SA"/>
        </w:rPr>
        <w:t>完成</w:t>
      </w:r>
      <w:r>
        <w:rPr>
          <w:rFonts w:hint="eastAsia" w:cs="Times New Roman"/>
          <w:color w:val="000000"/>
          <w:sz w:val="32"/>
          <w:szCs w:val="32"/>
          <w:highlight w:val="none"/>
          <w:lang w:val="en-US" w:eastAsia="zh-CN" w:bidi="ar-SA"/>
        </w:rPr>
        <w:t>了</w:t>
      </w:r>
      <w:r>
        <w:rPr>
          <w:rFonts w:hint="default" w:ascii="Times New Roman" w:hAnsi="Times New Roman" w:eastAsia="仿宋_GB2312" w:cs="Times New Roman"/>
          <w:color w:val="000000"/>
          <w:sz w:val="32"/>
          <w:szCs w:val="32"/>
          <w:highlight w:val="none"/>
          <w:lang w:val="en-US" w:eastAsia="zh-CN" w:bidi="ar-SA"/>
        </w:rPr>
        <w:t>64个图斑的认定和查处，查处率为100%</w:t>
      </w:r>
      <w:r>
        <w:rPr>
          <w:rFonts w:hint="eastAsia" w:cs="Times New Roman"/>
          <w:color w:val="000000"/>
          <w:sz w:val="32"/>
          <w:szCs w:val="32"/>
          <w:highlight w:val="none"/>
          <w:lang w:val="en-US" w:eastAsia="zh-CN" w:bidi="ar-SA"/>
        </w:rPr>
        <w:t>）</w:t>
      </w:r>
      <w:r>
        <w:rPr>
          <w:rFonts w:hint="eastAsia" w:ascii="Times New Roman" w:hAnsi="Times New Roman" w:cs="Times New Roman"/>
          <w:color w:val="000000"/>
          <w:sz w:val="32"/>
          <w:szCs w:val="32"/>
          <w:highlight w:val="none"/>
          <w:lang w:val="en-US" w:eastAsia="zh-CN" w:bidi="ar-SA"/>
        </w:rPr>
        <w:t>，</w:t>
      </w:r>
      <w:r>
        <w:rPr>
          <w:rFonts w:hint="eastAsia" w:ascii="仿宋_GB2312" w:hAnsi="仿宋_GB2312" w:cs="仿宋_GB2312"/>
          <w:color w:val="auto"/>
          <w:kern w:val="0"/>
          <w:sz w:val="32"/>
          <w:szCs w:val="32"/>
          <w:highlight w:val="none"/>
          <w:u w:val="none"/>
          <w:shd w:val="clear" w:color="auto" w:fill="FFFFFF"/>
          <w:lang w:val="en-US" w:eastAsia="zh-CN"/>
        </w:rPr>
        <w:t>项目资金成本等于5万元。</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购买钢筋扫描仪、混泥土回弹仪、超声探伤仪等25台设备，设备验收通过率100%，水土保持预防监督能力提升率5%以上（如：</w:t>
      </w:r>
      <w:r>
        <w:rPr>
          <w:rFonts w:hint="default" w:ascii="Times New Roman" w:hAnsi="Times New Roman" w:eastAsia="仿宋_GB2312" w:cs="Times New Roman"/>
          <w:color w:val="000000"/>
          <w:sz w:val="32"/>
          <w:szCs w:val="32"/>
          <w:highlight w:val="none"/>
          <w:lang w:val="en-US" w:eastAsia="zh-CN" w:bidi="ar-SA"/>
        </w:rPr>
        <w:t>完成</w:t>
      </w:r>
      <w:r>
        <w:rPr>
          <w:rFonts w:hint="eastAsia" w:cs="Times New Roman"/>
          <w:color w:val="000000"/>
          <w:sz w:val="32"/>
          <w:szCs w:val="32"/>
          <w:highlight w:val="none"/>
          <w:lang w:val="en-US" w:eastAsia="zh-CN" w:bidi="ar-SA"/>
        </w:rPr>
        <w:t>了</w:t>
      </w:r>
      <w:r>
        <w:rPr>
          <w:rFonts w:hint="default" w:ascii="Times New Roman" w:hAnsi="Times New Roman" w:eastAsia="仿宋_GB2312" w:cs="Times New Roman"/>
          <w:color w:val="000000"/>
          <w:sz w:val="32"/>
          <w:szCs w:val="32"/>
          <w:highlight w:val="none"/>
          <w:lang w:val="en-US" w:eastAsia="zh-CN" w:bidi="ar-SA"/>
        </w:rPr>
        <w:t>64个图斑的认定和查处，查处率为100%</w:t>
      </w:r>
      <w:r>
        <w:rPr>
          <w:rFonts w:hint="eastAsia" w:cs="Times New Roman"/>
          <w:color w:val="000000"/>
          <w:sz w:val="32"/>
          <w:szCs w:val="32"/>
          <w:highlight w:val="none"/>
          <w:lang w:val="en-US" w:eastAsia="zh-CN" w:bidi="ar-SA"/>
        </w:rPr>
        <w:t>）</w:t>
      </w:r>
      <w:r>
        <w:rPr>
          <w:rFonts w:hint="eastAsia" w:ascii="Times New Roman" w:hAnsi="Times New Roman" w:cs="Times New Roman"/>
          <w:color w:val="000000"/>
          <w:sz w:val="32"/>
          <w:szCs w:val="32"/>
          <w:highlight w:val="none"/>
          <w:lang w:val="en-US" w:eastAsia="zh-CN" w:bidi="ar-SA"/>
        </w:rPr>
        <w:t>，</w:t>
      </w:r>
      <w:r>
        <w:rPr>
          <w:rFonts w:hint="eastAsia" w:ascii="仿宋_GB2312" w:hAnsi="仿宋_GB2312" w:cs="仿宋_GB2312"/>
          <w:color w:val="auto"/>
          <w:kern w:val="0"/>
          <w:sz w:val="32"/>
          <w:szCs w:val="32"/>
          <w:highlight w:val="none"/>
          <w:u w:val="none"/>
          <w:shd w:val="clear" w:color="auto" w:fill="FFFFFF"/>
          <w:lang w:val="en-US" w:eastAsia="zh-CN"/>
        </w:rPr>
        <w:t>项目资金成本等于5万元。</w:t>
      </w:r>
      <w:r>
        <w:rPr>
          <w:rFonts w:hint="eastAsia" w:ascii="仿宋_GB2312" w:hAnsi="仿宋" w:cs="仿宋"/>
          <w:sz w:val="32"/>
          <w:szCs w:val="32"/>
          <w:lang w:eastAsia="zh-CN"/>
        </w:rPr>
        <w:t>通过</w:t>
      </w:r>
      <w:r>
        <w:rPr>
          <w:rFonts w:hint="eastAsia" w:ascii="仿宋_GB2312" w:hAnsi="仿宋" w:eastAsia="仿宋_GB2312" w:cs="仿宋"/>
          <w:sz w:val="32"/>
          <w:szCs w:val="32"/>
          <w:lang w:eastAsia="zh-CN"/>
        </w:rPr>
        <w:t>水土保持监管能力建设，</w:t>
      </w:r>
      <w:r>
        <w:rPr>
          <w:rFonts w:hint="eastAsia" w:ascii="仿宋_GB2312" w:hAnsi="仿宋" w:cs="仿宋"/>
          <w:sz w:val="32"/>
          <w:szCs w:val="32"/>
          <w:lang w:val="en-US" w:eastAsia="zh-CN"/>
        </w:rPr>
        <w:t>2024年</w:t>
      </w:r>
      <w:r>
        <w:rPr>
          <w:rFonts w:hint="default" w:ascii="Times New Roman" w:hAnsi="Times New Roman" w:eastAsia="仿宋_GB2312" w:cs="Times New Roman"/>
          <w:color w:val="000000"/>
          <w:sz w:val="32"/>
          <w:szCs w:val="32"/>
          <w:highlight w:val="none"/>
          <w:lang w:val="en-US" w:eastAsia="zh-CN" w:bidi="ar-SA"/>
        </w:rPr>
        <w:t>对94个在建生产建设项目开展了“双随机”现场检查，对154个在建生产建设项目开展了书面检查</w:t>
      </w:r>
      <w:r>
        <w:rPr>
          <w:rFonts w:hint="eastAsia" w:ascii="Times New Roman" w:hAnsi="Times New Roman" w:cs="Times New Roman"/>
          <w:color w:val="000000"/>
          <w:sz w:val="32"/>
          <w:szCs w:val="32"/>
          <w:highlight w:val="none"/>
          <w:lang w:val="en-US" w:eastAsia="zh-CN" w:bidi="ar-SA"/>
        </w:rPr>
        <w:t>，</w:t>
      </w:r>
      <w:r>
        <w:rPr>
          <w:rFonts w:hint="default" w:ascii="Times New Roman" w:hAnsi="Times New Roman" w:eastAsia="仿宋_GB2312" w:cs="Times New Roman"/>
          <w:color w:val="000000"/>
          <w:sz w:val="32"/>
          <w:szCs w:val="32"/>
          <w:highlight w:val="none"/>
          <w:lang w:val="en-US" w:eastAsia="zh-CN" w:bidi="ar-SA"/>
        </w:rPr>
        <w:t>完成省级加密遥感监管涉及的27个违法项目整改销号</w:t>
      </w:r>
      <w:r>
        <w:rPr>
          <w:rFonts w:hint="eastAsia" w:ascii="仿宋_GB2312" w:hAnsi="仿宋" w:eastAsia="仿宋_GB2312" w:cs="仿宋"/>
          <w:sz w:val="32"/>
          <w:szCs w:val="32"/>
          <w:lang w:eastAsia="zh-CN"/>
        </w:rPr>
        <w:t>。</w:t>
      </w:r>
      <w:r>
        <w:rPr>
          <w:rFonts w:hint="eastAsia" w:ascii="仿宋_GB2312" w:hAnsi="仿宋_GB2312" w:cs="仿宋_GB2312"/>
          <w:color w:val="000000"/>
          <w:sz w:val="32"/>
          <w:szCs w:val="32"/>
          <w:lang w:eastAsia="zh-CN"/>
        </w:rPr>
        <w:t>由于无相应个性指标，折合</w:t>
      </w:r>
      <w:r>
        <w:rPr>
          <w:rFonts w:hint="eastAsia" w:ascii="仿宋_GB2312" w:hAnsi="仿宋_GB2312" w:eastAsia="仿宋_GB2312" w:cs="仿宋_GB2312"/>
          <w:color w:val="auto"/>
          <w:sz w:val="32"/>
          <w:szCs w:val="32"/>
          <w:lang w:val="en-US" w:eastAsia="zh-CN"/>
        </w:rPr>
        <w:t>自评得分</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ind w:firstLine="640"/>
        <w:jc w:val="left"/>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ind w:firstLine="640"/>
        <w:rPr>
          <w:rFonts w:hint="eastAsia"/>
          <w:lang w:val="zh-CN" w:eastAsia="zh-CN"/>
        </w:rPr>
      </w:pP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7"/>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关于2024年水库水雨情和水资源监测设施建设项目设计费</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根据广元市财政局《关于开展市级部门</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绩效自评工作的通知》（广财绩〔202</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号）要求，我局及时</w:t>
      </w: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年度水库水雨情和水资源监测设施建设项目设计费</w:t>
      </w:r>
      <w:r>
        <w:rPr>
          <w:rFonts w:hint="eastAsia" w:ascii="仿宋_GB2312" w:hAnsi="仿宋_GB2312" w:cs="仿宋_GB2312"/>
          <w:sz w:val="32"/>
          <w:szCs w:val="32"/>
          <w:lang w:val="en-US" w:eastAsia="zh-CN"/>
        </w:rPr>
        <w:t>支出</w:t>
      </w:r>
      <w:r>
        <w:rPr>
          <w:rFonts w:hint="eastAsia" w:ascii="仿宋_GB2312" w:hAnsi="仿宋_GB2312" w:eastAsia="仿宋_GB2312" w:cs="仿宋_GB2312"/>
          <w:sz w:val="32"/>
          <w:szCs w:val="32"/>
          <w:lang w:val="en-US" w:eastAsia="zh-CN"/>
        </w:rPr>
        <w:t>绩效评价，有关情况如下：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auto"/>
          <w:sz w:val="32"/>
          <w:szCs w:val="32"/>
          <w:lang w:val="zh-CN" w:eastAsia="zh-CN"/>
        </w:rPr>
      </w:pPr>
      <w:r>
        <w:rPr>
          <w:rFonts w:hint="eastAsia" w:ascii="仿宋_GB2312" w:eastAsia="仿宋_GB2312"/>
          <w:color w:val="auto"/>
          <w:sz w:val="32"/>
          <w:szCs w:val="32"/>
          <w:lang w:val="zh-CN" w:eastAsia="zh-CN"/>
        </w:rPr>
        <w:t>承担市防汛抗旱指挥部办公室日常工作</w:t>
      </w:r>
      <w:r>
        <w:rPr>
          <w:rFonts w:hint="eastAsia" w:ascii="仿宋_GB2312" w:eastAsia="仿宋_GB2312"/>
          <w:color w:val="auto"/>
          <w:sz w:val="32"/>
          <w:szCs w:val="32"/>
          <w:lang w:val="en" w:eastAsia="en"/>
        </w:rPr>
        <w:t>,</w:t>
      </w:r>
      <w:r>
        <w:rPr>
          <w:rFonts w:hint="eastAsia" w:ascii="仿宋_GB2312" w:eastAsia="仿宋_GB2312"/>
          <w:color w:val="auto"/>
          <w:sz w:val="32"/>
          <w:szCs w:val="32"/>
          <w:lang w:val="zh-CN" w:eastAsia="zh-CN"/>
        </w:rPr>
        <w:t>负责全市水旱灾害防治工作，组织、协调、监督、指挥全市防汛抗旱工作，督促指导县区编制县城、河道超标洪水防御预案;承担水情旱情监测预警工作；建立水旱灾害防御专家库，视应急抢险需要派出专家开展技术支撑；协调抗旱期间水源调度和农村供水；负责市本级水旱灾害防治和水利工程险灾情救援防汛抗旱物资储备、采购、调拔；认真完成市防指交办的其他防灾减灾救灾任务。</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76" w:lineRule="exact"/>
        <w:ind w:firstLine="640" w:firstLineChars="200"/>
        <w:textAlignment w:val="auto"/>
        <w:rPr>
          <w:rFonts w:hint="eastAsia" w:ascii="仿宋_GB2312" w:hAnsi="宋体" w:eastAsia="仿宋_GB2312"/>
          <w:sz w:val="32"/>
          <w:szCs w:val="32"/>
        </w:rPr>
      </w:pPr>
      <w:r>
        <w:rPr>
          <w:rFonts w:hint="eastAsia" w:ascii="仿宋_GB2312" w:hAnsi="宋体"/>
          <w:sz w:val="32"/>
          <w:szCs w:val="32"/>
          <w:lang w:val="en-US" w:eastAsia="zh-CN"/>
        </w:rPr>
        <w:t>根据</w:t>
      </w:r>
      <w:r>
        <w:rPr>
          <w:rFonts w:hint="eastAsia" w:ascii="仿宋_GB2312" w:hAnsi="宋体" w:eastAsia="仿宋_GB2312"/>
          <w:sz w:val="32"/>
          <w:szCs w:val="32"/>
          <w:lang w:val="en-US" w:eastAsia="zh-CN"/>
        </w:rPr>
        <w:t>十四五水利发展规划实施水库雨水情测报设施建设和水文基础能力建设</w:t>
      </w:r>
      <w:r>
        <w:rPr>
          <w:rFonts w:hint="eastAsia" w:ascii="仿宋_GB2312" w:hAnsi="宋体"/>
          <w:sz w:val="32"/>
          <w:szCs w:val="32"/>
          <w:lang w:val="en-US" w:eastAsia="zh-CN"/>
        </w:rPr>
        <w:t>要求，该项目已经实施，但设计费无来源，按照</w:t>
      </w:r>
      <w:r>
        <w:rPr>
          <w:rFonts w:hint="eastAsia" w:ascii="仿宋_GB2312" w:hAnsi="宋体" w:eastAsia="仿宋_GB2312"/>
          <w:sz w:val="32"/>
          <w:szCs w:val="32"/>
          <w:lang w:val="en-US" w:eastAsia="zh-CN"/>
        </w:rPr>
        <w:t>实际情况</w:t>
      </w:r>
      <w:r>
        <w:rPr>
          <w:rFonts w:hint="eastAsia" w:ascii="仿宋_GB2312" w:hAnsi="宋体"/>
          <w:sz w:val="32"/>
          <w:szCs w:val="32"/>
          <w:lang w:val="en-US" w:eastAsia="zh-CN"/>
        </w:rPr>
        <w:t>进行申报</w:t>
      </w:r>
      <w:r>
        <w:rPr>
          <w:rFonts w:hint="eastAsia" w:ascii="仿宋_GB2312" w:hAnsi="宋体" w:eastAsia="仿宋_GB2312"/>
          <w:sz w:val="32"/>
          <w:szCs w:val="32"/>
          <w:lang w:val="en-US" w:eastAsia="zh-CN"/>
        </w:rPr>
        <w:t>。</w:t>
      </w:r>
    </w:p>
    <w:p>
      <w:pPr>
        <w:adjustRightInd w:val="0"/>
        <w:snapToGrid w:val="0"/>
        <w:spacing w:line="520" w:lineRule="exact"/>
        <w:ind w:firstLine="642" w:firstLineChars="200"/>
        <w:rPr>
          <w:rFonts w:hint="eastAsia" w:ascii="仿宋_GB2312" w:hAnsi="宋体" w:eastAsia="楷体_GB2312"/>
          <w:b w:val="0"/>
          <w:bCs w:val="0"/>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宋体" w:eastAsia="仿宋_GB2312"/>
          <w:sz w:val="32"/>
          <w:szCs w:val="32"/>
          <w:lang w:eastAsia="zh-CN"/>
        </w:rPr>
        <w:t>对</w:t>
      </w:r>
      <w:r>
        <w:rPr>
          <w:rFonts w:hint="eastAsia" w:ascii="仿宋_GB2312" w:hAnsi="宋体" w:eastAsia="仿宋_GB2312"/>
          <w:sz w:val="32"/>
          <w:szCs w:val="32"/>
          <w:lang w:val="en-US" w:eastAsia="zh-CN"/>
        </w:rPr>
        <w:t>17座水库的水库水雨情和水资源监测设施进行合理设计，出具设计报告，后期严格按照报告进行实施，准确提供信息，及时预警。</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一次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项目设计涉及水库数量等于17座，项目设计报告数量等于1份，设计报告通过率大于等于98%，项目成本小于等于4.93万元。</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对项目涉及</w:t>
      </w:r>
      <w:r>
        <w:rPr>
          <w:rFonts w:hint="eastAsia" w:ascii="仿宋_GB2312" w:hAnsi="仿宋_GB2312" w:cs="仿宋_GB2312"/>
          <w:color w:val="auto"/>
          <w:kern w:val="0"/>
          <w:sz w:val="32"/>
          <w:szCs w:val="32"/>
          <w:highlight w:val="none"/>
          <w:u w:val="none"/>
          <w:shd w:val="clear" w:color="auto" w:fill="FFFFFF"/>
          <w:lang w:val="en-US" w:eastAsia="zh-CN"/>
        </w:rPr>
        <w:t>水库数量，以及项目成本</w:t>
      </w:r>
      <w:r>
        <w:rPr>
          <w:rFonts w:hint="eastAsia" w:ascii="仿宋_GB2312" w:hAnsi="仿宋_GB2312" w:cs="仿宋_GB2312"/>
          <w:sz w:val="32"/>
          <w:szCs w:val="32"/>
          <w:lang w:val="en-US" w:eastAsia="zh-CN"/>
        </w:rPr>
        <w:t>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自评得</w:t>
      </w:r>
      <w:r>
        <w:rPr>
          <w:rFonts w:hint="eastAsia" w:ascii="仿宋_GB2312" w:cs="仿宋_GB2312"/>
          <w:bCs/>
          <w:color w:val="auto"/>
          <w:sz w:val="32"/>
          <w:szCs w:val="32"/>
          <w:lang w:val="en-US" w:eastAsia="zh-CN" w:bidi="ar-SA"/>
        </w:rPr>
        <w:t>18分。</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。项目绩效监管按要求开展。自评得</w:t>
      </w:r>
      <w:r>
        <w:rPr>
          <w:rFonts w:hint="eastAsia" w:ascii="仿宋_GB2312" w:cs="仿宋_GB2312"/>
          <w:bCs/>
          <w:color w:val="auto"/>
          <w:sz w:val="32"/>
          <w:szCs w:val="32"/>
          <w:lang w:val="en-US" w:eastAsia="zh-CN" w:bidi="ar-SA"/>
        </w:rPr>
        <w:t>18分。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9分。</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r>
        <w:rPr>
          <w:rFonts w:hint="eastAsia" w:ascii="仿宋_GB2312" w:cs="仿宋_GB2312"/>
          <w:bCs/>
          <w:color w:val="auto"/>
          <w:sz w:val="32"/>
          <w:szCs w:val="32"/>
          <w:lang w:val="zh-CN" w:eastAsia="zh-CN" w:bidi="ar-SA"/>
        </w:rPr>
        <w:t>自评得</w:t>
      </w:r>
      <w:r>
        <w:rPr>
          <w:rFonts w:hint="eastAsia" w:ascii="仿宋_GB2312" w:cs="仿宋_GB2312"/>
          <w:bCs/>
          <w:color w:val="auto"/>
          <w:sz w:val="32"/>
          <w:szCs w:val="32"/>
          <w:lang w:val="en-US" w:eastAsia="zh-CN" w:bidi="ar-SA"/>
        </w:rPr>
        <w:t>30分。</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p>
    <w:p>
      <w:pPr>
        <w:pStyle w:val="2"/>
        <w:keepNext w:val="0"/>
        <w:keepLines w:val="0"/>
        <w:pageBreakBefore w:val="0"/>
        <w:numPr>
          <w:ilvl w:val="0"/>
          <w:numId w:val="8"/>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设计涉及水库数量等于17座，项目设计报告数量等于1份，设计报告通过率100%，项目成本等于4.93万元。</w:t>
      </w:r>
      <w:r>
        <w:rPr>
          <w:rFonts w:hint="eastAsia" w:ascii="仿宋_GB2312" w:hAnsi="宋体"/>
          <w:sz w:val="32"/>
          <w:szCs w:val="32"/>
          <w:lang w:val="en-US" w:eastAsia="zh-CN"/>
        </w:rPr>
        <w:t>通过合理设计</w:t>
      </w:r>
      <w:r>
        <w:rPr>
          <w:rFonts w:hint="eastAsia" w:ascii="仿宋_GB2312" w:hAnsi="宋体" w:eastAsia="仿宋_GB2312"/>
          <w:sz w:val="32"/>
          <w:szCs w:val="32"/>
          <w:lang w:val="en-US" w:eastAsia="zh-CN"/>
        </w:rPr>
        <w:t>建设水库水雨情和水资源监测设施，实现重要中小型水库水雨情测报全覆盖，水资源监测设施全覆盖，实施掌握水库最新动态，及时分析水库运行情况，提高重要水库洪水预警水平。</w:t>
      </w:r>
      <w:r>
        <w:rPr>
          <w:rFonts w:hint="eastAsia" w:ascii="仿宋_GB2312" w:hAnsi="仿宋_GB2312" w:cs="仿宋_GB2312"/>
          <w:color w:val="000000"/>
          <w:sz w:val="32"/>
          <w:szCs w:val="32"/>
          <w:lang w:eastAsia="zh-CN"/>
        </w:rPr>
        <w:t>由于无相应个性指标，折合</w:t>
      </w:r>
      <w:r>
        <w:rPr>
          <w:rFonts w:hint="eastAsia" w:ascii="仿宋_GB2312" w:hAnsi="仿宋_GB2312" w:eastAsia="仿宋_GB2312" w:cs="仿宋_GB2312"/>
          <w:color w:val="auto"/>
          <w:sz w:val="32"/>
          <w:szCs w:val="32"/>
          <w:lang w:val="en-US" w:eastAsia="zh-CN"/>
        </w:rPr>
        <w:t>自评得分</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Times New Roman" w:hAnsi="Times New Roman" w:cs="Times New Roman"/>
          <w:color w:val="000000"/>
          <w:kern w:val="0"/>
          <w:szCs w:val="32"/>
          <w:highlight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rPr>
      </w:pPr>
    </w:p>
    <w:p>
      <w:pPr>
        <w:numPr>
          <w:ilvl w:val="0"/>
          <w:numId w:val="0"/>
        </w:numPr>
        <w:shd w:val="clear"/>
        <w:spacing w:line="600" w:lineRule="exact"/>
        <w:ind w:leftChars="150" w:firstLine="2200" w:firstLineChars="500"/>
        <w:jc w:val="both"/>
        <w:outlineLvl w:val="0"/>
        <w:rPr>
          <w:rStyle w:val="21"/>
          <w:rFonts w:hint="eastAsia" w:ascii="黑体" w:hAnsi="黑体" w:eastAsia="黑体"/>
          <w:b w:val="0"/>
          <w:color w:val="auto"/>
          <w:highlight w:val="none"/>
        </w:rPr>
      </w:pPr>
      <w:bookmarkStart w:id="73" w:name="_Toc20768"/>
      <w:r>
        <w:rPr>
          <w:rStyle w:val="21"/>
          <w:rFonts w:hint="eastAsia" w:ascii="黑体" w:hAnsi="黑体" w:eastAsia="黑体"/>
          <w:b w:val="0"/>
          <w:color w:val="auto"/>
          <w:highlight w:val="none"/>
          <w:lang w:eastAsia="zh-CN"/>
        </w:rPr>
        <w:t>第五部分</w:t>
      </w:r>
      <w:r>
        <w:rPr>
          <w:rStyle w:val="21"/>
          <w:rFonts w:hint="eastAsia" w:ascii="黑体" w:hAnsi="黑体" w:eastAsia="黑体"/>
          <w:b w:val="0"/>
          <w:color w:val="auto"/>
          <w:highlight w:val="none"/>
          <w:lang w:val="en-US" w:eastAsia="zh-CN"/>
        </w:rPr>
        <w:t xml:space="preserve"> </w:t>
      </w:r>
      <w:r>
        <w:rPr>
          <w:rStyle w:val="21"/>
          <w:rFonts w:hint="eastAsia" w:ascii="黑体" w:hAnsi="黑体" w:eastAsia="黑体"/>
          <w:b w:val="0"/>
          <w:color w:val="auto"/>
          <w:highlight w:val="none"/>
        </w:rPr>
        <w:t>附表</w:t>
      </w:r>
      <w:bookmarkEnd w:id="67"/>
      <w:bookmarkEnd w:id="72"/>
      <w:bookmarkEnd w:id="73"/>
    </w:p>
    <w:p>
      <w:pPr>
        <w:pStyle w:val="4"/>
        <w:bidi w:val="0"/>
        <w:rPr>
          <w:rFonts w:hint="eastAsia"/>
          <w:b w:val="0"/>
          <w:bCs w:val="0"/>
          <w:lang w:val="en-US" w:eastAsia="zh-CN"/>
        </w:rPr>
      </w:pPr>
      <w:bookmarkStart w:id="74" w:name="_Toc13811"/>
      <w:r>
        <w:rPr>
          <w:rFonts w:hint="eastAsia"/>
          <w:b w:val="0"/>
          <w:bCs w:val="0"/>
          <w:lang w:val="en-US" w:eastAsia="zh-CN"/>
        </w:rPr>
        <w:t>一、收入支出决算总表</w:t>
      </w:r>
      <w:bookmarkEnd w:id="74"/>
    </w:p>
    <w:p>
      <w:pPr>
        <w:pStyle w:val="4"/>
        <w:bidi w:val="0"/>
        <w:rPr>
          <w:rFonts w:hint="eastAsia"/>
          <w:b w:val="0"/>
          <w:bCs w:val="0"/>
          <w:lang w:val="en-US" w:eastAsia="zh-CN"/>
        </w:rPr>
      </w:pPr>
      <w:bookmarkStart w:id="75" w:name="_Toc25335"/>
      <w:r>
        <w:rPr>
          <w:rFonts w:hint="eastAsia"/>
          <w:b w:val="0"/>
          <w:bCs w:val="0"/>
          <w:lang w:val="en-US" w:eastAsia="zh-CN"/>
        </w:rPr>
        <w:t>二、收入决算表</w:t>
      </w:r>
      <w:bookmarkEnd w:id="75"/>
    </w:p>
    <w:p>
      <w:pPr>
        <w:pStyle w:val="4"/>
        <w:bidi w:val="0"/>
        <w:rPr>
          <w:rFonts w:hint="eastAsia"/>
          <w:b w:val="0"/>
          <w:bCs w:val="0"/>
          <w:lang w:val="en-US" w:eastAsia="zh-CN"/>
        </w:rPr>
      </w:pPr>
      <w:bookmarkStart w:id="76" w:name="_Toc11423"/>
      <w:r>
        <w:rPr>
          <w:rFonts w:hint="eastAsia"/>
          <w:b w:val="0"/>
          <w:bCs w:val="0"/>
          <w:lang w:val="en-US" w:eastAsia="zh-CN"/>
        </w:rPr>
        <w:t>三、支出决算表</w:t>
      </w:r>
      <w:bookmarkEnd w:id="76"/>
    </w:p>
    <w:p>
      <w:pPr>
        <w:pStyle w:val="4"/>
        <w:bidi w:val="0"/>
        <w:rPr>
          <w:rFonts w:hint="eastAsia"/>
          <w:b w:val="0"/>
          <w:bCs w:val="0"/>
          <w:lang w:val="en-US" w:eastAsia="zh-CN"/>
        </w:rPr>
      </w:pPr>
      <w:bookmarkStart w:id="77" w:name="_Toc29693"/>
      <w:r>
        <w:rPr>
          <w:rFonts w:hint="eastAsia"/>
          <w:b w:val="0"/>
          <w:bCs w:val="0"/>
          <w:lang w:val="en-US" w:eastAsia="zh-CN"/>
        </w:rPr>
        <w:t>四、财政拨款收入支出决算总表</w:t>
      </w:r>
      <w:bookmarkEnd w:id="77"/>
    </w:p>
    <w:p>
      <w:pPr>
        <w:pStyle w:val="4"/>
        <w:bidi w:val="0"/>
        <w:rPr>
          <w:rFonts w:hint="eastAsia"/>
          <w:b w:val="0"/>
          <w:bCs w:val="0"/>
          <w:lang w:val="en-US" w:eastAsia="zh-CN"/>
        </w:rPr>
      </w:pPr>
      <w:bookmarkStart w:id="78" w:name="_Toc11661"/>
      <w:r>
        <w:rPr>
          <w:rFonts w:hint="eastAsia"/>
          <w:b w:val="0"/>
          <w:bCs w:val="0"/>
          <w:lang w:val="en-US" w:eastAsia="zh-CN"/>
        </w:rPr>
        <w:t>五、财政拨款支出决算明细表</w:t>
      </w:r>
      <w:bookmarkEnd w:id="78"/>
    </w:p>
    <w:p>
      <w:pPr>
        <w:pStyle w:val="4"/>
        <w:bidi w:val="0"/>
        <w:rPr>
          <w:rFonts w:hint="eastAsia"/>
          <w:b w:val="0"/>
          <w:bCs w:val="0"/>
          <w:lang w:val="en-US" w:eastAsia="zh-CN"/>
        </w:rPr>
      </w:pPr>
      <w:bookmarkStart w:id="79" w:name="_Toc7121"/>
      <w:r>
        <w:rPr>
          <w:rFonts w:hint="eastAsia"/>
          <w:b w:val="0"/>
          <w:bCs w:val="0"/>
          <w:lang w:val="en-US" w:eastAsia="zh-CN"/>
        </w:rPr>
        <w:t>六、一般公共预算财政拨款支出决算表</w:t>
      </w:r>
      <w:bookmarkEnd w:id="79"/>
    </w:p>
    <w:p>
      <w:pPr>
        <w:pStyle w:val="4"/>
        <w:bidi w:val="0"/>
        <w:rPr>
          <w:rFonts w:hint="eastAsia"/>
          <w:b w:val="0"/>
          <w:bCs w:val="0"/>
          <w:lang w:val="en-US" w:eastAsia="zh-CN"/>
        </w:rPr>
      </w:pPr>
      <w:bookmarkStart w:id="80" w:name="_Toc29730"/>
      <w:r>
        <w:rPr>
          <w:rFonts w:hint="eastAsia"/>
          <w:b w:val="0"/>
          <w:bCs w:val="0"/>
          <w:lang w:val="en-US" w:eastAsia="zh-CN"/>
        </w:rPr>
        <w:t>七、一般公共预算财政拨款支出决算明细表</w:t>
      </w:r>
      <w:bookmarkEnd w:id="80"/>
    </w:p>
    <w:p>
      <w:pPr>
        <w:pStyle w:val="4"/>
        <w:bidi w:val="0"/>
        <w:rPr>
          <w:rFonts w:hint="eastAsia"/>
          <w:b w:val="0"/>
          <w:bCs w:val="0"/>
          <w:lang w:val="en-US" w:eastAsia="zh-CN"/>
        </w:rPr>
      </w:pPr>
      <w:bookmarkStart w:id="81" w:name="_Toc583"/>
      <w:r>
        <w:rPr>
          <w:rFonts w:hint="eastAsia"/>
          <w:b w:val="0"/>
          <w:bCs w:val="0"/>
          <w:lang w:val="en-US" w:eastAsia="zh-CN"/>
        </w:rPr>
        <w:t>八、一般公共预算财政拨款基本支出决算表</w:t>
      </w:r>
      <w:bookmarkEnd w:id="81"/>
    </w:p>
    <w:p>
      <w:pPr>
        <w:pStyle w:val="4"/>
        <w:bidi w:val="0"/>
        <w:rPr>
          <w:rFonts w:hint="eastAsia"/>
          <w:b w:val="0"/>
          <w:bCs w:val="0"/>
          <w:lang w:val="en-US" w:eastAsia="zh-CN"/>
        </w:rPr>
      </w:pPr>
      <w:bookmarkStart w:id="82" w:name="_Toc29289"/>
      <w:r>
        <w:rPr>
          <w:rFonts w:hint="eastAsia"/>
          <w:b w:val="0"/>
          <w:bCs w:val="0"/>
          <w:lang w:val="en-US" w:eastAsia="zh-CN"/>
        </w:rPr>
        <w:t>九、一般公共预算财政拨款项目支出决算表</w:t>
      </w:r>
      <w:bookmarkEnd w:id="82"/>
    </w:p>
    <w:p>
      <w:pPr>
        <w:pStyle w:val="4"/>
        <w:bidi w:val="0"/>
        <w:rPr>
          <w:rFonts w:hint="eastAsia"/>
          <w:b w:val="0"/>
          <w:bCs w:val="0"/>
          <w:lang w:val="en-US" w:eastAsia="zh-CN"/>
        </w:rPr>
      </w:pPr>
      <w:bookmarkStart w:id="83" w:name="_Toc25468"/>
      <w:r>
        <w:rPr>
          <w:rFonts w:hint="eastAsia"/>
          <w:b w:val="0"/>
          <w:bCs w:val="0"/>
          <w:lang w:val="en-US" w:eastAsia="zh-CN"/>
        </w:rPr>
        <w:t>十、政府性基金预算财政拨款收入支出决算表</w:t>
      </w:r>
      <w:bookmarkEnd w:id="83"/>
    </w:p>
    <w:p>
      <w:pPr>
        <w:pStyle w:val="4"/>
        <w:bidi w:val="0"/>
        <w:rPr>
          <w:rFonts w:hint="eastAsia"/>
          <w:b w:val="0"/>
          <w:bCs w:val="0"/>
          <w:lang w:val="en-US" w:eastAsia="zh-CN"/>
        </w:rPr>
      </w:pPr>
      <w:bookmarkStart w:id="84" w:name="_Toc22603"/>
      <w:r>
        <w:rPr>
          <w:rFonts w:hint="eastAsia"/>
          <w:b w:val="0"/>
          <w:bCs w:val="0"/>
          <w:lang w:val="en-US" w:eastAsia="zh-CN"/>
        </w:rPr>
        <w:t>十一、国有资本经营预算财政拨款收入支出决算表</w:t>
      </w:r>
      <w:bookmarkEnd w:id="84"/>
    </w:p>
    <w:p>
      <w:pPr>
        <w:pStyle w:val="4"/>
        <w:bidi w:val="0"/>
        <w:rPr>
          <w:rFonts w:hint="eastAsia"/>
          <w:b w:val="0"/>
          <w:bCs w:val="0"/>
          <w:lang w:val="en-US" w:eastAsia="zh-CN"/>
        </w:rPr>
      </w:pPr>
      <w:bookmarkStart w:id="85" w:name="_Toc15481"/>
      <w:r>
        <w:rPr>
          <w:rFonts w:hint="eastAsia"/>
          <w:b w:val="0"/>
          <w:bCs w:val="0"/>
          <w:lang w:val="en-US" w:eastAsia="zh-CN"/>
        </w:rPr>
        <w:t>十二、国有资本经营预算财政拨款支出决算表</w:t>
      </w:r>
      <w:bookmarkEnd w:id="85"/>
    </w:p>
    <w:p>
      <w:pPr>
        <w:pStyle w:val="4"/>
        <w:bidi w:val="0"/>
        <w:rPr>
          <w:rFonts w:hint="eastAsia"/>
          <w:b w:val="0"/>
          <w:bCs w:val="0"/>
          <w:lang w:val="en-US" w:eastAsia="zh-CN"/>
        </w:rPr>
      </w:pPr>
      <w:bookmarkStart w:id="86" w:name="_Toc14349"/>
      <w:r>
        <w:rPr>
          <w:rFonts w:hint="eastAsia"/>
          <w:b w:val="0"/>
          <w:bCs w:val="0"/>
          <w:lang w:val="en-US" w:eastAsia="zh-CN"/>
        </w:rPr>
        <w:t>十三、财政拨款“三公”经费支出决算表</w:t>
      </w:r>
      <w:bookmarkEnd w:id="86"/>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textAlignment w:val="auto"/>
        <w:rPr>
          <w:rFonts w:hint="eastAsia" w:ascii="仿宋_GB2312" w:eastAsia="仿宋_GB2312"/>
          <w:color w:val="auto"/>
          <w:sz w:val="32"/>
          <w:szCs w:val="32"/>
          <w:highlight w:val="none"/>
          <w:lang w:val="en-US" w:eastAsia="zh-CN"/>
        </w:rPr>
      </w:pPr>
    </w:p>
    <w:sectPr>
      <w:footerReference r:id="rId5" w:type="first"/>
      <w:footerReference r:id="rId4" w:type="default"/>
      <w:pgSz w:w="11906" w:h="16838"/>
      <w:pgMar w:top="1701" w:right="1587" w:bottom="1701" w:left="158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PingFang SC">
    <w:altName w:val="华文中宋"/>
    <w:panose1 w:val="00000000000000000000"/>
    <w:charset w:val="00"/>
    <w:family w:val="auto"/>
    <w:pitch w:val="default"/>
    <w:sig w:usb0="00000000" w:usb1="00000000" w:usb2="00000000" w:usb3="00000000" w:csb0="00040001" w:csb1="00000000"/>
  </w:font>
  <w:font w:name="Comic Sans MS">
    <w:panose1 w:val="030F0702030302020204"/>
    <w:charset w:val="00"/>
    <w:family w:val="auto"/>
    <w:pitch w:val="default"/>
    <w:sig w:usb0="00000287" w:usb1="00000000" w:usb2="00000000" w:usb3="00000000" w:csb0="2000009F" w:csb1="00000000"/>
  </w:font>
  <w:font w:name="Lucida Sans">
    <w:panose1 w:val="020B0602030504020204"/>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A006A"/>
    <w:multiLevelType w:val="singleLevel"/>
    <w:tmpl w:val="97EA006A"/>
    <w:lvl w:ilvl="0" w:tentative="0">
      <w:start w:val="1"/>
      <w:numFmt w:val="chineseCounting"/>
      <w:suff w:val="nothing"/>
      <w:lvlText w:val="（%1）"/>
      <w:lvlJc w:val="left"/>
      <w:rPr>
        <w:rFonts w:hint="eastAsia" w:ascii="楷体_GB2312" w:hAnsi="楷体_GB2312" w:eastAsia="楷体_GB2312" w:cs="楷体_GB2312"/>
        <w:sz w:val="32"/>
        <w:szCs w:val="32"/>
      </w:rPr>
    </w:lvl>
  </w:abstractNum>
  <w:abstractNum w:abstractNumId="1">
    <w:nsid w:val="C4A54F82"/>
    <w:multiLevelType w:val="singleLevel"/>
    <w:tmpl w:val="C4A54F82"/>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FFF674BC"/>
    <w:multiLevelType w:val="singleLevel"/>
    <w:tmpl w:val="FFF674BC"/>
    <w:lvl w:ilvl="0" w:tentative="0">
      <w:start w:val="1"/>
      <w:numFmt w:val="chineseCounting"/>
      <w:suff w:val="nothing"/>
      <w:lvlText w:val="%1、"/>
      <w:lvlJc w:val="left"/>
      <w:rPr>
        <w:rFonts w:hint="eastAsia" w:ascii="黑体" w:hAnsi="黑体" w:eastAsia="黑体" w:cs="黑体"/>
        <w:sz w:val="32"/>
        <w:szCs w:val="32"/>
      </w:rPr>
    </w:lvl>
  </w:abstractNum>
  <w:abstractNum w:abstractNumId="5">
    <w:nsid w:val="32467A93"/>
    <w:multiLevelType w:val="singleLevel"/>
    <w:tmpl w:val="32467A93"/>
    <w:lvl w:ilvl="0" w:tentative="0">
      <w:start w:val="1"/>
      <w:numFmt w:val="decimal"/>
      <w:suff w:val="nothing"/>
      <w:lvlText w:val="%1．"/>
      <w:lvlJc w:val="left"/>
      <w:pPr>
        <w:ind w:left="0" w:firstLine="397"/>
      </w:pPr>
      <w:rPr>
        <w:rFonts w:hint="default"/>
      </w:rPr>
    </w:lvl>
  </w:abstractNum>
  <w:abstractNum w:abstractNumId="6">
    <w:nsid w:val="3A4D6D41"/>
    <w:multiLevelType w:val="singleLevel"/>
    <w:tmpl w:val="3A4D6D41"/>
    <w:lvl w:ilvl="0" w:tentative="0">
      <w:start w:val="3"/>
      <w:numFmt w:val="chineseCounting"/>
      <w:suff w:val="nothing"/>
      <w:lvlText w:val="（%1）"/>
      <w:lvlJc w:val="left"/>
      <w:rPr>
        <w:rFonts w:hint="eastAsia"/>
      </w:rPr>
    </w:lvl>
  </w:abstractNum>
  <w:abstractNum w:abstractNumId="7">
    <w:nsid w:val="7DDE215B"/>
    <w:multiLevelType w:val="singleLevel"/>
    <w:tmpl w:val="7DDE215B"/>
    <w:lvl w:ilvl="0" w:tentative="0">
      <w:start w:val="2"/>
      <w:numFmt w:val="decimal"/>
      <w:suff w:val="nothing"/>
      <w:lvlText w:val="%1．"/>
      <w:lvlJc w:val="left"/>
    </w:lvl>
  </w:abstractNum>
  <w:num w:numId="1">
    <w:abstractNumId w:val="5"/>
  </w:num>
  <w:num w:numId="2">
    <w:abstractNumId w:val="2"/>
  </w:num>
  <w:num w:numId="3">
    <w:abstractNumId w:val="3"/>
  </w:num>
  <w:num w:numId="4">
    <w:abstractNumId w:val="1"/>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zMzc1N2Y5MDk0NGRlZDY1MTA1ZTY4Y2I4Y2M5Yj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91F"/>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87394"/>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A7640C"/>
    <w:rsid w:val="02E132C9"/>
    <w:rsid w:val="02E74336"/>
    <w:rsid w:val="02F32A2A"/>
    <w:rsid w:val="05E92FD1"/>
    <w:rsid w:val="066E0107"/>
    <w:rsid w:val="07996F6E"/>
    <w:rsid w:val="07C136C9"/>
    <w:rsid w:val="08936A96"/>
    <w:rsid w:val="08FF3F01"/>
    <w:rsid w:val="09C23E10"/>
    <w:rsid w:val="09FFA98A"/>
    <w:rsid w:val="0A2032A3"/>
    <w:rsid w:val="0A435883"/>
    <w:rsid w:val="0BA54B88"/>
    <w:rsid w:val="0C7E6D3E"/>
    <w:rsid w:val="0DBF2182"/>
    <w:rsid w:val="0E7E5E6A"/>
    <w:rsid w:val="10014FAA"/>
    <w:rsid w:val="101860EC"/>
    <w:rsid w:val="10C055FF"/>
    <w:rsid w:val="10E01064"/>
    <w:rsid w:val="10EDA697"/>
    <w:rsid w:val="118107EC"/>
    <w:rsid w:val="12557610"/>
    <w:rsid w:val="13166FBF"/>
    <w:rsid w:val="13D50BC4"/>
    <w:rsid w:val="14252FD6"/>
    <w:rsid w:val="1442623C"/>
    <w:rsid w:val="15CF2127"/>
    <w:rsid w:val="16BB723D"/>
    <w:rsid w:val="17850B18"/>
    <w:rsid w:val="179663C2"/>
    <w:rsid w:val="17FDDCE2"/>
    <w:rsid w:val="1A780F47"/>
    <w:rsid w:val="1A972281"/>
    <w:rsid w:val="1BAB21E9"/>
    <w:rsid w:val="1BAF784A"/>
    <w:rsid w:val="1BE8440E"/>
    <w:rsid w:val="1BFBF8E7"/>
    <w:rsid w:val="1CAE37F5"/>
    <w:rsid w:val="1D155CEE"/>
    <w:rsid w:val="1E37A199"/>
    <w:rsid w:val="1E8F66C4"/>
    <w:rsid w:val="1EE51481"/>
    <w:rsid w:val="1EF7C72D"/>
    <w:rsid w:val="1EFC3B07"/>
    <w:rsid w:val="1EFF683F"/>
    <w:rsid w:val="1F32358C"/>
    <w:rsid w:val="1F4B06EB"/>
    <w:rsid w:val="1F5F6AC7"/>
    <w:rsid w:val="1F7FE758"/>
    <w:rsid w:val="1F813EBF"/>
    <w:rsid w:val="1F980BBF"/>
    <w:rsid w:val="1FDFF7F1"/>
    <w:rsid w:val="1FFABD5E"/>
    <w:rsid w:val="1FFD9F6C"/>
    <w:rsid w:val="1FFFE5B9"/>
    <w:rsid w:val="20103CA7"/>
    <w:rsid w:val="205366ED"/>
    <w:rsid w:val="211423B2"/>
    <w:rsid w:val="2255792F"/>
    <w:rsid w:val="23187F67"/>
    <w:rsid w:val="234514E0"/>
    <w:rsid w:val="2375282B"/>
    <w:rsid w:val="23860B96"/>
    <w:rsid w:val="23F70E46"/>
    <w:rsid w:val="240371BF"/>
    <w:rsid w:val="246A7931"/>
    <w:rsid w:val="249A1F8C"/>
    <w:rsid w:val="27FF7BEA"/>
    <w:rsid w:val="29C620EE"/>
    <w:rsid w:val="29FD04D3"/>
    <w:rsid w:val="2AB87230"/>
    <w:rsid w:val="2C8A61B5"/>
    <w:rsid w:val="2CCD64E8"/>
    <w:rsid w:val="2CFF41BE"/>
    <w:rsid w:val="2D357AB1"/>
    <w:rsid w:val="2D3B7113"/>
    <w:rsid w:val="2DEE7FCB"/>
    <w:rsid w:val="2DF04E50"/>
    <w:rsid w:val="2E575C9A"/>
    <w:rsid w:val="2EFFD82C"/>
    <w:rsid w:val="2F3B3732"/>
    <w:rsid w:val="2FF7E1CC"/>
    <w:rsid w:val="301E46D4"/>
    <w:rsid w:val="313F66F5"/>
    <w:rsid w:val="317A7A7E"/>
    <w:rsid w:val="319F03C4"/>
    <w:rsid w:val="319F7F4E"/>
    <w:rsid w:val="32540E53"/>
    <w:rsid w:val="32725963"/>
    <w:rsid w:val="32831DB2"/>
    <w:rsid w:val="33D2596F"/>
    <w:rsid w:val="34C35CE1"/>
    <w:rsid w:val="357EB468"/>
    <w:rsid w:val="359F7AA1"/>
    <w:rsid w:val="35A818A1"/>
    <w:rsid w:val="35BF4A63"/>
    <w:rsid w:val="36AA5135"/>
    <w:rsid w:val="36FFC810"/>
    <w:rsid w:val="37E16F03"/>
    <w:rsid w:val="38411727"/>
    <w:rsid w:val="384F50CC"/>
    <w:rsid w:val="38FD0B0F"/>
    <w:rsid w:val="39416966"/>
    <w:rsid w:val="39BF4044"/>
    <w:rsid w:val="3ABB3314"/>
    <w:rsid w:val="3B6E37EF"/>
    <w:rsid w:val="3C1F45B2"/>
    <w:rsid w:val="3C677187"/>
    <w:rsid w:val="3D98207C"/>
    <w:rsid w:val="3DF643DC"/>
    <w:rsid w:val="3EB5761B"/>
    <w:rsid w:val="3EDE6333"/>
    <w:rsid w:val="3EEB93E0"/>
    <w:rsid w:val="3F2F1C44"/>
    <w:rsid w:val="3F4B54AA"/>
    <w:rsid w:val="3F73C633"/>
    <w:rsid w:val="3FB14897"/>
    <w:rsid w:val="3FB77010"/>
    <w:rsid w:val="3FDB1EF3"/>
    <w:rsid w:val="3FEFA6A6"/>
    <w:rsid w:val="3FFD7DB9"/>
    <w:rsid w:val="403501D5"/>
    <w:rsid w:val="40883736"/>
    <w:rsid w:val="429A6A15"/>
    <w:rsid w:val="43000407"/>
    <w:rsid w:val="432A6B7B"/>
    <w:rsid w:val="43590788"/>
    <w:rsid w:val="44E268DA"/>
    <w:rsid w:val="47FD6974"/>
    <w:rsid w:val="47FFA055"/>
    <w:rsid w:val="49494CF1"/>
    <w:rsid w:val="499E3242"/>
    <w:rsid w:val="499FB540"/>
    <w:rsid w:val="4A627F82"/>
    <w:rsid w:val="4AC33EE4"/>
    <w:rsid w:val="4AF73C15"/>
    <w:rsid w:val="4B4F25DA"/>
    <w:rsid w:val="4B9209EE"/>
    <w:rsid w:val="4B9D5B5E"/>
    <w:rsid w:val="4BE068DB"/>
    <w:rsid w:val="4BFEDA43"/>
    <w:rsid w:val="4CF9FF63"/>
    <w:rsid w:val="4D577224"/>
    <w:rsid w:val="4E3E56EC"/>
    <w:rsid w:val="4E9B0DF3"/>
    <w:rsid w:val="4EAB630A"/>
    <w:rsid w:val="4EBFE3B6"/>
    <w:rsid w:val="4ECE2238"/>
    <w:rsid w:val="4EFFED9F"/>
    <w:rsid w:val="4FA949EF"/>
    <w:rsid w:val="4FD868DD"/>
    <w:rsid w:val="50802F39"/>
    <w:rsid w:val="50A73152"/>
    <w:rsid w:val="527B94D0"/>
    <w:rsid w:val="534724B7"/>
    <w:rsid w:val="539A5C1F"/>
    <w:rsid w:val="53DFB393"/>
    <w:rsid w:val="53FB0E95"/>
    <w:rsid w:val="54E64464"/>
    <w:rsid w:val="55286574"/>
    <w:rsid w:val="55AB702A"/>
    <w:rsid w:val="55B20F58"/>
    <w:rsid w:val="55BBA9DF"/>
    <w:rsid w:val="567705CC"/>
    <w:rsid w:val="56E7A2A4"/>
    <w:rsid w:val="573936A3"/>
    <w:rsid w:val="57AB3FB3"/>
    <w:rsid w:val="57CFA608"/>
    <w:rsid w:val="57D97023"/>
    <w:rsid w:val="57DE59CF"/>
    <w:rsid w:val="57EFECA9"/>
    <w:rsid w:val="57F87F41"/>
    <w:rsid w:val="58005B52"/>
    <w:rsid w:val="5AAED985"/>
    <w:rsid w:val="5AF92295"/>
    <w:rsid w:val="5B47A430"/>
    <w:rsid w:val="5B9261ED"/>
    <w:rsid w:val="5CD71FC4"/>
    <w:rsid w:val="5D270F13"/>
    <w:rsid w:val="5DB59A9E"/>
    <w:rsid w:val="5DFFC1EF"/>
    <w:rsid w:val="5E9382AC"/>
    <w:rsid w:val="5EAB07FE"/>
    <w:rsid w:val="5EE40357"/>
    <w:rsid w:val="5EFB3D1E"/>
    <w:rsid w:val="5F2345A8"/>
    <w:rsid w:val="5FBF25E5"/>
    <w:rsid w:val="5FC525A7"/>
    <w:rsid w:val="5FDBAA55"/>
    <w:rsid w:val="5FF5154F"/>
    <w:rsid w:val="5FFFC405"/>
    <w:rsid w:val="604364E6"/>
    <w:rsid w:val="60BF2E87"/>
    <w:rsid w:val="61793551"/>
    <w:rsid w:val="64F43F3D"/>
    <w:rsid w:val="64FB0B07"/>
    <w:rsid w:val="65F609C9"/>
    <w:rsid w:val="66376316"/>
    <w:rsid w:val="67EC589A"/>
    <w:rsid w:val="6887610B"/>
    <w:rsid w:val="68DF137C"/>
    <w:rsid w:val="698719DE"/>
    <w:rsid w:val="699D4512"/>
    <w:rsid w:val="6B837A01"/>
    <w:rsid w:val="6BBF6C54"/>
    <w:rsid w:val="6BC90704"/>
    <w:rsid w:val="6C4A05C8"/>
    <w:rsid w:val="6CDD73B2"/>
    <w:rsid w:val="6CF740EB"/>
    <w:rsid w:val="6DF7FDB5"/>
    <w:rsid w:val="6E6FAF47"/>
    <w:rsid w:val="6E734448"/>
    <w:rsid w:val="6E7E3605"/>
    <w:rsid w:val="6FF5CC65"/>
    <w:rsid w:val="6FF6D8DC"/>
    <w:rsid w:val="6FFE87EA"/>
    <w:rsid w:val="70096E04"/>
    <w:rsid w:val="71541F1A"/>
    <w:rsid w:val="715C0E4B"/>
    <w:rsid w:val="72734D90"/>
    <w:rsid w:val="728E3E2C"/>
    <w:rsid w:val="72D7B680"/>
    <w:rsid w:val="7353149C"/>
    <w:rsid w:val="73AD73D5"/>
    <w:rsid w:val="73B6EB34"/>
    <w:rsid w:val="73DFE356"/>
    <w:rsid w:val="7457716A"/>
    <w:rsid w:val="74F7DB6C"/>
    <w:rsid w:val="75C7A235"/>
    <w:rsid w:val="75E744DB"/>
    <w:rsid w:val="75E7A144"/>
    <w:rsid w:val="76AF4746"/>
    <w:rsid w:val="76CF39D1"/>
    <w:rsid w:val="7741F4CD"/>
    <w:rsid w:val="77536BB7"/>
    <w:rsid w:val="77772939"/>
    <w:rsid w:val="77773BAF"/>
    <w:rsid w:val="777F3DEC"/>
    <w:rsid w:val="777F40AB"/>
    <w:rsid w:val="77A40B3C"/>
    <w:rsid w:val="77BD6C90"/>
    <w:rsid w:val="77C33505"/>
    <w:rsid w:val="78DC497A"/>
    <w:rsid w:val="78F6383C"/>
    <w:rsid w:val="797A63E1"/>
    <w:rsid w:val="79E7C0DD"/>
    <w:rsid w:val="79EE5BA4"/>
    <w:rsid w:val="7A4B626B"/>
    <w:rsid w:val="7A894339"/>
    <w:rsid w:val="7AF1ED40"/>
    <w:rsid w:val="7AF32F69"/>
    <w:rsid w:val="7B43160C"/>
    <w:rsid w:val="7B6549C5"/>
    <w:rsid w:val="7B764886"/>
    <w:rsid w:val="7BB73002"/>
    <w:rsid w:val="7BBF7176"/>
    <w:rsid w:val="7BFF8279"/>
    <w:rsid w:val="7BFFA20F"/>
    <w:rsid w:val="7BFFD237"/>
    <w:rsid w:val="7C7B328A"/>
    <w:rsid w:val="7CAA6BB6"/>
    <w:rsid w:val="7CB66066"/>
    <w:rsid w:val="7CE24DCC"/>
    <w:rsid w:val="7CFF617B"/>
    <w:rsid w:val="7CFFB36E"/>
    <w:rsid w:val="7D216E8C"/>
    <w:rsid w:val="7D56752E"/>
    <w:rsid w:val="7D7CA2F5"/>
    <w:rsid w:val="7D7FA4CF"/>
    <w:rsid w:val="7DA5D6E5"/>
    <w:rsid w:val="7DB24A38"/>
    <w:rsid w:val="7DD6E12B"/>
    <w:rsid w:val="7DEAF4B6"/>
    <w:rsid w:val="7DEFDA98"/>
    <w:rsid w:val="7DFD75AD"/>
    <w:rsid w:val="7DFF8AA0"/>
    <w:rsid w:val="7EBD8BFE"/>
    <w:rsid w:val="7EC56666"/>
    <w:rsid w:val="7EDC357C"/>
    <w:rsid w:val="7EE7BECD"/>
    <w:rsid w:val="7EE92D8B"/>
    <w:rsid w:val="7EEF11D3"/>
    <w:rsid w:val="7EF97AF3"/>
    <w:rsid w:val="7EFF9244"/>
    <w:rsid w:val="7EFFCAA1"/>
    <w:rsid w:val="7F0709B3"/>
    <w:rsid w:val="7F3F4E61"/>
    <w:rsid w:val="7F7EA8C7"/>
    <w:rsid w:val="7F7F873C"/>
    <w:rsid w:val="7FA30C79"/>
    <w:rsid w:val="7FB0A0E8"/>
    <w:rsid w:val="7FB755C9"/>
    <w:rsid w:val="7FB9311D"/>
    <w:rsid w:val="7FBE5C30"/>
    <w:rsid w:val="7FBFE637"/>
    <w:rsid w:val="7FC96657"/>
    <w:rsid w:val="7FCEA69F"/>
    <w:rsid w:val="7FE6656D"/>
    <w:rsid w:val="7FEE082F"/>
    <w:rsid w:val="7FF52428"/>
    <w:rsid w:val="7FF74280"/>
    <w:rsid w:val="7FF7D5DE"/>
    <w:rsid w:val="7FFB2767"/>
    <w:rsid w:val="7FFF6E53"/>
    <w:rsid w:val="87FDFF4F"/>
    <w:rsid w:val="8AEFDB80"/>
    <w:rsid w:val="8EFFC17D"/>
    <w:rsid w:val="978BF3FA"/>
    <w:rsid w:val="9ABFD00A"/>
    <w:rsid w:val="9DB00AD6"/>
    <w:rsid w:val="9EFF0E2A"/>
    <w:rsid w:val="A3F25EFF"/>
    <w:rsid w:val="A67B1FF3"/>
    <w:rsid w:val="A793AA3F"/>
    <w:rsid w:val="A7BE8320"/>
    <w:rsid w:val="ABEB75AB"/>
    <w:rsid w:val="ABFB1568"/>
    <w:rsid w:val="ADCAEF7F"/>
    <w:rsid w:val="AE7FB82C"/>
    <w:rsid w:val="B67DEADD"/>
    <w:rsid w:val="B7DC640B"/>
    <w:rsid w:val="B7DF72A5"/>
    <w:rsid w:val="B7F72060"/>
    <w:rsid w:val="B7FF7B83"/>
    <w:rsid w:val="BB07C80E"/>
    <w:rsid w:val="BBFBAA18"/>
    <w:rsid w:val="BDDFEB88"/>
    <w:rsid w:val="BDEF7A73"/>
    <w:rsid w:val="BDF79E2B"/>
    <w:rsid w:val="BFFDE354"/>
    <w:rsid w:val="BFFECB9F"/>
    <w:rsid w:val="C6F73CE9"/>
    <w:rsid w:val="C77C04CA"/>
    <w:rsid w:val="C7FD561F"/>
    <w:rsid w:val="CB7D7013"/>
    <w:rsid w:val="CF595EC4"/>
    <w:rsid w:val="CFBC117E"/>
    <w:rsid w:val="CFEE11EA"/>
    <w:rsid w:val="CFFEA24E"/>
    <w:rsid w:val="D1DD36CE"/>
    <w:rsid w:val="D3F1F89A"/>
    <w:rsid w:val="D3FC770E"/>
    <w:rsid w:val="D8D6DB89"/>
    <w:rsid w:val="DB398026"/>
    <w:rsid w:val="DB6F4CAB"/>
    <w:rsid w:val="DCFA372F"/>
    <w:rsid w:val="DDF91F82"/>
    <w:rsid w:val="DDFF0E96"/>
    <w:rsid w:val="DDFFA0CB"/>
    <w:rsid w:val="DEFF1C47"/>
    <w:rsid w:val="DF1757F7"/>
    <w:rsid w:val="DF3E41DD"/>
    <w:rsid w:val="DF6F9789"/>
    <w:rsid w:val="DFDF241F"/>
    <w:rsid w:val="DFFED2C1"/>
    <w:rsid w:val="DFFF06DC"/>
    <w:rsid w:val="E6EA8C09"/>
    <w:rsid w:val="E7B78E53"/>
    <w:rsid w:val="E7F7BCC9"/>
    <w:rsid w:val="E8EFA59E"/>
    <w:rsid w:val="E8F79421"/>
    <w:rsid w:val="E9FEE3B7"/>
    <w:rsid w:val="EAFF51D6"/>
    <w:rsid w:val="EB561779"/>
    <w:rsid w:val="EBF76248"/>
    <w:rsid w:val="EEFDA383"/>
    <w:rsid w:val="EEFF4B5B"/>
    <w:rsid w:val="EF7D1E66"/>
    <w:rsid w:val="EFDE6F22"/>
    <w:rsid w:val="EFF7937E"/>
    <w:rsid w:val="EFFB1367"/>
    <w:rsid w:val="F3DD6336"/>
    <w:rsid w:val="F3F3A415"/>
    <w:rsid w:val="F3FBE02B"/>
    <w:rsid w:val="F3FDCDCF"/>
    <w:rsid w:val="F3FFEAF2"/>
    <w:rsid w:val="F5DF4B10"/>
    <w:rsid w:val="F5FDC531"/>
    <w:rsid w:val="F6F71057"/>
    <w:rsid w:val="F6FF0885"/>
    <w:rsid w:val="F71F63B6"/>
    <w:rsid w:val="F76F2937"/>
    <w:rsid w:val="F87E6949"/>
    <w:rsid w:val="F89B30B3"/>
    <w:rsid w:val="F8EEBE18"/>
    <w:rsid w:val="F8FF2AF1"/>
    <w:rsid w:val="F99AD95F"/>
    <w:rsid w:val="F9F5DA09"/>
    <w:rsid w:val="FA5FA32D"/>
    <w:rsid w:val="FA7F7CED"/>
    <w:rsid w:val="FA9B886D"/>
    <w:rsid w:val="FAEE965C"/>
    <w:rsid w:val="FB37E95B"/>
    <w:rsid w:val="FB3E4714"/>
    <w:rsid w:val="FBB7ECEB"/>
    <w:rsid w:val="FBBBC02E"/>
    <w:rsid w:val="FBEB1FB4"/>
    <w:rsid w:val="FBFF69DA"/>
    <w:rsid w:val="FC3BF54D"/>
    <w:rsid w:val="FCCD7F23"/>
    <w:rsid w:val="FCF6AD8E"/>
    <w:rsid w:val="FD3E6B9C"/>
    <w:rsid w:val="FD6F7E16"/>
    <w:rsid w:val="FD78DF76"/>
    <w:rsid w:val="FD7F29F2"/>
    <w:rsid w:val="FDBFD2E4"/>
    <w:rsid w:val="FDEF72B7"/>
    <w:rsid w:val="FDFB90A5"/>
    <w:rsid w:val="FDFE0943"/>
    <w:rsid w:val="FDFFB207"/>
    <w:rsid w:val="FE3F387A"/>
    <w:rsid w:val="FEA98F38"/>
    <w:rsid w:val="FED9D10A"/>
    <w:rsid w:val="FEDFC498"/>
    <w:rsid w:val="FEEE1CA5"/>
    <w:rsid w:val="FEFC7947"/>
    <w:rsid w:val="FEFD5521"/>
    <w:rsid w:val="FF33F9E1"/>
    <w:rsid w:val="FF3F4E50"/>
    <w:rsid w:val="FF3FEB52"/>
    <w:rsid w:val="FF5D9885"/>
    <w:rsid w:val="FF6F4387"/>
    <w:rsid w:val="FF7F819E"/>
    <w:rsid w:val="FFCF7CCE"/>
    <w:rsid w:val="FFDB70A6"/>
    <w:rsid w:val="FFDF42B3"/>
    <w:rsid w:val="FFDF7C82"/>
    <w:rsid w:val="FFED0E3E"/>
    <w:rsid w:val="FFEFA67F"/>
    <w:rsid w:val="FFF18EB8"/>
    <w:rsid w:val="FFF7286E"/>
    <w:rsid w:val="FFF7883F"/>
    <w:rsid w:val="FFFBA431"/>
    <w:rsid w:val="FFFCCAC6"/>
    <w:rsid w:val="FFFF88F2"/>
    <w:rsid w:val="FFFFA5BD"/>
    <w:rsid w:val="FFFFD2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9"/>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420" w:leftChars="200"/>
    </w:pPr>
    <w:rPr>
      <w:rFonts w:cs="Calibri"/>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3"/>
    <w:semiHidden/>
    <w:unhideWhenUsed/>
    <w:qFormat/>
    <w:uiPriority w:val="99"/>
    <w:rPr>
      <w:sz w:val="18"/>
      <w:szCs w:val="18"/>
    </w:rPr>
  </w:style>
  <w:style w:type="paragraph" w:styleId="9">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footnote text"/>
    <w:basedOn w:val="1"/>
    <w:next w:val="13"/>
    <w:semiHidden/>
    <w:qFormat/>
    <w:uiPriority w:val="0"/>
    <w:pPr>
      <w:snapToGrid w:val="0"/>
      <w:jc w:val="left"/>
    </w:pPr>
    <w:rPr>
      <w:sz w:val="18"/>
      <w:szCs w:val="18"/>
    </w:rPr>
  </w:style>
  <w:style w:type="paragraph" w:styleId="13">
    <w:name w:val="Body Text First Indent 2"/>
    <w:basedOn w:val="6"/>
    <w:qFormat/>
    <w:uiPriority w:val="0"/>
    <w:pPr>
      <w:ind w:firstLine="420" w:firstLineChars="200"/>
    </w:pPr>
    <w:rPr>
      <w:rFonts w:cs="Times New Roman"/>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3"/>
    <w:qFormat/>
    <w:uiPriority w:val="9"/>
    <w:rPr>
      <w:rFonts w:ascii="Times New Roman" w:hAnsi="Times New Roman"/>
      <w:b/>
      <w:bCs/>
      <w:kern w:val="44"/>
      <w:sz w:val="44"/>
      <w:szCs w:val="44"/>
    </w:rPr>
  </w:style>
  <w:style w:type="character" w:customStyle="1" w:styleId="22">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5"/>
    <w:qFormat/>
    <w:uiPriority w:val="9"/>
    <w:rPr>
      <w:rFonts w:ascii="Times New Roman" w:hAnsi="Times New Roman"/>
      <w:b/>
      <w:bCs/>
      <w:kern w:val="2"/>
      <w:sz w:val="32"/>
      <w:szCs w:val="32"/>
    </w:rPr>
  </w:style>
  <w:style w:type="character" w:customStyle="1" w:styleId="24">
    <w:name w:val="Header Char"/>
    <w:basedOn w:val="18"/>
    <w:semiHidden/>
    <w:qFormat/>
    <w:uiPriority w:val="99"/>
    <w:rPr>
      <w:rFonts w:ascii="Times New Roman" w:hAnsi="Times New Roman"/>
      <w:sz w:val="18"/>
      <w:szCs w:val="18"/>
    </w:rPr>
  </w:style>
  <w:style w:type="character" w:customStyle="1" w:styleId="25">
    <w:name w:val="页眉 Char"/>
    <w:link w:val="10"/>
    <w:semiHidden/>
    <w:qFormat/>
    <w:locked/>
    <w:uiPriority w:val="99"/>
    <w:rPr>
      <w:sz w:val="18"/>
    </w:rPr>
  </w:style>
  <w:style w:type="character" w:customStyle="1" w:styleId="26">
    <w:name w:val="Footer Char"/>
    <w:basedOn w:val="18"/>
    <w:semiHidden/>
    <w:qFormat/>
    <w:uiPriority w:val="99"/>
    <w:rPr>
      <w:rFonts w:ascii="Times New Roman" w:hAnsi="Times New Roman"/>
      <w:sz w:val="18"/>
      <w:szCs w:val="18"/>
    </w:rPr>
  </w:style>
  <w:style w:type="character" w:customStyle="1" w:styleId="27">
    <w:name w:val="页脚 Char"/>
    <w:link w:val="9"/>
    <w:qFormat/>
    <w:locked/>
    <w:uiPriority w:val="99"/>
    <w:rPr>
      <w:sz w:val="18"/>
    </w:rPr>
  </w:style>
  <w:style w:type="character" w:customStyle="1" w:styleId="28">
    <w:name w:val="Body Text Char"/>
    <w:basedOn w:val="18"/>
    <w:semiHidden/>
    <w:qFormat/>
    <w:uiPriority w:val="99"/>
    <w:rPr>
      <w:rFonts w:ascii="Times New Roman" w:hAnsi="Times New Roman"/>
      <w:szCs w:val="24"/>
    </w:rPr>
  </w:style>
  <w:style w:type="character" w:customStyle="1" w:styleId="29">
    <w:name w:val="正文文本 Char"/>
    <w:link w:val="2"/>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8"/>
    <w:semiHidden/>
    <w:qFormat/>
    <w:uiPriority w:val="99"/>
    <w:rPr>
      <w:rFonts w:ascii="Times New Roman" w:hAnsi="Times New Roman"/>
      <w:kern w:val="2"/>
      <w:sz w:val="18"/>
      <w:szCs w:val="18"/>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图表目录1"/>
    <w:basedOn w:val="36"/>
    <w:next w:val="1"/>
    <w:qFormat/>
    <w:uiPriority w:val="99"/>
    <w:pPr>
      <w:ind w:left="200" w:leftChars="200" w:hanging="200" w:hangingChars="200"/>
    </w:pPr>
  </w:style>
  <w:style w:type="paragraph" w:customStyle="1" w:styleId="36">
    <w:name w:val="正文 New"/>
    <w:next w:val="35"/>
    <w:qFormat/>
    <w:uiPriority w:val="99"/>
    <w:pPr>
      <w:widowControl w:val="0"/>
      <w:jc w:val="both"/>
    </w:pPr>
    <w:rPr>
      <w:rFonts w:ascii="Times New Roman" w:hAnsi="Times New Roman" w:eastAsia="仿宋_GB2312" w:cs="Times New Roman"/>
      <w:kern w:val="2"/>
      <w:sz w:val="32"/>
      <w:szCs w:val="24"/>
      <w:lang w:val="en-US" w:eastAsia="zh-CN" w:bidi="ar-SA"/>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8">
    <w:name w:val="NormalCharacter"/>
    <w:qFormat/>
    <w:uiPriority w:val="0"/>
  </w:style>
  <w:style w:type="character" w:customStyle="1" w:styleId="39">
    <w:name w:val="font21"/>
    <w:basedOn w:val="18"/>
    <w:qFormat/>
    <w:uiPriority w:val="0"/>
    <w:rPr>
      <w:rFonts w:hint="eastAsia" w:ascii="宋体" w:hAnsi="宋体" w:eastAsia="宋体" w:cs="宋体"/>
      <w:color w:val="000000"/>
      <w:sz w:val="22"/>
      <w:szCs w:val="22"/>
      <w:u w:val="none"/>
    </w:rPr>
  </w:style>
  <w:style w:type="character" w:customStyle="1" w:styleId="40">
    <w:name w:val="font11"/>
    <w:basedOn w:val="18"/>
    <w:qFormat/>
    <w:uiPriority w:val="0"/>
    <w:rPr>
      <w:rFonts w:hint="eastAsia" w:ascii="宋体" w:hAnsi="宋体" w:eastAsia="宋体" w:cs="宋体"/>
      <w:color w:val="000000"/>
      <w:sz w:val="22"/>
      <w:szCs w:val="22"/>
      <w:u w:val="none"/>
    </w:rPr>
  </w:style>
  <w:style w:type="paragraph" w:customStyle="1" w:styleId="41">
    <w:name w:val="WPSOffice手动目录 1"/>
    <w:qFormat/>
    <w:uiPriority w:val="0"/>
    <w:pPr>
      <w:ind w:leftChars="0"/>
    </w:pPr>
    <w:rPr>
      <w:rFonts w:ascii="Times New Roman" w:hAnsi="Times New Roman" w:eastAsia="宋体" w:cs="Times New Roman"/>
      <w:sz w:val="20"/>
      <w:szCs w:val="20"/>
    </w:rPr>
  </w:style>
  <w:style w:type="paragraph" w:customStyle="1" w:styleId="42">
    <w:name w:val="WPSOffice手动目录 2"/>
    <w:qFormat/>
    <w:uiPriority w:val="0"/>
    <w:pPr>
      <w:ind w:leftChars="200"/>
    </w:pPr>
    <w:rPr>
      <w:rFonts w:ascii="Times New Roman" w:hAnsi="Times New Roman" w:eastAsia="宋体" w:cs="Times New Roman"/>
      <w:sz w:val="20"/>
      <w:szCs w:val="20"/>
    </w:rPr>
  </w:style>
  <w:style w:type="character" w:customStyle="1" w:styleId="43">
    <w:name w:val="16"/>
    <w:basedOn w:val="18"/>
    <w:qFormat/>
    <w:uiPriority w:val="0"/>
    <w:rPr>
      <w:rFonts w:ascii="Times New Roman"/>
    </w:rPr>
  </w:style>
  <w:style w:type="paragraph" w:customStyle="1" w:styleId="44">
    <w:name w:val="BlockQuote"/>
    <w:basedOn w:val="1"/>
    <w:qFormat/>
    <w:uiPriority w:val="0"/>
    <w:pPr>
      <w:widowControl/>
      <w:spacing w:line="360" w:lineRule="auto"/>
      <w:ind w:left="900" w:right="-239"/>
      <w:textAlignment w:val="baseline"/>
    </w:pPr>
    <w:rPr>
      <w:rFonts w:ascii="宋体" w:hAnsi="宋体" w:eastAsia="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29579;&#28487;2024&#24180;&#36164;&#26009;\&#25253;&#36865;&#36164;&#26009;\2023&#20915;&#31639;&#20844;&#24320;\&#22270;&#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29579;&#28487;2024&#24180;&#36164;&#26009;\&#25253;&#36865;&#36164;&#26009;\2023&#20915;&#31639;&#20844;&#24320;\&#22270;&#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4475"/>
          <c:y val="0.0965"/>
          <c:w val="0.7925"/>
          <c:h val="0.7585"/>
        </c:manualLayout>
      </c:layout>
      <c:barChart>
        <c:barDir val="col"/>
        <c:grouping val="clustered"/>
        <c:varyColors val="false"/>
        <c:ser>
          <c:idx val="0"/>
          <c:order val="0"/>
          <c:spPr>
            <a:solidFill>
              <a:srgbClr val="99CCFF">
                <a:alpha val="100000"/>
              </a:srgbClr>
            </a:solidFill>
            <a:ln w="12700">
              <a:solidFill>
                <a:srgbClr val="000000">
                  <a:alpha val="100000"/>
                </a:srgbClr>
              </a:solidFill>
              <a:prstDash val="solid"/>
            </a:ln>
          </c:spPr>
          <c:invertIfNegative val="false"/>
          <c:dLbls>
            <c:delete val="true"/>
          </c:dLbls>
          <c:cat>
            <c:strRef>
              <c:f>Sheet1!$A$1:$B$1</c:f>
              <c:strCache>
                <c:ptCount val="2"/>
                <c:pt idx="0">
                  <c:v>2023年</c:v>
                </c:pt>
                <c:pt idx="1">
                  <c:v>2024年</c:v>
                </c:pt>
              </c:strCache>
            </c:strRef>
          </c:cat>
          <c:val>
            <c:numRef>
              <c:f>Sheet1!$A$2:$B$2</c:f>
              <c:numCache>
                <c:formatCode>General</c:formatCode>
                <c:ptCount val="2"/>
                <c:pt idx="0">
                  <c:v>6519.15</c:v>
                </c:pt>
                <c:pt idx="1">
                  <c:v>3635.94</c:v>
                </c:pt>
              </c:numCache>
            </c:numRef>
          </c:val>
        </c:ser>
        <c:dLbls>
          <c:showLegendKey val="false"/>
          <c:showVal val="false"/>
          <c:showCatName val="false"/>
          <c:showSerName val="false"/>
          <c:showPercent val="false"/>
          <c:showBubbleSize val="false"/>
        </c:dLbls>
        <c:gapWidth val="150"/>
        <c:overlap val="0"/>
        <c:axId val="546089760"/>
        <c:axId val="526010549"/>
      </c:barChart>
      <c:catAx>
        <c:axId val="546089760"/>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false"/>
          <c:spPr>
            <a:noFill/>
            <a:ln w="3175">
              <a:noFill/>
            </a:ln>
          </c:spPr>
        </c:title>
        <c:majorTickMark val="in"/>
        <c:minorTickMark val="none"/>
        <c:tickLblPos val="nextTo"/>
        <c:spPr>
          <a:ln w="3175" cap="flat" cmpd="sng" algn="ctr">
            <a:solidFill>
              <a:srgbClr val="000000">
                <a:alpha val="100000"/>
              </a:srgbClr>
            </a:solidFill>
            <a:prstDash val="solid"/>
            <a:round/>
          </a:ln>
        </c:spPr>
        <c:txPr>
          <a:bodyPr rot="-60000000" spcFirstLastPara="0" vertOverflow="ellipsis" vert="horz" wrap="square" anchor="ctr" anchorCtr="true"/>
          <a:lstStyle/>
          <a:p>
            <a:pPr>
              <a:defRPr lang="zh-CN" sz="8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526010549"/>
        <c:crosses val="autoZero"/>
        <c:auto val="true"/>
        <c:lblAlgn val="ctr"/>
        <c:lblOffset val="100"/>
        <c:noMultiLvlLbl val="false"/>
      </c:catAx>
      <c:valAx>
        <c:axId val="526010549"/>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false"/>
          <c:spPr>
            <a:noFill/>
            <a:ln w="3175">
              <a:noFill/>
            </a:ln>
          </c:spPr>
        </c:title>
        <c:numFmt formatCode="General" sourceLinked="true"/>
        <c:majorTickMark val="in"/>
        <c:minorTickMark val="none"/>
        <c:tickLblPos val="nextTo"/>
        <c:spPr>
          <a:ln w="3175" cap="flat" cmpd="sng" algn="ctr">
            <a:solidFill>
              <a:srgbClr val="000000">
                <a:alpha val="100000"/>
              </a:srgbClr>
            </a:solidFill>
            <a:prstDash val="solid"/>
            <a:round/>
          </a:ln>
        </c:spPr>
        <c:txPr>
          <a:bodyPr rot="-60000000" spcFirstLastPara="0" vertOverflow="ellipsis" vert="horz" wrap="square" anchor="ctr" anchorCtr="true"/>
          <a:lstStyle/>
          <a:p>
            <a:pPr>
              <a:defRPr lang="zh-CN" sz="8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546089760"/>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alpha val="100000"/>
      </a:srgbClr>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99CCFF">
                  <a:alpha val="100000"/>
                </a:srgbClr>
              </a:solidFill>
              <a:ln w="3175">
                <a:solidFill>
                  <a:srgbClr val="000000">
                    <a:alpha val="100000"/>
                  </a:srgbClr>
                </a:solidFill>
                <a:prstDash val="solid"/>
              </a:ln>
            </c:spPr>
          </c:dPt>
          <c:dPt>
            <c:idx val="1"/>
            <c:bubble3D val="false"/>
            <c:explosion val="0"/>
            <c:spPr>
              <a:solidFill>
                <a:srgbClr val="FF8080">
                  <a:alpha val="100000"/>
                </a:srgbClr>
              </a:solidFill>
              <a:ln w="3175">
                <a:solidFill>
                  <a:srgbClr val="000000">
                    <a:alpha val="100000"/>
                  </a:srgbClr>
                </a:solidFill>
                <a:prstDash val="solid"/>
              </a:ln>
            </c:spPr>
          </c:dPt>
          <c:dPt>
            <c:idx val="2"/>
            <c:bubble3D val="false"/>
            <c:spPr>
              <a:solidFill>
                <a:srgbClr val="FFFFCC"/>
              </a:solidFill>
              <a:ln w="12700">
                <a:solidFill>
                  <a:srgbClr val="000000"/>
                </a:solidFill>
                <a:prstDash val="solid"/>
              </a:ln>
              <a:effectLst/>
            </c:spPr>
          </c:dPt>
          <c:dLbls>
            <c:dLbl>
              <c:idx val="0"/>
              <c:layout/>
              <c:tx>
                <c:rich>
                  <a:bodyPr rot="0" spcFirstLastPara="0" vertOverflow="ellipsis" vert="horz" wrap="square" lIns="38100" tIns="19050" rIns="38100" bIns="19050"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70.</a:t>
                    </a:r>
                    <a:r>
                      <a:rPr lang="en-US" altLang="zh-CN"/>
                      <a:t>17</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29.</a:t>
                    </a:r>
                    <a:r>
                      <a:rPr lang="en-US" altLang="zh-CN"/>
                      <a:t>13</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numFmt formatCode="0.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Sheet1!$A$36:$C$36</c:f>
              <c:strCache>
                <c:ptCount val="3"/>
                <c:pt idx="0">
                  <c:v>一般公共预算财政拨款收入</c:v>
                </c:pt>
                <c:pt idx="1">
                  <c:v>政府性基金预算财政拨款收入</c:v>
                </c:pt>
                <c:pt idx="2">
                  <c:v>其他收入</c:v>
                </c:pt>
              </c:strCache>
            </c:strRef>
          </c:cat>
          <c:val>
            <c:numRef>
              <c:f>Sheet1!$A$37:$C$37</c:f>
              <c:numCache>
                <c:formatCode>0.00%</c:formatCode>
                <c:ptCount val="3"/>
                <c:pt idx="0">
                  <c:v>0.7017</c:v>
                </c:pt>
                <c:pt idx="1">
                  <c:v>0.2913</c:v>
                </c:pt>
                <c:pt idx="2">
                  <c:v>0.0007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113"/>
          <c:y val="0.9235"/>
          <c:w val="0.772"/>
          <c:h val="0.0625"/>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FF8080">
                  <a:alpha val="100000"/>
                </a:srgbClr>
              </a:solidFill>
              <a:ln w="3175">
                <a:solidFill>
                  <a:srgbClr val="000000">
                    <a:alpha val="100000"/>
                  </a:srgbClr>
                </a:solidFill>
                <a:prstDash val="solid"/>
              </a:ln>
            </c:spPr>
          </c:dPt>
          <c:dPt>
            <c:idx val="1"/>
            <c:bubble3D val="false"/>
            <c:explosion val="0"/>
            <c:spPr>
              <a:solidFill>
                <a:srgbClr val="99CCFF">
                  <a:alpha val="100000"/>
                </a:srgbClr>
              </a:solidFill>
              <a:ln w="3175">
                <a:solidFill>
                  <a:srgbClr val="000000">
                    <a:alpha val="100000"/>
                  </a:srgbClr>
                </a:solidFill>
                <a:prstDash val="solid"/>
              </a:ln>
            </c:spPr>
          </c:dPt>
          <c:dLbls>
            <c:dLbl>
              <c:idx val="0"/>
              <c:layout/>
              <c:tx>
                <c:rich>
                  <a:bodyPr rot="0" spcFirstLastPara="0" vertOverflow="ellipsis" vert="horz" wrap="square" lIns="38100" tIns="19050" rIns="38100" bIns="19050"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en-US" altLang="zh-CN"/>
                      <a:t>45.11</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en-US" altLang="zh-CN"/>
                      <a:t>54.89</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[图表.xls]Sheet1!$A$55:$B$55</c:f>
              <c:strCache>
                <c:ptCount val="2"/>
                <c:pt idx="0">
                  <c:v>基本支出</c:v>
                </c:pt>
                <c:pt idx="1">
                  <c:v>项目支出</c:v>
                </c:pt>
              </c:strCache>
            </c:strRef>
          </c:cat>
          <c:val>
            <c:numRef>
              <c:f>[图表.xls]Sheet1!$A$56:$B$56</c:f>
              <c:numCache>
                <c:formatCode>0.00%</c:formatCode>
                <c:ptCount val="2"/>
                <c:pt idx="0">
                  <c:v>0.2653</c:v>
                </c:pt>
                <c:pt idx="1">
                  <c:v>0.7347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36275"/>
          <c:y val="0.9195"/>
          <c:w val="0.272"/>
          <c:h val="0.066"/>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35"/>
          <c:y val="0.133"/>
          <c:w val="0.848"/>
          <c:h val="0.7225"/>
        </c:manualLayout>
      </c:layout>
      <c:barChart>
        <c:barDir val="col"/>
        <c:grouping val="clustered"/>
        <c:varyColors val="false"/>
        <c:ser>
          <c:idx val="0"/>
          <c:order val="0"/>
          <c:spPr>
            <a:solidFill>
              <a:srgbClr val="9999FF"/>
            </a:solidFill>
            <a:ln w="12700">
              <a:solidFill>
                <a:srgbClr val="000000"/>
              </a:solidFill>
            </a:ln>
          </c:spPr>
          <c:invertIfNegative val="false"/>
          <c:dPt>
            <c:idx val="0"/>
            <c:invertIfNegative val="false"/>
            <c:bubble3D val="false"/>
            <c:explosion val="0"/>
            <c:spPr>
              <a:solidFill>
                <a:srgbClr val="99CCFF">
                  <a:alpha val="100000"/>
                </a:srgbClr>
              </a:solidFill>
              <a:ln w="3175">
                <a:solidFill>
                  <a:srgbClr val="000000">
                    <a:alpha val="100000"/>
                  </a:srgbClr>
                </a:solidFill>
                <a:prstDash val="solid"/>
              </a:ln>
            </c:spPr>
          </c:dPt>
          <c:dPt>
            <c:idx val="1"/>
            <c:invertIfNegative val="false"/>
            <c:bubble3D val="false"/>
            <c:explosion val="0"/>
            <c:spPr>
              <a:solidFill>
                <a:srgbClr val="99CCFF">
                  <a:alpha val="100000"/>
                </a:srgbClr>
              </a:solidFill>
              <a:ln w="3175">
                <a:solidFill>
                  <a:srgbClr val="000000">
                    <a:alpha val="100000"/>
                  </a:srgbClr>
                </a:solidFill>
                <a:prstDash val="solid"/>
              </a:ln>
            </c:spPr>
          </c:dPt>
          <c:dLbls>
            <c:delete val="true"/>
          </c:dLbls>
          <c:cat>
            <c:strRef>
              <c:f>Sheet1!$A$79:$B$79</c:f>
              <c:strCache>
                <c:ptCount val="2"/>
                <c:pt idx="0">
                  <c:v>2023年</c:v>
                </c:pt>
                <c:pt idx="1">
                  <c:v>2024年</c:v>
                </c:pt>
              </c:strCache>
            </c:strRef>
          </c:cat>
          <c:val>
            <c:numRef>
              <c:f>Sheet1!$A$80:$B$80</c:f>
              <c:numCache>
                <c:formatCode>General</c:formatCode>
                <c:ptCount val="2"/>
                <c:pt idx="0">
                  <c:v>6519.15</c:v>
                </c:pt>
                <c:pt idx="1">
                  <c:v>3610.65</c:v>
                </c:pt>
              </c:numCache>
            </c:numRef>
          </c:val>
        </c:ser>
        <c:dLbls>
          <c:showLegendKey val="false"/>
          <c:showVal val="false"/>
          <c:showCatName val="false"/>
          <c:showSerName val="false"/>
          <c:showPercent val="false"/>
          <c:showBubbleSize val="false"/>
        </c:dLbls>
        <c:gapWidth val="150"/>
        <c:overlap val="0"/>
        <c:axId val="78688364"/>
        <c:axId val="219128626"/>
      </c:barChart>
      <c:catAx>
        <c:axId val="78688364"/>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19128626"/>
        <c:crosses val="autoZero"/>
        <c:auto val="true"/>
        <c:lblAlgn val="ctr"/>
        <c:lblOffset val="100"/>
        <c:noMultiLvlLbl val="false"/>
      </c:catAx>
      <c:valAx>
        <c:axId val="219128626"/>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78688364"/>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33"/>
          <c:y val="0.06425"/>
          <c:w val="0.80925"/>
          <c:h val="0.79725"/>
        </c:manualLayout>
      </c:layout>
      <c:barChart>
        <c:barDir val="col"/>
        <c:grouping val="clustered"/>
        <c:varyColors val="false"/>
        <c:ser>
          <c:idx val="0"/>
          <c:order val="0"/>
          <c:spPr>
            <a:solidFill>
              <a:srgbClr val="99CCFF">
                <a:alpha val="100000"/>
              </a:srgbClr>
            </a:solidFill>
            <a:ln w="12700">
              <a:solidFill>
                <a:srgbClr val="000000">
                  <a:alpha val="100000"/>
                </a:srgbClr>
              </a:solidFill>
              <a:prstDash val="solid"/>
            </a:ln>
          </c:spPr>
          <c:invertIfNegative val="false"/>
          <c:dLbls>
            <c:delete val="true"/>
          </c:dLbls>
          <c:cat>
            <c:strRef>
              <c:f>Sheet1!$A$93:$B$93</c:f>
              <c:strCache>
                <c:ptCount val="2"/>
                <c:pt idx="0">
                  <c:v>2023年</c:v>
                </c:pt>
                <c:pt idx="1">
                  <c:v>2024年</c:v>
                </c:pt>
              </c:strCache>
            </c:strRef>
          </c:cat>
          <c:val>
            <c:numRef>
              <c:f>Sheet1!$A$94:$B$94</c:f>
              <c:numCache>
                <c:formatCode>General</c:formatCode>
                <c:ptCount val="2"/>
                <c:pt idx="0">
                  <c:v>5108.23</c:v>
                </c:pt>
                <c:pt idx="1">
                  <c:v>2551.24</c:v>
                </c:pt>
              </c:numCache>
            </c:numRef>
          </c:val>
        </c:ser>
        <c:dLbls>
          <c:showLegendKey val="false"/>
          <c:showVal val="false"/>
          <c:showCatName val="false"/>
          <c:showSerName val="false"/>
          <c:showPercent val="false"/>
          <c:showBubbleSize val="false"/>
        </c:dLbls>
        <c:gapWidth val="150"/>
        <c:overlap val="0"/>
        <c:axId val="893580606"/>
        <c:axId val="551005237"/>
      </c:barChart>
      <c:catAx>
        <c:axId val="893580606"/>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551005237"/>
        <c:crosses val="autoZero"/>
        <c:auto val="true"/>
        <c:lblAlgn val="ctr"/>
        <c:lblOffset val="100"/>
        <c:noMultiLvlLbl val="false"/>
      </c:catAx>
      <c:valAx>
        <c:axId val="551005237"/>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893580606"/>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spPr>
              <a:solidFill>
                <a:srgbClr val="9999FF"/>
              </a:solidFill>
              <a:ln w="12700">
                <a:solidFill>
                  <a:srgbClr val="000000"/>
                </a:solidFill>
                <a:prstDash val="solid"/>
              </a:ln>
              <a:effectLst/>
            </c:spPr>
          </c:dPt>
          <c:dPt>
            <c:idx val="1"/>
            <c:bubble3D val="false"/>
            <c:spPr>
              <a:solidFill>
                <a:srgbClr val="993366"/>
              </a:solidFill>
              <a:ln w="12700">
                <a:solidFill>
                  <a:srgbClr val="000000"/>
                </a:solidFill>
                <a:prstDash val="solid"/>
              </a:ln>
              <a:effectLst/>
            </c:spPr>
          </c:dPt>
          <c:dPt>
            <c:idx val="2"/>
            <c:bubble3D val="false"/>
            <c:spPr>
              <a:solidFill>
                <a:srgbClr val="FFFFCC"/>
              </a:solidFill>
              <a:ln w="12700">
                <a:solidFill>
                  <a:srgbClr val="000000"/>
                </a:solidFill>
                <a:prstDash val="solid"/>
              </a:ln>
              <a:effectLst/>
            </c:spPr>
          </c:dPt>
          <c:dPt>
            <c:idx val="3"/>
            <c:bubble3D val="false"/>
            <c:spPr>
              <a:solidFill>
                <a:srgbClr val="CCFFFF"/>
              </a:solidFill>
              <a:ln w="12700">
                <a:solidFill>
                  <a:srgbClr val="000000"/>
                </a:solidFill>
                <a:prstDash val="solid"/>
              </a:ln>
              <a:effectLst/>
            </c:spPr>
          </c:dPt>
          <c:dPt>
            <c:idx val="4"/>
            <c:bubble3D val="false"/>
            <c:spPr>
              <a:solidFill>
                <a:srgbClr val="660066"/>
              </a:solidFill>
              <a:ln w="12700">
                <a:solidFill>
                  <a:srgbClr val="000000"/>
                </a:solidFill>
                <a:prstDash val="solid"/>
              </a:ln>
              <a:effectLst/>
            </c:spPr>
          </c:dPt>
          <c:dPt>
            <c:idx val="5"/>
            <c:bubble3D val="false"/>
            <c:spPr>
              <a:solidFill>
                <a:srgbClr val="FF8080"/>
              </a:solidFill>
              <a:ln w="12700">
                <a:solidFill>
                  <a:srgbClr val="000000"/>
                </a:solidFill>
                <a:prstDash val="solid"/>
              </a:ln>
              <a:effectLst/>
            </c:spPr>
          </c:dPt>
          <c:dPt>
            <c:idx val="6"/>
            <c:bubble3D val="false"/>
            <c:spPr>
              <a:solidFill>
                <a:srgbClr val="0066CC"/>
              </a:solidFill>
              <a:ln w="12700">
                <a:solidFill>
                  <a:srgbClr val="000000"/>
                </a:solidFill>
                <a:prstDash val="solid"/>
              </a:ln>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Sheet1!$A$118:$G$118</c:f>
              <c:strCache>
                <c:ptCount val="7"/>
                <c:pt idx="0">
                  <c:v>社会保障和就业</c:v>
                </c:pt>
                <c:pt idx="1">
                  <c:v>卫生健康</c:v>
                </c:pt>
                <c:pt idx="2" c:formatCode="#,##0.00">
                  <c:v>农林水</c:v>
                </c:pt>
                <c:pt idx="4">
                  <c:v>住房保障</c:v>
                </c:pt>
              </c:strCache>
            </c:strRef>
          </c:cat>
          <c:val>
            <c:numRef>
              <c:f>Sheet1!$A$119:$G$119</c:f>
              <c:numCache>
                <c:formatCode>0.00%</c:formatCode>
                <c:ptCount val="7"/>
                <c:pt idx="0">
                  <c:v>0.069</c:v>
                </c:pt>
                <c:pt idx="1">
                  <c:v>0.0158</c:v>
                </c:pt>
                <c:pt idx="2">
                  <c:v>0.8776</c:v>
                </c:pt>
                <c:pt idx="4">
                  <c:v>0.0376</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11925"/>
          <c:y val="0.81575"/>
          <c:w val="0.7595"/>
          <c:h val="0.17075"/>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96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title>
    <c:autoTitleDeleted val="fals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FF8080">
                  <a:alpha val="100000"/>
                </a:srgbClr>
              </a:solidFill>
              <a:ln w="3175">
                <a:solidFill>
                  <a:srgbClr val="000000">
                    <a:alpha val="100000"/>
                  </a:srgbClr>
                </a:solidFill>
                <a:prstDash val="solid"/>
              </a:ln>
            </c:spPr>
          </c:dPt>
          <c:dPt>
            <c:idx val="1"/>
            <c:bubble3D val="false"/>
            <c:explosion val="0"/>
            <c:spPr>
              <a:solidFill>
                <a:srgbClr val="99CCFF">
                  <a:alpha val="100000"/>
                </a:srgbClr>
              </a:solidFill>
              <a:ln w="3175">
                <a:solidFill>
                  <a:srgbClr val="000000">
                    <a:alpha val="100000"/>
                  </a:srgbClr>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[图表.xls]Sheet1!$A$55:$B$55</c:f>
              <c:strCache>
                <c:ptCount val="2"/>
                <c:pt idx="0">
                  <c:v>公务用车购置及运行维护费</c:v>
                </c:pt>
                <c:pt idx="1">
                  <c:v>公务接待费</c:v>
                </c:pt>
              </c:strCache>
            </c:strRef>
          </c:cat>
          <c:val>
            <c:numRef>
              <c:f>[图表.xls]Sheet1!$A$56:$B$56</c:f>
              <c:numCache>
                <c:formatCode>0.00%</c:formatCode>
                <c:ptCount val="2"/>
                <c:pt idx="0">
                  <c:v>0.8639</c:v>
                </c:pt>
                <c:pt idx="1">
                  <c:v>0.1361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362689804772234"/>
          <c:y val="0.919404396123848"/>
          <c:w val="0.561388286334056"/>
          <c:h val="0.0590876861262113"/>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userShapes r:id="rId2"/>
</c:chartSpace>
</file>

<file path=word/drawings/drawing1.xml><?xml version="1.0" encoding="utf-8"?>
<c:userShapes xmlns:c="http://schemas.openxmlformats.org/drawingml/2006/chart">
  <cdr:relSizeAnchor xmlns:cdr="http://schemas.openxmlformats.org/drawingml/2006/chartDrawing">
    <cdr:from>
      <cdr:x>0.5</cdr:x>
      <cdr:y>0.4985</cdr:y>
    </cdr:from>
    <cdr:to>
      <cdr:x>0.51775</cdr:x>
      <cdr:y>0.55675</cdr:y>
    </cdr:to>
    <cdr:sp>
      <cdr:nvSpPr>
        <cdr:cNvPr id="2" name="矩形 1"/>
        <cdr:cNvSpPr/>
      </cdr:nvSpPr>
      <cdr:spPr xmlns:a="http://schemas.openxmlformats.org/drawingml/2006/main">
        <a:xfrm xmlns:a="http://schemas.openxmlformats.org/drawingml/2006/main">
          <a:off x="2195513" y="1339312"/>
          <a:ext cx="77941" cy="156499"/>
        </a:xfrm>
        <a:prstGeom xmlns:a="http://schemas.openxmlformats.org/drawingml/2006/main" prst="rect">
          <a:avLst/>
        </a:prstGeom>
        <a:noFill/>
        <a:ln w="1">
          <a:noFill/>
        </a:ln>
      </cdr:spPr>
      <cdr:txBody xmlns:a="http://schemas.openxmlformats.org/drawingml/2006/main">
        <a:bodyPr vertOverflow="clip" vert="horz" wrap="square" lIns="27432" tIns="18288" rIns="27432" bIns="18288" anchor="ctr" anchorCtr="false" upright="true">
          <a:normAutofit/>
        </a:bodyPr>
        <a:p>
          <a:pPr algn="ctr" rtl="0"/>
          <a:r>
            <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 </a:t>
          </a:r>
          <a:endPar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0.5</cdr:x>
      <cdr:y>0.4985</cdr:y>
    </cdr:from>
    <cdr:to>
      <cdr:x>0.51775</cdr:x>
      <cdr:y>0.55675</cdr:y>
    </cdr:to>
    <cdr:sp>
      <cdr:nvSpPr>
        <cdr:cNvPr id="2" name="矩形 1"/>
        <cdr:cNvSpPr/>
      </cdr:nvSpPr>
      <cdr:spPr xmlns:a="http://schemas.openxmlformats.org/drawingml/2006/main">
        <a:xfrm xmlns:a="http://schemas.openxmlformats.org/drawingml/2006/main">
          <a:off x="2195513" y="1339312"/>
          <a:ext cx="77941" cy="156499"/>
        </a:xfrm>
        <a:prstGeom xmlns:a="http://schemas.openxmlformats.org/drawingml/2006/main" prst="rect">
          <a:avLst/>
        </a:prstGeom>
        <a:noFill/>
        <a:ln w="1">
          <a:noFill/>
        </a:ln>
      </cdr:spPr>
      <cdr:txBody xmlns:a="http://schemas.openxmlformats.org/drawingml/2006/main">
        <a:bodyPr vertOverflow="clip" vert="horz" wrap="square" lIns="27432" tIns="18288" rIns="27432" bIns="18288" anchor="ctr" anchorCtr="false" upright="true">
          <a:normAutofit/>
        </a:bodyPr>
        <a:p>
          <a:pPr algn="ctr" rtl="0"/>
          <a:r>
            <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 </a:t>
          </a:r>
          <a:endPar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63</Pages>
  <Words>21193</Words>
  <Characters>22381</Characters>
  <Lines>61</Lines>
  <Paragraphs>17</Paragraphs>
  <TotalTime>11</TotalTime>
  <ScaleCrop>false</ScaleCrop>
  <LinksUpToDate>false</LinksUpToDate>
  <CharactersWithSpaces>22539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2020-08-07T17:49:00Z</dcterms:created>
  <dc:creator>曹颖</dc:creator>
  <cp:lastModifiedBy> </cp:lastModifiedBy>
  <cp:lastPrinted>2025-09-18T10:57:00Z</cp:lastPrinted>
  <dcterms:modified xsi:type="dcterms:W3CDTF">2025-09-28T17:58:28Z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71EE4C5B63CC42F888BCD11980679D2B</vt:lpwstr>
  </property>
  <property fmtid="{D5CDD505-2E9C-101B-9397-08002B2CF9AE}" pid="4" name="KSOTemplateDocerSaveRecord">
    <vt:lpwstr>eyJoZGlkIjoiYTc2ZGZiNzZiNDVlOGViOWVmM2JhOTY0NGJkNjUyYzgiLCJ1c2VySWQiOiIyMjA2OTAwNTAifQ==</vt:lpwstr>
  </property>
</Properties>
</file>