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hint="eastAsia" w:ascii="方正小标宋简体" w:hAnsi="宋体" w:eastAsia="方正小标宋简体"/>
          <w:color w:val="000000" w:themeColor="text1"/>
          <w:sz w:val="72"/>
          <w:szCs w:val="72"/>
          <w14:textFill>
            <w14:solidFill>
              <w14:schemeClr w14:val="tx1"/>
            </w14:solidFill>
          </w14:textFill>
        </w:rPr>
      </w:pPr>
      <w:bookmarkStart w:id="0" w:name="_Toc15377193"/>
      <w:bookmarkStart w:id="1" w:name="_Toc15396597"/>
      <w:bookmarkStart w:id="2" w:name="_Toc15377425"/>
      <w:bookmarkStart w:id="3" w:name="_Toc15396475"/>
      <w:bookmarkStart w:id="4" w:name="_Toc15378441"/>
      <w:bookmarkStart w:id="5" w:name="_Toc15306267"/>
    </w:p>
    <w:p>
      <w:pPr>
        <w:spacing w:line="600" w:lineRule="exact"/>
        <w:jc w:val="center"/>
        <w:outlineLvl w:val="0"/>
        <w:rPr>
          <w:rFonts w:ascii="方正小标宋简体" w:hAnsi="宋体" w:eastAsia="方正小标宋简体"/>
          <w:color w:val="000000" w:themeColor="text1"/>
          <w:sz w:val="72"/>
          <w:szCs w:val="72"/>
          <w14:textFill>
            <w14:solidFill>
              <w14:schemeClr w14:val="tx1"/>
            </w14:solidFill>
          </w14:textFill>
        </w:rPr>
      </w:pPr>
    </w:p>
    <w:p>
      <w:pPr>
        <w:pStyle w:val="20"/>
        <w:ind w:left="420" w:firstLine="1440"/>
        <w:rPr>
          <w:rFonts w:ascii="方正小标宋简体" w:hAnsi="宋体" w:eastAsia="方正小标宋简体"/>
          <w:color w:val="000000" w:themeColor="text1"/>
          <w:sz w:val="72"/>
          <w:szCs w:val="72"/>
          <w14:textFill>
            <w14:solidFill>
              <w14:schemeClr w14:val="tx1"/>
            </w14:solidFill>
          </w14:textFill>
        </w:rPr>
      </w:pPr>
    </w:p>
    <w:p>
      <w:pPr>
        <w:adjustRightInd w:val="0"/>
        <w:snapToGrid w:val="0"/>
        <w:jc w:val="center"/>
        <w:outlineLvl w:val="0"/>
        <w:rPr>
          <w:rFonts w:ascii="方正小标宋简体" w:hAnsi="方正小标宋简体" w:eastAsia="方正小标宋简体" w:cs="方正小标宋简体"/>
          <w:color w:val="000000" w:themeColor="text1"/>
          <w:sz w:val="56"/>
          <w:szCs w:val="56"/>
          <w14:textFill>
            <w14:solidFill>
              <w14:schemeClr w14:val="tx1"/>
            </w14:solidFill>
          </w14:textFill>
        </w:rPr>
      </w:pPr>
      <w:bookmarkStart w:id="6" w:name="_Toc8613"/>
      <w:r>
        <w:rPr>
          <w:rFonts w:hint="eastAsia" w:ascii="方正小标宋简体" w:hAnsi="方正小标宋简体" w:eastAsia="方正小标宋简体" w:cs="方正小标宋简体"/>
          <w:color w:val="000000" w:themeColor="text1"/>
          <w:spacing w:val="64"/>
          <w:kern w:val="0"/>
          <w:sz w:val="56"/>
          <w:szCs w:val="56"/>
          <w:fitText w:val="2800" w:id="1181044356"/>
          <w14:textFill>
            <w14:solidFill>
              <w14:schemeClr w14:val="tx1"/>
            </w14:solidFill>
          </w14:textFill>
        </w:rPr>
        <w:t>202</w:t>
      </w:r>
      <w:r>
        <w:rPr>
          <w:rFonts w:hint="eastAsia" w:ascii="方正小标宋简体" w:hAnsi="方正小标宋简体" w:eastAsia="方正小标宋简体" w:cs="方正小标宋简体"/>
          <w:color w:val="000000" w:themeColor="text1"/>
          <w:spacing w:val="64"/>
          <w:kern w:val="0"/>
          <w:sz w:val="56"/>
          <w:szCs w:val="56"/>
          <w:fitText w:val="2800" w:id="1181044356"/>
          <w:lang w:val="en-US" w:eastAsia="zh-CN"/>
          <w14:textFill>
            <w14:solidFill>
              <w14:schemeClr w14:val="tx1"/>
            </w14:solidFill>
          </w14:textFill>
        </w:rPr>
        <w:t>4</w:t>
      </w:r>
      <w:r>
        <w:rPr>
          <w:rFonts w:hint="eastAsia" w:ascii="方正小标宋简体" w:hAnsi="方正小标宋简体" w:eastAsia="方正小标宋简体" w:cs="方正小标宋简体"/>
          <w:color w:val="000000" w:themeColor="text1"/>
          <w:spacing w:val="64"/>
          <w:kern w:val="0"/>
          <w:sz w:val="56"/>
          <w:szCs w:val="56"/>
          <w:fitText w:val="2800" w:id="1181044356"/>
          <w14:textFill>
            <w14:solidFill>
              <w14:schemeClr w14:val="tx1"/>
            </w14:solidFill>
          </w14:textFill>
        </w:rPr>
        <w:t>年</w:t>
      </w:r>
      <w:r>
        <w:rPr>
          <w:rFonts w:hint="eastAsia" w:ascii="方正小标宋简体" w:hAnsi="方正小标宋简体" w:eastAsia="方正小标宋简体" w:cs="方正小标宋简体"/>
          <w:color w:val="000000" w:themeColor="text1"/>
          <w:spacing w:val="2"/>
          <w:kern w:val="0"/>
          <w:sz w:val="56"/>
          <w:szCs w:val="56"/>
          <w:fitText w:val="2800" w:id="1181044356"/>
          <w14:textFill>
            <w14:solidFill>
              <w14:schemeClr w14:val="tx1"/>
            </w14:solidFill>
          </w14:textFill>
        </w:rPr>
        <w:t>度</w:t>
      </w:r>
      <w:bookmarkEnd w:id="0"/>
      <w:bookmarkEnd w:id="1"/>
      <w:bookmarkEnd w:id="2"/>
      <w:bookmarkEnd w:id="3"/>
      <w:bookmarkEnd w:id="4"/>
      <w:bookmarkEnd w:id="6"/>
      <w:bookmarkStart w:id="7" w:name="_Toc15377194"/>
      <w:bookmarkStart w:id="8" w:name="_Toc15396476"/>
      <w:bookmarkStart w:id="9" w:name="_Toc15377426"/>
      <w:bookmarkStart w:id="10" w:name="_Toc15396598"/>
      <w:bookmarkStart w:id="11" w:name="_Toc15378442"/>
    </w:p>
    <w:p>
      <w:pPr>
        <w:adjustRightInd w:val="0"/>
        <w:snapToGrid w:val="0"/>
        <w:jc w:val="center"/>
        <w:outlineLvl w:val="0"/>
        <w:rPr>
          <w:rFonts w:ascii="方正小标宋简体" w:hAnsi="方正小标宋简体" w:eastAsia="方正小标宋简体" w:cs="方正小标宋简体"/>
          <w:color w:val="000000" w:themeColor="text1"/>
          <w:sz w:val="56"/>
          <w:szCs w:val="56"/>
          <w14:textFill>
            <w14:solidFill>
              <w14:schemeClr w14:val="tx1"/>
            </w14:solidFill>
          </w14:textFill>
        </w:rPr>
      </w:pPr>
      <w:bookmarkStart w:id="12" w:name="_Toc14249"/>
      <w:r>
        <w:rPr>
          <w:rFonts w:hint="eastAsia" w:ascii="方正小标宋简体" w:hAnsi="方正小标宋简体" w:eastAsia="方正小标宋简体" w:cs="方正小标宋简体"/>
          <w:color w:val="000000" w:themeColor="text1"/>
          <w:sz w:val="56"/>
          <w:szCs w:val="56"/>
          <w14:textFill>
            <w14:solidFill>
              <w14:schemeClr w14:val="tx1"/>
            </w14:solidFill>
          </w14:textFill>
        </w:rPr>
        <w:t>广元市</w:t>
      </w:r>
      <w:bookmarkEnd w:id="5"/>
      <w:bookmarkStart w:id="13" w:name="_Toc15306268"/>
      <w:r>
        <w:rPr>
          <w:rFonts w:hint="eastAsia" w:ascii="方正小标宋简体" w:hAnsi="方正小标宋简体" w:eastAsia="方正小标宋简体" w:cs="方正小标宋简体"/>
          <w:color w:val="000000" w:themeColor="text1"/>
          <w:sz w:val="56"/>
          <w:szCs w:val="56"/>
          <w14:textFill>
            <w14:solidFill>
              <w14:schemeClr w14:val="tx1"/>
            </w14:solidFill>
          </w14:textFill>
        </w:rPr>
        <w:t>医疗保障局部门决算</w:t>
      </w:r>
      <w:bookmarkEnd w:id="7"/>
      <w:bookmarkEnd w:id="8"/>
      <w:bookmarkEnd w:id="9"/>
      <w:bookmarkEnd w:id="10"/>
      <w:bookmarkEnd w:id="11"/>
      <w:bookmarkEnd w:id="12"/>
      <w:bookmarkEnd w:id="13"/>
    </w:p>
    <w:p>
      <w:pPr>
        <w:widowControl/>
        <w:jc w:val="center"/>
        <w:rPr>
          <w:color w:val="000000" w:themeColor="text1"/>
          <w:sz w:val="36"/>
          <w14:textFill>
            <w14:solidFill>
              <w14:schemeClr w14:val="tx1"/>
            </w14:solidFill>
          </w14:textFill>
        </w:rPr>
        <w:sectPr>
          <w:headerReference r:id="rId3" w:type="default"/>
          <w:pgSz w:w="11906" w:h="16838"/>
          <w:pgMar w:top="2098" w:right="1474" w:bottom="1984" w:left="1587" w:header="851" w:footer="1417" w:gutter="0"/>
          <w:pgBorders>
            <w:top w:val="none" w:sz="0" w:space="0"/>
            <w:left w:val="none" w:sz="0" w:space="0"/>
            <w:bottom w:val="none" w:sz="0" w:space="0"/>
            <w:right w:val="none" w:sz="0" w:space="0"/>
          </w:pgBorders>
          <w:pgNumType w:fmt="decimal"/>
          <w:cols w:space="0" w:num="1"/>
          <w:rtlGutter w:val="0"/>
          <w:docGrid w:type="lines" w:linePitch="313" w:charSpace="0"/>
        </w:sectPr>
      </w:pPr>
    </w:p>
    <w:p>
      <w:pPr>
        <w:widowControl/>
        <w:jc w:val="center"/>
        <w:rPr>
          <w:rFonts w:ascii="黑体" w:hAnsi="黑体" w:eastAsia="黑体"/>
          <w:color w:val="000000" w:themeColor="text1"/>
          <w:sz w:val="48"/>
          <w:szCs w:val="48"/>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目      录</w:t>
      </w:r>
    </w:p>
    <w:p>
      <w:pPr>
        <w:pStyle w:val="15"/>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公开时间：202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default" w:ascii="仿宋_GB2312" w:hAnsi="仿宋_GB2312" w:eastAsia="仿宋_GB2312" w:cs="仿宋_GB2312"/>
          <w:color w:val="000000" w:themeColor="text1"/>
          <w:sz w:val="32"/>
          <w:szCs w:val="32"/>
          <w:lang w:val="en-US"/>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default" w:ascii="仿宋_GB2312" w:hAnsi="仿宋_GB2312" w:eastAsia="仿宋_GB2312" w:cs="仿宋_GB2312"/>
          <w:color w:val="000000" w:themeColor="text1"/>
          <w:sz w:val="32"/>
          <w:szCs w:val="32"/>
          <w:lang w:val="en-US"/>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日</w:t>
      </w:r>
    </w:p>
    <w:sdt>
      <w:sdtPr>
        <w:rPr>
          <w:rFonts w:ascii="宋体" w:hAnsi="宋体" w:eastAsia="宋体" w:cs="Times New Roman"/>
          <w:kern w:val="2"/>
          <w:sz w:val="22"/>
          <w:szCs w:val="22"/>
          <w:lang w:val="en-US" w:eastAsia="zh-CN" w:bidi="ar-SA"/>
        </w:rPr>
        <w:id w:val="147458939"/>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after="0" w:line="320" w:lineRule="exact"/>
            <w:ind w:left="0" w:leftChars="0" w:right="0" w:rightChars="0" w:firstLine="0" w:firstLineChars="0"/>
            <w:jc w:val="center"/>
            <w:textAlignment w:val="auto"/>
            <w:rPr>
              <w:sz w:val="22"/>
              <w:szCs w:val="22"/>
            </w:rPr>
          </w:pPr>
          <w:bookmarkStart w:id="14" w:name="_Toc15377196"/>
          <w:bookmarkStart w:id="15" w:name="_Toc15396599"/>
          <w:r>
            <w:rPr>
              <w:sz w:val="22"/>
              <w:szCs w:val="22"/>
            </w:rPr>
            <w:fldChar w:fldCharType="begin"/>
          </w:r>
          <w:r>
            <w:rPr>
              <w:sz w:val="22"/>
              <w:szCs w:val="22"/>
            </w:rPr>
            <w:instrText xml:space="preserve">TOC \o "1-2" \h \u </w:instrText>
          </w:r>
          <w:r>
            <w:rPr>
              <w:sz w:val="22"/>
              <w:szCs w:val="22"/>
            </w:rPr>
            <w:fldChar w:fldCharType="separate"/>
          </w:r>
        </w:p>
        <w:p>
          <w:pPr>
            <w:pStyle w:val="15"/>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_Toc21233 </w:instrText>
          </w:r>
          <w:r>
            <w:rPr>
              <w:sz w:val="22"/>
              <w:szCs w:val="22"/>
            </w:rPr>
            <w:fldChar w:fldCharType="separate"/>
          </w:r>
          <w:r>
            <w:rPr>
              <w:rFonts w:hint="eastAsia" w:ascii="方正小标宋简体" w:hAnsi="方正小标宋简体" w:eastAsia="方正小标宋简体" w:cs="方正小标宋简体"/>
              <w:sz w:val="22"/>
              <w:szCs w:val="22"/>
            </w:rPr>
            <w:t xml:space="preserve">第一部分 </w:t>
          </w:r>
          <w:r>
            <w:rPr>
              <w:rFonts w:hint="eastAsia" w:ascii="方正小标宋简体" w:hAnsi="方正小标宋简体" w:eastAsia="方正小标宋简体" w:cs="方正小标宋简体"/>
              <w:bCs w:val="0"/>
              <w:sz w:val="22"/>
              <w:szCs w:val="22"/>
            </w:rPr>
            <w:t>部门概况</w:t>
          </w:r>
          <w:r>
            <w:rPr>
              <w:sz w:val="22"/>
              <w:szCs w:val="22"/>
            </w:rPr>
            <w:tab/>
          </w:r>
          <w:r>
            <w:rPr>
              <w:sz w:val="22"/>
              <w:szCs w:val="22"/>
            </w:rPr>
            <w:fldChar w:fldCharType="begin"/>
          </w:r>
          <w:r>
            <w:rPr>
              <w:sz w:val="22"/>
              <w:szCs w:val="22"/>
            </w:rPr>
            <w:instrText xml:space="preserve"> PAGEREF _Toc21233 \h </w:instrText>
          </w:r>
          <w:r>
            <w:rPr>
              <w:sz w:val="22"/>
              <w:szCs w:val="22"/>
            </w:rPr>
            <w:fldChar w:fldCharType="separate"/>
          </w:r>
          <w:r>
            <w:rPr>
              <w:sz w:val="22"/>
              <w:szCs w:val="22"/>
            </w:rPr>
            <w:t>1</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_Toc20623 </w:instrText>
          </w:r>
          <w:r>
            <w:rPr>
              <w:sz w:val="22"/>
              <w:szCs w:val="22"/>
            </w:rPr>
            <w:fldChar w:fldCharType="separate"/>
          </w:r>
          <w:r>
            <w:rPr>
              <w:rFonts w:hint="eastAsia" w:ascii="黑体" w:hAnsi="黑体" w:eastAsia="黑体"/>
              <w:sz w:val="22"/>
              <w:szCs w:val="22"/>
            </w:rPr>
            <w:t>一、部门职责</w:t>
          </w:r>
          <w:r>
            <w:rPr>
              <w:sz w:val="22"/>
              <w:szCs w:val="22"/>
            </w:rPr>
            <w:tab/>
          </w:r>
          <w:r>
            <w:rPr>
              <w:sz w:val="22"/>
              <w:szCs w:val="22"/>
            </w:rPr>
            <w:fldChar w:fldCharType="begin"/>
          </w:r>
          <w:r>
            <w:rPr>
              <w:sz w:val="22"/>
              <w:szCs w:val="22"/>
            </w:rPr>
            <w:instrText xml:space="preserve"> PAGEREF _Toc20623 \h </w:instrText>
          </w:r>
          <w:r>
            <w:rPr>
              <w:sz w:val="22"/>
              <w:szCs w:val="22"/>
            </w:rPr>
            <w:fldChar w:fldCharType="separate"/>
          </w:r>
          <w:r>
            <w:rPr>
              <w:sz w:val="22"/>
              <w:szCs w:val="22"/>
            </w:rPr>
            <w:t>1</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_Toc29441 </w:instrText>
          </w:r>
          <w:r>
            <w:rPr>
              <w:sz w:val="22"/>
              <w:szCs w:val="22"/>
            </w:rPr>
            <w:fldChar w:fldCharType="separate"/>
          </w:r>
          <w:r>
            <w:rPr>
              <w:rFonts w:hint="eastAsia" w:ascii="黑体" w:eastAsia="黑体"/>
              <w:sz w:val="22"/>
              <w:szCs w:val="22"/>
            </w:rPr>
            <w:t>二、</w:t>
          </w:r>
          <w:r>
            <w:rPr>
              <w:rFonts w:hint="eastAsia" w:ascii="黑体" w:hAnsi="黑体" w:eastAsia="黑体"/>
              <w:sz w:val="22"/>
              <w:szCs w:val="22"/>
            </w:rPr>
            <w:t>机</w:t>
          </w:r>
          <w:r>
            <w:rPr>
              <w:rFonts w:hint="eastAsia" w:ascii="黑体" w:hAnsi="黑体" w:eastAsia="黑体"/>
              <w:bCs w:val="0"/>
              <w:sz w:val="22"/>
              <w:szCs w:val="22"/>
            </w:rPr>
            <w:t>构设置</w:t>
          </w:r>
          <w:r>
            <w:rPr>
              <w:sz w:val="22"/>
              <w:szCs w:val="22"/>
            </w:rPr>
            <w:tab/>
          </w:r>
          <w:r>
            <w:rPr>
              <w:sz w:val="22"/>
              <w:szCs w:val="22"/>
            </w:rPr>
            <w:fldChar w:fldCharType="begin"/>
          </w:r>
          <w:r>
            <w:rPr>
              <w:sz w:val="22"/>
              <w:szCs w:val="22"/>
            </w:rPr>
            <w:instrText xml:space="preserve"> PAGEREF _Toc29441 \h </w:instrText>
          </w:r>
          <w:r>
            <w:rPr>
              <w:sz w:val="22"/>
              <w:szCs w:val="22"/>
            </w:rPr>
            <w:fldChar w:fldCharType="separate"/>
          </w:r>
          <w:r>
            <w:rPr>
              <w:sz w:val="22"/>
              <w:szCs w:val="22"/>
            </w:rPr>
            <w:t>3</w:t>
          </w:r>
          <w:r>
            <w:rPr>
              <w:sz w:val="22"/>
              <w:szCs w:val="22"/>
            </w:rPr>
            <w:fldChar w:fldCharType="end"/>
          </w:r>
          <w:r>
            <w:rPr>
              <w:sz w:val="22"/>
              <w:szCs w:val="22"/>
            </w:rPr>
            <w:fldChar w:fldCharType="end"/>
          </w:r>
        </w:p>
        <w:p>
          <w:pPr>
            <w:pStyle w:val="15"/>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_Toc23736 </w:instrText>
          </w:r>
          <w:r>
            <w:rPr>
              <w:sz w:val="22"/>
              <w:szCs w:val="22"/>
            </w:rPr>
            <w:fldChar w:fldCharType="separate"/>
          </w:r>
          <w:r>
            <w:rPr>
              <w:rFonts w:hint="eastAsia" w:ascii="方正小标宋简体" w:hAnsi="方正小标宋简体" w:eastAsia="方正小标宋简体" w:cs="方正小标宋简体"/>
              <w:sz w:val="22"/>
              <w:szCs w:val="22"/>
            </w:rPr>
            <w:t>第二部分 202</w:t>
          </w:r>
          <w:r>
            <w:rPr>
              <w:rFonts w:hint="eastAsia" w:ascii="方正小标宋简体" w:hAnsi="方正小标宋简体" w:eastAsia="方正小标宋简体" w:cs="方正小标宋简体"/>
              <w:sz w:val="22"/>
              <w:szCs w:val="22"/>
              <w:lang w:val="en-US" w:eastAsia="zh-CN"/>
            </w:rPr>
            <w:t>4</w:t>
          </w:r>
          <w:r>
            <w:rPr>
              <w:rFonts w:hint="eastAsia" w:ascii="方正小标宋简体" w:hAnsi="方正小标宋简体" w:eastAsia="方正小标宋简体" w:cs="方正小标宋简体"/>
              <w:sz w:val="22"/>
              <w:szCs w:val="22"/>
            </w:rPr>
            <w:t>年度</w:t>
          </w:r>
          <w:r>
            <w:rPr>
              <w:rFonts w:hint="eastAsia" w:ascii="方正小标宋简体" w:hAnsi="方正小标宋简体" w:eastAsia="方正小标宋简体" w:cs="方正小标宋简体"/>
              <w:bCs/>
              <w:sz w:val="22"/>
              <w:szCs w:val="22"/>
            </w:rPr>
            <w:t>部门决算情况说明</w:t>
          </w:r>
          <w:r>
            <w:rPr>
              <w:sz w:val="22"/>
              <w:szCs w:val="22"/>
            </w:rPr>
            <w:tab/>
          </w:r>
          <w:r>
            <w:rPr>
              <w:sz w:val="22"/>
              <w:szCs w:val="22"/>
            </w:rPr>
            <w:fldChar w:fldCharType="begin"/>
          </w:r>
          <w:r>
            <w:rPr>
              <w:sz w:val="22"/>
              <w:szCs w:val="22"/>
            </w:rPr>
            <w:instrText xml:space="preserve"> PAGEREF _Toc23736 \h </w:instrText>
          </w:r>
          <w:r>
            <w:rPr>
              <w:sz w:val="22"/>
              <w:szCs w:val="22"/>
            </w:rPr>
            <w:fldChar w:fldCharType="separate"/>
          </w:r>
          <w:r>
            <w:rPr>
              <w:sz w:val="22"/>
              <w:szCs w:val="22"/>
            </w:rPr>
            <w:t>4</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_Toc928 </w:instrText>
          </w:r>
          <w:r>
            <w:rPr>
              <w:sz w:val="22"/>
              <w:szCs w:val="22"/>
            </w:rPr>
            <w:fldChar w:fldCharType="separate"/>
          </w:r>
          <w:r>
            <w:rPr>
              <w:rFonts w:hint="eastAsia" w:ascii="黑体" w:hAnsi="黑体" w:eastAsia="黑体"/>
              <w:sz w:val="22"/>
              <w:szCs w:val="22"/>
              <w:lang w:val="en-US" w:eastAsia="zh-CN"/>
            </w:rPr>
            <w:t>一、</w:t>
          </w:r>
          <w:r>
            <w:rPr>
              <w:rFonts w:hint="eastAsia" w:ascii="黑体" w:hAnsi="黑体" w:eastAsia="黑体"/>
              <w:sz w:val="22"/>
              <w:szCs w:val="22"/>
            </w:rPr>
            <w:t>收入支出决算总体情况说明</w:t>
          </w:r>
          <w:r>
            <w:rPr>
              <w:sz w:val="22"/>
              <w:szCs w:val="22"/>
            </w:rPr>
            <w:tab/>
          </w:r>
          <w:r>
            <w:rPr>
              <w:sz w:val="22"/>
              <w:szCs w:val="22"/>
            </w:rPr>
            <w:fldChar w:fldCharType="begin"/>
          </w:r>
          <w:r>
            <w:rPr>
              <w:sz w:val="22"/>
              <w:szCs w:val="22"/>
            </w:rPr>
            <w:instrText xml:space="preserve"> PAGEREF _Toc928 \h </w:instrText>
          </w:r>
          <w:r>
            <w:rPr>
              <w:sz w:val="22"/>
              <w:szCs w:val="22"/>
            </w:rPr>
            <w:fldChar w:fldCharType="separate"/>
          </w:r>
          <w:r>
            <w:rPr>
              <w:sz w:val="22"/>
              <w:szCs w:val="22"/>
            </w:rPr>
            <w:t>4</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_Toc7475 </w:instrText>
          </w:r>
          <w:r>
            <w:rPr>
              <w:sz w:val="22"/>
              <w:szCs w:val="22"/>
            </w:rPr>
            <w:fldChar w:fldCharType="separate"/>
          </w:r>
          <w:r>
            <w:rPr>
              <w:rFonts w:hint="eastAsia" w:ascii="黑体" w:hAnsi="黑体" w:eastAsia="黑体"/>
              <w:sz w:val="22"/>
              <w:szCs w:val="22"/>
              <w:lang w:val="en-US" w:eastAsia="zh-CN"/>
            </w:rPr>
            <w:t>二、</w:t>
          </w:r>
          <w:r>
            <w:rPr>
              <w:rFonts w:hint="eastAsia" w:ascii="黑体" w:hAnsi="黑体" w:eastAsia="黑体"/>
              <w:sz w:val="22"/>
              <w:szCs w:val="22"/>
            </w:rPr>
            <w:t>收入决算情况说明</w:t>
          </w:r>
          <w:r>
            <w:rPr>
              <w:sz w:val="22"/>
              <w:szCs w:val="22"/>
            </w:rPr>
            <w:tab/>
          </w:r>
          <w:r>
            <w:rPr>
              <w:sz w:val="22"/>
              <w:szCs w:val="22"/>
            </w:rPr>
            <w:fldChar w:fldCharType="begin"/>
          </w:r>
          <w:r>
            <w:rPr>
              <w:sz w:val="22"/>
              <w:szCs w:val="22"/>
            </w:rPr>
            <w:instrText xml:space="preserve"> PAGEREF _Toc7475 \h </w:instrText>
          </w:r>
          <w:r>
            <w:rPr>
              <w:sz w:val="22"/>
              <w:szCs w:val="22"/>
            </w:rPr>
            <w:fldChar w:fldCharType="separate"/>
          </w:r>
          <w:r>
            <w:rPr>
              <w:sz w:val="22"/>
              <w:szCs w:val="22"/>
            </w:rPr>
            <w:t>4</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_Toc13893 </w:instrText>
          </w:r>
          <w:r>
            <w:rPr>
              <w:sz w:val="22"/>
              <w:szCs w:val="22"/>
            </w:rPr>
            <w:fldChar w:fldCharType="separate"/>
          </w:r>
          <w:r>
            <w:rPr>
              <w:rFonts w:hint="eastAsia" w:ascii="黑体" w:hAnsi="黑体" w:eastAsia="黑体"/>
              <w:sz w:val="22"/>
              <w:szCs w:val="22"/>
              <w:lang w:val="en-US" w:eastAsia="zh-CN"/>
            </w:rPr>
            <w:t>三、</w:t>
          </w:r>
          <w:r>
            <w:rPr>
              <w:rFonts w:hint="eastAsia" w:ascii="黑体" w:hAnsi="黑体" w:eastAsia="黑体"/>
              <w:sz w:val="22"/>
              <w:szCs w:val="22"/>
            </w:rPr>
            <w:t>支出决算情况说明</w:t>
          </w:r>
          <w:r>
            <w:rPr>
              <w:sz w:val="22"/>
              <w:szCs w:val="22"/>
            </w:rPr>
            <w:tab/>
          </w:r>
          <w:r>
            <w:rPr>
              <w:sz w:val="22"/>
              <w:szCs w:val="22"/>
            </w:rPr>
            <w:fldChar w:fldCharType="begin"/>
          </w:r>
          <w:r>
            <w:rPr>
              <w:sz w:val="22"/>
              <w:szCs w:val="22"/>
            </w:rPr>
            <w:instrText xml:space="preserve"> PAGEREF _Toc13893 \h </w:instrText>
          </w:r>
          <w:r>
            <w:rPr>
              <w:sz w:val="22"/>
              <w:szCs w:val="22"/>
            </w:rPr>
            <w:fldChar w:fldCharType="separate"/>
          </w:r>
          <w:r>
            <w:rPr>
              <w:sz w:val="22"/>
              <w:szCs w:val="22"/>
            </w:rPr>
            <w:t>5</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_Toc10930 </w:instrText>
          </w:r>
          <w:r>
            <w:rPr>
              <w:sz w:val="22"/>
              <w:szCs w:val="22"/>
            </w:rPr>
            <w:fldChar w:fldCharType="separate"/>
          </w:r>
          <w:r>
            <w:rPr>
              <w:rFonts w:hint="eastAsia" w:ascii="黑体" w:hAnsi="黑体" w:eastAsia="黑体"/>
              <w:sz w:val="22"/>
              <w:szCs w:val="22"/>
            </w:rPr>
            <w:t>四、财政拨款收入支出决算总体情况说明</w:t>
          </w:r>
          <w:r>
            <w:rPr>
              <w:sz w:val="22"/>
              <w:szCs w:val="22"/>
            </w:rPr>
            <w:tab/>
          </w:r>
          <w:r>
            <w:rPr>
              <w:sz w:val="22"/>
              <w:szCs w:val="22"/>
            </w:rPr>
            <w:fldChar w:fldCharType="begin"/>
          </w:r>
          <w:r>
            <w:rPr>
              <w:sz w:val="22"/>
              <w:szCs w:val="22"/>
            </w:rPr>
            <w:instrText xml:space="preserve"> PAGEREF _Toc10930 \h </w:instrText>
          </w:r>
          <w:r>
            <w:rPr>
              <w:sz w:val="22"/>
              <w:szCs w:val="22"/>
            </w:rPr>
            <w:fldChar w:fldCharType="separate"/>
          </w:r>
          <w:r>
            <w:rPr>
              <w:sz w:val="22"/>
              <w:szCs w:val="22"/>
            </w:rPr>
            <w:t>6</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_Toc15019 </w:instrText>
          </w:r>
          <w:r>
            <w:rPr>
              <w:sz w:val="22"/>
              <w:szCs w:val="22"/>
            </w:rPr>
            <w:fldChar w:fldCharType="separate"/>
          </w:r>
          <w:r>
            <w:rPr>
              <w:rFonts w:hint="eastAsia" w:ascii="黑体" w:hAnsi="黑体" w:eastAsia="黑体"/>
              <w:sz w:val="22"/>
              <w:szCs w:val="22"/>
            </w:rPr>
            <w:t>五、一般公共预算财政拨款支出决算情况说明</w:t>
          </w:r>
          <w:r>
            <w:rPr>
              <w:sz w:val="22"/>
              <w:szCs w:val="22"/>
            </w:rPr>
            <w:tab/>
          </w:r>
          <w:r>
            <w:rPr>
              <w:sz w:val="22"/>
              <w:szCs w:val="22"/>
            </w:rPr>
            <w:fldChar w:fldCharType="begin"/>
          </w:r>
          <w:r>
            <w:rPr>
              <w:sz w:val="22"/>
              <w:szCs w:val="22"/>
            </w:rPr>
            <w:instrText xml:space="preserve"> PAGEREF _Toc15019 \h </w:instrText>
          </w:r>
          <w:r>
            <w:rPr>
              <w:sz w:val="22"/>
              <w:szCs w:val="22"/>
            </w:rPr>
            <w:fldChar w:fldCharType="separate"/>
          </w:r>
          <w:r>
            <w:rPr>
              <w:sz w:val="22"/>
              <w:szCs w:val="22"/>
            </w:rPr>
            <w:t>6</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_Toc30721 </w:instrText>
          </w:r>
          <w:r>
            <w:rPr>
              <w:sz w:val="22"/>
              <w:szCs w:val="22"/>
            </w:rPr>
            <w:fldChar w:fldCharType="separate"/>
          </w:r>
          <w:r>
            <w:rPr>
              <w:rFonts w:hint="eastAsia" w:ascii="黑体" w:hAnsi="黑体" w:eastAsia="黑体" w:cs="黑体"/>
              <w:bCs/>
              <w:sz w:val="22"/>
              <w:szCs w:val="22"/>
            </w:rPr>
            <w:t>六、一</w:t>
          </w:r>
          <w:r>
            <w:rPr>
              <w:rFonts w:hint="eastAsia" w:ascii="黑体" w:hAnsi="黑体" w:eastAsia="黑体" w:cs="黑体"/>
              <w:sz w:val="22"/>
              <w:szCs w:val="22"/>
            </w:rPr>
            <w:t>般公共预算财政拨款基本支出决算情况说明</w:t>
          </w:r>
          <w:r>
            <w:rPr>
              <w:sz w:val="22"/>
              <w:szCs w:val="22"/>
            </w:rPr>
            <w:tab/>
          </w:r>
          <w:r>
            <w:rPr>
              <w:sz w:val="22"/>
              <w:szCs w:val="22"/>
            </w:rPr>
            <w:fldChar w:fldCharType="begin"/>
          </w:r>
          <w:r>
            <w:rPr>
              <w:sz w:val="22"/>
              <w:szCs w:val="22"/>
            </w:rPr>
            <w:instrText xml:space="preserve"> PAGEREF _Toc30721 \h </w:instrText>
          </w:r>
          <w:r>
            <w:rPr>
              <w:sz w:val="22"/>
              <w:szCs w:val="22"/>
            </w:rPr>
            <w:fldChar w:fldCharType="separate"/>
          </w:r>
          <w:r>
            <w:rPr>
              <w:sz w:val="22"/>
              <w:szCs w:val="22"/>
            </w:rPr>
            <w:t>9</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_Toc32111 </w:instrText>
          </w:r>
          <w:r>
            <w:rPr>
              <w:sz w:val="22"/>
              <w:szCs w:val="22"/>
            </w:rPr>
            <w:fldChar w:fldCharType="separate"/>
          </w:r>
          <w:r>
            <w:rPr>
              <w:rFonts w:hint="eastAsia" w:ascii="黑体" w:hAnsi="黑体" w:eastAsia="黑体" w:cs="黑体"/>
              <w:bCs/>
              <w:sz w:val="22"/>
              <w:szCs w:val="22"/>
            </w:rPr>
            <w:t>七、</w:t>
          </w:r>
          <w:r>
            <w:rPr>
              <w:rFonts w:hint="eastAsia" w:ascii="黑体" w:hAnsi="黑体" w:eastAsia="黑体" w:cs="黑体"/>
              <w:sz w:val="22"/>
              <w:szCs w:val="22"/>
            </w:rPr>
            <w:t>财政拨款“三公”经费支出决算情况说明</w:t>
          </w:r>
          <w:r>
            <w:rPr>
              <w:sz w:val="22"/>
              <w:szCs w:val="22"/>
            </w:rPr>
            <w:tab/>
          </w:r>
          <w:r>
            <w:rPr>
              <w:sz w:val="22"/>
              <w:szCs w:val="22"/>
            </w:rPr>
            <w:fldChar w:fldCharType="begin"/>
          </w:r>
          <w:r>
            <w:rPr>
              <w:sz w:val="22"/>
              <w:szCs w:val="22"/>
            </w:rPr>
            <w:instrText xml:space="preserve"> PAGEREF _Toc32111 \h </w:instrText>
          </w:r>
          <w:r>
            <w:rPr>
              <w:sz w:val="22"/>
              <w:szCs w:val="22"/>
            </w:rPr>
            <w:fldChar w:fldCharType="separate"/>
          </w:r>
          <w:r>
            <w:rPr>
              <w:sz w:val="22"/>
              <w:szCs w:val="22"/>
            </w:rPr>
            <w:t>9</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_Toc25922 </w:instrText>
          </w:r>
          <w:r>
            <w:rPr>
              <w:sz w:val="22"/>
              <w:szCs w:val="22"/>
            </w:rPr>
            <w:fldChar w:fldCharType="separate"/>
          </w:r>
          <w:r>
            <w:rPr>
              <w:rFonts w:hint="eastAsia" w:ascii="黑体" w:hAnsi="黑体" w:eastAsia="黑体" w:cs="黑体"/>
              <w:bCs/>
              <w:sz w:val="22"/>
              <w:szCs w:val="22"/>
            </w:rPr>
            <w:t>八、</w:t>
          </w:r>
          <w:r>
            <w:rPr>
              <w:rFonts w:hint="eastAsia" w:ascii="黑体" w:hAnsi="黑体" w:eastAsia="黑体" w:cs="黑体"/>
              <w:sz w:val="22"/>
              <w:szCs w:val="22"/>
            </w:rPr>
            <w:t>政府性基金预算支出决算情况说明</w:t>
          </w:r>
          <w:r>
            <w:rPr>
              <w:sz w:val="22"/>
              <w:szCs w:val="22"/>
            </w:rPr>
            <w:tab/>
          </w:r>
          <w:bookmarkStart w:id="105" w:name="_GoBack"/>
          <w:bookmarkEnd w:id="105"/>
          <w:r>
            <w:rPr>
              <w:sz w:val="22"/>
              <w:szCs w:val="22"/>
            </w:rPr>
            <w:fldChar w:fldCharType="begin"/>
          </w:r>
          <w:r>
            <w:rPr>
              <w:sz w:val="22"/>
              <w:szCs w:val="22"/>
            </w:rPr>
            <w:instrText xml:space="preserve"> PAGEREF _Toc25922 \h </w:instrText>
          </w:r>
          <w:r>
            <w:rPr>
              <w:sz w:val="22"/>
              <w:szCs w:val="22"/>
            </w:rPr>
            <w:fldChar w:fldCharType="separate"/>
          </w:r>
          <w:r>
            <w:rPr>
              <w:sz w:val="22"/>
              <w:szCs w:val="22"/>
            </w:rPr>
            <w:t>11</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_Toc29733 </w:instrText>
          </w:r>
          <w:r>
            <w:rPr>
              <w:sz w:val="22"/>
              <w:szCs w:val="22"/>
            </w:rPr>
            <w:fldChar w:fldCharType="separate"/>
          </w:r>
          <w:r>
            <w:rPr>
              <w:rFonts w:hint="eastAsia" w:ascii="黑体" w:hAnsi="黑体" w:eastAsia="黑体" w:cs="黑体"/>
              <w:sz w:val="22"/>
              <w:szCs w:val="22"/>
            </w:rPr>
            <w:t>九、 国有资本经营预算支出决算情况说明</w:t>
          </w:r>
          <w:r>
            <w:rPr>
              <w:sz w:val="22"/>
              <w:szCs w:val="22"/>
            </w:rPr>
            <w:tab/>
          </w:r>
          <w:r>
            <w:rPr>
              <w:sz w:val="22"/>
              <w:szCs w:val="22"/>
            </w:rPr>
            <w:fldChar w:fldCharType="begin"/>
          </w:r>
          <w:r>
            <w:rPr>
              <w:sz w:val="22"/>
              <w:szCs w:val="22"/>
            </w:rPr>
            <w:instrText xml:space="preserve"> PAGEREF _Toc29733 \h </w:instrText>
          </w:r>
          <w:r>
            <w:rPr>
              <w:sz w:val="22"/>
              <w:szCs w:val="22"/>
            </w:rPr>
            <w:fldChar w:fldCharType="separate"/>
          </w:r>
          <w:r>
            <w:rPr>
              <w:sz w:val="22"/>
              <w:szCs w:val="22"/>
            </w:rPr>
            <w:t>11</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_Toc10327 </w:instrText>
          </w:r>
          <w:r>
            <w:rPr>
              <w:sz w:val="22"/>
              <w:szCs w:val="22"/>
            </w:rPr>
            <w:fldChar w:fldCharType="separate"/>
          </w:r>
          <w:r>
            <w:rPr>
              <w:rFonts w:hint="eastAsia" w:ascii="黑体" w:hAnsi="黑体" w:eastAsia="黑体" w:cs="黑体"/>
              <w:sz w:val="22"/>
              <w:szCs w:val="22"/>
            </w:rPr>
            <w:t>十、 其他重要事项的情况说明</w:t>
          </w:r>
          <w:r>
            <w:rPr>
              <w:sz w:val="22"/>
              <w:szCs w:val="22"/>
            </w:rPr>
            <w:tab/>
          </w:r>
          <w:r>
            <w:rPr>
              <w:sz w:val="22"/>
              <w:szCs w:val="22"/>
            </w:rPr>
            <w:fldChar w:fldCharType="begin"/>
          </w:r>
          <w:r>
            <w:rPr>
              <w:sz w:val="22"/>
              <w:szCs w:val="22"/>
            </w:rPr>
            <w:instrText xml:space="preserve"> PAGEREF _Toc10327 \h </w:instrText>
          </w:r>
          <w:r>
            <w:rPr>
              <w:sz w:val="22"/>
              <w:szCs w:val="22"/>
            </w:rPr>
            <w:fldChar w:fldCharType="separate"/>
          </w:r>
          <w:r>
            <w:rPr>
              <w:sz w:val="22"/>
              <w:szCs w:val="22"/>
            </w:rPr>
            <w:t>11</w:t>
          </w:r>
          <w:r>
            <w:rPr>
              <w:sz w:val="22"/>
              <w:szCs w:val="22"/>
            </w:rPr>
            <w:fldChar w:fldCharType="end"/>
          </w:r>
          <w:r>
            <w:rPr>
              <w:sz w:val="22"/>
              <w:szCs w:val="22"/>
            </w:rPr>
            <w:fldChar w:fldCharType="end"/>
          </w:r>
        </w:p>
        <w:p>
          <w:pPr>
            <w:pStyle w:val="15"/>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_Toc3423 </w:instrText>
          </w:r>
          <w:r>
            <w:rPr>
              <w:sz w:val="22"/>
              <w:szCs w:val="22"/>
            </w:rPr>
            <w:fldChar w:fldCharType="separate"/>
          </w:r>
          <w:r>
            <w:rPr>
              <w:rFonts w:hint="eastAsia" w:ascii="方正小标宋简体" w:hAnsi="方正小标宋简体" w:eastAsia="方正小标宋简体" w:cs="方正小标宋简体"/>
              <w:sz w:val="22"/>
              <w:szCs w:val="22"/>
            </w:rPr>
            <w:t>第三部分 名词解释</w:t>
          </w:r>
          <w:r>
            <w:rPr>
              <w:sz w:val="22"/>
              <w:szCs w:val="22"/>
            </w:rPr>
            <w:tab/>
          </w:r>
          <w:r>
            <w:rPr>
              <w:sz w:val="22"/>
              <w:szCs w:val="22"/>
            </w:rPr>
            <w:fldChar w:fldCharType="begin"/>
          </w:r>
          <w:r>
            <w:rPr>
              <w:sz w:val="22"/>
              <w:szCs w:val="22"/>
            </w:rPr>
            <w:instrText xml:space="preserve"> PAGEREF _Toc3423 \h </w:instrText>
          </w:r>
          <w:r>
            <w:rPr>
              <w:sz w:val="22"/>
              <w:szCs w:val="22"/>
            </w:rPr>
            <w:fldChar w:fldCharType="separate"/>
          </w:r>
          <w:r>
            <w:rPr>
              <w:sz w:val="22"/>
              <w:szCs w:val="22"/>
            </w:rPr>
            <w:t>14</w:t>
          </w:r>
          <w:r>
            <w:rPr>
              <w:sz w:val="22"/>
              <w:szCs w:val="22"/>
            </w:rPr>
            <w:fldChar w:fldCharType="end"/>
          </w:r>
          <w:r>
            <w:rPr>
              <w:sz w:val="22"/>
              <w:szCs w:val="22"/>
            </w:rPr>
            <w:fldChar w:fldCharType="end"/>
          </w:r>
        </w:p>
        <w:p>
          <w:pPr>
            <w:pStyle w:val="15"/>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_Toc11486 </w:instrText>
          </w:r>
          <w:r>
            <w:rPr>
              <w:sz w:val="22"/>
              <w:szCs w:val="22"/>
            </w:rPr>
            <w:fldChar w:fldCharType="separate"/>
          </w:r>
          <w:r>
            <w:rPr>
              <w:rFonts w:hint="eastAsia" w:ascii="方正小标宋简体" w:hAnsi="方正小标宋简体" w:eastAsia="方正小标宋简体" w:cs="方正小标宋简体"/>
              <w:sz w:val="22"/>
              <w:szCs w:val="22"/>
            </w:rPr>
            <w:t>第四部分   附  件</w:t>
          </w:r>
          <w:r>
            <w:rPr>
              <w:sz w:val="22"/>
              <w:szCs w:val="22"/>
            </w:rPr>
            <w:tab/>
          </w:r>
          <w:r>
            <w:rPr>
              <w:sz w:val="22"/>
              <w:szCs w:val="22"/>
            </w:rPr>
            <w:fldChar w:fldCharType="begin"/>
          </w:r>
          <w:r>
            <w:rPr>
              <w:sz w:val="22"/>
              <w:szCs w:val="22"/>
            </w:rPr>
            <w:instrText xml:space="preserve"> PAGEREF _Toc11486 \h </w:instrText>
          </w:r>
          <w:r>
            <w:rPr>
              <w:sz w:val="22"/>
              <w:szCs w:val="22"/>
            </w:rPr>
            <w:fldChar w:fldCharType="separate"/>
          </w:r>
          <w:r>
            <w:rPr>
              <w:sz w:val="22"/>
              <w:szCs w:val="22"/>
            </w:rPr>
            <w:t>17</w:t>
          </w:r>
          <w:r>
            <w:rPr>
              <w:sz w:val="22"/>
              <w:szCs w:val="22"/>
            </w:rPr>
            <w:fldChar w:fldCharType="end"/>
          </w:r>
          <w:r>
            <w:rPr>
              <w:sz w:val="22"/>
              <w:szCs w:val="22"/>
            </w:rPr>
            <w:fldChar w:fldCharType="end"/>
          </w:r>
        </w:p>
        <w:p>
          <w:pPr>
            <w:pStyle w:val="15"/>
            <w:keepNext w:val="0"/>
            <w:keepLines w:val="0"/>
            <w:pageBreakBefore w:val="0"/>
            <w:widowControl w:val="0"/>
            <w:tabs>
              <w:tab w:val="right" w:leader="dot" w:pos="8845"/>
              <w:tab w:val="clear" w:pos="8296"/>
            </w:tabs>
            <w:kinsoku/>
            <w:wordWrap/>
            <w:overflowPunct/>
            <w:topLinePunct w:val="0"/>
            <w:autoSpaceDE/>
            <w:autoSpaceDN/>
            <w:bidi w:val="0"/>
            <w:adjustRightInd/>
            <w:snapToGrid/>
            <w:spacing w:before="0"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_Toc10319 </w:instrText>
          </w:r>
          <w:r>
            <w:rPr>
              <w:sz w:val="22"/>
              <w:szCs w:val="22"/>
            </w:rPr>
            <w:fldChar w:fldCharType="separate"/>
          </w:r>
          <w:r>
            <w:rPr>
              <w:rFonts w:hint="eastAsia" w:ascii="方正小标宋简体" w:hAnsi="方正小标宋简体" w:eastAsia="方正小标宋简体" w:cs="方正小标宋简体"/>
              <w:sz w:val="22"/>
              <w:szCs w:val="22"/>
            </w:rPr>
            <w:t>第五部分  附  表</w:t>
          </w:r>
          <w:r>
            <w:rPr>
              <w:sz w:val="22"/>
              <w:szCs w:val="22"/>
            </w:rPr>
            <w:tab/>
          </w:r>
          <w:r>
            <w:rPr>
              <w:sz w:val="22"/>
              <w:szCs w:val="22"/>
            </w:rPr>
            <w:fldChar w:fldCharType="begin"/>
          </w:r>
          <w:r>
            <w:rPr>
              <w:sz w:val="22"/>
              <w:szCs w:val="22"/>
            </w:rPr>
            <w:instrText xml:space="preserve"> PAGEREF _Toc10319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_Toc5919 </w:instrText>
          </w:r>
          <w:r>
            <w:rPr>
              <w:sz w:val="22"/>
              <w:szCs w:val="22"/>
            </w:rPr>
            <w:fldChar w:fldCharType="separate"/>
          </w:r>
          <w:r>
            <w:rPr>
              <w:rFonts w:hint="eastAsia" w:ascii="仿宋_GB2312" w:hAnsi="仿宋_GB2312" w:eastAsia="仿宋_GB2312" w:cs="仿宋_GB2312"/>
              <w:sz w:val="22"/>
              <w:szCs w:val="22"/>
            </w:rPr>
            <w:t>一、收</w:t>
          </w:r>
          <w:r>
            <w:rPr>
              <w:rFonts w:hint="eastAsia" w:ascii="仿宋_GB2312" w:hAnsi="仿宋_GB2312" w:eastAsia="仿宋_GB2312" w:cs="仿宋_GB2312"/>
              <w:bCs w:val="0"/>
              <w:sz w:val="22"/>
              <w:szCs w:val="22"/>
            </w:rPr>
            <w:t>入支出决算总表</w:t>
          </w:r>
          <w:r>
            <w:rPr>
              <w:sz w:val="22"/>
              <w:szCs w:val="22"/>
            </w:rPr>
            <w:tab/>
          </w:r>
          <w:r>
            <w:rPr>
              <w:sz w:val="22"/>
              <w:szCs w:val="22"/>
            </w:rPr>
            <w:fldChar w:fldCharType="begin"/>
          </w:r>
          <w:r>
            <w:rPr>
              <w:sz w:val="22"/>
              <w:szCs w:val="22"/>
            </w:rPr>
            <w:instrText xml:space="preserve"> PAGEREF _Toc5919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_Toc6773 </w:instrText>
          </w:r>
          <w:r>
            <w:rPr>
              <w:sz w:val="22"/>
              <w:szCs w:val="22"/>
            </w:rPr>
            <w:fldChar w:fldCharType="separate"/>
          </w:r>
          <w:r>
            <w:rPr>
              <w:rFonts w:hint="eastAsia" w:ascii="仿宋_GB2312" w:hAnsi="仿宋_GB2312" w:eastAsia="仿宋_GB2312" w:cs="仿宋_GB2312"/>
              <w:sz w:val="22"/>
              <w:szCs w:val="22"/>
            </w:rPr>
            <w:t>二、收</w:t>
          </w:r>
          <w:r>
            <w:rPr>
              <w:rFonts w:hint="eastAsia" w:ascii="仿宋_GB2312" w:hAnsi="仿宋_GB2312" w:eastAsia="仿宋_GB2312" w:cs="仿宋_GB2312"/>
              <w:bCs w:val="0"/>
              <w:sz w:val="22"/>
              <w:szCs w:val="22"/>
            </w:rPr>
            <w:t>入决算表</w:t>
          </w:r>
          <w:r>
            <w:rPr>
              <w:sz w:val="22"/>
              <w:szCs w:val="22"/>
            </w:rPr>
            <w:tab/>
          </w:r>
          <w:r>
            <w:rPr>
              <w:sz w:val="22"/>
              <w:szCs w:val="22"/>
            </w:rPr>
            <w:fldChar w:fldCharType="begin"/>
          </w:r>
          <w:r>
            <w:rPr>
              <w:sz w:val="22"/>
              <w:szCs w:val="22"/>
            </w:rPr>
            <w:instrText xml:space="preserve"> PAGEREF _Toc6773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_Toc1934 </w:instrText>
          </w:r>
          <w:r>
            <w:rPr>
              <w:sz w:val="22"/>
              <w:szCs w:val="22"/>
            </w:rPr>
            <w:fldChar w:fldCharType="separate"/>
          </w:r>
          <w:r>
            <w:rPr>
              <w:rFonts w:hint="eastAsia" w:ascii="仿宋_GB2312" w:hAnsi="仿宋_GB2312" w:eastAsia="仿宋_GB2312" w:cs="仿宋_GB2312"/>
              <w:bCs w:val="0"/>
              <w:sz w:val="22"/>
              <w:szCs w:val="22"/>
            </w:rPr>
            <w:t>三、</w:t>
          </w:r>
          <w:r>
            <w:rPr>
              <w:rFonts w:hint="eastAsia" w:ascii="仿宋_GB2312" w:hAnsi="仿宋_GB2312" w:eastAsia="仿宋_GB2312" w:cs="仿宋_GB2312"/>
              <w:sz w:val="22"/>
              <w:szCs w:val="22"/>
            </w:rPr>
            <w:t>支</w:t>
          </w:r>
          <w:r>
            <w:rPr>
              <w:rFonts w:hint="eastAsia" w:ascii="仿宋_GB2312" w:hAnsi="仿宋_GB2312" w:eastAsia="仿宋_GB2312" w:cs="仿宋_GB2312"/>
              <w:bCs w:val="0"/>
              <w:sz w:val="22"/>
              <w:szCs w:val="22"/>
            </w:rPr>
            <w:t>出决算表</w:t>
          </w:r>
          <w:r>
            <w:rPr>
              <w:sz w:val="22"/>
              <w:szCs w:val="22"/>
            </w:rPr>
            <w:tab/>
          </w:r>
          <w:r>
            <w:rPr>
              <w:sz w:val="22"/>
              <w:szCs w:val="22"/>
            </w:rPr>
            <w:fldChar w:fldCharType="begin"/>
          </w:r>
          <w:r>
            <w:rPr>
              <w:sz w:val="22"/>
              <w:szCs w:val="22"/>
            </w:rPr>
            <w:instrText xml:space="preserve"> PAGEREF _Toc1934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_Toc26530 </w:instrText>
          </w:r>
          <w:r>
            <w:rPr>
              <w:sz w:val="22"/>
              <w:szCs w:val="22"/>
            </w:rPr>
            <w:fldChar w:fldCharType="separate"/>
          </w:r>
          <w:r>
            <w:rPr>
              <w:rFonts w:hint="eastAsia" w:ascii="仿宋_GB2312" w:hAnsi="仿宋_GB2312" w:eastAsia="仿宋_GB2312" w:cs="仿宋_GB2312"/>
              <w:bCs w:val="0"/>
              <w:sz w:val="22"/>
              <w:szCs w:val="22"/>
            </w:rPr>
            <w:t>四、</w:t>
          </w:r>
          <w:r>
            <w:rPr>
              <w:rFonts w:hint="eastAsia" w:ascii="仿宋_GB2312" w:hAnsi="仿宋_GB2312" w:eastAsia="仿宋_GB2312" w:cs="仿宋_GB2312"/>
              <w:sz w:val="22"/>
              <w:szCs w:val="22"/>
            </w:rPr>
            <w:t>财</w:t>
          </w:r>
          <w:r>
            <w:rPr>
              <w:rFonts w:hint="eastAsia" w:ascii="仿宋_GB2312" w:hAnsi="仿宋_GB2312" w:eastAsia="仿宋_GB2312" w:cs="仿宋_GB2312"/>
              <w:bCs w:val="0"/>
              <w:sz w:val="22"/>
              <w:szCs w:val="22"/>
            </w:rPr>
            <w:t>政拨款收入支出决算总表</w:t>
          </w:r>
          <w:r>
            <w:rPr>
              <w:sz w:val="22"/>
              <w:szCs w:val="22"/>
            </w:rPr>
            <w:tab/>
          </w:r>
          <w:r>
            <w:rPr>
              <w:sz w:val="22"/>
              <w:szCs w:val="22"/>
            </w:rPr>
            <w:fldChar w:fldCharType="begin"/>
          </w:r>
          <w:r>
            <w:rPr>
              <w:sz w:val="22"/>
              <w:szCs w:val="22"/>
            </w:rPr>
            <w:instrText xml:space="preserve"> PAGEREF _Toc26530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_Toc27452 </w:instrText>
          </w:r>
          <w:r>
            <w:rPr>
              <w:sz w:val="22"/>
              <w:szCs w:val="22"/>
            </w:rPr>
            <w:fldChar w:fldCharType="separate"/>
          </w:r>
          <w:r>
            <w:rPr>
              <w:rFonts w:hint="eastAsia" w:ascii="仿宋_GB2312" w:hAnsi="仿宋_GB2312" w:eastAsia="仿宋_GB2312" w:cs="仿宋_GB2312"/>
              <w:bCs w:val="0"/>
              <w:sz w:val="22"/>
              <w:szCs w:val="22"/>
            </w:rPr>
            <w:t>五、</w:t>
          </w:r>
          <w:r>
            <w:rPr>
              <w:rFonts w:hint="eastAsia" w:ascii="仿宋_GB2312" w:hAnsi="仿宋_GB2312" w:eastAsia="仿宋_GB2312" w:cs="仿宋_GB2312"/>
              <w:sz w:val="22"/>
              <w:szCs w:val="22"/>
            </w:rPr>
            <w:t>财</w:t>
          </w:r>
          <w:r>
            <w:rPr>
              <w:rFonts w:hint="eastAsia" w:ascii="仿宋_GB2312" w:hAnsi="仿宋_GB2312" w:eastAsia="仿宋_GB2312" w:cs="仿宋_GB2312"/>
              <w:bCs w:val="0"/>
              <w:sz w:val="22"/>
              <w:szCs w:val="22"/>
            </w:rPr>
            <w:t>政拨款支出决算明细表</w:t>
          </w:r>
          <w:r>
            <w:rPr>
              <w:sz w:val="22"/>
              <w:szCs w:val="22"/>
            </w:rPr>
            <w:tab/>
          </w:r>
          <w:r>
            <w:rPr>
              <w:sz w:val="22"/>
              <w:szCs w:val="22"/>
            </w:rPr>
            <w:fldChar w:fldCharType="begin"/>
          </w:r>
          <w:r>
            <w:rPr>
              <w:sz w:val="22"/>
              <w:szCs w:val="22"/>
            </w:rPr>
            <w:instrText xml:space="preserve"> PAGEREF _Toc27452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_Toc26396 </w:instrText>
          </w:r>
          <w:r>
            <w:rPr>
              <w:sz w:val="22"/>
              <w:szCs w:val="22"/>
            </w:rPr>
            <w:fldChar w:fldCharType="separate"/>
          </w:r>
          <w:r>
            <w:rPr>
              <w:rFonts w:hint="eastAsia" w:ascii="仿宋_GB2312" w:hAnsi="仿宋_GB2312" w:eastAsia="仿宋_GB2312" w:cs="仿宋_GB2312"/>
              <w:bCs w:val="0"/>
              <w:sz w:val="22"/>
              <w:szCs w:val="22"/>
            </w:rPr>
            <w:t>六、</w:t>
          </w:r>
          <w:r>
            <w:rPr>
              <w:rFonts w:hint="eastAsia" w:ascii="仿宋_GB2312" w:hAnsi="仿宋_GB2312" w:eastAsia="仿宋_GB2312" w:cs="仿宋_GB2312"/>
              <w:sz w:val="22"/>
              <w:szCs w:val="22"/>
            </w:rPr>
            <w:t>一</w:t>
          </w:r>
          <w:r>
            <w:rPr>
              <w:rFonts w:hint="eastAsia" w:ascii="仿宋_GB2312" w:hAnsi="仿宋_GB2312" w:eastAsia="仿宋_GB2312" w:cs="仿宋_GB2312"/>
              <w:bCs w:val="0"/>
              <w:sz w:val="22"/>
              <w:szCs w:val="22"/>
            </w:rPr>
            <w:t>般公共预算财政拨款支出决算表</w:t>
          </w:r>
          <w:r>
            <w:rPr>
              <w:sz w:val="22"/>
              <w:szCs w:val="22"/>
            </w:rPr>
            <w:tab/>
          </w:r>
          <w:r>
            <w:rPr>
              <w:sz w:val="22"/>
              <w:szCs w:val="22"/>
            </w:rPr>
            <w:fldChar w:fldCharType="begin"/>
          </w:r>
          <w:r>
            <w:rPr>
              <w:sz w:val="22"/>
              <w:szCs w:val="22"/>
            </w:rPr>
            <w:instrText xml:space="preserve"> PAGEREF _Toc26396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_Toc18664 </w:instrText>
          </w:r>
          <w:r>
            <w:rPr>
              <w:sz w:val="22"/>
              <w:szCs w:val="22"/>
            </w:rPr>
            <w:fldChar w:fldCharType="separate"/>
          </w:r>
          <w:r>
            <w:rPr>
              <w:rFonts w:hint="eastAsia" w:ascii="仿宋_GB2312" w:hAnsi="仿宋_GB2312" w:eastAsia="仿宋_GB2312" w:cs="仿宋_GB2312"/>
              <w:bCs w:val="0"/>
              <w:sz w:val="22"/>
              <w:szCs w:val="22"/>
            </w:rPr>
            <w:t>七、</w:t>
          </w:r>
          <w:r>
            <w:rPr>
              <w:rFonts w:hint="eastAsia" w:ascii="仿宋_GB2312" w:hAnsi="仿宋_GB2312" w:eastAsia="仿宋_GB2312" w:cs="仿宋_GB2312"/>
              <w:sz w:val="22"/>
              <w:szCs w:val="22"/>
            </w:rPr>
            <w:t>一</w:t>
          </w:r>
          <w:r>
            <w:rPr>
              <w:rFonts w:hint="eastAsia" w:ascii="仿宋_GB2312" w:hAnsi="仿宋_GB2312" w:eastAsia="仿宋_GB2312" w:cs="仿宋_GB2312"/>
              <w:bCs w:val="0"/>
              <w:sz w:val="22"/>
              <w:szCs w:val="22"/>
            </w:rPr>
            <w:t>般公共预算财政拨款支出决算明细表</w:t>
          </w:r>
          <w:r>
            <w:rPr>
              <w:sz w:val="22"/>
              <w:szCs w:val="22"/>
            </w:rPr>
            <w:tab/>
          </w:r>
          <w:r>
            <w:rPr>
              <w:sz w:val="22"/>
              <w:szCs w:val="22"/>
            </w:rPr>
            <w:fldChar w:fldCharType="begin"/>
          </w:r>
          <w:r>
            <w:rPr>
              <w:sz w:val="22"/>
              <w:szCs w:val="22"/>
            </w:rPr>
            <w:instrText xml:space="preserve"> PAGEREF _Toc18664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_Toc9963 </w:instrText>
          </w:r>
          <w:r>
            <w:rPr>
              <w:sz w:val="22"/>
              <w:szCs w:val="22"/>
            </w:rPr>
            <w:fldChar w:fldCharType="separate"/>
          </w:r>
          <w:r>
            <w:rPr>
              <w:rFonts w:hint="eastAsia" w:ascii="仿宋_GB2312" w:hAnsi="仿宋_GB2312" w:eastAsia="仿宋_GB2312" w:cs="仿宋_GB2312"/>
              <w:bCs w:val="0"/>
              <w:sz w:val="22"/>
              <w:szCs w:val="22"/>
            </w:rPr>
            <w:t>八、</w:t>
          </w:r>
          <w:r>
            <w:rPr>
              <w:rFonts w:hint="eastAsia" w:ascii="仿宋_GB2312" w:hAnsi="仿宋_GB2312" w:eastAsia="仿宋_GB2312" w:cs="仿宋_GB2312"/>
              <w:sz w:val="22"/>
              <w:szCs w:val="22"/>
            </w:rPr>
            <w:t>一</w:t>
          </w:r>
          <w:r>
            <w:rPr>
              <w:rFonts w:hint="eastAsia" w:ascii="仿宋_GB2312" w:hAnsi="仿宋_GB2312" w:eastAsia="仿宋_GB2312" w:cs="仿宋_GB2312"/>
              <w:bCs w:val="0"/>
              <w:sz w:val="22"/>
              <w:szCs w:val="22"/>
            </w:rPr>
            <w:t>般公共预算财政拨款基本支出决算表</w:t>
          </w:r>
          <w:r>
            <w:rPr>
              <w:sz w:val="22"/>
              <w:szCs w:val="22"/>
            </w:rPr>
            <w:tab/>
          </w:r>
          <w:r>
            <w:rPr>
              <w:sz w:val="22"/>
              <w:szCs w:val="22"/>
            </w:rPr>
            <w:fldChar w:fldCharType="begin"/>
          </w:r>
          <w:r>
            <w:rPr>
              <w:sz w:val="22"/>
              <w:szCs w:val="22"/>
            </w:rPr>
            <w:instrText xml:space="preserve"> PAGEREF _Toc9963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_Toc14232 </w:instrText>
          </w:r>
          <w:r>
            <w:rPr>
              <w:sz w:val="22"/>
              <w:szCs w:val="22"/>
            </w:rPr>
            <w:fldChar w:fldCharType="separate"/>
          </w:r>
          <w:r>
            <w:rPr>
              <w:rFonts w:hint="eastAsia" w:ascii="仿宋_GB2312" w:hAnsi="仿宋_GB2312" w:eastAsia="仿宋_GB2312" w:cs="仿宋_GB2312"/>
              <w:bCs w:val="0"/>
              <w:sz w:val="22"/>
              <w:szCs w:val="22"/>
            </w:rPr>
            <w:t>九、</w:t>
          </w:r>
          <w:r>
            <w:rPr>
              <w:rFonts w:hint="eastAsia" w:ascii="仿宋_GB2312" w:hAnsi="仿宋_GB2312" w:eastAsia="仿宋_GB2312" w:cs="仿宋_GB2312"/>
              <w:sz w:val="22"/>
              <w:szCs w:val="22"/>
            </w:rPr>
            <w:t>一</w:t>
          </w:r>
          <w:r>
            <w:rPr>
              <w:rFonts w:hint="eastAsia" w:ascii="仿宋_GB2312" w:hAnsi="仿宋_GB2312" w:eastAsia="仿宋_GB2312" w:cs="仿宋_GB2312"/>
              <w:bCs w:val="0"/>
              <w:sz w:val="22"/>
              <w:szCs w:val="22"/>
            </w:rPr>
            <w:t>般公共预算财政拨款项目支出决算表</w:t>
          </w:r>
          <w:r>
            <w:rPr>
              <w:sz w:val="22"/>
              <w:szCs w:val="22"/>
            </w:rPr>
            <w:tab/>
          </w:r>
          <w:r>
            <w:rPr>
              <w:sz w:val="22"/>
              <w:szCs w:val="22"/>
            </w:rPr>
            <w:fldChar w:fldCharType="begin"/>
          </w:r>
          <w:r>
            <w:rPr>
              <w:sz w:val="22"/>
              <w:szCs w:val="22"/>
            </w:rPr>
            <w:instrText xml:space="preserve"> PAGEREF _Toc14232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val="0"/>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_Toc9886 </w:instrText>
          </w:r>
          <w:r>
            <w:rPr>
              <w:sz w:val="22"/>
              <w:szCs w:val="22"/>
            </w:rPr>
            <w:fldChar w:fldCharType="separate"/>
          </w:r>
          <w:r>
            <w:rPr>
              <w:rFonts w:hint="eastAsia" w:ascii="仿宋_GB2312" w:hAnsi="仿宋_GB2312" w:eastAsia="仿宋_GB2312" w:cs="仿宋_GB2312"/>
              <w:bCs w:val="0"/>
              <w:sz w:val="22"/>
              <w:szCs w:val="22"/>
            </w:rPr>
            <w:t>十、</w:t>
          </w:r>
          <w:r>
            <w:rPr>
              <w:rFonts w:hint="eastAsia" w:ascii="仿宋_GB2312" w:hAnsi="仿宋_GB2312" w:eastAsia="仿宋_GB2312" w:cs="仿宋_GB2312"/>
              <w:sz w:val="22"/>
              <w:szCs w:val="22"/>
            </w:rPr>
            <w:t>政</w:t>
          </w:r>
          <w:r>
            <w:rPr>
              <w:rFonts w:hint="eastAsia" w:ascii="仿宋_GB2312" w:hAnsi="仿宋_GB2312" w:eastAsia="仿宋_GB2312" w:cs="仿宋_GB2312"/>
              <w:bCs w:val="0"/>
              <w:sz w:val="22"/>
              <w:szCs w:val="22"/>
            </w:rPr>
            <w:t>府性基金预算财政拨款收入支出决算表</w:t>
          </w:r>
          <w:r>
            <w:rPr>
              <w:sz w:val="22"/>
              <w:szCs w:val="22"/>
            </w:rPr>
            <w:tab/>
          </w:r>
          <w:r>
            <w:rPr>
              <w:sz w:val="22"/>
              <w:szCs w:val="22"/>
            </w:rPr>
            <w:fldChar w:fldCharType="begin"/>
          </w:r>
          <w:r>
            <w:rPr>
              <w:sz w:val="22"/>
              <w:szCs w:val="22"/>
            </w:rPr>
            <w:instrText xml:space="preserve"> PAGEREF _Toc9886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_Toc21207 </w:instrText>
          </w:r>
          <w:r>
            <w:rPr>
              <w:sz w:val="22"/>
              <w:szCs w:val="22"/>
            </w:rPr>
            <w:fldChar w:fldCharType="separate"/>
          </w:r>
          <w:r>
            <w:rPr>
              <w:rFonts w:hint="eastAsia" w:ascii="仿宋_GB2312" w:hAnsi="仿宋_GB2312" w:eastAsia="仿宋_GB2312" w:cs="仿宋_GB2312"/>
              <w:bCs w:val="0"/>
              <w:sz w:val="22"/>
              <w:szCs w:val="22"/>
            </w:rPr>
            <w:t>十一、</w:t>
          </w:r>
          <w:r>
            <w:rPr>
              <w:rFonts w:hint="eastAsia" w:ascii="仿宋_GB2312" w:hAnsi="仿宋_GB2312" w:eastAsia="仿宋_GB2312" w:cs="仿宋_GB2312"/>
              <w:sz w:val="22"/>
              <w:szCs w:val="22"/>
            </w:rPr>
            <w:t>国</w:t>
          </w:r>
          <w:r>
            <w:rPr>
              <w:rFonts w:hint="eastAsia" w:ascii="仿宋_GB2312" w:hAnsi="仿宋_GB2312" w:eastAsia="仿宋_GB2312" w:cs="仿宋_GB2312"/>
              <w:bCs w:val="0"/>
              <w:sz w:val="22"/>
              <w:szCs w:val="22"/>
            </w:rPr>
            <w:t>有资本经营预算财政拨款收入支出决算表</w:t>
          </w:r>
          <w:r>
            <w:rPr>
              <w:sz w:val="22"/>
              <w:szCs w:val="22"/>
            </w:rPr>
            <w:tab/>
          </w:r>
          <w:r>
            <w:rPr>
              <w:sz w:val="22"/>
              <w:szCs w:val="22"/>
            </w:rPr>
            <w:fldChar w:fldCharType="begin"/>
          </w:r>
          <w:r>
            <w:rPr>
              <w:sz w:val="22"/>
              <w:szCs w:val="22"/>
            </w:rPr>
            <w:instrText xml:space="preserve"> PAGEREF _Toc21207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_Toc3324 </w:instrText>
          </w:r>
          <w:r>
            <w:rPr>
              <w:sz w:val="22"/>
              <w:szCs w:val="22"/>
            </w:rPr>
            <w:fldChar w:fldCharType="separate"/>
          </w:r>
          <w:r>
            <w:rPr>
              <w:rFonts w:hint="eastAsia" w:ascii="仿宋_GB2312" w:hAnsi="仿宋_GB2312" w:eastAsia="仿宋_GB2312" w:cs="仿宋_GB2312"/>
              <w:bCs w:val="0"/>
              <w:sz w:val="22"/>
              <w:szCs w:val="22"/>
            </w:rPr>
            <w:t>十二、国有资本经营预算财政拨款支出决算表</w:t>
          </w:r>
          <w:r>
            <w:rPr>
              <w:sz w:val="22"/>
              <w:szCs w:val="22"/>
            </w:rPr>
            <w:tab/>
          </w:r>
          <w:r>
            <w:rPr>
              <w:sz w:val="22"/>
              <w:szCs w:val="22"/>
            </w:rPr>
            <w:fldChar w:fldCharType="begin"/>
          </w:r>
          <w:r>
            <w:rPr>
              <w:sz w:val="22"/>
              <w:szCs w:val="22"/>
            </w:rPr>
            <w:instrText xml:space="preserve"> PAGEREF _Toc3324 \h </w:instrText>
          </w:r>
          <w:r>
            <w:rPr>
              <w:sz w:val="22"/>
              <w:szCs w:val="22"/>
            </w:rPr>
            <w:fldChar w:fldCharType="separate"/>
          </w:r>
          <w:r>
            <w:rPr>
              <w:sz w:val="22"/>
              <w:szCs w:val="22"/>
            </w:rPr>
            <w:t>48</w:t>
          </w:r>
          <w:r>
            <w:rPr>
              <w:sz w:val="22"/>
              <w:szCs w:val="22"/>
            </w:rPr>
            <w:fldChar w:fldCharType="end"/>
          </w:r>
          <w:r>
            <w:rPr>
              <w:sz w:val="22"/>
              <w:szCs w:val="22"/>
            </w:rPr>
            <w:fldChar w:fldCharType="end"/>
          </w:r>
        </w:p>
        <w:p>
          <w:pPr>
            <w:pStyle w:val="17"/>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340" w:lineRule="exact"/>
            <w:ind w:left="0" w:leftChars="0" w:firstLine="440" w:firstLineChars="200"/>
            <w:jc w:val="both"/>
            <w:textAlignment w:val="auto"/>
            <w:rPr>
              <w:sz w:val="22"/>
              <w:szCs w:val="22"/>
            </w:rPr>
          </w:pPr>
          <w:r>
            <w:rPr>
              <w:sz w:val="22"/>
              <w:szCs w:val="22"/>
            </w:rPr>
            <w:fldChar w:fldCharType="begin"/>
          </w:r>
          <w:r>
            <w:rPr>
              <w:sz w:val="22"/>
              <w:szCs w:val="22"/>
            </w:rPr>
            <w:instrText xml:space="preserve"> HYPERLINK \l _Toc25102 </w:instrText>
          </w:r>
          <w:r>
            <w:rPr>
              <w:sz w:val="22"/>
              <w:szCs w:val="22"/>
            </w:rPr>
            <w:fldChar w:fldCharType="separate"/>
          </w:r>
          <w:r>
            <w:rPr>
              <w:rFonts w:hint="eastAsia" w:ascii="仿宋_GB2312" w:hAnsi="仿宋_GB2312" w:eastAsia="仿宋_GB2312" w:cs="仿宋_GB2312"/>
              <w:bCs w:val="0"/>
              <w:sz w:val="22"/>
              <w:szCs w:val="22"/>
            </w:rPr>
            <w:t>十三、财政拨款“三公”经费支出决算表</w:t>
          </w:r>
          <w:r>
            <w:rPr>
              <w:sz w:val="22"/>
              <w:szCs w:val="22"/>
            </w:rPr>
            <w:tab/>
          </w:r>
          <w:r>
            <w:rPr>
              <w:sz w:val="22"/>
              <w:szCs w:val="22"/>
            </w:rPr>
            <w:fldChar w:fldCharType="begin"/>
          </w:r>
          <w:r>
            <w:rPr>
              <w:sz w:val="22"/>
              <w:szCs w:val="22"/>
            </w:rPr>
            <w:instrText xml:space="preserve"> PAGEREF _Toc25102 \h </w:instrText>
          </w:r>
          <w:r>
            <w:rPr>
              <w:sz w:val="22"/>
              <w:szCs w:val="22"/>
            </w:rPr>
            <w:fldChar w:fldCharType="separate"/>
          </w:r>
          <w:r>
            <w:rPr>
              <w:sz w:val="22"/>
              <w:szCs w:val="22"/>
            </w:rPr>
            <w:t>48</w:t>
          </w:r>
          <w:r>
            <w:rPr>
              <w:sz w:val="22"/>
              <w:szCs w:val="22"/>
            </w:rPr>
            <w:fldChar w:fldCharType="end"/>
          </w:r>
          <w:r>
            <w:rPr>
              <w:sz w:val="22"/>
              <w:szCs w:val="22"/>
            </w:rPr>
            <w:fldChar w:fldCharType="end"/>
          </w:r>
        </w:p>
        <w:p>
          <w:pPr>
            <w:keepNext w:val="0"/>
            <w:keepLines w:val="0"/>
            <w:pageBreakBefore w:val="0"/>
            <w:widowControl w:val="0"/>
            <w:kinsoku/>
            <w:wordWrap/>
            <w:overflowPunct/>
            <w:topLinePunct w:val="0"/>
            <w:autoSpaceDE/>
            <w:autoSpaceDN/>
            <w:bidi w:val="0"/>
            <w:adjustRightInd/>
            <w:snapToGrid/>
            <w:spacing w:line="320" w:lineRule="exact"/>
            <w:textAlignment w:val="auto"/>
          </w:pPr>
          <w:r>
            <w:rPr>
              <w:sz w:val="22"/>
              <w:szCs w:val="22"/>
            </w:rPr>
            <w:fldChar w:fldCharType="end"/>
          </w:r>
        </w:p>
      </w:sdtContent>
    </w:sdt>
    <w:p>
      <w:pPr>
        <w:pStyle w:val="3"/>
        <w:spacing w:before="0" w:after="0" w:line="640" w:lineRule="exact"/>
        <w:jc w:val="center"/>
        <w:rPr>
          <w:rFonts w:hint="eastAsia" w:ascii="方正小标宋简体" w:hAnsi="方正小标宋简体" w:eastAsia="方正小标宋简体" w:cs="方正小标宋简体"/>
          <w:b w:val="0"/>
          <w:color w:val="000000" w:themeColor="text1"/>
          <w14:textFill>
            <w14:solidFill>
              <w14:schemeClr w14:val="tx1"/>
            </w14:solidFill>
          </w14:textFill>
        </w:rPr>
        <w:sectPr>
          <w:footerReference r:id="rId4" w:type="default"/>
          <w:pgSz w:w="11906" w:h="16838"/>
          <w:pgMar w:top="2098" w:right="1474" w:bottom="1984" w:left="1587" w:header="851" w:footer="1417" w:gutter="0"/>
          <w:pgBorders>
            <w:top w:val="none" w:sz="0" w:space="0"/>
            <w:left w:val="none" w:sz="0" w:space="0"/>
            <w:bottom w:val="none" w:sz="0" w:space="0"/>
            <w:right w:val="none" w:sz="0" w:space="0"/>
          </w:pgBorders>
          <w:pgNumType w:fmt="decimal" w:start="1"/>
          <w:cols w:space="0" w:num="1"/>
          <w:rtlGutter w:val="0"/>
          <w:docGrid w:type="lines" w:linePitch="313" w:charSpace="0"/>
        </w:sectPr>
      </w:pPr>
      <w:bookmarkStart w:id="16" w:name="_Toc21233"/>
    </w:p>
    <w:p>
      <w:pPr>
        <w:pStyle w:val="3"/>
        <w:spacing w:before="0" w:after="0" w:line="640" w:lineRule="exact"/>
        <w:jc w:val="center"/>
        <w:rPr>
          <w:rStyle w:val="26"/>
          <w:rFonts w:hint="eastAsia" w:ascii="方正小标宋简体" w:hAnsi="方正小标宋简体" w:eastAsia="方正小标宋简体" w:cs="方正小标宋简体"/>
          <w:b/>
          <w:bCs w:val="0"/>
          <w:color w:val="000000" w:themeColor="text1"/>
          <w14:textFill>
            <w14:solidFill>
              <w14:schemeClr w14:val="tx1"/>
            </w14:solidFill>
          </w14:textFill>
        </w:rPr>
      </w:pPr>
      <w:r>
        <w:rPr>
          <w:rFonts w:hint="eastAsia" w:ascii="方正小标宋简体" w:hAnsi="方正小标宋简体" w:eastAsia="方正小标宋简体" w:cs="方正小标宋简体"/>
          <w:b w:val="0"/>
          <w:color w:val="000000" w:themeColor="text1"/>
          <w14:textFill>
            <w14:solidFill>
              <w14:schemeClr w14:val="tx1"/>
            </w14:solidFill>
          </w14:textFill>
        </w:rPr>
        <w:t xml:space="preserve">第一部分 </w:t>
      </w:r>
      <w:r>
        <w:rPr>
          <w:rStyle w:val="26"/>
          <w:rFonts w:hint="eastAsia" w:ascii="方正小标宋简体" w:hAnsi="方正小标宋简体" w:eastAsia="方正小标宋简体" w:cs="方正小标宋简体"/>
          <w:b w:val="0"/>
          <w:bCs w:val="0"/>
          <w:color w:val="000000" w:themeColor="text1"/>
          <w14:textFill>
            <w14:solidFill>
              <w14:schemeClr w14:val="tx1"/>
            </w14:solidFill>
          </w14:textFill>
        </w:rPr>
        <w:t>部门概况</w:t>
      </w:r>
      <w:bookmarkEnd w:id="14"/>
      <w:bookmarkEnd w:id="15"/>
      <w:bookmarkEnd w:id="16"/>
    </w:p>
    <w:p>
      <w:pPr>
        <w:adjustRightInd w:val="0"/>
        <w:snapToGrid w:val="0"/>
        <w:spacing w:line="576" w:lineRule="exact"/>
        <w:ind w:firstLine="640" w:firstLineChars="200"/>
        <w:rPr>
          <w:rFonts w:ascii="黑体" w:eastAsia="黑体"/>
          <w:color w:val="000000" w:themeColor="text1"/>
          <w:sz w:val="32"/>
          <w:szCs w:val="32"/>
          <w14:textFill>
            <w14:solidFill>
              <w14:schemeClr w14:val="tx1"/>
            </w14:solidFill>
          </w14:textFill>
        </w:rPr>
      </w:pPr>
    </w:p>
    <w:p>
      <w:pPr>
        <w:pStyle w:val="4"/>
        <w:keepNext w:val="0"/>
        <w:keepLines w:val="0"/>
        <w:adjustRightInd w:val="0"/>
        <w:snapToGrid w:val="0"/>
        <w:spacing w:before="0" w:after="0" w:line="576" w:lineRule="exact"/>
        <w:ind w:firstLine="640" w:firstLineChars="200"/>
        <w:rPr>
          <w:rFonts w:ascii="黑体" w:hAnsi="黑体" w:eastAsia="黑体"/>
          <w:b w:val="0"/>
          <w:color w:val="000000" w:themeColor="text1"/>
          <w14:textFill>
            <w14:solidFill>
              <w14:schemeClr w14:val="tx1"/>
            </w14:solidFill>
          </w14:textFill>
        </w:rPr>
      </w:pPr>
      <w:bookmarkStart w:id="17" w:name="_Toc15396600"/>
      <w:bookmarkStart w:id="18" w:name="_Toc15377197"/>
      <w:bookmarkStart w:id="19" w:name="_Toc20623"/>
      <w:r>
        <w:rPr>
          <w:rFonts w:hint="eastAsia" w:ascii="黑体" w:hAnsi="黑体" w:eastAsia="黑体"/>
          <w:b w:val="0"/>
          <w:color w:val="000000" w:themeColor="text1"/>
          <w14:textFill>
            <w14:solidFill>
              <w14:schemeClr w14:val="tx1"/>
            </w14:solidFill>
          </w14:textFill>
        </w:rPr>
        <w:t>一、</w:t>
      </w:r>
      <w:bookmarkEnd w:id="17"/>
      <w:bookmarkEnd w:id="18"/>
      <w:r>
        <w:rPr>
          <w:rFonts w:hint="eastAsia" w:ascii="黑体" w:hAnsi="黑体" w:eastAsia="黑体"/>
          <w:b w:val="0"/>
          <w:color w:val="000000" w:themeColor="text1"/>
          <w14:textFill>
            <w14:solidFill>
              <w14:schemeClr w14:val="tx1"/>
            </w14:solidFill>
          </w14:textFill>
        </w:rPr>
        <w:t>部门职责</w:t>
      </w:r>
      <w:bookmarkEnd w:id="19"/>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（一）负责贯彻执行国家、省、市有关医疗保险、生育保险、医疗救助、长期护理保险等医疗保障政策制度。</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（二）组织起草有关地方性法规和规章，草案。负责拟订全市医疗保障事业发展规划、政策和标准，并组织实施和监督检查。</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（三）</w:t>
      </w:r>
      <w:r>
        <w:rPr>
          <w:rFonts w:hint="eastAsia" w:ascii="仿宋_GB2312" w:eastAsia="仿宋_GB2312" w:cs="仿宋_GB2312"/>
          <w:color w:val="000000" w:themeColor="text1"/>
          <w:spacing w:val="-6"/>
          <w:sz w:val="32"/>
          <w:szCs w:val="32"/>
          <w14:textFill>
            <w14:solidFill>
              <w14:schemeClr w14:val="tx1"/>
            </w14:solidFill>
          </w14:textFill>
        </w:rPr>
        <w:t>组织拟订并实施医疗保障基金监督管理制度，建立健全医疗保障基金安全防控机制，监督强化全市医疗保障基金运行管理。</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四）组织拟订医疗保障筹资和待遇政策，负责医疗保障基金归集，拟订医疗保障基金年度收支计划，按政策和标准支付医疗待遇；完善动态调整和区域调剂平衡机制，统筹城乡医疗保障待遇标准，建立健全与筹资水平相适应的待遇调整机制。</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（五）</w:t>
      </w:r>
      <w:r>
        <w:rPr>
          <w:rFonts w:hint="eastAsia" w:ascii="仿宋_GB2312" w:eastAsia="仿宋_GB2312" w:cs="仿宋_GB2312"/>
          <w:color w:val="000000" w:themeColor="text1"/>
          <w:spacing w:val="-6"/>
          <w:sz w:val="32"/>
          <w:szCs w:val="32"/>
          <w14:textFill>
            <w14:solidFill>
              <w14:schemeClr w14:val="tx1"/>
            </w14:solidFill>
          </w14:textFill>
        </w:rPr>
        <w:t>贯彻执行上级药品目录、医用耗材、医疗服务项目、医疗服务设施等医疗保障目录和支付标准政策。拟订全市药品目录、医用耗材、医疗服务项目、医疗服务设施等医疗保障目录和支付标准政策。拟订全市有关医保目录准入谈判规则并组织实施。</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六）贯彻执行上级药品、医用耗材价格和医疗服务项目、医疗服务设施收费等政策，负责拟订全市医用耗材价格和医疗服务项目、医疗服务设施收费等政策。建立医保支付医药服务价格合理确定和动态调整机制。推动建立市场主导的社会医药服务价格形成机制；建立价格信息监测和信息发布制度。</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（七）贯彻执行上级药品、医用耗材的招标采购政策并监督实施。负责全市药品、医用耗材招标采购平台建设。组织实施大病保险招标准入和业务指导。</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（八）推进医疗保障基金支付方式改革，拟订全市定点医药机构协议和支付管理办法并组织实施。负责全市医疗保障定点机构管理和考核工作。</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九）建立健全医疗保障信用评价体系和信息披露制度。推进协议服务机构标准化建设，建立协议服务机构准入和退出机制。监督管理纳入医保范围内的医疗服务行为和医疗费用，依法查处医疗保障领域违法违规行为。</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（十）负责全市医疗保障经办管理、公共服务体系建设。组织拟订和完善异地就医管理和费用结算政策。建立健全医疗保障关系转移接续制度。监督管理全市医保经办服务工作；开展医疗保障领域对外合作交流。</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（十一）负责推进实施全市医疗保障信息化建设，组织开展医疗保障大数据管理和应用。</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（十二）负责职责范围内的安全生产和职业健康、生态环境保护、审批服务便民化等工作。</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（十三）完成市委和市政府交办的其他任务。</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四）职能转变。完善统一的城乡居民基本医疗保险制度和大病保险制度，不断提高医疗保障水平，建立健全覆盖全民、城乡统筹的多层次医疗保障体系，确保医保资金合理使用、安全可控，推进医疗、医保、医药“三医联动”改革，更好保障人民群众就医需求、减轻医药费用负担。</w:t>
      </w:r>
    </w:p>
    <w:p>
      <w:pPr>
        <w:adjustRightInd w:val="0"/>
        <w:snapToGrid w:val="0"/>
        <w:spacing w:line="576"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五）有关职责分工。市卫生健康委员会、市医疗保障局和市市场监督管理局等部门在医疗、医保、医药等方面加强制度、政策衔接，建立沟通协商机制，协同推进改革，提高医疗资源使用效率和医疗保障水平。</w:t>
      </w:r>
    </w:p>
    <w:p>
      <w:pPr>
        <w:pStyle w:val="4"/>
        <w:keepNext w:val="0"/>
        <w:keepLines w:val="0"/>
        <w:adjustRightInd w:val="0"/>
        <w:snapToGrid w:val="0"/>
        <w:spacing w:before="0" w:after="0" w:line="576" w:lineRule="exact"/>
        <w:ind w:firstLine="640" w:firstLineChars="200"/>
        <w:rPr>
          <w:rStyle w:val="27"/>
          <w:rFonts w:ascii="黑体" w:hAnsi="黑体" w:eastAsia="黑体"/>
          <w:b w:val="0"/>
          <w:bCs w:val="0"/>
          <w:color w:val="000000" w:themeColor="text1"/>
          <w14:textFill>
            <w14:solidFill>
              <w14:schemeClr w14:val="tx1"/>
            </w14:solidFill>
          </w14:textFill>
        </w:rPr>
      </w:pPr>
      <w:bookmarkStart w:id="20" w:name="_Toc15396601"/>
      <w:bookmarkStart w:id="21" w:name="_Toc29441"/>
      <w:bookmarkStart w:id="22" w:name="_Toc15377200"/>
      <w:r>
        <w:rPr>
          <w:rFonts w:hint="eastAsia" w:ascii="黑体" w:eastAsia="黑体"/>
          <w:b w:val="0"/>
          <w:color w:val="000000" w:themeColor="text1"/>
          <w14:textFill>
            <w14:solidFill>
              <w14:schemeClr w14:val="tx1"/>
            </w14:solidFill>
          </w14:textFill>
        </w:rPr>
        <w:t>二、</w:t>
      </w:r>
      <w:r>
        <w:rPr>
          <w:rFonts w:hint="eastAsia" w:ascii="黑体" w:hAnsi="黑体" w:eastAsia="黑体"/>
          <w:b w:val="0"/>
          <w:color w:val="000000" w:themeColor="text1"/>
          <w14:textFill>
            <w14:solidFill>
              <w14:schemeClr w14:val="tx1"/>
            </w14:solidFill>
          </w14:textFill>
        </w:rPr>
        <w:t>机</w:t>
      </w:r>
      <w:r>
        <w:rPr>
          <w:rStyle w:val="27"/>
          <w:rFonts w:hint="eastAsia" w:ascii="黑体" w:hAnsi="黑体" w:eastAsia="黑体"/>
          <w:b w:val="0"/>
          <w:bCs w:val="0"/>
          <w:color w:val="000000" w:themeColor="text1"/>
          <w14:textFill>
            <w14:solidFill>
              <w14:schemeClr w14:val="tx1"/>
            </w14:solidFill>
          </w14:textFill>
        </w:rPr>
        <w:t>构设置</w:t>
      </w:r>
      <w:bookmarkEnd w:id="20"/>
      <w:bookmarkEnd w:id="21"/>
      <w:bookmarkEnd w:id="22"/>
    </w:p>
    <w:p>
      <w:pPr>
        <w:adjustRightInd w:val="0"/>
        <w:snapToGrid w:val="0"/>
        <w:spacing w:line="576" w:lineRule="exact"/>
        <w:ind w:firstLine="640" w:firstLineChars="200"/>
        <w:rPr>
          <w:color w:val="000000" w:themeColor="text1"/>
          <w14:textFill>
            <w14:solidFill>
              <w14:schemeClr w14:val="tx1"/>
            </w14:solidFill>
          </w14:textFill>
        </w:rPr>
      </w:pPr>
      <w:r>
        <w:rPr>
          <w:rFonts w:hint="eastAsia" w:ascii="仿宋_GB2312" w:hAnsi="仿宋" w:eastAsia="仿宋_GB2312" w:cs="仿宋_GB2312"/>
          <w:color w:val="000000" w:themeColor="text1"/>
          <w:sz w:val="32"/>
          <w:szCs w:val="32"/>
          <w14:textFill>
            <w14:solidFill>
              <w14:schemeClr w14:val="tx1"/>
            </w14:solidFill>
          </w14:textFill>
        </w:rPr>
        <w:t>广元市医疗保障局部门下属</w:t>
      </w:r>
      <w:r>
        <w:rPr>
          <w:rFonts w:ascii="仿宋_GB2312" w:hAnsi="仿宋" w:eastAsia="仿宋_GB2312" w:cs="仿宋_GB2312"/>
          <w:color w:val="000000" w:themeColor="text1"/>
          <w:sz w:val="32"/>
          <w:szCs w:val="32"/>
          <w14:textFill>
            <w14:solidFill>
              <w14:schemeClr w14:val="tx1"/>
            </w14:solidFill>
          </w14:textFill>
        </w:rPr>
        <w:t>二级预算单位</w:t>
      </w:r>
      <w:r>
        <w:rPr>
          <w:rFonts w:hint="eastAsia" w:ascii="仿宋_GB2312" w:hAnsi="仿宋" w:eastAsia="仿宋_GB2312" w:cs="仿宋_GB2312"/>
          <w:color w:val="000000" w:themeColor="text1"/>
          <w:sz w:val="32"/>
          <w:szCs w:val="32"/>
          <w:lang w:val="en-US" w:eastAsia="zh-CN"/>
          <w14:textFill>
            <w14:solidFill>
              <w14:schemeClr w14:val="tx1"/>
            </w14:solidFill>
          </w14:textFill>
        </w:rPr>
        <w:t>2</w:t>
      </w:r>
      <w:r>
        <w:rPr>
          <w:rFonts w:hint="eastAsia" w:ascii="仿宋_GB2312" w:hAnsi="仿宋" w:eastAsia="仿宋_GB2312" w:cs="仿宋_GB2312"/>
          <w:color w:val="000000" w:themeColor="text1"/>
          <w:sz w:val="32"/>
          <w:szCs w:val="32"/>
          <w14:textFill>
            <w14:solidFill>
              <w14:schemeClr w14:val="tx1"/>
            </w14:solidFill>
          </w14:textFill>
        </w:rPr>
        <w:t>个，其中参照公务员法管理的事业单位</w:t>
      </w:r>
      <w:r>
        <w:rPr>
          <w:rFonts w:ascii="仿宋_GB2312" w:hAnsi="仿宋" w:eastAsia="仿宋_GB2312" w:cs="仿宋_GB2312"/>
          <w:color w:val="000000" w:themeColor="text1"/>
          <w:sz w:val="32"/>
          <w:szCs w:val="32"/>
          <w14:textFill>
            <w14:solidFill>
              <w14:schemeClr w14:val="tx1"/>
            </w14:solidFill>
          </w14:textFill>
        </w:rPr>
        <w:t>1</w:t>
      </w:r>
      <w:r>
        <w:rPr>
          <w:rFonts w:hint="eastAsia" w:ascii="仿宋_GB2312" w:hAnsi="仿宋" w:eastAsia="仿宋_GB2312" w:cs="仿宋_GB2312"/>
          <w:color w:val="000000" w:themeColor="text1"/>
          <w:sz w:val="32"/>
          <w:szCs w:val="32"/>
          <w14:textFill>
            <w14:solidFill>
              <w14:schemeClr w14:val="tx1"/>
            </w14:solidFill>
          </w14:textFill>
        </w:rPr>
        <w:t>个，其他事业单位</w:t>
      </w:r>
      <w:r>
        <w:rPr>
          <w:rFonts w:ascii="仿宋_GB2312" w:hAnsi="仿宋" w:eastAsia="仿宋_GB2312" w:cs="仿宋_GB2312"/>
          <w:color w:val="000000" w:themeColor="text1"/>
          <w:sz w:val="32"/>
          <w:szCs w:val="32"/>
          <w14:textFill>
            <w14:solidFill>
              <w14:schemeClr w14:val="tx1"/>
            </w14:solidFill>
          </w14:textFill>
        </w:rPr>
        <w:t>1</w:t>
      </w:r>
      <w:r>
        <w:rPr>
          <w:rFonts w:hint="eastAsia" w:ascii="仿宋_GB2312" w:hAnsi="仿宋" w:eastAsia="仿宋_GB2312" w:cs="仿宋_GB2312"/>
          <w:color w:val="000000" w:themeColor="text1"/>
          <w:sz w:val="32"/>
          <w:szCs w:val="32"/>
          <w14:textFill>
            <w14:solidFill>
              <w14:schemeClr w14:val="tx1"/>
            </w14:solidFill>
          </w14:textFill>
        </w:rPr>
        <w:t>个。</w:t>
      </w:r>
    </w:p>
    <w:p>
      <w:pPr>
        <w:pStyle w:val="2"/>
        <w:adjustRightInd w:val="0"/>
        <w:snapToGrid w:val="0"/>
        <w:spacing w:before="93" w:line="600" w:lineRule="exact"/>
        <w:ind w:firstLine="672" w:firstLineChars="210"/>
        <w:rPr>
          <w:rFonts w:hAnsi="仿宋" w:cs="仿宋_GB2312"/>
          <w:color w:val="000000" w:themeColor="text1"/>
          <w:kern w:val="2"/>
          <w:sz w:val="32"/>
          <w:szCs w:val="32"/>
          <w14:textFill>
            <w14:solidFill>
              <w14:schemeClr w14:val="tx1"/>
            </w14:solidFill>
          </w14:textFill>
        </w:rPr>
      </w:pPr>
      <w:bookmarkStart w:id="23" w:name="_Toc15377204"/>
      <w:bookmarkStart w:id="24" w:name="_Toc15396602"/>
      <w:r>
        <w:rPr>
          <w:rFonts w:hint="eastAsia" w:hAnsi="仿宋" w:cs="仿宋_GB2312"/>
          <w:color w:val="000000" w:themeColor="text1"/>
          <w:kern w:val="2"/>
          <w:sz w:val="32"/>
          <w:szCs w:val="32"/>
          <w14:textFill>
            <w14:solidFill>
              <w14:schemeClr w14:val="tx1"/>
            </w14:solidFill>
          </w14:textFill>
        </w:rPr>
        <w:t>纳入广元市医疗保障局202</w:t>
      </w:r>
      <w:r>
        <w:rPr>
          <w:rFonts w:hint="eastAsia" w:hAnsi="仿宋" w:cs="仿宋_GB2312"/>
          <w:color w:val="000000" w:themeColor="text1"/>
          <w:kern w:val="2"/>
          <w:sz w:val="32"/>
          <w:szCs w:val="32"/>
          <w:lang w:val="en-US" w:eastAsia="zh-CN"/>
          <w14:textFill>
            <w14:solidFill>
              <w14:schemeClr w14:val="tx1"/>
            </w14:solidFill>
          </w14:textFill>
        </w:rPr>
        <w:t>4</w:t>
      </w:r>
      <w:r>
        <w:rPr>
          <w:rFonts w:hint="eastAsia" w:hAnsi="仿宋" w:cs="仿宋_GB2312"/>
          <w:color w:val="000000" w:themeColor="text1"/>
          <w:kern w:val="2"/>
          <w:sz w:val="32"/>
          <w:szCs w:val="32"/>
          <w14:textFill>
            <w14:solidFill>
              <w14:schemeClr w14:val="tx1"/>
            </w14:solidFill>
          </w14:textFill>
        </w:rPr>
        <w:t>年度部门决算编制范围的二级单位包括：</w:t>
      </w:r>
    </w:p>
    <w:p>
      <w:pPr>
        <w:numPr>
          <w:ilvl w:val="0"/>
          <w:numId w:val="1"/>
        </w:numPr>
        <w:ind w:firstLine="640" w:firstLineChars="200"/>
        <w:rPr>
          <w:rFonts w:ascii="仿宋_GB2312" w:hAnsi="仿宋" w:eastAsia="仿宋_GB2312" w:cs="仿宋_GB2312"/>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z w:val="32"/>
          <w:szCs w:val="32"/>
          <w14:textFill>
            <w14:solidFill>
              <w14:schemeClr w14:val="tx1"/>
            </w14:solidFill>
          </w14:textFill>
        </w:rPr>
        <w:t>广元市医疗保障事务中心（未独立核算）</w:t>
      </w:r>
    </w:p>
    <w:p>
      <w:pPr>
        <w:numPr>
          <w:ilvl w:val="0"/>
          <w:numId w:val="1"/>
        </w:numPr>
        <w:ind w:left="0" w:leftChars="0" w:firstLine="640" w:firstLineChars="200"/>
        <w:rPr>
          <w:rFonts w:ascii="仿宋_GB2312" w:hAnsi="仿宋" w:eastAsia="仿宋_GB2312" w:cs="仿宋_GB2312"/>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z w:val="32"/>
          <w:szCs w:val="32"/>
          <w14:textFill>
            <w14:solidFill>
              <w14:schemeClr w14:val="tx1"/>
            </w14:solidFill>
          </w14:textFill>
        </w:rPr>
        <w:t>广元市医保信息中心（未独立核算）</w:t>
      </w:r>
    </w:p>
    <w:p>
      <w:pPr>
        <w:pStyle w:val="3"/>
        <w:ind w:right="440" w:firstLine="880" w:firstLineChars="200"/>
        <w:rPr>
          <w:rFonts w:ascii="黑体" w:hAnsi="黑体" w:eastAsia="黑体"/>
          <w:b w:val="0"/>
          <w:color w:val="000000" w:themeColor="text1"/>
          <w14:textFill>
            <w14:solidFill>
              <w14:schemeClr w14:val="tx1"/>
            </w14:solidFill>
          </w14:textFill>
        </w:rPr>
      </w:pPr>
    </w:p>
    <w:p>
      <w:pPr>
        <w:pStyle w:val="3"/>
        <w:ind w:right="440"/>
        <w:rPr>
          <w:rFonts w:ascii="黑体" w:hAnsi="黑体" w:eastAsia="黑体"/>
          <w:b w:val="0"/>
          <w:color w:val="000000" w:themeColor="text1"/>
          <w14:textFill>
            <w14:solidFill>
              <w14:schemeClr w14:val="tx1"/>
            </w14:solidFill>
          </w14:textFill>
        </w:rPr>
      </w:pPr>
    </w:p>
    <w:p>
      <w:pPr>
        <w:rPr>
          <w:color w:val="000000" w:themeColor="text1"/>
          <w14:textFill>
            <w14:solidFill>
              <w14:schemeClr w14:val="tx1"/>
            </w14:solidFill>
          </w14:textFill>
        </w:rPr>
      </w:pPr>
    </w:p>
    <w:p>
      <w:pP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br w:type="page"/>
      </w:r>
    </w:p>
    <w:p>
      <w:pPr>
        <w:pStyle w:val="3"/>
        <w:keepNext/>
        <w:keepLines/>
        <w:pageBreakBefore w:val="0"/>
        <w:widowControl w:val="0"/>
        <w:kinsoku/>
        <w:wordWrap/>
        <w:overflowPunct/>
        <w:topLinePunct w:val="0"/>
        <w:autoSpaceDE/>
        <w:autoSpaceDN/>
        <w:bidi w:val="0"/>
        <w:adjustRightInd/>
        <w:snapToGrid/>
        <w:spacing w:before="0" w:after="0" w:line="640" w:lineRule="exact"/>
        <w:ind w:right="0" w:firstLine="880" w:firstLineChars="200"/>
        <w:textAlignment w:val="auto"/>
        <w:rPr>
          <w:rStyle w:val="26"/>
          <w:rFonts w:hint="eastAsia" w:ascii="方正小标宋简体" w:hAnsi="方正小标宋简体" w:eastAsia="方正小标宋简体" w:cs="方正小标宋简体"/>
          <w:b w:val="0"/>
          <w:bCs/>
          <w:color w:val="000000" w:themeColor="text1"/>
          <w14:textFill>
            <w14:solidFill>
              <w14:schemeClr w14:val="tx1"/>
            </w14:solidFill>
          </w14:textFill>
        </w:rPr>
      </w:pPr>
      <w:bookmarkStart w:id="25" w:name="_Toc23736"/>
      <w:r>
        <w:rPr>
          <w:rFonts w:hint="eastAsia" w:ascii="方正小标宋简体" w:hAnsi="方正小标宋简体" w:eastAsia="方正小标宋简体" w:cs="方正小标宋简体"/>
          <w:b w:val="0"/>
          <w:color w:val="000000" w:themeColor="text1"/>
          <w14:textFill>
            <w14:solidFill>
              <w14:schemeClr w14:val="tx1"/>
            </w14:solidFill>
          </w14:textFill>
        </w:rPr>
        <w:t>第二部分 202</w:t>
      </w:r>
      <w:r>
        <w:rPr>
          <w:rFonts w:hint="eastAsia" w:ascii="方正小标宋简体" w:hAnsi="方正小标宋简体" w:eastAsia="方正小标宋简体" w:cs="方正小标宋简体"/>
          <w:b w:val="0"/>
          <w:color w:val="000000" w:themeColor="text1"/>
          <w:lang w:val="en-US" w:eastAsia="zh-CN"/>
          <w14:textFill>
            <w14:solidFill>
              <w14:schemeClr w14:val="tx1"/>
            </w14:solidFill>
          </w14:textFill>
        </w:rPr>
        <w:t>4</w:t>
      </w:r>
      <w:r>
        <w:rPr>
          <w:rFonts w:hint="eastAsia" w:ascii="方正小标宋简体" w:hAnsi="方正小标宋简体" w:eastAsia="方正小标宋简体" w:cs="方正小标宋简体"/>
          <w:b w:val="0"/>
          <w:color w:val="000000" w:themeColor="text1"/>
          <w14:textFill>
            <w14:solidFill>
              <w14:schemeClr w14:val="tx1"/>
            </w14:solidFill>
          </w14:textFill>
        </w:rPr>
        <w:t>年度</w:t>
      </w:r>
      <w:r>
        <w:rPr>
          <w:rStyle w:val="26"/>
          <w:rFonts w:hint="eastAsia" w:ascii="方正小标宋简体" w:hAnsi="方正小标宋简体" w:eastAsia="方正小标宋简体" w:cs="方正小标宋简体"/>
          <w:b w:val="0"/>
          <w:bCs/>
          <w:color w:val="000000" w:themeColor="text1"/>
          <w14:textFill>
            <w14:solidFill>
              <w14:schemeClr w14:val="tx1"/>
            </w14:solidFill>
          </w14:textFill>
        </w:rPr>
        <w:t>部门决算情况说明</w:t>
      </w:r>
      <w:bookmarkEnd w:id="23"/>
      <w:bookmarkEnd w:id="24"/>
      <w:bookmarkEnd w:id="25"/>
    </w:p>
    <w:p>
      <w:pPr>
        <w:rPr>
          <w:rFonts w:hint="eastAsia"/>
          <w:color w:val="000000" w:themeColor="text1"/>
          <w14:textFill>
            <w14:solidFill>
              <w14:schemeClr w14:val="tx1"/>
            </w14:solidFill>
          </w14:textFill>
        </w:rPr>
      </w:pPr>
    </w:p>
    <w:p>
      <w:pPr>
        <w:pStyle w:val="38"/>
        <w:numPr>
          <w:ilvl w:val="0"/>
          <w:numId w:val="0"/>
        </w:numPr>
        <w:spacing w:line="600" w:lineRule="exact"/>
        <w:ind w:firstLine="640" w:firstLineChars="200"/>
        <w:outlineLvl w:val="1"/>
        <w:rPr>
          <w:rStyle w:val="27"/>
          <w:rFonts w:ascii="黑体" w:hAnsi="黑体" w:eastAsia="黑体"/>
          <w:b w:val="0"/>
          <w:color w:val="000000" w:themeColor="text1"/>
          <w14:textFill>
            <w14:solidFill>
              <w14:schemeClr w14:val="tx1"/>
            </w14:solidFill>
          </w14:textFill>
        </w:rPr>
      </w:pPr>
      <w:bookmarkStart w:id="26" w:name="_Toc15396603"/>
      <w:bookmarkStart w:id="27" w:name="_Toc15377205"/>
      <w:bookmarkStart w:id="28" w:name="_Toc928"/>
      <w:r>
        <w:rPr>
          <w:rFonts w:hint="eastAsia" w:ascii="黑体" w:hAnsi="黑体" w:eastAsia="黑体"/>
          <w:color w:val="000000" w:themeColor="text1"/>
          <w:sz w:val="32"/>
          <w:szCs w:val="32"/>
          <w:lang w:val="en-US" w:eastAsia="zh-CN"/>
          <w14:textFill>
            <w14:solidFill>
              <w14:schemeClr w14:val="tx1"/>
            </w14:solidFill>
          </w14:textFill>
        </w:rPr>
        <w:t>一、</w:t>
      </w:r>
      <w:r>
        <w:rPr>
          <w:rFonts w:hint="eastAsia" w:ascii="黑体" w:hAnsi="黑体" w:eastAsia="黑体"/>
          <w:color w:val="000000" w:themeColor="text1"/>
          <w:sz w:val="32"/>
          <w:szCs w:val="32"/>
          <w14:textFill>
            <w14:solidFill>
              <w14:schemeClr w14:val="tx1"/>
            </w14:solidFill>
          </w14:textFill>
        </w:rPr>
        <w:t>收</w:t>
      </w:r>
      <w:r>
        <w:rPr>
          <w:rStyle w:val="27"/>
          <w:rFonts w:hint="eastAsia" w:ascii="黑体" w:hAnsi="黑体" w:eastAsia="黑体"/>
          <w:b w:val="0"/>
          <w:color w:val="000000" w:themeColor="text1"/>
          <w14:textFill>
            <w14:solidFill>
              <w14:schemeClr w14:val="tx1"/>
            </w14:solidFill>
          </w14:textFill>
        </w:rPr>
        <w:t>入支出决算总体情况说明</w:t>
      </w:r>
      <w:bookmarkEnd w:id="26"/>
      <w:bookmarkEnd w:id="27"/>
      <w:bookmarkEnd w:id="28"/>
    </w:p>
    <w:p>
      <w:pPr>
        <w:spacing w:line="600" w:lineRule="exact"/>
        <w:ind w:firstLine="684" w:firstLineChars="200"/>
        <w:rPr>
          <w:rFonts w:hint="default" w:ascii="仿宋_GB2312" w:hAnsi="仿宋_GB2312" w:eastAsia="仿宋_GB2312" w:cs="仿宋_GB2312"/>
          <w:color w:val="000000" w:themeColor="text1"/>
          <w:spacing w:val="1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11"/>
          <w:sz w:val="32"/>
          <w:szCs w:val="32"/>
          <w14:textFill>
            <w14:solidFill>
              <w14:schemeClr w14:val="tx1"/>
            </w14:solidFill>
          </w14:textFill>
        </w:rPr>
        <w:t>202</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pacing w:val="11"/>
          <w:sz w:val="32"/>
          <w:szCs w:val="32"/>
          <w14:textFill>
            <w14:solidFill>
              <w14:schemeClr w14:val="tx1"/>
            </w14:solidFill>
          </w14:textFill>
        </w:rPr>
        <w:t>年度收、支总计</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2280.29</w:t>
      </w:r>
      <w:r>
        <w:rPr>
          <w:rFonts w:hint="eastAsia" w:ascii="仿宋_GB2312" w:hAnsi="仿宋_GB2312" w:eastAsia="仿宋_GB2312" w:cs="仿宋_GB2312"/>
          <w:color w:val="000000" w:themeColor="text1"/>
          <w:spacing w:val="11"/>
          <w:sz w:val="32"/>
          <w:szCs w:val="32"/>
          <w14:textFill>
            <w14:solidFill>
              <w14:schemeClr w14:val="tx1"/>
            </w14:solidFill>
          </w14:textFill>
        </w:rPr>
        <w:t>万元。与</w:t>
      </w:r>
      <w:r>
        <w:rPr>
          <w:rFonts w:hint="eastAsia" w:ascii="仿宋_GB2312" w:hAnsi="仿宋_GB2312" w:eastAsia="仿宋_GB2312" w:cs="仿宋_GB2312"/>
          <w:color w:val="000000" w:themeColor="text1"/>
          <w:spacing w:val="11"/>
          <w:sz w:val="32"/>
          <w:szCs w:val="32"/>
          <w:lang w:eastAsia="zh-CN"/>
          <w14:textFill>
            <w14:solidFill>
              <w14:schemeClr w14:val="tx1"/>
            </w14:solidFill>
          </w14:textFill>
        </w:rPr>
        <w:t>2023年度</w:t>
      </w:r>
      <w:r>
        <w:rPr>
          <w:rFonts w:hint="eastAsia" w:ascii="仿宋_GB2312" w:hAnsi="仿宋_GB2312" w:eastAsia="仿宋_GB2312" w:cs="仿宋_GB2312"/>
          <w:color w:val="000000" w:themeColor="text1"/>
          <w:spacing w:val="11"/>
          <w:sz w:val="32"/>
          <w:szCs w:val="32"/>
          <w14:textFill>
            <w14:solidFill>
              <w14:schemeClr w14:val="tx1"/>
            </w14:solidFill>
          </w14:textFill>
        </w:rPr>
        <w:t>相比，收、支总计各</w:t>
      </w:r>
      <w:r>
        <w:rPr>
          <w:rFonts w:hint="eastAsia" w:ascii="仿宋_GB2312" w:hAnsi="仿宋_GB2312" w:eastAsia="仿宋_GB2312" w:cs="仿宋_GB2312"/>
          <w:color w:val="000000" w:themeColor="text1"/>
          <w:spacing w:val="1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219.28</w:t>
      </w:r>
      <w:r>
        <w:rPr>
          <w:rFonts w:hint="eastAsia" w:ascii="仿宋_GB2312" w:hAnsi="仿宋_GB2312" w:eastAsia="仿宋_GB2312" w:cs="仿宋_GB2312"/>
          <w:color w:val="000000" w:themeColor="text1"/>
          <w:spacing w:val="11"/>
          <w:sz w:val="32"/>
          <w:szCs w:val="32"/>
          <w14:textFill>
            <w14:solidFill>
              <w14:schemeClr w14:val="tx1"/>
            </w14:solidFill>
          </w14:textFill>
        </w:rPr>
        <w:t>万元，</w:t>
      </w:r>
      <w:r>
        <w:rPr>
          <w:rFonts w:hint="eastAsia" w:ascii="仿宋_GB2312" w:hAnsi="仿宋_GB2312" w:eastAsia="仿宋_GB2312" w:cs="仿宋_GB2312"/>
          <w:color w:val="000000" w:themeColor="text1"/>
          <w:spacing w:val="11"/>
          <w:sz w:val="32"/>
          <w:szCs w:val="32"/>
          <w:lang w:eastAsia="zh-CN"/>
          <w14:textFill>
            <w14:solidFill>
              <w14:schemeClr w14:val="tx1"/>
            </w14:solidFill>
          </w14:textFill>
        </w:rPr>
        <w:t>下降</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8.77</w:t>
      </w:r>
      <w:r>
        <w:rPr>
          <w:rFonts w:hint="eastAsia" w:ascii="仿宋_GB2312" w:hAnsi="仿宋_GB2312" w:eastAsia="仿宋_GB2312" w:cs="仿宋_GB2312"/>
          <w:color w:val="000000" w:themeColor="text1"/>
          <w:spacing w:val="11"/>
          <w:sz w:val="32"/>
          <w:szCs w:val="32"/>
          <w14:textFill>
            <w14:solidFill>
              <w14:schemeClr w14:val="tx1"/>
            </w14:solidFill>
          </w14:textFill>
        </w:rPr>
        <w:t>%。主要变动原因是</w:t>
      </w:r>
      <w:r>
        <w:rPr>
          <w:rFonts w:hint="eastAsia" w:ascii="仿宋_GB2312" w:hAnsi="仿宋_GB2312" w:eastAsia="仿宋_GB2312" w:cs="仿宋_GB2312"/>
          <w:color w:val="000000" w:themeColor="text1"/>
          <w:spacing w:val="11"/>
          <w:sz w:val="32"/>
          <w:szCs w:val="32"/>
          <w:lang w:eastAsia="zh-CN"/>
          <w14:textFill>
            <w14:solidFill>
              <w14:schemeClr w14:val="tx1"/>
            </w14:solidFill>
          </w14:textFill>
        </w:rPr>
        <w:t>2024年度省级拨付医疗服务与保障能力提升补助资金减少。</w:t>
      </w:r>
    </w:p>
    <w:p>
      <w:pPr>
        <w:pStyle w:val="10"/>
        <w:rPr>
          <w:color w:val="000000" w:themeColor="text1"/>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drawing>
          <wp:anchor distT="0" distB="0" distL="114300" distR="114300" simplePos="0" relativeHeight="251659264" behindDoc="0" locked="0" layoutInCell="1" allowOverlap="1">
            <wp:simplePos x="0" y="0"/>
            <wp:positionH relativeFrom="column">
              <wp:posOffset>417830</wp:posOffset>
            </wp:positionH>
            <wp:positionV relativeFrom="paragraph">
              <wp:posOffset>155575</wp:posOffset>
            </wp:positionV>
            <wp:extent cx="4954905" cy="2435225"/>
            <wp:effectExtent l="5080" t="4445" r="5715" b="11430"/>
            <wp:wrapSquare wrapText="bothSides"/>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rPr>
          <w:rFonts w:ascii="仿宋" w:hAnsi="仿宋" w:eastAsia="仿宋"/>
          <w:color w:val="000000" w:themeColor="text1"/>
          <w:sz w:val="32"/>
          <w:szCs w:val="32"/>
          <w14:textFill>
            <w14:solidFill>
              <w14:schemeClr w14:val="tx1"/>
            </w14:solidFill>
          </w14:textFill>
        </w:rPr>
      </w:pPr>
    </w:p>
    <w:p>
      <w:pPr>
        <w:spacing w:line="600" w:lineRule="exact"/>
        <w:ind w:firstLine="1600" w:firstLineChars="5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图1：收、支决算总计变动情况图</w:t>
      </w:r>
    </w:p>
    <w:p>
      <w:pPr>
        <w:pStyle w:val="10"/>
        <w:rPr>
          <w:color w:val="000000" w:themeColor="text1"/>
          <w14:textFill>
            <w14:solidFill>
              <w14:schemeClr w14:val="tx1"/>
            </w14:solidFill>
          </w14:textFill>
        </w:rPr>
      </w:pPr>
    </w:p>
    <w:p>
      <w:pPr>
        <w:pStyle w:val="38"/>
        <w:numPr>
          <w:ilvl w:val="0"/>
          <w:numId w:val="0"/>
        </w:numPr>
        <w:spacing w:line="600" w:lineRule="exact"/>
        <w:ind w:firstLine="640" w:firstLineChars="200"/>
        <w:outlineLvl w:val="1"/>
        <w:rPr>
          <w:rStyle w:val="27"/>
          <w:rFonts w:ascii="黑体" w:hAnsi="黑体" w:eastAsia="黑体"/>
          <w:b w:val="0"/>
          <w:color w:val="000000" w:themeColor="text1"/>
          <w14:textFill>
            <w14:solidFill>
              <w14:schemeClr w14:val="tx1"/>
            </w14:solidFill>
          </w14:textFill>
        </w:rPr>
      </w:pPr>
      <w:bookmarkStart w:id="29" w:name="_Toc7475"/>
      <w:bookmarkStart w:id="30" w:name="_Toc15377206"/>
      <w:bookmarkStart w:id="31" w:name="_Toc15396604"/>
      <w:r>
        <w:rPr>
          <w:rFonts w:hint="eastAsia" w:ascii="黑体" w:hAnsi="黑体" w:eastAsia="黑体"/>
          <w:color w:val="000000" w:themeColor="text1"/>
          <w:sz w:val="32"/>
          <w:szCs w:val="32"/>
          <w:lang w:val="en-US" w:eastAsia="zh-CN"/>
          <w14:textFill>
            <w14:solidFill>
              <w14:schemeClr w14:val="tx1"/>
            </w14:solidFill>
          </w14:textFill>
        </w:rPr>
        <w:t>二、</w:t>
      </w:r>
      <w:r>
        <w:rPr>
          <w:rFonts w:hint="eastAsia" w:ascii="黑体" w:hAnsi="黑体" w:eastAsia="黑体"/>
          <w:color w:val="000000" w:themeColor="text1"/>
          <w:sz w:val="32"/>
          <w:szCs w:val="32"/>
          <w14:textFill>
            <w14:solidFill>
              <w14:schemeClr w14:val="tx1"/>
            </w14:solidFill>
          </w14:textFill>
        </w:rPr>
        <w:t>收</w:t>
      </w:r>
      <w:r>
        <w:rPr>
          <w:rStyle w:val="27"/>
          <w:rFonts w:hint="eastAsia" w:ascii="黑体" w:hAnsi="黑体" w:eastAsia="黑体"/>
          <w:b w:val="0"/>
          <w:color w:val="000000" w:themeColor="text1"/>
          <w14:textFill>
            <w14:solidFill>
              <w14:schemeClr w14:val="tx1"/>
            </w14:solidFill>
          </w14:textFill>
        </w:rPr>
        <w:t>入决算情况说明</w:t>
      </w:r>
      <w:bookmarkEnd w:id="29"/>
      <w:bookmarkEnd w:id="30"/>
      <w:bookmarkEnd w:id="31"/>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color w:val="000000" w:themeColor="text1"/>
          <w:sz w:val="32"/>
          <w:szCs w:val="32"/>
          <w14:textFill>
            <w14:solidFill>
              <w14:schemeClr w14:val="tx1"/>
            </w14:solidFill>
          </w14:textFill>
        </w:rPr>
        <w:t>本年收入合计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2252.3</w:t>
      </w:r>
      <w:r>
        <w:rPr>
          <w:rFonts w:hint="eastAsia" w:ascii="仿宋_GB2312" w:hAnsi="仿宋_GB2312" w:eastAsia="仿宋_GB2312" w:cs="仿宋_GB2312"/>
          <w:color w:val="000000" w:themeColor="text1"/>
          <w:sz w:val="32"/>
          <w:szCs w:val="32"/>
          <w14:textFill>
            <w14:solidFill>
              <w14:schemeClr w14:val="tx1"/>
            </w14:solidFill>
          </w14:textFill>
        </w:rPr>
        <w:t>万元，其中：一般公共预算财政拨款收入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2252.3</w:t>
      </w:r>
      <w:r>
        <w:rPr>
          <w:rFonts w:hint="eastAsia" w:ascii="仿宋_GB2312" w:hAnsi="仿宋_GB2312" w:eastAsia="仿宋_GB2312" w:cs="仿宋_GB2312"/>
          <w:color w:val="000000" w:themeColor="text1"/>
          <w:sz w:val="32"/>
          <w:szCs w:val="32"/>
          <w14:textFill>
            <w14:solidFill>
              <w14:schemeClr w14:val="tx1"/>
            </w14:solidFill>
          </w14:textFill>
        </w:rPr>
        <w:t>万元，占100%。</w:t>
      </w:r>
    </w:p>
    <w:p>
      <w:pPr>
        <w:pStyle w:val="2"/>
        <w:spacing w:before="93"/>
        <w:rPr>
          <w:rFonts w:hAnsi="仿宋_GB2312" w:cs="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drawing>
          <wp:inline distT="0" distB="0" distL="114300" distR="114300">
            <wp:extent cx="4886960" cy="2940685"/>
            <wp:effectExtent l="4445" t="4445" r="23495" b="7620"/>
            <wp:docPr id="2" name="图表 2" descr="7b0a202020202263686172745265734964223a202232303436383439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图2：收入决算结构图</w:t>
      </w:r>
    </w:p>
    <w:p>
      <w:pPr>
        <w:pStyle w:val="38"/>
        <w:numPr>
          <w:ilvl w:val="0"/>
          <w:numId w:val="0"/>
        </w:numPr>
        <w:spacing w:line="600" w:lineRule="exact"/>
        <w:ind w:firstLine="640" w:firstLineChars="200"/>
        <w:outlineLvl w:val="1"/>
        <w:rPr>
          <w:rFonts w:hint="eastAsia" w:ascii="黑体" w:hAnsi="黑体" w:eastAsia="黑体"/>
          <w:color w:val="000000" w:themeColor="text1"/>
          <w:sz w:val="32"/>
          <w:szCs w:val="32"/>
          <w:lang w:val="en-US" w:eastAsia="zh-CN"/>
          <w14:textFill>
            <w14:solidFill>
              <w14:schemeClr w14:val="tx1"/>
            </w14:solidFill>
          </w14:textFill>
        </w:rPr>
      </w:pPr>
      <w:bookmarkStart w:id="32" w:name="_Toc15396605"/>
      <w:bookmarkStart w:id="33" w:name="_Toc15377207"/>
    </w:p>
    <w:p>
      <w:pPr>
        <w:pStyle w:val="38"/>
        <w:numPr>
          <w:ilvl w:val="0"/>
          <w:numId w:val="0"/>
        </w:numPr>
        <w:spacing w:line="600" w:lineRule="exact"/>
        <w:ind w:firstLine="640" w:firstLineChars="200"/>
        <w:outlineLvl w:val="1"/>
        <w:rPr>
          <w:rStyle w:val="27"/>
          <w:rFonts w:ascii="黑体" w:hAnsi="黑体" w:eastAsia="黑体"/>
          <w:b w:val="0"/>
          <w:color w:val="000000" w:themeColor="text1"/>
          <w14:textFill>
            <w14:solidFill>
              <w14:schemeClr w14:val="tx1"/>
            </w14:solidFill>
          </w14:textFill>
        </w:rPr>
      </w:pPr>
      <w:bookmarkStart w:id="34" w:name="_Toc13893"/>
      <w:r>
        <w:rPr>
          <w:rFonts w:hint="eastAsia" w:ascii="黑体" w:hAnsi="黑体" w:eastAsia="黑体"/>
          <w:color w:val="000000" w:themeColor="text1"/>
          <w:sz w:val="32"/>
          <w:szCs w:val="32"/>
          <w:lang w:val="en-US" w:eastAsia="zh-CN"/>
          <w14:textFill>
            <w14:solidFill>
              <w14:schemeClr w14:val="tx1"/>
            </w14:solidFill>
          </w14:textFill>
        </w:rPr>
        <w:t>三、</w:t>
      </w:r>
      <w:r>
        <w:rPr>
          <w:rFonts w:hint="eastAsia" w:ascii="黑体" w:hAnsi="黑体" w:eastAsia="黑体"/>
          <w:color w:val="000000" w:themeColor="text1"/>
          <w:sz w:val="32"/>
          <w:szCs w:val="32"/>
          <w14:textFill>
            <w14:solidFill>
              <w14:schemeClr w14:val="tx1"/>
            </w14:solidFill>
          </w14:textFill>
        </w:rPr>
        <w:t>支</w:t>
      </w:r>
      <w:r>
        <w:rPr>
          <w:rStyle w:val="27"/>
          <w:rFonts w:hint="eastAsia" w:ascii="黑体" w:hAnsi="黑体" w:eastAsia="黑体"/>
          <w:b w:val="0"/>
          <w:color w:val="000000" w:themeColor="text1"/>
          <w14:textFill>
            <w14:solidFill>
              <w14:schemeClr w14:val="tx1"/>
            </w14:solidFill>
          </w14:textFill>
        </w:rPr>
        <w:t>出决算情况说明</w:t>
      </w:r>
      <w:bookmarkEnd w:id="32"/>
      <w:bookmarkEnd w:id="33"/>
      <w:bookmarkEnd w:id="34"/>
    </w:p>
    <w:p>
      <w:pPr>
        <w:spacing w:line="600" w:lineRule="exact"/>
        <w:ind w:firstLine="640" w:firstLineChars="200"/>
        <w:outlineLvl w:val="1"/>
        <w:rPr>
          <w:rFonts w:ascii="仿宋_GB2312" w:hAnsi="仿宋_GB2312" w:eastAsia="仿宋_GB2312" w:cs="仿宋_GB2312"/>
          <w:color w:val="000000" w:themeColor="text1"/>
          <w:sz w:val="32"/>
          <w:szCs w:val="32"/>
          <w14:textFill>
            <w14:solidFill>
              <w14:schemeClr w14:val="tx1"/>
            </w14:solidFill>
          </w14:textFill>
        </w:rPr>
      </w:pPr>
      <w:bookmarkStart w:id="35" w:name="_Toc18336"/>
      <w:r>
        <w:rPr>
          <w:rFonts w:hint="eastAsia" w:ascii="仿宋_GB2312" w:hAnsi="仿宋_GB2312" w:eastAsia="仿宋_GB2312" w:cs="仿宋_GB2312"/>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color w:val="000000" w:themeColor="text1"/>
          <w:sz w:val="32"/>
          <w:szCs w:val="32"/>
          <w14:textFill>
            <w14:solidFill>
              <w14:schemeClr w14:val="tx1"/>
            </w14:solidFill>
          </w14:textFill>
        </w:rPr>
        <w:t>本年支出合计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2280.29</w:t>
      </w:r>
      <w:r>
        <w:rPr>
          <w:rFonts w:hint="eastAsia" w:ascii="仿宋_GB2312" w:hAnsi="仿宋_GB2312" w:eastAsia="仿宋_GB2312" w:cs="仿宋_GB2312"/>
          <w:color w:val="000000" w:themeColor="text1"/>
          <w:sz w:val="32"/>
          <w:szCs w:val="32"/>
          <w14:textFill>
            <w14:solidFill>
              <w14:schemeClr w14:val="tx1"/>
            </w14:solidFill>
          </w14:textFill>
        </w:rPr>
        <w:t>万元，其中：基本支出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816.48</w:t>
      </w:r>
      <w:r>
        <w:rPr>
          <w:rFonts w:hint="eastAsia" w:ascii="仿宋_GB2312" w:hAnsi="仿宋_GB2312" w:eastAsia="仿宋_GB2312" w:cs="仿宋_GB2312"/>
          <w:color w:val="000000" w:themeColor="text1"/>
          <w:sz w:val="32"/>
          <w:szCs w:val="32"/>
          <w14:textFill>
            <w14:solidFill>
              <w14:schemeClr w14:val="tx1"/>
            </w14:solidFill>
          </w14:textFill>
        </w:rPr>
        <w:t>万元，占3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81</w:t>
      </w:r>
      <w:r>
        <w:rPr>
          <w:rFonts w:hint="eastAsia" w:ascii="仿宋_GB2312" w:hAnsi="仿宋_GB2312" w:eastAsia="仿宋_GB2312" w:cs="仿宋_GB2312"/>
          <w:color w:val="000000" w:themeColor="text1"/>
          <w:sz w:val="32"/>
          <w:szCs w:val="32"/>
          <w14:textFill>
            <w14:solidFill>
              <w14:schemeClr w14:val="tx1"/>
            </w14:solidFill>
          </w14:textFill>
        </w:rPr>
        <w:t>%；项目支出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1463.8</w:t>
      </w:r>
      <w:r>
        <w:rPr>
          <w:rFonts w:hint="eastAsia" w:ascii="仿宋_GB2312" w:hAnsi="仿宋_GB2312" w:eastAsia="仿宋_GB2312" w:cs="仿宋_GB2312"/>
          <w:color w:val="000000" w:themeColor="text1"/>
          <w:sz w:val="32"/>
          <w:szCs w:val="32"/>
          <w14:textFill>
            <w14:solidFill>
              <w14:schemeClr w14:val="tx1"/>
            </w14:solidFill>
          </w14:textFill>
        </w:rPr>
        <w:t>万元，占6</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4.19</w:t>
      </w:r>
      <w:r>
        <w:rPr>
          <w:rFonts w:hint="eastAsia" w:ascii="仿宋_GB2312" w:hAnsi="仿宋_GB2312" w:eastAsia="仿宋_GB2312" w:cs="仿宋_GB2312"/>
          <w:color w:val="000000" w:themeColor="text1"/>
          <w:sz w:val="32"/>
          <w:szCs w:val="32"/>
          <w14:textFill>
            <w14:solidFill>
              <w14:schemeClr w14:val="tx1"/>
            </w14:solidFill>
          </w14:textFill>
        </w:rPr>
        <w:t>%。</w:t>
      </w:r>
      <w:bookmarkEnd w:id="35"/>
    </w:p>
    <w:p>
      <w:pPr>
        <w:spacing w:line="600" w:lineRule="exact"/>
        <w:ind w:firstLine="640"/>
        <w:rPr>
          <w:rFonts w:ascii="仿宋" w:hAnsi="仿宋" w:eastAsia="仿宋"/>
          <w:color w:val="000000" w:themeColor="text1"/>
          <w:sz w:val="32"/>
          <w:szCs w:val="32"/>
          <w:shd w:val="pct10" w:color="auto" w:fill="FFFFFF"/>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drawing>
          <wp:anchor distT="0" distB="0" distL="114300" distR="114300" simplePos="0" relativeHeight="251660288" behindDoc="1" locked="0" layoutInCell="1" allowOverlap="1">
            <wp:simplePos x="0" y="0"/>
            <wp:positionH relativeFrom="column">
              <wp:posOffset>536575</wp:posOffset>
            </wp:positionH>
            <wp:positionV relativeFrom="paragraph">
              <wp:posOffset>16510</wp:posOffset>
            </wp:positionV>
            <wp:extent cx="4470400" cy="2595880"/>
            <wp:effectExtent l="4445" t="4445" r="20955" b="9525"/>
            <wp:wrapTight wrapText="bothSides">
              <wp:wrapPolygon>
                <wp:start x="-21" y="-37"/>
                <wp:lineTo x="-21" y="21521"/>
                <wp:lineTo x="21517" y="21521"/>
                <wp:lineTo x="21517" y="-37"/>
                <wp:lineTo x="-21" y="-37"/>
              </wp:wrapPolygon>
            </wp:wrapTight>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2240" w:firstLineChars="700"/>
        <w:outlineLvl w:val="1"/>
        <w:rPr>
          <w:rFonts w:ascii="仿宋_GB2312" w:hAnsi="仿宋_GB2312" w:eastAsia="仿宋_GB2312" w:cs="仿宋_GB2312"/>
          <w:color w:val="000000" w:themeColor="text1"/>
          <w:sz w:val="32"/>
          <w:szCs w:val="32"/>
          <w14:textFill>
            <w14:solidFill>
              <w14:schemeClr w14:val="tx1"/>
            </w14:solidFill>
          </w14:textFill>
        </w:rPr>
      </w:pPr>
      <w:bookmarkStart w:id="36" w:name="_Toc5134"/>
      <w:r>
        <w:rPr>
          <w:rFonts w:hint="eastAsia" w:ascii="仿宋_GB2312" w:hAnsi="仿宋_GB2312" w:eastAsia="仿宋_GB2312" w:cs="仿宋_GB2312"/>
          <w:color w:val="000000" w:themeColor="text1"/>
          <w:sz w:val="32"/>
          <w:szCs w:val="32"/>
          <w14:textFill>
            <w14:solidFill>
              <w14:schemeClr w14:val="tx1"/>
            </w14:solidFill>
          </w14:textFill>
        </w:rPr>
        <w:t>图3：支出决算结构图</w:t>
      </w:r>
      <w:bookmarkEnd w:id="36"/>
    </w:p>
    <w:p>
      <w:pPr>
        <w:spacing w:line="600" w:lineRule="exact"/>
        <w:ind w:firstLine="640" w:firstLineChars="200"/>
        <w:outlineLvl w:val="1"/>
        <w:rPr>
          <w:rStyle w:val="27"/>
          <w:rFonts w:ascii="黑体" w:hAnsi="黑体" w:eastAsia="黑体"/>
          <w:b w:val="0"/>
          <w:color w:val="000000" w:themeColor="text1"/>
          <w14:textFill>
            <w14:solidFill>
              <w14:schemeClr w14:val="tx1"/>
            </w14:solidFill>
          </w14:textFill>
        </w:rPr>
      </w:pPr>
      <w:bookmarkStart w:id="37" w:name="_Toc10930"/>
      <w:bookmarkStart w:id="38" w:name="_Toc15377208"/>
      <w:bookmarkStart w:id="39" w:name="_Toc15396606"/>
      <w:r>
        <w:rPr>
          <w:rFonts w:hint="eastAsia" w:ascii="黑体" w:hAnsi="黑体" w:eastAsia="黑体"/>
          <w:color w:val="000000" w:themeColor="text1"/>
          <w:sz w:val="32"/>
          <w:szCs w:val="32"/>
          <w14:textFill>
            <w14:solidFill>
              <w14:schemeClr w14:val="tx1"/>
            </w14:solidFill>
          </w14:textFill>
        </w:rPr>
        <w:t>四、财</w:t>
      </w:r>
      <w:r>
        <w:rPr>
          <w:rStyle w:val="27"/>
          <w:rFonts w:hint="eastAsia" w:ascii="黑体" w:hAnsi="黑体" w:eastAsia="黑体"/>
          <w:b w:val="0"/>
          <w:color w:val="000000" w:themeColor="text1"/>
          <w14:textFill>
            <w14:solidFill>
              <w14:schemeClr w14:val="tx1"/>
            </w14:solidFill>
          </w14:textFill>
        </w:rPr>
        <w:t>政拨款收入支出决算总体情况说明</w:t>
      </w:r>
      <w:bookmarkEnd w:id="37"/>
      <w:bookmarkEnd w:id="38"/>
      <w:bookmarkEnd w:id="39"/>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color w:val="000000" w:themeColor="text1"/>
          <w:sz w:val="32"/>
          <w:szCs w:val="32"/>
          <w14:textFill>
            <w14:solidFill>
              <w14:schemeClr w14:val="tx1"/>
            </w14:solidFill>
          </w14:textFill>
        </w:rPr>
        <w:t>财政拨款收、支总计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2280.29</w:t>
      </w:r>
      <w:r>
        <w:rPr>
          <w:rFonts w:hint="eastAsia" w:ascii="仿宋_GB2312" w:hAnsi="仿宋_GB2312" w:eastAsia="仿宋_GB2312" w:cs="仿宋_GB2312"/>
          <w:color w:val="000000" w:themeColor="text1"/>
          <w:sz w:val="32"/>
          <w:szCs w:val="32"/>
          <w14:textFill>
            <w14:solidFill>
              <w14:schemeClr w14:val="tx1"/>
            </w14:solidFill>
          </w14:textFill>
        </w:rPr>
        <w:t>。与</w:t>
      </w:r>
      <w:r>
        <w:rPr>
          <w:rFonts w:hint="eastAsia" w:ascii="仿宋_GB2312" w:hAnsi="仿宋_GB2312" w:eastAsia="仿宋_GB2312" w:cs="仿宋_GB2312"/>
          <w:color w:val="000000" w:themeColor="text1"/>
          <w:sz w:val="32"/>
          <w:szCs w:val="32"/>
          <w:lang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14:textFill>
            <w14:solidFill>
              <w14:schemeClr w14:val="tx1"/>
            </w14:solidFill>
          </w14:textFill>
        </w:rPr>
        <w:t>相比，财政拨款收、支总计各</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219.11</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下降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8.77</w:t>
      </w:r>
      <w:r>
        <w:rPr>
          <w:rFonts w:hint="eastAsia" w:ascii="仿宋_GB2312" w:hAnsi="仿宋_GB2312" w:eastAsia="仿宋_GB2312" w:cs="仿宋_GB2312"/>
          <w:color w:val="000000" w:themeColor="text1"/>
          <w:sz w:val="32"/>
          <w:szCs w:val="32"/>
          <w14:textFill>
            <w14:solidFill>
              <w14:schemeClr w14:val="tx1"/>
            </w14:solidFill>
          </w14:textFill>
        </w:rPr>
        <w:t>%。主要变动原因是</w:t>
      </w:r>
      <w:r>
        <w:rPr>
          <w:rFonts w:hint="eastAsia" w:ascii="仿宋_GB2312" w:hAnsi="仿宋_GB2312" w:eastAsia="仿宋_GB2312" w:cs="仿宋_GB2312"/>
          <w:color w:val="000000" w:themeColor="text1"/>
          <w:spacing w:val="11"/>
          <w:sz w:val="32"/>
          <w:szCs w:val="32"/>
          <w:lang w:eastAsia="zh-CN"/>
          <w14:textFill>
            <w14:solidFill>
              <w14:schemeClr w14:val="tx1"/>
            </w14:solidFill>
          </w14:textFill>
        </w:rPr>
        <w:t>2024年度省级拨付医疗服务与保障能力提升补助资金减少</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200" w:lineRule="exact"/>
        <w:ind w:firstLine="616" w:firstLineChars="200"/>
        <w:rPr>
          <w:rFonts w:ascii="仿宋_GB2312" w:hAnsi="仿宋_GB2312" w:eastAsia="仿宋_GB2312" w:cs="仿宋_GB2312"/>
          <w:color w:val="000000" w:themeColor="text1"/>
          <w:spacing w:val="-6"/>
          <w:sz w:val="32"/>
          <w:szCs w:val="32"/>
          <w14:textFill>
            <w14:solidFill>
              <w14:schemeClr w14:val="tx1"/>
            </w14:solidFill>
          </w14:textFill>
        </w:rPr>
      </w:pPr>
    </w:p>
    <w:p>
      <w:pPr>
        <w:spacing w:line="600" w:lineRule="exact"/>
        <w:jc w:val="center"/>
        <w:rPr>
          <w:rFonts w:ascii="仿宋" w:hAnsi="仿宋" w:eastAsia="仿宋"/>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drawing>
          <wp:anchor distT="0" distB="0" distL="114300" distR="114300" simplePos="0" relativeHeight="251661312" behindDoc="0" locked="0" layoutInCell="1" allowOverlap="1">
            <wp:simplePos x="0" y="0"/>
            <wp:positionH relativeFrom="column">
              <wp:posOffset>340995</wp:posOffset>
            </wp:positionH>
            <wp:positionV relativeFrom="paragraph">
              <wp:posOffset>300990</wp:posOffset>
            </wp:positionV>
            <wp:extent cx="4986655" cy="2509520"/>
            <wp:effectExtent l="4445" t="4445" r="12700" b="13335"/>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hint="eastAsia" w:ascii="仿宋_GB2312" w:hAnsi="仿宋_GB2312" w:eastAsia="仿宋_GB2312" w:cs="仿宋_GB2312"/>
          <w:color w:val="000000" w:themeColor="text1"/>
          <w:sz w:val="32"/>
          <w:szCs w:val="32"/>
          <w14:textFill>
            <w14:solidFill>
              <w14:schemeClr w14:val="tx1"/>
            </w14:solidFill>
          </w14:textFill>
        </w:rPr>
        <w:t>图4：财政拨款收、支决算总计变动情况</w:t>
      </w:r>
    </w:p>
    <w:p>
      <w:pPr>
        <w:spacing w:line="600" w:lineRule="exact"/>
        <w:ind w:firstLine="640"/>
        <w:rPr>
          <w:rFonts w:ascii="仿宋" w:hAnsi="仿宋" w:eastAsia="仿宋"/>
          <w:b/>
          <w:color w:val="000000" w:themeColor="text1"/>
          <w:sz w:val="32"/>
          <w:szCs w:val="32"/>
          <w14:textFill>
            <w14:solidFill>
              <w14:schemeClr w14:val="tx1"/>
            </w14:solidFill>
          </w14:textFill>
        </w:rPr>
      </w:pPr>
    </w:p>
    <w:p>
      <w:pPr>
        <w:spacing w:line="600" w:lineRule="exact"/>
        <w:ind w:firstLine="640" w:firstLineChars="200"/>
        <w:outlineLvl w:val="1"/>
        <w:rPr>
          <w:rStyle w:val="27"/>
          <w:rFonts w:ascii="黑体" w:hAnsi="黑体" w:eastAsia="黑体"/>
          <w:b w:val="0"/>
          <w:color w:val="000000" w:themeColor="text1"/>
          <w14:textFill>
            <w14:solidFill>
              <w14:schemeClr w14:val="tx1"/>
            </w14:solidFill>
          </w14:textFill>
        </w:rPr>
      </w:pPr>
      <w:bookmarkStart w:id="40" w:name="_Toc15377209"/>
      <w:bookmarkStart w:id="41" w:name="_Toc15019"/>
      <w:bookmarkStart w:id="42" w:name="_Toc15396607"/>
      <w:r>
        <w:rPr>
          <w:rFonts w:hint="eastAsia" w:ascii="黑体" w:hAnsi="黑体" w:eastAsia="黑体"/>
          <w:color w:val="000000" w:themeColor="text1"/>
          <w:sz w:val="32"/>
          <w:szCs w:val="32"/>
          <w14:textFill>
            <w14:solidFill>
              <w14:schemeClr w14:val="tx1"/>
            </w14:solidFill>
          </w14:textFill>
        </w:rPr>
        <w:t>五、</w:t>
      </w:r>
      <w:r>
        <w:rPr>
          <w:rFonts w:hint="eastAsia" w:ascii="黑体" w:hAnsi="黑体" w:eastAsia="黑体"/>
          <w:b/>
          <w:color w:val="000000" w:themeColor="text1"/>
          <w:sz w:val="32"/>
          <w:szCs w:val="32"/>
          <w14:textFill>
            <w14:solidFill>
              <w14:schemeClr w14:val="tx1"/>
            </w14:solidFill>
          </w14:textFill>
        </w:rPr>
        <w:t>一</w:t>
      </w:r>
      <w:r>
        <w:rPr>
          <w:rStyle w:val="27"/>
          <w:rFonts w:hint="eastAsia" w:ascii="黑体" w:hAnsi="黑体" w:eastAsia="黑体"/>
          <w:b w:val="0"/>
          <w:color w:val="000000" w:themeColor="text1"/>
          <w14:textFill>
            <w14:solidFill>
              <w14:schemeClr w14:val="tx1"/>
            </w14:solidFill>
          </w14:textFill>
        </w:rPr>
        <w:t>般公共预算财政拨款支出决算情况说明</w:t>
      </w:r>
      <w:bookmarkEnd w:id="40"/>
      <w:bookmarkEnd w:id="41"/>
      <w:bookmarkEnd w:id="42"/>
    </w:p>
    <w:p>
      <w:pPr>
        <w:spacing w:line="600"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43" w:name="_Toc15377210"/>
      <w:r>
        <w:rPr>
          <w:rFonts w:hint="eastAsia" w:ascii="楷体_GB2312" w:hAnsi="楷体_GB2312" w:eastAsia="楷体_GB2312" w:cs="楷体_GB2312"/>
          <w:bCs/>
          <w:color w:val="000000" w:themeColor="text1"/>
          <w:sz w:val="32"/>
          <w:szCs w:val="32"/>
          <w14:textFill>
            <w14:solidFill>
              <w14:schemeClr w14:val="tx1"/>
            </w14:solidFill>
          </w14:textFill>
        </w:rPr>
        <w:t>（一）一般公共预算财政拨款支出决算总体情况</w:t>
      </w:r>
      <w:bookmarkEnd w:id="43"/>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color w:val="000000" w:themeColor="text1"/>
          <w:sz w:val="32"/>
          <w:szCs w:val="32"/>
          <w14:textFill>
            <w14:solidFill>
              <w14:schemeClr w14:val="tx1"/>
            </w14:solidFill>
          </w14:textFill>
        </w:rPr>
        <w:t>一般公共预算财政拨款支出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2280.29</w:t>
      </w:r>
      <w:r>
        <w:rPr>
          <w:rFonts w:hint="eastAsia" w:ascii="仿宋_GB2312" w:hAnsi="仿宋_GB2312" w:eastAsia="仿宋_GB2312" w:cs="仿宋_GB2312"/>
          <w:color w:val="000000" w:themeColor="text1"/>
          <w:sz w:val="32"/>
          <w:szCs w:val="32"/>
          <w14:textFill>
            <w14:solidFill>
              <w14:schemeClr w14:val="tx1"/>
            </w14:solidFill>
          </w14:textFill>
        </w:rPr>
        <w:t>万元，占本年支出合计的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%。与</w:t>
      </w:r>
      <w:r>
        <w:rPr>
          <w:rFonts w:hint="eastAsia" w:ascii="仿宋_GB2312" w:hAnsi="仿宋_GB2312" w:eastAsia="仿宋_GB2312" w:cs="仿宋_GB2312"/>
          <w:color w:val="000000" w:themeColor="text1"/>
          <w:sz w:val="32"/>
          <w:szCs w:val="32"/>
          <w:lang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14:textFill>
            <w14:solidFill>
              <w14:schemeClr w14:val="tx1"/>
            </w14:solidFill>
          </w14:textFill>
        </w:rPr>
        <w:t>相比，一般公共预算财政拨款支出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219.11</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下降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8.77</w:t>
      </w:r>
      <w:r>
        <w:rPr>
          <w:rFonts w:hint="eastAsia" w:ascii="仿宋_GB2312" w:hAnsi="仿宋_GB2312" w:eastAsia="仿宋_GB2312" w:cs="仿宋_GB2312"/>
          <w:color w:val="000000" w:themeColor="text1"/>
          <w:sz w:val="32"/>
          <w:szCs w:val="32"/>
          <w14:textFill>
            <w14:solidFill>
              <w14:schemeClr w14:val="tx1"/>
            </w14:solidFill>
          </w14:textFill>
        </w:rPr>
        <w:t>%。主要变动原因是</w:t>
      </w:r>
      <w:r>
        <w:rPr>
          <w:rFonts w:hint="eastAsia" w:ascii="仿宋_GB2312" w:hAnsi="仿宋_GB2312" w:eastAsia="仿宋_GB2312" w:cs="仿宋_GB2312"/>
          <w:color w:val="000000" w:themeColor="text1"/>
          <w:spacing w:val="11"/>
          <w:sz w:val="32"/>
          <w:szCs w:val="32"/>
          <w:lang w:eastAsia="zh-CN"/>
          <w14:textFill>
            <w14:solidFill>
              <w14:schemeClr w14:val="tx1"/>
            </w14:solidFill>
          </w14:textFill>
        </w:rPr>
        <w:t>2024年度省级拨付医疗服务与保障能力提升补助资金减少</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drawing>
          <wp:anchor distT="0" distB="0" distL="114300" distR="114300" simplePos="0" relativeHeight="251666432" behindDoc="0" locked="0" layoutInCell="1" allowOverlap="1">
            <wp:simplePos x="0" y="0"/>
            <wp:positionH relativeFrom="column">
              <wp:posOffset>616585</wp:posOffset>
            </wp:positionH>
            <wp:positionV relativeFrom="paragraph">
              <wp:posOffset>155575</wp:posOffset>
            </wp:positionV>
            <wp:extent cx="4756150" cy="2166620"/>
            <wp:effectExtent l="4445" t="5080" r="20955" b="1905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图5：一般公共预算财政拨款支出决算变动情况</w:t>
      </w:r>
    </w:p>
    <w:p>
      <w:pPr>
        <w:spacing w:line="600" w:lineRule="exact"/>
        <w:ind w:firstLine="640" w:firstLineChars="200"/>
        <w:outlineLvl w:val="2"/>
        <w:rPr>
          <w:rFonts w:hint="eastAsia" w:ascii="楷体_GB2312" w:hAnsi="楷体_GB2312" w:eastAsia="楷体_GB2312" w:cs="楷体_GB2312"/>
          <w:bCs/>
          <w:color w:val="000000" w:themeColor="text1"/>
          <w:sz w:val="32"/>
          <w:szCs w:val="32"/>
          <w14:textFill>
            <w14:solidFill>
              <w14:schemeClr w14:val="tx1"/>
            </w14:solidFill>
          </w14:textFill>
        </w:rPr>
      </w:pPr>
      <w:bookmarkStart w:id="44" w:name="_Toc15377211"/>
    </w:p>
    <w:p>
      <w:pPr>
        <w:spacing w:line="600"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r>
        <w:rPr>
          <w:rFonts w:hint="eastAsia" w:ascii="楷体_GB2312" w:hAnsi="楷体_GB2312" w:eastAsia="楷体_GB2312" w:cs="楷体_GB2312"/>
          <w:bCs/>
          <w:color w:val="000000" w:themeColor="text1"/>
          <w:sz w:val="32"/>
          <w:szCs w:val="32"/>
          <w14:textFill>
            <w14:solidFill>
              <w14:schemeClr w14:val="tx1"/>
            </w14:solidFill>
          </w14:textFill>
        </w:rPr>
        <w:t>（二）一般公共预算财政拨款支出决算结构情况</w:t>
      </w:r>
      <w:bookmarkEnd w:id="44"/>
    </w:p>
    <w:p>
      <w:pPr>
        <w:spacing w:line="600" w:lineRule="exact"/>
        <w:ind w:firstLine="64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color w:val="000000" w:themeColor="text1"/>
          <w:sz w:val="32"/>
          <w:szCs w:val="32"/>
          <w14:textFill>
            <w14:solidFill>
              <w14:schemeClr w14:val="tx1"/>
            </w14:solidFill>
          </w14:textFill>
        </w:rPr>
        <w:t>一般公共预算财政拨款支出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2280.29</w:t>
      </w:r>
      <w:r>
        <w:rPr>
          <w:rFonts w:hint="eastAsia" w:ascii="仿宋_GB2312" w:hAnsi="仿宋_GB2312" w:eastAsia="仿宋_GB2312" w:cs="仿宋_GB2312"/>
          <w:color w:val="000000" w:themeColor="text1"/>
          <w:sz w:val="32"/>
          <w:szCs w:val="32"/>
          <w14:textFill>
            <w14:solidFill>
              <w14:schemeClr w14:val="tx1"/>
            </w14:solidFill>
          </w14:textFill>
        </w:rPr>
        <w:t>万元，主要用于以下方面：社会保障和就业支出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103.3</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4.53</w:t>
      </w:r>
      <w:r>
        <w:rPr>
          <w:rFonts w:hint="eastAsia" w:ascii="仿宋_GB2312" w:hAnsi="仿宋_GB2312" w:eastAsia="仿宋_GB2312" w:cs="仿宋_GB2312"/>
          <w:color w:val="000000" w:themeColor="text1"/>
          <w:sz w:val="32"/>
          <w:szCs w:val="32"/>
          <w14:textFill>
            <w14:solidFill>
              <w14:schemeClr w14:val="tx1"/>
            </w14:solidFill>
          </w14:textFill>
        </w:rPr>
        <w:t>%；卫生健康支出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2123.73</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93.13</w:t>
      </w:r>
      <w:r>
        <w:rPr>
          <w:rFonts w:hint="eastAsia" w:ascii="仿宋_GB2312" w:hAnsi="仿宋_GB2312" w:eastAsia="仿宋_GB2312" w:cs="仿宋_GB2312"/>
          <w:color w:val="000000" w:themeColor="text1"/>
          <w:sz w:val="32"/>
          <w:szCs w:val="32"/>
          <w14:textFill>
            <w14:solidFill>
              <w14:schemeClr w14:val="tx1"/>
            </w14:solidFill>
          </w14:textFill>
        </w:rPr>
        <w:t>%；住房保障支出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53.26</w:t>
      </w:r>
      <w:r>
        <w:rPr>
          <w:rFonts w:hint="eastAsia" w:ascii="仿宋_GB2312" w:hAnsi="仿宋_GB2312" w:eastAsia="仿宋_GB2312" w:cs="仿宋_GB2312"/>
          <w:color w:val="000000" w:themeColor="text1"/>
          <w:sz w:val="32"/>
          <w:szCs w:val="32"/>
          <w14:textFill>
            <w14:solidFill>
              <w14:schemeClr w14:val="tx1"/>
            </w14:solidFill>
          </w14:textFill>
        </w:rPr>
        <w:t>万元，占2.3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600" w:lineRule="exact"/>
        <w:ind w:firstLine="640"/>
        <w:rPr>
          <w:rFonts w:ascii="仿宋" w:hAnsi="仿宋" w:eastAsia="仿宋"/>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pacing w:val="-8"/>
          <w:sz w:val="32"/>
          <w:szCs w:val="32"/>
          <w14:textFill>
            <w14:solidFill>
              <w14:schemeClr w14:val="tx1"/>
            </w14:solidFill>
          </w14:textFill>
        </w:rPr>
        <w:drawing>
          <wp:anchor distT="0" distB="0" distL="114300" distR="114300" simplePos="0" relativeHeight="251662336" behindDoc="1" locked="0" layoutInCell="1" allowOverlap="1">
            <wp:simplePos x="0" y="0"/>
            <wp:positionH relativeFrom="column">
              <wp:posOffset>462915</wp:posOffset>
            </wp:positionH>
            <wp:positionV relativeFrom="paragraph">
              <wp:posOffset>58420</wp:posOffset>
            </wp:positionV>
            <wp:extent cx="4563745" cy="2408555"/>
            <wp:effectExtent l="4445" t="4445" r="16510" b="12700"/>
            <wp:wrapTight wrapText="bothSides">
              <wp:wrapPolygon>
                <wp:start x="-21" y="-40"/>
                <wp:lineTo x="-21" y="21486"/>
                <wp:lineTo x="21558" y="21486"/>
                <wp:lineTo x="21558" y="-40"/>
                <wp:lineTo x="-21" y="-40"/>
              </wp:wrapPolygon>
            </wp:wrapTight>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pStyle w:val="2"/>
        <w:spacing w:before="93"/>
        <w:rPr>
          <w:rFonts w:ascii="仿宋" w:hAnsi="仿宋" w:eastAsia="仿宋"/>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图6：一般公共预算财政拨款支出决算结构</w:t>
      </w:r>
    </w:p>
    <w:p>
      <w:pPr>
        <w:keepNext w:val="0"/>
        <w:keepLines w:val="0"/>
        <w:pageBreakBefore w:val="0"/>
        <w:widowControl w:val="0"/>
        <w:kinsoku/>
        <w:wordWrap/>
        <w:overflowPunct/>
        <w:topLinePunct w:val="0"/>
        <w:autoSpaceDE/>
        <w:autoSpaceDN/>
        <w:bidi w:val="0"/>
        <w:adjustRightInd/>
        <w:snapToGrid/>
        <w:spacing w:line="546" w:lineRule="exact"/>
        <w:ind w:firstLine="640" w:firstLineChars="200"/>
        <w:textAlignment w:val="auto"/>
        <w:outlineLvl w:val="2"/>
        <w:rPr>
          <w:rFonts w:ascii="楷体_GB2312" w:hAnsi="楷体_GB2312" w:eastAsia="楷体_GB2312" w:cs="楷体_GB2312"/>
          <w:bCs/>
          <w:color w:val="000000" w:themeColor="text1"/>
          <w:sz w:val="32"/>
          <w:szCs w:val="32"/>
          <w14:textFill>
            <w14:solidFill>
              <w14:schemeClr w14:val="tx1"/>
            </w14:solidFill>
          </w14:textFill>
        </w:rPr>
      </w:pPr>
      <w:bookmarkStart w:id="45" w:name="_Toc15377212"/>
      <w:r>
        <w:rPr>
          <w:rFonts w:hint="eastAsia" w:ascii="楷体_GB2312" w:hAnsi="楷体_GB2312" w:eastAsia="楷体_GB2312" w:cs="楷体_GB2312"/>
          <w:bCs/>
          <w:color w:val="000000" w:themeColor="text1"/>
          <w:sz w:val="32"/>
          <w:szCs w:val="32"/>
          <w14:textFill>
            <w14:solidFill>
              <w14:schemeClr w14:val="tx1"/>
            </w14:solidFill>
          </w14:textFill>
        </w:rPr>
        <w:t>（三）一般公共预算财政拨款支出决算具体情况</w:t>
      </w:r>
      <w:bookmarkEnd w:id="45"/>
    </w:p>
    <w:p>
      <w:pPr>
        <w:keepNext w:val="0"/>
        <w:keepLines w:val="0"/>
        <w:pageBreakBefore w:val="0"/>
        <w:widowControl w:val="0"/>
        <w:kinsoku/>
        <w:wordWrap/>
        <w:overflowPunct/>
        <w:topLinePunct w:val="0"/>
        <w:autoSpaceDE/>
        <w:autoSpaceDN/>
        <w:bidi w:val="0"/>
        <w:adjustRightInd/>
        <w:snapToGrid/>
        <w:spacing w:line="546" w:lineRule="exact"/>
        <w:ind w:firstLine="640" w:firstLineChars="200"/>
        <w:textAlignment w:val="auto"/>
        <w:outlineLvl w:val="2"/>
        <w:rPr>
          <w:rFonts w:ascii="仿宋_GB2312" w:hAnsi="仿宋_GB2312" w:eastAsia="仿宋_GB2312" w:cs="仿宋_GB2312"/>
          <w:bCs/>
          <w:color w:val="000000" w:themeColor="text1"/>
          <w:sz w:val="32"/>
          <w:szCs w:val="32"/>
          <w14:textFill>
            <w14:solidFill>
              <w14:schemeClr w14:val="tx1"/>
            </w14:solidFill>
          </w14:textFill>
        </w:rPr>
      </w:pPr>
      <w:bookmarkStart w:id="46" w:name="_Toc15377213"/>
      <w:bookmarkStart w:id="47" w:name="_Toc15377444"/>
      <w:bookmarkStart w:id="48" w:name="_Toc15378460"/>
      <w:r>
        <w:rPr>
          <w:rFonts w:hint="eastAsia" w:ascii="仿宋_GB2312" w:hAnsi="仿宋_GB2312" w:eastAsia="仿宋_GB2312" w:cs="仿宋_GB2312"/>
          <w:bCs/>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bCs/>
          <w:color w:val="000000" w:themeColor="text1"/>
          <w:sz w:val="32"/>
          <w:szCs w:val="32"/>
          <w14:textFill>
            <w14:solidFill>
              <w14:schemeClr w14:val="tx1"/>
            </w14:solidFill>
          </w14:textFill>
        </w:rPr>
        <w:t>一般公共预算支出决算数为</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2280.29</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w:t>
      </w:r>
      <w:r>
        <w:rPr>
          <w:rFonts w:hint="eastAsia" w:ascii="仿宋_GB2312" w:hAnsi="仿宋_GB2312" w:eastAsia="仿宋_GB2312" w:cs="仿宋_GB2312"/>
          <w:bCs/>
          <w:color w:val="000000" w:themeColor="text1"/>
          <w:sz w:val="32"/>
          <w:szCs w:val="32"/>
          <w14:textFill>
            <w14:solidFill>
              <w14:schemeClr w14:val="tx1"/>
            </w14:solidFill>
          </w14:textFill>
        </w:rPr>
        <w:t>，</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完成预算</w:t>
      </w:r>
      <w:r>
        <w:rPr>
          <w:rFonts w:hint="eastAsia" w:ascii="仿宋_GB2312" w:hAnsi="仿宋_GB2312" w:eastAsia="仿宋_GB2312" w:cs="仿宋_GB2312"/>
          <w:bCs/>
          <w:color w:val="000000" w:themeColor="text1"/>
          <w:sz w:val="32"/>
          <w:szCs w:val="32"/>
          <w14:textFill>
            <w14:solidFill>
              <w14:schemeClr w14:val="tx1"/>
            </w14:solidFill>
          </w14:textFill>
        </w:rPr>
        <w:t>100%。其中：</w:t>
      </w:r>
      <w:bookmarkEnd w:id="46"/>
      <w:bookmarkEnd w:id="47"/>
      <w:bookmarkEnd w:id="48"/>
    </w:p>
    <w:p>
      <w:pPr>
        <w:keepNext w:val="0"/>
        <w:keepLines w:val="0"/>
        <w:pageBreakBefore w:val="0"/>
        <w:widowControl w:val="0"/>
        <w:numPr>
          <w:ilvl w:val="0"/>
          <w:numId w:val="2"/>
        </w:numPr>
        <w:kinsoku/>
        <w:wordWrap/>
        <w:overflowPunct/>
        <w:topLinePunct w:val="0"/>
        <w:autoSpaceDE/>
        <w:autoSpaceDN/>
        <w:bidi w:val="0"/>
        <w:adjustRightInd/>
        <w:snapToGrid/>
        <w:spacing w:line="546" w:lineRule="exact"/>
        <w:ind w:firstLine="640" w:firstLineChars="200"/>
        <w:textAlignment w:val="auto"/>
        <w:outlineLvl w:val="2"/>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社会保障和就业（类）人力资源和社会保障管理事务（款）</w:t>
      </w:r>
      <w:r>
        <w:rPr>
          <w:rStyle w:val="23"/>
          <w:rFonts w:hint="eastAsia" w:ascii="仿宋_GB2312" w:hAnsi="仿宋_GB2312" w:eastAsia="仿宋_GB2312" w:cs="仿宋_GB2312"/>
          <w:b w:val="0"/>
          <w:bCs/>
          <w:color w:val="000000" w:themeColor="text1"/>
          <w:sz w:val="32"/>
          <w:szCs w:val="32"/>
          <w:lang w:eastAsia="zh-CN"/>
          <w14:textFill>
            <w14:solidFill>
              <w14:schemeClr w14:val="tx1"/>
            </w14:solidFill>
          </w14:textFill>
        </w:rPr>
        <w:t>引进人才费用</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（项）：支出决算为</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9.5</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r>
        <w:rPr>
          <w:rStyle w:val="23"/>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46" w:lineRule="exact"/>
        <w:ind w:firstLine="640" w:firstLineChars="200"/>
        <w:textAlignment w:val="auto"/>
        <w:rPr>
          <w:rStyle w:val="23"/>
          <w:rFonts w:ascii="仿宋_GB2312" w:hAnsi="仿宋_GB2312" w:eastAsia="仿宋_GB2312" w:cs="仿宋_GB2312"/>
          <w:b w:val="0"/>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2.</w:t>
      </w:r>
      <w:r>
        <w:rPr>
          <w:rStyle w:val="23"/>
          <w:rFonts w:ascii="仿宋_GB2312" w:hAnsi="仿宋_GB2312" w:eastAsia="仿宋_GB2312" w:cs="仿宋_GB2312"/>
          <w:b w:val="0"/>
          <w:bCs/>
          <w:color w:val="000000" w:themeColor="text1"/>
          <w:sz w:val="32"/>
          <w:szCs w:val="32"/>
          <w14:textFill>
            <w14:solidFill>
              <w14:schemeClr w14:val="tx1"/>
            </w14:solidFill>
          </w14:textFill>
        </w:rPr>
        <w:t xml:space="preserve"> </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机关事业单位基本养老保险缴费支出（项）： 支出决算为</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71.09</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keepNext w:val="0"/>
        <w:keepLines w:val="0"/>
        <w:pageBreakBefore w:val="0"/>
        <w:widowControl w:val="0"/>
        <w:kinsoku/>
        <w:wordWrap/>
        <w:overflowPunct/>
        <w:topLinePunct w:val="0"/>
        <w:autoSpaceDE/>
        <w:autoSpaceDN/>
        <w:bidi w:val="0"/>
        <w:adjustRightInd/>
        <w:snapToGrid/>
        <w:spacing w:line="546" w:lineRule="exact"/>
        <w:ind w:firstLine="640" w:firstLineChars="200"/>
        <w:textAlignment w:val="auto"/>
        <w:rPr>
          <w:rStyle w:val="23"/>
          <w:rFonts w:ascii="仿宋_GB2312" w:hAnsi="仿宋_GB2312" w:eastAsia="仿宋_GB2312" w:cs="仿宋_GB2312"/>
          <w:b w:val="0"/>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3.</w:t>
      </w:r>
      <w:r>
        <w:rPr>
          <w:rStyle w:val="23"/>
          <w:rFonts w:ascii="仿宋_GB2312" w:hAnsi="仿宋_GB2312" w:eastAsia="仿宋_GB2312" w:cs="仿宋_GB2312"/>
          <w:b w:val="0"/>
          <w:bCs/>
          <w:color w:val="000000" w:themeColor="text1"/>
          <w:sz w:val="32"/>
          <w:szCs w:val="32"/>
          <w14:textFill>
            <w14:solidFill>
              <w14:schemeClr w14:val="tx1"/>
            </w14:solidFill>
          </w14:textFill>
        </w:rPr>
        <w:t xml:space="preserve"> </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机关事业单位职业年金缴费支出（项）：支出决算为</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22.71</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pStyle w:val="2"/>
        <w:keepNext w:val="0"/>
        <w:keepLines w:val="0"/>
        <w:pageBreakBefore w:val="0"/>
        <w:widowControl w:val="0"/>
        <w:kinsoku/>
        <w:wordWrap/>
        <w:overflowPunct/>
        <w:topLinePunct w:val="0"/>
        <w:autoSpaceDE/>
        <w:autoSpaceDN/>
        <w:bidi w:val="0"/>
        <w:adjustRightInd/>
        <w:snapToGrid/>
        <w:spacing w:beforeLines="0" w:line="546" w:lineRule="exact"/>
        <w:ind w:firstLine="640" w:firstLineChars="200"/>
        <w:textAlignment w:val="auto"/>
        <w:rPr>
          <w:rStyle w:val="23"/>
          <w:rFonts w:hint="eastAsia" w:hAnsi="仿宋_GB2312" w:cs="仿宋_GB2312"/>
          <w:b w:val="0"/>
          <w:bCs/>
          <w:color w:val="000000" w:themeColor="text1"/>
          <w:sz w:val="32"/>
          <w:szCs w:val="32"/>
          <w14:textFill>
            <w14:solidFill>
              <w14:schemeClr w14:val="tx1"/>
            </w14:solidFill>
          </w14:textFill>
        </w:rPr>
      </w:pPr>
      <w:r>
        <w:rPr>
          <w:rStyle w:val="23"/>
          <w:rFonts w:hint="eastAsia" w:hAnsi="仿宋_GB2312" w:cs="仿宋_GB2312"/>
          <w:b w:val="0"/>
          <w:bCs/>
          <w:color w:val="000000" w:themeColor="text1"/>
          <w:sz w:val="32"/>
          <w:szCs w:val="32"/>
          <w:lang w:val="en-US" w:eastAsia="zh-CN"/>
          <w14:textFill>
            <w14:solidFill>
              <w14:schemeClr w14:val="tx1"/>
            </w14:solidFill>
          </w14:textFill>
        </w:rPr>
        <w:t>4</w:t>
      </w:r>
      <w:r>
        <w:rPr>
          <w:rStyle w:val="23"/>
          <w:rFonts w:hint="eastAsia" w:hAnsi="仿宋_GB2312" w:cs="仿宋_GB2312"/>
          <w:b w:val="0"/>
          <w:bCs/>
          <w:color w:val="000000" w:themeColor="text1"/>
          <w:sz w:val="32"/>
          <w:szCs w:val="32"/>
          <w14:textFill>
            <w14:solidFill>
              <w14:schemeClr w14:val="tx1"/>
            </w14:solidFill>
          </w14:textFill>
        </w:rPr>
        <w:t>. 卫生健康（类）行政事业单位医疗（款）行政单位医疗（项）：支出决算为</w:t>
      </w:r>
      <w:r>
        <w:rPr>
          <w:rStyle w:val="23"/>
          <w:rFonts w:hint="eastAsia" w:hAnsi="仿宋_GB2312" w:cs="仿宋_GB2312"/>
          <w:b w:val="0"/>
          <w:bCs/>
          <w:color w:val="000000" w:themeColor="text1"/>
          <w:sz w:val="32"/>
          <w:szCs w:val="32"/>
          <w:lang w:val="en-US" w:eastAsia="zh-CN"/>
          <w14:textFill>
            <w14:solidFill>
              <w14:schemeClr w14:val="tx1"/>
            </w14:solidFill>
          </w14:textFill>
        </w:rPr>
        <w:t>526.61</w:t>
      </w:r>
      <w:r>
        <w:rPr>
          <w:rStyle w:val="23"/>
          <w:rFonts w:hint="eastAsia" w:hAnsi="仿宋_GB2312" w:cs="仿宋_GB2312"/>
          <w:b w:val="0"/>
          <w:bCs/>
          <w:color w:val="000000" w:themeColor="text1"/>
          <w:sz w:val="32"/>
          <w:szCs w:val="32"/>
          <w14:textFill>
            <w14:solidFill>
              <w14:schemeClr w14:val="tx1"/>
            </w14:solidFill>
          </w14:textFill>
        </w:rPr>
        <w:t>万元，完成预算100%。</w:t>
      </w:r>
    </w:p>
    <w:p>
      <w:pPr>
        <w:pStyle w:val="2"/>
        <w:keepNext w:val="0"/>
        <w:keepLines w:val="0"/>
        <w:pageBreakBefore w:val="0"/>
        <w:widowControl w:val="0"/>
        <w:kinsoku/>
        <w:wordWrap/>
        <w:overflowPunct/>
        <w:topLinePunct w:val="0"/>
        <w:autoSpaceDE/>
        <w:autoSpaceDN/>
        <w:bidi w:val="0"/>
        <w:adjustRightInd/>
        <w:snapToGrid/>
        <w:spacing w:beforeLines="0" w:line="546" w:lineRule="exact"/>
        <w:ind w:firstLine="640" w:firstLineChars="200"/>
        <w:textAlignment w:val="auto"/>
        <w:rPr>
          <w:rStyle w:val="23"/>
          <w:rFonts w:hint="eastAsia" w:hAnsi="仿宋_GB2312" w:cs="仿宋_GB2312"/>
          <w:b w:val="0"/>
          <w:bCs/>
          <w:color w:val="000000" w:themeColor="text1"/>
          <w:sz w:val="32"/>
          <w:szCs w:val="32"/>
          <w14:textFill>
            <w14:solidFill>
              <w14:schemeClr w14:val="tx1"/>
            </w14:solidFill>
          </w14:textFill>
        </w:rPr>
      </w:pPr>
      <w:r>
        <w:rPr>
          <w:rStyle w:val="23"/>
          <w:rFonts w:hint="eastAsia" w:hAnsi="仿宋_GB2312" w:cs="仿宋_GB2312"/>
          <w:b w:val="0"/>
          <w:bCs/>
          <w:color w:val="000000" w:themeColor="text1"/>
          <w:sz w:val="32"/>
          <w:szCs w:val="32"/>
          <w:lang w:val="en-US" w:eastAsia="zh-CN"/>
          <w14:textFill>
            <w14:solidFill>
              <w14:schemeClr w14:val="tx1"/>
            </w14:solidFill>
          </w14:textFill>
        </w:rPr>
        <w:t>5</w:t>
      </w:r>
      <w:r>
        <w:rPr>
          <w:rStyle w:val="23"/>
          <w:rFonts w:hint="eastAsia" w:hAnsi="仿宋_GB2312" w:cs="仿宋_GB2312"/>
          <w:b w:val="0"/>
          <w:bCs/>
          <w:color w:val="000000" w:themeColor="text1"/>
          <w:sz w:val="32"/>
          <w:szCs w:val="32"/>
          <w14:textFill>
            <w14:solidFill>
              <w14:schemeClr w14:val="tx1"/>
            </w14:solidFill>
          </w14:textFill>
        </w:rPr>
        <w:t>. 卫生健康（类）行政事业单位医疗（款）</w:t>
      </w:r>
      <w:r>
        <w:rPr>
          <w:rStyle w:val="23"/>
          <w:rFonts w:hint="eastAsia" w:hAnsi="仿宋_GB2312" w:cs="仿宋_GB2312"/>
          <w:b w:val="0"/>
          <w:bCs/>
          <w:color w:val="000000" w:themeColor="text1"/>
          <w:sz w:val="32"/>
          <w:szCs w:val="32"/>
          <w:lang w:eastAsia="zh-CN"/>
          <w14:textFill>
            <w14:solidFill>
              <w14:schemeClr w14:val="tx1"/>
            </w14:solidFill>
          </w14:textFill>
        </w:rPr>
        <w:t>事业单位医疗</w:t>
      </w:r>
      <w:r>
        <w:rPr>
          <w:rStyle w:val="23"/>
          <w:rFonts w:hint="eastAsia" w:hAnsi="仿宋_GB2312" w:cs="仿宋_GB2312"/>
          <w:b w:val="0"/>
          <w:bCs/>
          <w:color w:val="000000" w:themeColor="text1"/>
          <w:sz w:val="32"/>
          <w:szCs w:val="32"/>
          <w14:textFill>
            <w14:solidFill>
              <w14:schemeClr w14:val="tx1"/>
            </w14:solidFill>
          </w14:textFill>
        </w:rPr>
        <w:t>（项）：支出决算为</w:t>
      </w:r>
      <w:r>
        <w:rPr>
          <w:rStyle w:val="23"/>
          <w:rFonts w:hint="eastAsia" w:hAnsi="仿宋_GB2312" w:cs="仿宋_GB2312"/>
          <w:b w:val="0"/>
          <w:bCs/>
          <w:color w:val="000000" w:themeColor="text1"/>
          <w:sz w:val="32"/>
          <w:szCs w:val="32"/>
          <w:lang w:val="en-US" w:eastAsia="zh-CN"/>
          <w14:textFill>
            <w14:solidFill>
              <w14:schemeClr w14:val="tx1"/>
            </w14:solidFill>
          </w14:textFill>
        </w:rPr>
        <w:t>2.52</w:t>
      </w:r>
      <w:r>
        <w:rPr>
          <w:rStyle w:val="23"/>
          <w:rFonts w:hint="eastAsia" w:hAnsi="仿宋_GB2312" w:cs="仿宋_GB2312"/>
          <w:b w:val="0"/>
          <w:bCs/>
          <w:color w:val="000000" w:themeColor="text1"/>
          <w:sz w:val="32"/>
          <w:szCs w:val="32"/>
          <w14:textFill>
            <w14:solidFill>
              <w14:schemeClr w14:val="tx1"/>
            </w14:solidFill>
          </w14:textFill>
        </w:rPr>
        <w:t>万元，完成预算100%。</w:t>
      </w:r>
    </w:p>
    <w:p>
      <w:pPr>
        <w:keepNext w:val="0"/>
        <w:keepLines w:val="0"/>
        <w:pageBreakBefore w:val="0"/>
        <w:widowControl w:val="0"/>
        <w:kinsoku/>
        <w:wordWrap/>
        <w:overflowPunct/>
        <w:topLinePunct w:val="0"/>
        <w:autoSpaceDE/>
        <w:autoSpaceDN/>
        <w:bidi w:val="0"/>
        <w:adjustRightInd/>
        <w:snapToGrid/>
        <w:spacing w:line="546" w:lineRule="exact"/>
        <w:ind w:firstLine="640" w:firstLineChars="200"/>
        <w:textAlignment w:val="auto"/>
        <w:rPr>
          <w:rStyle w:val="23"/>
          <w:rFonts w:ascii="仿宋_GB2312" w:hAnsi="仿宋_GB2312" w:eastAsia="仿宋_GB2312" w:cs="仿宋_GB2312"/>
          <w:b w:val="0"/>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6</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卫生健康（类）医疗救助（款）其他医疗救助支出（项）：支出决算数为</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225.83</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keepNext w:val="0"/>
        <w:keepLines w:val="0"/>
        <w:pageBreakBefore w:val="0"/>
        <w:widowControl w:val="0"/>
        <w:kinsoku/>
        <w:wordWrap/>
        <w:overflowPunct/>
        <w:topLinePunct w:val="0"/>
        <w:autoSpaceDE/>
        <w:autoSpaceDN/>
        <w:bidi w:val="0"/>
        <w:adjustRightInd/>
        <w:snapToGrid/>
        <w:spacing w:line="546" w:lineRule="exact"/>
        <w:ind w:firstLine="640" w:firstLineChars="200"/>
        <w:textAlignment w:val="auto"/>
        <w:rPr>
          <w:rStyle w:val="23"/>
          <w:rFonts w:ascii="仿宋_GB2312" w:hAnsi="仿宋_GB2312" w:eastAsia="仿宋_GB2312" w:cs="仿宋_GB2312"/>
          <w:b w:val="0"/>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7</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卫生健康（类）医疗保障管理事务（款）行政运行（项）：支出决算数</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587.03</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pStyle w:val="2"/>
        <w:keepNext w:val="0"/>
        <w:keepLines w:val="0"/>
        <w:pageBreakBefore w:val="0"/>
        <w:widowControl w:val="0"/>
        <w:kinsoku/>
        <w:wordWrap/>
        <w:overflowPunct/>
        <w:topLinePunct w:val="0"/>
        <w:autoSpaceDE/>
        <w:autoSpaceDN/>
        <w:bidi w:val="0"/>
        <w:adjustRightInd/>
        <w:snapToGrid/>
        <w:spacing w:beforeLines="0" w:line="546" w:lineRule="exact"/>
        <w:ind w:firstLine="640" w:firstLineChars="200"/>
        <w:textAlignment w:val="auto"/>
        <w:rPr>
          <w:rStyle w:val="23"/>
          <w:rFonts w:hAnsi="仿宋_GB2312" w:cs="仿宋_GB2312"/>
          <w:b w:val="0"/>
          <w:bCs/>
          <w:color w:val="000000" w:themeColor="text1"/>
          <w:sz w:val="32"/>
          <w:szCs w:val="32"/>
          <w14:textFill>
            <w14:solidFill>
              <w14:schemeClr w14:val="tx1"/>
            </w14:solidFill>
          </w14:textFill>
        </w:rPr>
      </w:pPr>
      <w:r>
        <w:rPr>
          <w:rStyle w:val="23"/>
          <w:rFonts w:hint="eastAsia" w:hAnsi="仿宋_GB2312" w:cs="仿宋_GB2312"/>
          <w:b w:val="0"/>
          <w:bCs/>
          <w:color w:val="000000" w:themeColor="text1"/>
          <w:sz w:val="32"/>
          <w:szCs w:val="32"/>
          <w:lang w:val="en-US" w:eastAsia="zh-CN"/>
          <w14:textFill>
            <w14:solidFill>
              <w14:schemeClr w14:val="tx1"/>
            </w14:solidFill>
          </w14:textFill>
        </w:rPr>
        <w:t>8</w:t>
      </w:r>
      <w:r>
        <w:rPr>
          <w:rStyle w:val="23"/>
          <w:rFonts w:hint="eastAsia" w:hAnsi="仿宋_GB2312" w:cs="仿宋_GB2312"/>
          <w:b w:val="0"/>
          <w:bCs/>
          <w:color w:val="000000" w:themeColor="text1"/>
          <w:sz w:val="32"/>
          <w:szCs w:val="32"/>
          <w14:textFill>
            <w14:solidFill>
              <w14:schemeClr w14:val="tx1"/>
            </w14:solidFill>
          </w14:textFill>
        </w:rPr>
        <w:t>. 卫生健康（类）医疗保障管理事务（款）一般行政管理事务（项）：支出决算数为</w:t>
      </w:r>
      <w:r>
        <w:rPr>
          <w:rStyle w:val="23"/>
          <w:rFonts w:hint="eastAsia" w:hAnsi="仿宋_GB2312" w:cs="仿宋_GB2312"/>
          <w:b w:val="0"/>
          <w:bCs/>
          <w:color w:val="000000" w:themeColor="text1"/>
          <w:sz w:val="32"/>
          <w:szCs w:val="32"/>
          <w:lang w:val="en-US" w:eastAsia="zh-CN"/>
          <w14:textFill>
            <w14:solidFill>
              <w14:schemeClr w14:val="tx1"/>
            </w14:solidFill>
          </w14:textFill>
        </w:rPr>
        <w:t>26.95</w:t>
      </w:r>
      <w:r>
        <w:rPr>
          <w:rStyle w:val="23"/>
          <w:rFonts w:hint="eastAsia" w:hAnsi="仿宋_GB2312" w:cs="仿宋_GB2312"/>
          <w:b w:val="0"/>
          <w:bCs/>
          <w:color w:val="000000" w:themeColor="text1"/>
          <w:sz w:val="32"/>
          <w:szCs w:val="32"/>
          <w14:textFill>
            <w14:solidFill>
              <w14:schemeClr w14:val="tx1"/>
            </w14:solidFill>
          </w14:textFill>
        </w:rPr>
        <w:t>万元，完成预算100%。</w:t>
      </w:r>
    </w:p>
    <w:p>
      <w:pPr>
        <w:spacing w:line="576" w:lineRule="exact"/>
        <w:ind w:firstLine="640" w:firstLineChars="200"/>
        <w:rPr>
          <w:rStyle w:val="23"/>
          <w:rFonts w:ascii="仿宋_GB2312" w:hAnsi="仿宋_GB2312" w:eastAsia="仿宋_GB2312" w:cs="仿宋_GB2312"/>
          <w:b w:val="0"/>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卫生健康（类）医疗保障管理事务（款）医疗保障政策管理（项）：支出决算数为</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350.64</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spacing w:line="576" w:lineRule="exact"/>
        <w:ind w:firstLine="640" w:firstLineChars="200"/>
        <w:rPr>
          <w:rStyle w:val="23"/>
          <w:rFonts w:ascii="仿宋_GB2312" w:hAnsi="仿宋_GB2312" w:eastAsia="仿宋_GB2312" w:cs="仿宋_GB2312"/>
          <w:b w:val="0"/>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10</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卫生健康（类）医疗保障管理事务（款）医疗保障经办事务（项）：支出决算数为2</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spacing w:line="576" w:lineRule="exact"/>
        <w:ind w:firstLine="640" w:firstLineChars="200"/>
        <w:rPr>
          <w:rStyle w:val="23"/>
          <w:rFonts w:ascii="仿宋_GB2312" w:hAnsi="仿宋_GB2312" w:eastAsia="仿宋_GB2312" w:cs="仿宋_GB2312"/>
          <w:b w:val="0"/>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1</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卫生健康（类）医疗保障管理事务（款）事业运行（项）：支出决算数为</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58.26</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spacing w:line="576" w:lineRule="exact"/>
        <w:ind w:firstLine="640" w:firstLineChars="200"/>
        <w:rPr>
          <w:rStyle w:val="23"/>
          <w:rFonts w:ascii="仿宋_GB2312" w:hAnsi="仿宋_GB2312" w:eastAsia="仿宋_GB2312" w:cs="仿宋_GB2312"/>
          <w:b w:val="0"/>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1</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卫生健康（类）医疗保障管理事务（款）其他医疗保障管理事务支出（项）：支出决算数为</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324.88</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1</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住房保障支出（类）住房改革支出（款）住房公积金（项）：支出决算为</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53.26</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万元，完成预算100%。</w:t>
      </w:r>
    </w:p>
    <w:p>
      <w:pPr>
        <w:tabs>
          <w:tab w:val="right" w:pos="8306"/>
        </w:tabs>
        <w:spacing w:line="576" w:lineRule="exact"/>
        <w:ind w:firstLine="640" w:firstLineChars="200"/>
        <w:outlineLvl w:val="1"/>
        <w:rPr>
          <w:rStyle w:val="27"/>
          <w:rFonts w:ascii="黑体" w:hAnsi="黑体" w:eastAsia="黑体" w:cs="黑体"/>
          <w:b w:val="0"/>
          <w:color w:val="000000" w:themeColor="text1"/>
          <w14:textFill>
            <w14:solidFill>
              <w14:schemeClr w14:val="tx1"/>
            </w14:solidFill>
          </w14:textFill>
        </w:rPr>
      </w:pPr>
      <w:bookmarkStart w:id="49" w:name="_Toc15396608"/>
      <w:bookmarkStart w:id="50" w:name="_Toc30721"/>
      <w:bookmarkStart w:id="51" w:name="_Toc15377214"/>
      <w:r>
        <w:rPr>
          <w:rFonts w:hint="eastAsia" w:ascii="黑体" w:hAnsi="黑体" w:eastAsia="黑体" w:cs="黑体"/>
          <w:bCs/>
          <w:color w:val="000000" w:themeColor="text1"/>
          <w:sz w:val="32"/>
          <w:szCs w:val="32"/>
          <w14:textFill>
            <w14:solidFill>
              <w14:schemeClr w14:val="tx1"/>
            </w14:solidFill>
          </w14:textFill>
        </w:rPr>
        <w:t>六、一</w:t>
      </w:r>
      <w:r>
        <w:rPr>
          <w:rStyle w:val="27"/>
          <w:rFonts w:hint="eastAsia" w:ascii="黑体" w:hAnsi="黑体" w:eastAsia="黑体" w:cs="黑体"/>
          <w:b w:val="0"/>
          <w:color w:val="000000" w:themeColor="text1"/>
          <w14:textFill>
            <w14:solidFill>
              <w14:schemeClr w14:val="tx1"/>
            </w14:solidFill>
          </w14:textFill>
        </w:rPr>
        <w:t>般公共预算财政拨款基本支出决算情况说明</w:t>
      </w:r>
      <w:bookmarkEnd w:id="49"/>
      <w:bookmarkEnd w:id="50"/>
      <w:bookmarkEnd w:id="51"/>
      <w:r>
        <w:rPr>
          <w:rStyle w:val="27"/>
          <w:rFonts w:hint="eastAsia" w:ascii="黑体" w:hAnsi="黑体" w:eastAsia="黑体" w:cs="黑体"/>
          <w:b w:val="0"/>
          <w:color w:val="000000" w:themeColor="text1"/>
          <w14:textFill>
            <w14:solidFill>
              <w14:schemeClr w14:val="tx1"/>
            </w14:solidFill>
          </w14:textFill>
        </w:rPr>
        <w:tab/>
      </w:r>
    </w:p>
    <w:p>
      <w:pPr>
        <w:spacing w:line="576" w:lineRule="exact"/>
        <w:ind w:firstLine="616" w:firstLineChars="200"/>
        <w:rPr>
          <w:rFonts w:ascii="仿宋_GB2312" w:hAnsi="仿宋_GB2312" w:eastAsia="仿宋_GB2312" w:cs="仿宋_GB2312"/>
          <w:bCs/>
          <w:color w:val="000000" w:themeColor="text1"/>
          <w:spacing w:val="-6"/>
          <w:sz w:val="32"/>
          <w:szCs w:val="32"/>
          <w14:textFill>
            <w14:solidFill>
              <w14:schemeClr w14:val="tx1"/>
            </w14:solidFill>
          </w14:textFill>
        </w:rPr>
      </w:pPr>
      <w:r>
        <w:rPr>
          <w:rFonts w:hint="eastAsia" w:ascii="仿宋_GB2312" w:hAnsi="仿宋_GB2312" w:eastAsia="仿宋_GB2312" w:cs="仿宋_GB2312"/>
          <w:bCs/>
          <w:color w:val="000000" w:themeColor="text1"/>
          <w:spacing w:val="-6"/>
          <w:sz w:val="32"/>
          <w:szCs w:val="32"/>
          <w:lang w:eastAsia="zh-CN"/>
          <w14:textFill>
            <w14:solidFill>
              <w14:schemeClr w14:val="tx1"/>
            </w14:solidFill>
          </w14:textFill>
        </w:rPr>
        <w:t>2024年度</w:t>
      </w:r>
      <w:r>
        <w:rPr>
          <w:rFonts w:hint="eastAsia" w:ascii="仿宋_GB2312" w:hAnsi="仿宋_GB2312" w:eastAsia="仿宋_GB2312" w:cs="仿宋_GB2312"/>
          <w:bCs/>
          <w:color w:val="000000" w:themeColor="text1"/>
          <w:spacing w:val="-6"/>
          <w:sz w:val="32"/>
          <w:szCs w:val="32"/>
          <w14:textFill>
            <w14:solidFill>
              <w14:schemeClr w14:val="tx1"/>
            </w14:solidFill>
          </w14:textFill>
        </w:rPr>
        <w:t>一般公共预算财政拨款基本支出</w:t>
      </w:r>
      <w:r>
        <w:rPr>
          <w:rFonts w:hint="eastAsia" w:ascii="仿宋_GB2312" w:hAnsi="仿宋_GB2312" w:eastAsia="仿宋_GB2312" w:cs="仿宋_GB2312"/>
          <w:bCs/>
          <w:color w:val="000000" w:themeColor="text1"/>
          <w:spacing w:val="-6"/>
          <w:sz w:val="32"/>
          <w:szCs w:val="32"/>
          <w:lang w:val="en-US" w:eastAsia="zh-CN"/>
          <w14:textFill>
            <w14:solidFill>
              <w14:schemeClr w14:val="tx1"/>
            </w14:solidFill>
          </w14:textFill>
        </w:rPr>
        <w:t>816.48</w:t>
      </w:r>
      <w:r>
        <w:rPr>
          <w:rFonts w:hint="eastAsia" w:ascii="仿宋_GB2312" w:hAnsi="仿宋_GB2312" w:eastAsia="仿宋_GB2312" w:cs="仿宋_GB2312"/>
          <w:bCs/>
          <w:color w:val="000000" w:themeColor="text1"/>
          <w:spacing w:val="-6"/>
          <w:sz w:val="32"/>
          <w:szCs w:val="32"/>
          <w14:textFill>
            <w14:solidFill>
              <w14:schemeClr w14:val="tx1"/>
            </w14:solidFill>
          </w14:textFill>
        </w:rPr>
        <w:t>万元，其中：</w:t>
      </w:r>
    </w:p>
    <w:p>
      <w:pPr>
        <w:spacing w:line="576" w:lineRule="exact"/>
        <w:ind w:firstLine="640" w:firstLineChars="200"/>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人员经费707.</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15</w:t>
      </w:r>
      <w:r>
        <w:rPr>
          <w:rFonts w:hint="eastAsia" w:ascii="仿宋_GB2312" w:hAnsi="仿宋_GB2312" w:eastAsia="仿宋_GB2312" w:cs="仿宋_GB2312"/>
          <w:bCs/>
          <w:color w:val="000000" w:themeColor="text1"/>
          <w:sz w:val="32"/>
          <w:szCs w:val="32"/>
          <w14:textFill>
            <w14:solidFill>
              <w14:schemeClr w14:val="tx1"/>
            </w14:solidFill>
          </w14:textFill>
        </w:rPr>
        <w:t>万元，主要包括：基本工资、津贴补贴、奖金、绩效工资、机关事业单位基本养老保险缴费、职业年金缴费、职工基本医疗保险缴费、其他社会保障缴费、住房公积金、生活补助</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、奖励金。</w:t>
      </w:r>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公用经费109.</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33</w:t>
      </w:r>
      <w:r>
        <w:rPr>
          <w:rFonts w:hint="eastAsia" w:ascii="仿宋_GB2312" w:hAnsi="仿宋_GB2312" w:eastAsia="仿宋_GB2312" w:cs="仿宋_GB2312"/>
          <w:bCs/>
          <w:color w:val="000000" w:themeColor="text1"/>
          <w:sz w:val="32"/>
          <w:szCs w:val="32"/>
          <w14:textFill>
            <w14:solidFill>
              <w14:schemeClr w14:val="tx1"/>
            </w14:solidFill>
          </w14:textFill>
        </w:rPr>
        <w:t>万元，主要包括：办公费、印刷费</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水费、电费、邮电费、</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物业管理费、</w:t>
      </w:r>
      <w:r>
        <w:rPr>
          <w:rFonts w:hint="eastAsia" w:ascii="仿宋_GB2312" w:hAnsi="仿宋_GB2312" w:eastAsia="仿宋_GB2312" w:cs="仿宋_GB2312"/>
          <w:bCs/>
          <w:color w:val="000000" w:themeColor="text1"/>
          <w:sz w:val="32"/>
          <w:szCs w:val="32"/>
          <w14:textFill>
            <w14:solidFill>
              <w14:schemeClr w14:val="tx1"/>
            </w14:solidFill>
          </w14:textFill>
        </w:rPr>
        <w:t>差旅费、维修（护）费、公务接待费、工会经费、福利费、其他交通费用、其他商品和服务支出。</w:t>
      </w:r>
    </w:p>
    <w:p>
      <w:pPr>
        <w:spacing w:line="556" w:lineRule="exact"/>
        <w:ind w:firstLine="640" w:firstLineChars="200"/>
        <w:outlineLvl w:val="1"/>
        <w:rPr>
          <w:rStyle w:val="27"/>
          <w:rFonts w:ascii="黑体" w:hAnsi="黑体" w:eastAsia="黑体" w:cs="黑体"/>
          <w:b w:val="0"/>
          <w:color w:val="000000" w:themeColor="text1"/>
          <w14:textFill>
            <w14:solidFill>
              <w14:schemeClr w14:val="tx1"/>
            </w14:solidFill>
          </w14:textFill>
        </w:rPr>
      </w:pPr>
      <w:bookmarkStart w:id="52" w:name="_Toc15396609"/>
      <w:bookmarkStart w:id="53" w:name="_Toc15377215"/>
      <w:bookmarkStart w:id="54" w:name="_Toc32111"/>
      <w:r>
        <w:rPr>
          <w:rFonts w:hint="eastAsia" w:ascii="黑体" w:hAnsi="黑体" w:eastAsia="黑体" w:cs="黑体"/>
          <w:bCs/>
          <w:color w:val="000000" w:themeColor="text1"/>
          <w:sz w:val="32"/>
          <w:szCs w:val="32"/>
          <w14:textFill>
            <w14:solidFill>
              <w14:schemeClr w14:val="tx1"/>
            </w14:solidFill>
          </w14:textFill>
        </w:rPr>
        <w:t>七、</w:t>
      </w:r>
      <w:r>
        <w:rPr>
          <w:rStyle w:val="27"/>
          <w:rFonts w:hint="eastAsia" w:ascii="黑体" w:hAnsi="黑体" w:eastAsia="黑体" w:cs="黑体"/>
          <w:b w:val="0"/>
          <w:color w:val="000000" w:themeColor="text1"/>
          <w14:textFill>
            <w14:solidFill>
              <w14:schemeClr w14:val="tx1"/>
            </w14:solidFill>
          </w14:textFill>
        </w:rPr>
        <w:t>财政拨款“三公”经费支出决算情况说明</w:t>
      </w:r>
      <w:bookmarkEnd w:id="52"/>
      <w:bookmarkEnd w:id="53"/>
      <w:bookmarkEnd w:id="54"/>
    </w:p>
    <w:p>
      <w:pPr>
        <w:spacing w:line="55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55" w:name="_Toc15377216"/>
      <w:r>
        <w:rPr>
          <w:rFonts w:hint="eastAsia" w:ascii="楷体_GB2312" w:hAnsi="楷体_GB2312" w:eastAsia="楷体_GB2312" w:cs="楷体_GB2312"/>
          <w:bCs/>
          <w:color w:val="000000" w:themeColor="text1"/>
          <w:sz w:val="32"/>
          <w:szCs w:val="32"/>
          <w14:textFill>
            <w14:solidFill>
              <w14:schemeClr w14:val="tx1"/>
            </w14:solidFill>
          </w14:textFill>
        </w:rPr>
        <w:t>（一）“三公”经费财政拨款支出决算总体情况说明</w:t>
      </w:r>
      <w:bookmarkEnd w:id="55"/>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bCs/>
          <w:color w:val="000000" w:themeColor="text1"/>
          <w:sz w:val="32"/>
          <w:szCs w:val="32"/>
          <w14:textFill>
            <w14:solidFill>
              <w14:schemeClr w14:val="tx1"/>
            </w14:solidFill>
          </w14:textFill>
        </w:rPr>
        <w:t>“三公”经费财政拨款支出决算为</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2.75</w:t>
      </w:r>
      <w:r>
        <w:rPr>
          <w:rFonts w:hint="eastAsia" w:ascii="仿宋_GB2312" w:hAnsi="仿宋_GB2312" w:eastAsia="仿宋_GB2312" w:cs="仿宋_GB2312"/>
          <w:bCs/>
          <w:color w:val="000000" w:themeColor="text1"/>
          <w:sz w:val="32"/>
          <w:szCs w:val="32"/>
          <w14:textFill>
            <w14:solidFill>
              <w14:schemeClr w14:val="tx1"/>
            </w14:solidFill>
          </w14:textFill>
        </w:rPr>
        <w:t>万元，完成预算</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bCs/>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较上年度</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0.78</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下降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22.1</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，决算数与预算数持平</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55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56" w:name="_Toc15377217"/>
      <w:r>
        <w:rPr>
          <w:rFonts w:hint="eastAsia" w:ascii="楷体_GB2312" w:hAnsi="楷体_GB2312" w:eastAsia="楷体_GB2312" w:cs="楷体_GB2312"/>
          <w:bCs/>
          <w:color w:val="000000" w:themeColor="text1"/>
          <w:sz w:val="32"/>
          <w:szCs w:val="32"/>
          <w14:textFill>
            <w14:solidFill>
              <w14:schemeClr w14:val="tx1"/>
            </w14:solidFill>
          </w14:textFill>
        </w:rPr>
        <w:t>（二）“三公”经费财政拨款支出决算具体情况说明</w:t>
      </w:r>
      <w:bookmarkEnd w:id="56"/>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bCs/>
          <w:color w:val="000000" w:themeColor="text1"/>
          <w:sz w:val="32"/>
          <w:szCs w:val="32"/>
          <w14:textFill>
            <w14:solidFill>
              <w14:schemeClr w14:val="tx1"/>
            </w14:solidFill>
          </w14:textFill>
        </w:rPr>
        <w:t>“三公”经费财政拨款支出决算中，因公出国（境）费支出决算0万元，占0%；公务用车购置及运行维护费支出决算0万元，占0%；公务接待费支出决算</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2.75</w:t>
      </w:r>
      <w:r>
        <w:rPr>
          <w:rFonts w:hint="eastAsia" w:ascii="仿宋_GB2312" w:hAnsi="仿宋_GB2312" w:eastAsia="仿宋_GB2312" w:cs="仿宋_GB2312"/>
          <w:bCs/>
          <w:color w:val="000000" w:themeColor="text1"/>
          <w:sz w:val="32"/>
          <w:szCs w:val="32"/>
          <w14:textFill>
            <w14:solidFill>
              <w14:schemeClr w14:val="tx1"/>
            </w14:solidFill>
          </w14:textFill>
        </w:rPr>
        <w:t>万元，占100%。具体情况如下：</w:t>
      </w:r>
    </w:p>
    <w:p>
      <w:pPr>
        <w:pStyle w:val="20"/>
        <w:ind w:left="420" w:firstLine="640"/>
        <w:rPr>
          <w:rFonts w:ascii="仿宋" w:hAnsi="仿宋" w:eastAsia="仿宋"/>
          <w:color w:val="000000" w:themeColor="text1"/>
          <w:sz w:val="32"/>
          <w14:textFill>
            <w14:solidFill>
              <w14:schemeClr w14:val="tx1"/>
            </w14:solidFill>
          </w14:textFill>
        </w:rPr>
      </w:pPr>
      <w:r>
        <w:rPr>
          <w:rFonts w:hint="eastAsia" w:hAnsi="仿宋" w:eastAsia="仿宋_GB2312"/>
          <w:color w:val="000000" w:themeColor="text1"/>
          <w:sz w:val="32"/>
          <w14:textFill>
            <w14:solidFill>
              <w14:schemeClr w14:val="tx1"/>
            </w14:solidFill>
          </w14:textFill>
        </w:rPr>
        <w:drawing>
          <wp:anchor distT="0" distB="0" distL="114300" distR="114300" simplePos="0" relativeHeight="251663360" behindDoc="1" locked="0" layoutInCell="1" allowOverlap="1">
            <wp:simplePos x="0" y="0"/>
            <wp:positionH relativeFrom="column">
              <wp:posOffset>892175</wp:posOffset>
            </wp:positionH>
            <wp:positionV relativeFrom="paragraph">
              <wp:posOffset>34925</wp:posOffset>
            </wp:positionV>
            <wp:extent cx="4147185" cy="2384425"/>
            <wp:effectExtent l="4445" t="4445" r="20320" b="11430"/>
            <wp:wrapTight wrapText="bothSides">
              <wp:wrapPolygon>
                <wp:start x="-23" y="-40"/>
                <wp:lineTo x="-23" y="21531"/>
                <wp:lineTo x="21507" y="21531"/>
                <wp:lineTo x="21507" y="-40"/>
                <wp:lineTo x="-23" y="-40"/>
              </wp:wrapPolygon>
            </wp:wrapTight>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550" w:lineRule="exact"/>
        <w:ind w:firstLine="1929" w:firstLineChars="603"/>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图7：“三公”经费财政拨款支出结构</w:t>
      </w:r>
    </w:p>
    <w:p>
      <w:pPr>
        <w:spacing w:line="550"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w:t>
      </w:r>
      <w:r>
        <w:rPr>
          <w:rFonts w:ascii="仿宋_GB2312" w:hAnsi="仿宋_GB2312" w:eastAsia="仿宋_GB2312" w:cs="仿宋_GB2312"/>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因公出国（境）经费支出0万元，年初未安排预算，支出决算较</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2023年度</w:t>
      </w:r>
      <w:r>
        <w:rPr>
          <w:rFonts w:hint="eastAsia" w:ascii="仿宋_GB2312" w:hAnsi="仿宋_GB2312" w:eastAsia="仿宋_GB2312" w:cs="仿宋_GB2312"/>
          <w:bCs/>
          <w:color w:val="000000" w:themeColor="text1"/>
          <w:sz w:val="32"/>
          <w:szCs w:val="32"/>
          <w14:textFill>
            <w14:solidFill>
              <w14:schemeClr w14:val="tx1"/>
            </w14:solidFill>
          </w14:textFill>
        </w:rPr>
        <w:t>无变化。</w:t>
      </w:r>
    </w:p>
    <w:p>
      <w:pPr>
        <w:spacing w:line="550"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 我局</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bCs/>
          <w:color w:val="000000" w:themeColor="text1"/>
          <w:sz w:val="32"/>
          <w:szCs w:val="32"/>
          <w14:textFill>
            <w14:solidFill>
              <w14:schemeClr w14:val="tx1"/>
            </w14:solidFill>
          </w14:textFill>
        </w:rPr>
        <w:t>公务用车购置及公务用车维护费年初无预算安排，较</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2023年度</w:t>
      </w:r>
      <w:r>
        <w:rPr>
          <w:rFonts w:hint="eastAsia" w:ascii="仿宋_GB2312" w:hAnsi="仿宋_GB2312" w:eastAsia="仿宋_GB2312" w:cs="仿宋_GB2312"/>
          <w:bCs/>
          <w:color w:val="000000" w:themeColor="text1"/>
          <w:sz w:val="32"/>
          <w:szCs w:val="32"/>
          <w14:textFill>
            <w14:solidFill>
              <w14:schemeClr w14:val="tx1"/>
            </w14:solidFill>
          </w14:textFill>
        </w:rPr>
        <w:t>无变化，</w:t>
      </w:r>
      <w:r>
        <w:rPr>
          <w:rFonts w:hint="eastAsia" w:ascii="仿宋_GB2312" w:hAnsi="仿宋_GB2312" w:eastAsia="仿宋_GB2312" w:cs="仿宋_GB2312"/>
          <w:color w:val="000000" w:themeColor="text1"/>
          <w:sz w:val="32"/>
          <w:szCs w:val="32"/>
          <w14:textFill>
            <w14:solidFill>
              <w14:schemeClr w14:val="tx1"/>
            </w14:solidFill>
          </w14:textFill>
        </w:rPr>
        <w:t>截至202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年12月31日</w:t>
      </w:r>
      <w:r>
        <w:rPr>
          <w:rFonts w:hint="eastAsia" w:ascii="仿宋_GB2312" w:hAnsi="仿宋_GB2312" w:eastAsia="仿宋_GB2312" w:cs="仿宋_GB2312"/>
          <w:bCs/>
          <w:color w:val="000000" w:themeColor="text1"/>
          <w:sz w:val="32"/>
          <w:szCs w:val="32"/>
          <w14:textFill>
            <w14:solidFill>
              <w14:schemeClr w14:val="tx1"/>
            </w14:solidFill>
          </w14:textFill>
        </w:rPr>
        <w:t>无公务用车保有量。</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3.</w:t>
      </w:r>
      <w:r>
        <w:rPr>
          <w:rFonts w:ascii="仿宋_GB2312" w:hAnsi="仿宋_GB2312" w:eastAsia="仿宋_GB2312" w:cs="仿宋_GB2312"/>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公务接待费支出</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2.75</w:t>
      </w:r>
      <w:r>
        <w:rPr>
          <w:rFonts w:hint="eastAsia" w:ascii="仿宋_GB2312" w:hAnsi="仿宋_GB2312" w:eastAsia="仿宋_GB2312" w:cs="仿宋_GB2312"/>
          <w:bCs/>
          <w:color w:val="000000" w:themeColor="text1"/>
          <w:sz w:val="32"/>
          <w:szCs w:val="32"/>
          <w14:textFill>
            <w14:solidFill>
              <w14:schemeClr w14:val="tx1"/>
            </w14:solidFill>
          </w14:textFill>
        </w:rPr>
        <w:t>万元，</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完成预算</w:t>
      </w: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100</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公务接待费支出决算比</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2023年度减少</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0.78</w:t>
      </w:r>
      <w:r>
        <w:rPr>
          <w:rFonts w:hint="eastAsia" w:ascii="仿宋_GB2312" w:hAnsi="仿宋_GB2312" w:eastAsia="仿宋_GB2312" w:cs="仿宋_GB2312"/>
          <w:bCs/>
          <w:color w:val="000000" w:themeColor="text1"/>
          <w:sz w:val="32"/>
          <w:szCs w:val="32"/>
          <w14:textFill>
            <w14:solidFill>
              <w14:schemeClr w14:val="tx1"/>
            </w14:solidFill>
          </w14:textFill>
        </w:rPr>
        <w:t>万元，</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下降</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22.1</w:t>
      </w:r>
      <w:r>
        <w:rPr>
          <w:rFonts w:hint="eastAsia" w:ascii="仿宋_GB2312" w:hAnsi="仿宋_GB2312" w:eastAsia="仿宋_GB2312" w:cs="仿宋_GB2312"/>
          <w:bCs/>
          <w:color w:val="000000" w:themeColor="text1"/>
          <w:sz w:val="32"/>
          <w:szCs w:val="32"/>
          <w14:textFill>
            <w14:solidFill>
              <w14:schemeClr w14:val="tx1"/>
            </w14:solidFill>
          </w14:textFill>
        </w:rPr>
        <w:t>%。主要原因是</w:t>
      </w:r>
      <w:r>
        <w:rPr>
          <w:rFonts w:ascii="仿宋_GB2312" w:hAnsi="宋体" w:eastAsia="仿宋_GB2312" w:cs="仿宋_GB2312"/>
          <w:color w:val="000000" w:themeColor="text1"/>
          <w:sz w:val="32"/>
          <w:szCs w:val="32"/>
          <w14:textFill>
            <w14:solidFill>
              <w14:schemeClr w14:val="tx1"/>
            </w14:solidFill>
          </w14:textFill>
        </w:rPr>
        <w:t>切实落实“过紧日子”要求，减少非必要的接待，严控</w:t>
      </w:r>
      <w:r>
        <w:rPr>
          <w:rFonts w:hint="eastAsia" w:ascii="仿宋_GB2312" w:hAnsi="宋体" w:eastAsia="仿宋_GB2312" w:cs="仿宋_GB2312"/>
          <w:color w:val="000000" w:themeColor="text1"/>
          <w:sz w:val="32"/>
          <w:szCs w:val="32"/>
          <w:lang w:eastAsia="zh-CN"/>
          <w14:textFill>
            <w14:solidFill>
              <w14:schemeClr w14:val="tx1"/>
            </w14:solidFill>
          </w14:textFill>
        </w:rPr>
        <w:t>公务接待</w:t>
      </w:r>
      <w:r>
        <w:rPr>
          <w:rFonts w:ascii="仿宋_GB2312" w:hAnsi="宋体" w:eastAsia="仿宋_GB2312" w:cs="仿宋_GB2312"/>
          <w:color w:val="000000" w:themeColor="text1"/>
          <w:sz w:val="32"/>
          <w:szCs w:val="32"/>
          <w14:textFill>
            <w14:solidFill>
              <w14:schemeClr w14:val="tx1"/>
            </w14:solidFill>
          </w14:textFill>
        </w:rPr>
        <w:t>支出</w:t>
      </w:r>
      <w:r>
        <w:rPr>
          <w:rFonts w:hint="eastAsia" w:ascii="仿宋_GB2312" w:hAnsi="仿宋_GB2312" w:eastAsia="仿宋_GB2312" w:cs="仿宋_GB2312"/>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国内公务接待支出</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2.75</w:t>
      </w:r>
      <w:r>
        <w:rPr>
          <w:rFonts w:hint="eastAsia" w:ascii="仿宋_GB2312" w:hAnsi="仿宋_GB2312" w:eastAsia="仿宋_GB2312" w:cs="仿宋_GB2312"/>
          <w:bCs/>
          <w:color w:val="000000" w:themeColor="text1"/>
          <w:sz w:val="32"/>
          <w:szCs w:val="32"/>
          <w14:textFill>
            <w14:solidFill>
              <w14:schemeClr w14:val="tx1"/>
            </w14:solidFill>
          </w14:textFill>
        </w:rPr>
        <w:t>万元，主要用于执行公务、开展业务活动开支的用餐费。国内公务接待</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17</w:t>
      </w:r>
      <w:r>
        <w:rPr>
          <w:rFonts w:hint="eastAsia" w:ascii="仿宋_GB2312" w:hAnsi="仿宋_GB2312" w:eastAsia="仿宋_GB2312" w:cs="仿宋_GB2312"/>
          <w:bCs/>
          <w:color w:val="000000" w:themeColor="text1"/>
          <w:sz w:val="32"/>
          <w:szCs w:val="32"/>
          <w14:textFill>
            <w14:solidFill>
              <w14:schemeClr w14:val="tx1"/>
            </w14:solidFill>
          </w14:textFill>
        </w:rPr>
        <w:t>批次，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136</w:t>
      </w:r>
      <w:r>
        <w:rPr>
          <w:rFonts w:hint="eastAsia" w:ascii="仿宋_GB2312" w:hAnsi="仿宋_GB2312" w:eastAsia="仿宋_GB2312" w:cs="仿宋_GB2312"/>
          <w:bCs/>
          <w:color w:val="000000" w:themeColor="text1"/>
          <w:sz w:val="32"/>
          <w:szCs w:val="32"/>
          <w14:textFill>
            <w14:solidFill>
              <w14:schemeClr w14:val="tx1"/>
            </w14:solidFill>
          </w14:textFill>
        </w:rPr>
        <w:t>人次（不包括陪同人员），共计支出</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2.75</w:t>
      </w:r>
      <w:r>
        <w:rPr>
          <w:rFonts w:hint="eastAsia" w:ascii="仿宋_GB2312" w:hAnsi="仿宋_GB2312" w:eastAsia="仿宋_GB2312" w:cs="仿宋_GB2312"/>
          <w:bCs/>
          <w:color w:val="000000" w:themeColor="text1"/>
          <w:sz w:val="32"/>
          <w:szCs w:val="32"/>
          <w14:textFill>
            <w14:solidFill>
              <w14:schemeClr w14:val="tx1"/>
            </w14:solidFill>
          </w14:textFill>
        </w:rPr>
        <w:t>万元，主要用于省局领导到广元调研和其他地市州到广元考察学习。</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外事接待支出0万元，较</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2023年度</w:t>
      </w:r>
      <w:r>
        <w:rPr>
          <w:rFonts w:hint="eastAsia" w:ascii="仿宋_GB2312" w:hAnsi="仿宋_GB2312" w:eastAsia="仿宋_GB2312" w:cs="仿宋_GB2312"/>
          <w:bCs/>
          <w:color w:val="000000" w:themeColor="text1"/>
          <w:sz w:val="32"/>
          <w:szCs w:val="32"/>
          <w14:textFill>
            <w14:solidFill>
              <w14:schemeClr w14:val="tx1"/>
            </w14:solidFill>
          </w14:textFill>
        </w:rPr>
        <w:t>无变化。</w:t>
      </w:r>
      <w:bookmarkStart w:id="57" w:name="_Toc15377218"/>
      <w:bookmarkStart w:id="58" w:name="_Toc15396610"/>
    </w:p>
    <w:p>
      <w:pPr>
        <w:keepNext w:val="0"/>
        <w:keepLines w:val="0"/>
        <w:pageBreakBefore w:val="0"/>
        <w:widowControl w:val="0"/>
        <w:kinsoku/>
        <w:wordWrap/>
        <w:overflowPunct/>
        <w:topLinePunct w:val="0"/>
        <w:bidi w:val="0"/>
        <w:snapToGrid/>
        <w:spacing w:line="560" w:lineRule="exact"/>
        <w:ind w:firstLine="640" w:firstLineChars="200"/>
        <w:textAlignment w:val="auto"/>
        <w:outlineLvl w:val="1"/>
        <w:rPr>
          <w:rStyle w:val="27"/>
          <w:rFonts w:ascii="黑体" w:hAnsi="黑体" w:eastAsia="黑体" w:cs="黑体"/>
          <w:b w:val="0"/>
          <w:color w:val="000000" w:themeColor="text1"/>
          <w14:textFill>
            <w14:solidFill>
              <w14:schemeClr w14:val="tx1"/>
            </w14:solidFill>
          </w14:textFill>
        </w:rPr>
      </w:pPr>
      <w:bookmarkStart w:id="59" w:name="_Toc25922"/>
      <w:r>
        <w:rPr>
          <w:rFonts w:hint="eastAsia" w:ascii="黑体" w:hAnsi="黑体" w:eastAsia="黑体" w:cs="黑体"/>
          <w:bCs/>
          <w:color w:val="000000" w:themeColor="text1"/>
          <w:sz w:val="32"/>
          <w:szCs w:val="32"/>
          <w14:textFill>
            <w14:solidFill>
              <w14:schemeClr w14:val="tx1"/>
            </w14:solidFill>
          </w14:textFill>
        </w:rPr>
        <w:t>八、</w:t>
      </w:r>
      <w:r>
        <w:rPr>
          <w:rStyle w:val="27"/>
          <w:rFonts w:hint="eastAsia" w:ascii="黑体" w:hAnsi="黑体" w:eastAsia="黑体" w:cs="黑体"/>
          <w:b w:val="0"/>
          <w:color w:val="000000" w:themeColor="text1"/>
          <w14:textFill>
            <w14:solidFill>
              <w14:schemeClr w14:val="tx1"/>
            </w14:solidFill>
          </w14:textFill>
        </w:rPr>
        <w:t>政府性基金预算支出决算情况说明</w:t>
      </w:r>
      <w:bookmarkEnd w:id="57"/>
      <w:bookmarkEnd w:id="58"/>
      <w:bookmarkEnd w:id="59"/>
    </w:p>
    <w:p>
      <w:pPr>
        <w:pStyle w:val="2"/>
        <w:keepNext w:val="0"/>
        <w:keepLines w:val="0"/>
        <w:pageBreakBefore w:val="0"/>
        <w:widowControl w:val="0"/>
        <w:kinsoku/>
        <w:wordWrap/>
        <w:overflowPunct/>
        <w:topLinePunct w:val="0"/>
        <w:bidi w:val="0"/>
        <w:snapToGrid/>
        <w:spacing w:beforeLines="0" w:line="560" w:lineRule="exact"/>
        <w:ind w:firstLine="640" w:firstLineChars="200"/>
        <w:textAlignment w:val="auto"/>
        <w:rPr>
          <w:rFonts w:hAnsi="仿宋_GB2312" w:cs="仿宋_GB2312"/>
          <w:bCs/>
          <w:color w:val="000000" w:themeColor="text1"/>
          <w:sz w:val="32"/>
          <w:szCs w:val="32"/>
          <w14:textFill>
            <w14:solidFill>
              <w14:schemeClr w14:val="tx1"/>
            </w14:solidFill>
          </w14:textFill>
        </w:rPr>
      </w:pPr>
      <w:r>
        <w:rPr>
          <w:rFonts w:hint="eastAsia" w:hAnsi="仿宋_GB2312" w:cs="仿宋_GB2312"/>
          <w:bCs/>
          <w:color w:val="000000" w:themeColor="text1"/>
          <w:sz w:val="32"/>
          <w:szCs w:val="32"/>
          <w14:textFill>
            <w14:solidFill>
              <w14:schemeClr w14:val="tx1"/>
            </w14:solidFill>
          </w14:textFill>
        </w:rPr>
        <w:t>广元市医疗保障局</w:t>
      </w:r>
      <w:r>
        <w:rPr>
          <w:rFonts w:hint="eastAsia" w:hAnsi="仿宋_GB2312" w:cs="仿宋_GB2312"/>
          <w:bCs/>
          <w:color w:val="000000" w:themeColor="text1"/>
          <w:sz w:val="32"/>
          <w:szCs w:val="32"/>
          <w:lang w:eastAsia="zh-CN"/>
          <w14:textFill>
            <w14:solidFill>
              <w14:schemeClr w14:val="tx1"/>
            </w14:solidFill>
          </w14:textFill>
        </w:rPr>
        <w:t>2024年度</w:t>
      </w:r>
      <w:r>
        <w:rPr>
          <w:rFonts w:hint="eastAsia" w:hAnsi="仿宋_GB2312" w:cs="仿宋_GB2312"/>
          <w:bCs/>
          <w:color w:val="000000" w:themeColor="text1"/>
          <w:sz w:val="32"/>
          <w:szCs w:val="32"/>
          <w14:textFill>
            <w14:solidFill>
              <w14:schemeClr w14:val="tx1"/>
            </w14:solidFill>
          </w14:textFill>
        </w:rPr>
        <w:t>无政府性基金预算拨款支出。</w:t>
      </w:r>
    </w:p>
    <w:p>
      <w:pPr>
        <w:keepNext w:val="0"/>
        <w:keepLines w:val="0"/>
        <w:pageBreakBefore w:val="0"/>
        <w:widowControl w:val="0"/>
        <w:numPr>
          <w:ilvl w:val="0"/>
          <w:numId w:val="3"/>
        </w:numPr>
        <w:kinsoku/>
        <w:wordWrap/>
        <w:overflowPunct/>
        <w:topLinePunct w:val="0"/>
        <w:bidi w:val="0"/>
        <w:snapToGrid/>
        <w:spacing w:line="560" w:lineRule="exact"/>
        <w:ind w:firstLine="640" w:firstLineChars="200"/>
        <w:textAlignment w:val="auto"/>
        <w:outlineLvl w:val="1"/>
        <w:rPr>
          <w:rStyle w:val="27"/>
          <w:rFonts w:ascii="黑体" w:hAnsi="黑体" w:eastAsia="黑体" w:cs="黑体"/>
          <w:b w:val="0"/>
          <w:color w:val="000000" w:themeColor="text1"/>
          <w14:textFill>
            <w14:solidFill>
              <w14:schemeClr w14:val="tx1"/>
            </w14:solidFill>
          </w14:textFill>
        </w:rPr>
      </w:pPr>
      <w:bookmarkStart w:id="60" w:name="_Toc29733"/>
      <w:bookmarkStart w:id="61" w:name="_Toc15377219"/>
      <w:bookmarkStart w:id="62" w:name="_Toc15396611"/>
      <w:r>
        <w:rPr>
          <w:rStyle w:val="27"/>
          <w:rFonts w:hint="eastAsia" w:ascii="黑体" w:hAnsi="黑体" w:eastAsia="黑体" w:cs="黑体"/>
          <w:b w:val="0"/>
          <w:color w:val="000000" w:themeColor="text1"/>
          <w14:textFill>
            <w14:solidFill>
              <w14:schemeClr w14:val="tx1"/>
            </w14:solidFill>
          </w14:textFill>
        </w:rPr>
        <w:t>国有资本经营预算支出决算情况说明</w:t>
      </w:r>
      <w:bookmarkEnd w:id="60"/>
      <w:bookmarkEnd w:id="61"/>
      <w:bookmarkEnd w:id="62"/>
    </w:p>
    <w:p>
      <w:pPr>
        <w:pStyle w:val="2"/>
        <w:keepNext w:val="0"/>
        <w:keepLines w:val="0"/>
        <w:pageBreakBefore w:val="0"/>
        <w:widowControl w:val="0"/>
        <w:kinsoku/>
        <w:wordWrap/>
        <w:overflowPunct/>
        <w:topLinePunct w:val="0"/>
        <w:bidi w:val="0"/>
        <w:snapToGrid/>
        <w:spacing w:beforeLines="0" w:line="560" w:lineRule="exact"/>
        <w:ind w:firstLine="640" w:firstLineChars="200"/>
        <w:textAlignment w:val="auto"/>
        <w:rPr>
          <w:rFonts w:hAnsi="仿宋_GB2312" w:cs="仿宋_GB2312"/>
          <w:bCs/>
          <w:color w:val="000000" w:themeColor="text1"/>
          <w:sz w:val="32"/>
          <w:szCs w:val="32"/>
          <w14:textFill>
            <w14:solidFill>
              <w14:schemeClr w14:val="tx1"/>
            </w14:solidFill>
          </w14:textFill>
        </w:rPr>
      </w:pPr>
      <w:r>
        <w:rPr>
          <w:rFonts w:hint="eastAsia" w:hAnsi="仿宋_GB2312" w:cs="仿宋_GB2312"/>
          <w:bCs/>
          <w:color w:val="000000" w:themeColor="text1"/>
          <w:sz w:val="32"/>
          <w:szCs w:val="32"/>
          <w14:textFill>
            <w14:solidFill>
              <w14:schemeClr w14:val="tx1"/>
            </w14:solidFill>
          </w14:textFill>
        </w:rPr>
        <w:t>广元市医疗保障局</w:t>
      </w:r>
      <w:r>
        <w:rPr>
          <w:rFonts w:hint="eastAsia" w:hAnsi="仿宋_GB2312" w:cs="仿宋_GB2312"/>
          <w:bCs/>
          <w:color w:val="000000" w:themeColor="text1"/>
          <w:sz w:val="32"/>
          <w:szCs w:val="32"/>
          <w:lang w:eastAsia="zh-CN"/>
          <w14:textFill>
            <w14:solidFill>
              <w14:schemeClr w14:val="tx1"/>
            </w14:solidFill>
          </w14:textFill>
        </w:rPr>
        <w:t>2024年度</w:t>
      </w:r>
      <w:r>
        <w:rPr>
          <w:rFonts w:hint="eastAsia" w:hAnsi="仿宋_GB2312" w:cs="仿宋_GB2312"/>
          <w:bCs/>
          <w:color w:val="000000" w:themeColor="text1"/>
          <w:sz w:val="32"/>
          <w:szCs w:val="32"/>
          <w14:textFill>
            <w14:solidFill>
              <w14:schemeClr w14:val="tx1"/>
            </w14:solidFill>
          </w14:textFill>
        </w:rPr>
        <w:t>无国有资本经营预算拨款支出。</w:t>
      </w:r>
    </w:p>
    <w:p>
      <w:pPr>
        <w:keepNext w:val="0"/>
        <w:keepLines w:val="0"/>
        <w:pageBreakBefore w:val="0"/>
        <w:widowControl w:val="0"/>
        <w:numPr>
          <w:ilvl w:val="0"/>
          <w:numId w:val="3"/>
        </w:numPr>
        <w:kinsoku/>
        <w:wordWrap/>
        <w:overflowPunct/>
        <w:topLinePunct w:val="0"/>
        <w:bidi w:val="0"/>
        <w:snapToGrid/>
        <w:spacing w:line="560" w:lineRule="exact"/>
        <w:ind w:firstLine="640" w:firstLineChars="200"/>
        <w:textAlignment w:val="auto"/>
        <w:outlineLvl w:val="1"/>
        <w:rPr>
          <w:rStyle w:val="27"/>
          <w:rFonts w:ascii="黑体" w:hAnsi="黑体" w:eastAsia="黑体" w:cs="黑体"/>
          <w:b w:val="0"/>
          <w:color w:val="000000" w:themeColor="text1"/>
          <w14:textFill>
            <w14:solidFill>
              <w14:schemeClr w14:val="tx1"/>
            </w14:solidFill>
          </w14:textFill>
        </w:rPr>
      </w:pPr>
      <w:bookmarkStart w:id="63" w:name="_Toc15377221"/>
      <w:bookmarkStart w:id="64" w:name="_Toc15396612"/>
      <w:bookmarkStart w:id="65" w:name="_Toc10327"/>
      <w:r>
        <w:rPr>
          <w:rStyle w:val="27"/>
          <w:rFonts w:hint="eastAsia" w:ascii="黑体" w:hAnsi="黑体" w:eastAsia="黑体" w:cs="黑体"/>
          <w:b w:val="0"/>
          <w:color w:val="000000" w:themeColor="text1"/>
          <w14:textFill>
            <w14:solidFill>
              <w14:schemeClr w14:val="tx1"/>
            </w14:solidFill>
          </w14:textFill>
        </w:rPr>
        <w:t>其他重要事项的情况说明</w:t>
      </w:r>
      <w:bookmarkEnd w:id="63"/>
      <w:bookmarkEnd w:id="64"/>
      <w:bookmarkEnd w:id="65"/>
    </w:p>
    <w:p>
      <w:pPr>
        <w:keepNext w:val="0"/>
        <w:keepLines w:val="0"/>
        <w:pageBreakBefore w:val="0"/>
        <w:widowControl w:val="0"/>
        <w:kinsoku/>
        <w:wordWrap/>
        <w:overflowPunct/>
        <w:topLinePunct w:val="0"/>
        <w:bidi w:val="0"/>
        <w:snapToGrid/>
        <w:spacing w:line="560" w:lineRule="exact"/>
        <w:ind w:firstLine="640" w:firstLineChars="200"/>
        <w:textAlignment w:val="auto"/>
        <w:outlineLvl w:val="2"/>
        <w:rPr>
          <w:rFonts w:ascii="楷体_GB2312" w:hAnsi="楷体_GB2312" w:eastAsia="楷体_GB2312" w:cs="楷体_GB2312"/>
          <w:bCs/>
          <w:color w:val="000000" w:themeColor="text1"/>
          <w:sz w:val="32"/>
          <w:szCs w:val="32"/>
          <w14:textFill>
            <w14:solidFill>
              <w14:schemeClr w14:val="tx1"/>
            </w14:solidFill>
          </w14:textFill>
        </w:rPr>
      </w:pPr>
      <w:bookmarkStart w:id="66" w:name="_Toc15377222"/>
      <w:r>
        <w:rPr>
          <w:rFonts w:hint="eastAsia" w:ascii="楷体_GB2312" w:hAnsi="楷体_GB2312" w:eastAsia="楷体_GB2312" w:cs="楷体_GB2312"/>
          <w:bCs/>
          <w:color w:val="000000" w:themeColor="text1"/>
          <w:sz w:val="32"/>
          <w:szCs w:val="32"/>
          <w14:textFill>
            <w14:solidFill>
              <w14:schemeClr w14:val="tx1"/>
            </w14:solidFill>
          </w14:textFill>
        </w:rPr>
        <w:t>（一）机关运行经费支出情况</w:t>
      </w:r>
      <w:bookmarkEnd w:id="66"/>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bCs/>
          <w:color w:val="000000" w:themeColor="text1"/>
          <w:sz w:val="32"/>
          <w:szCs w:val="32"/>
          <w14:textFill>
            <w14:solidFill>
              <w14:schemeClr w14:val="tx1"/>
            </w14:solidFill>
          </w14:textFill>
        </w:rPr>
        <w:t>，广元市医疗保障局机关运行经费支出109.</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33</w:t>
      </w:r>
      <w:r>
        <w:rPr>
          <w:rFonts w:hint="eastAsia" w:ascii="仿宋_GB2312" w:hAnsi="仿宋_GB2312" w:eastAsia="仿宋_GB2312" w:cs="仿宋_GB2312"/>
          <w:bCs/>
          <w:color w:val="000000" w:themeColor="text1"/>
          <w:sz w:val="32"/>
          <w:szCs w:val="32"/>
          <w14:textFill>
            <w14:solidFill>
              <w14:schemeClr w14:val="tx1"/>
            </w14:solidFill>
          </w14:textFill>
        </w:rPr>
        <w:t>万元，比</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2023年度减少</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0.53</w:t>
      </w:r>
      <w:r>
        <w:rPr>
          <w:rFonts w:hint="eastAsia" w:ascii="仿宋_GB2312" w:hAnsi="仿宋_GB2312" w:eastAsia="仿宋_GB2312" w:cs="仿宋_GB2312"/>
          <w:bCs/>
          <w:color w:val="000000" w:themeColor="text1"/>
          <w:sz w:val="32"/>
          <w:szCs w:val="32"/>
          <w14:textFill>
            <w14:solidFill>
              <w14:schemeClr w14:val="tx1"/>
            </w14:solidFill>
          </w14:textFill>
        </w:rPr>
        <w:t>万元，</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下降</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0.48</w:t>
      </w:r>
      <w:r>
        <w:rPr>
          <w:rFonts w:hint="eastAsia" w:ascii="仿宋_GB2312" w:hAnsi="仿宋_GB2312" w:eastAsia="仿宋_GB2312" w:cs="仿宋_GB2312"/>
          <w:bCs/>
          <w:color w:val="000000" w:themeColor="text1"/>
          <w:sz w:val="32"/>
          <w:szCs w:val="32"/>
          <w14:textFill>
            <w14:solidFill>
              <w14:schemeClr w14:val="tx1"/>
            </w14:solidFill>
          </w14:textFill>
        </w:rPr>
        <w:t>%，主要原因是</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厉行节约，压减一般支出。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outlineLvl w:val="2"/>
        <w:rPr>
          <w:rFonts w:ascii="楷体_GB2312" w:hAnsi="楷体_GB2312" w:eastAsia="楷体_GB2312" w:cs="楷体_GB2312"/>
          <w:bCs/>
          <w:color w:val="000000" w:themeColor="text1"/>
          <w:sz w:val="32"/>
          <w:szCs w:val="32"/>
          <w14:textFill>
            <w14:solidFill>
              <w14:schemeClr w14:val="tx1"/>
            </w14:solidFill>
          </w14:textFill>
        </w:rPr>
      </w:pPr>
      <w:bookmarkStart w:id="67" w:name="_Toc15377223"/>
      <w:r>
        <w:rPr>
          <w:rFonts w:hint="eastAsia" w:ascii="楷体_GB2312" w:hAnsi="楷体_GB2312" w:eastAsia="楷体_GB2312" w:cs="楷体_GB2312"/>
          <w:bCs/>
          <w:color w:val="000000" w:themeColor="text1"/>
          <w:sz w:val="32"/>
          <w:szCs w:val="32"/>
          <w14:textFill>
            <w14:solidFill>
              <w14:schemeClr w14:val="tx1"/>
            </w14:solidFill>
          </w14:textFill>
        </w:rPr>
        <w:t>（二）政府采购支出情况</w:t>
      </w:r>
      <w:bookmarkEnd w:id="67"/>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2024年度</w:t>
      </w:r>
      <w:r>
        <w:rPr>
          <w:rFonts w:hint="eastAsia" w:ascii="仿宋_GB2312" w:hAnsi="仿宋_GB2312" w:eastAsia="仿宋_GB2312" w:cs="仿宋_GB2312"/>
          <w:bCs/>
          <w:color w:val="000000" w:themeColor="text1"/>
          <w:sz w:val="32"/>
          <w:szCs w:val="32"/>
          <w14:textFill>
            <w14:solidFill>
              <w14:schemeClr w14:val="tx1"/>
            </w14:solidFill>
          </w14:textFill>
        </w:rPr>
        <w:t>，广元市医疗保障局政府采购支出总额</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70.24</w:t>
      </w:r>
      <w:r>
        <w:rPr>
          <w:rFonts w:hint="eastAsia" w:ascii="仿宋_GB2312" w:hAnsi="仿宋_GB2312" w:eastAsia="仿宋_GB2312" w:cs="仿宋_GB2312"/>
          <w:bCs/>
          <w:color w:val="000000" w:themeColor="text1"/>
          <w:sz w:val="32"/>
          <w:szCs w:val="32"/>
          <w14:textFill>
            <w14:solidFill>
              <w14:schemeClr w14:val="tx1"/>
            </w14:solidFill>
          </w14:textFill>
        </w:rPr>
        <w:t>万元，其中：政府采购货物支出</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14:textFill>
            <w14:solidFill>
              <w14:schemeClr w14:val="tx1"/>
            </w14:solidFill>
          </w14:textFill>
        </w:rPr>
        <w:t>万元、政府采购服务支出</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60.24</w:t>
      </w:r>
      <w:r>
        <w:rPr>
          <w:rFonts w:hint="eastAsia" w:ascii="仿宋_GB2312" w:hAnsi="仿宋_GB2312" w:eastAsia="仿宋_GB2312" w:cs="仿宋_GB2312"/>
          <w:bCs/>
          <w:color w:val="000000" w:themeColor="text1"/>
          <w:sz w:val="32"/>
          <w:szCs w:val="32"/>
          <w14:textFill>
            <w14:solidFill>
              <w14:schemeClr w14:val="tx1"/>
            </w14:solidFill>
          </w14:textFill>
        </w:rPr>
        <w:t>万元。主要用于</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2024年度</w:t>
      </w:r>
      <w:r>
        <w:rPr>
          <w:rFonts w:hint="eastAsia" w:ascii="仿宋_GB2312" w:hAnsi="仿宋_GB2312" w:eastAsia="仿宋_GB2312" w:cs="仿宋_GB2312"/>
          <w:bCs/>
          <w:color w:val="000000" w:themeColor="text1"/>
          <w:sz w:val="32"/>
          <w:szCs w:val="32"/>
          <w14:textFill>
            <w14:solidFill>
              <w14:schemeClr w14:val="tx1"/>
            </w14:solidFill>
          </w14:textFill>
        </w:rPr>
        <w:t>空调、</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复印纸</w:t>
      </w:r>
      <w:r>
        <w:rPr>
          <w:rFonts w:hint="eastAsia" w:ascii="仿宋_GB2312" w:hAnsi="仿宋_GB2312" w:eastAsia="仿宋_GB2312" w:cs="仿宋_GB2312"/>
          <w:bCs/>
          <w:color w:val="000000" w:themeColor="text1"/>
          <w:sz w:val="32"/>
          <w:szCs w:val="32"/>
          <w14:textFill>
            <w14:solidFill>
              <w14:schemeClr w14:val="tx1"/>
            </w14:solidFill>
          </w14:textFill>
        </w:rPr>
        <w:t>、医保业务系统技术支撑服务支出</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及</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2023年度医保智能监控项目、医保业务信息技术支持服务项目尾款支出</w:t>
      </w:r>
      <w:r>
        <w:rPr>
          <w:rFonts w:hint="eastAsia" w:ascii="仿宋_GB2312" w:hAnsi="仿宋_GB2312" w:eastAsia="仿宋_GB2312" w:cs="仿宋_GB2312"/>
          <w:bCs/>
          <w:color w:val="000000" w:themeColor="text1"/>
          <w:sz w:val="32"/>
          <w:szCs w:val="32"/>
          <w14:textFill>
            <w14:solidFill>
              <w14:schemeClr w14:val="tx1"/>
            </w14:solidFill>
          </w14:textFill>
        </w:rPr>
        <w:t xml:space="preserve">。授予中小企业合同金额 </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18.64</w:t>
      </w:r>
      <w:r>
        <w:rPr>
          <w:rFonts w:hint="eastAsia" w:ascii="仿宋_GB2312" w:hAnsi="仿宋_GB2312" w:eastAsia="仿宋_GB2312" w:cs="仿宋_GB2312"/>
          <w:bCs/>
          <w:color w:val="000000" w:themeColor="text1"/>
          <w:sz w:val="32"/>
          <w:szCs w:val="32"/>
          <w14:textFill>
            <w14:solidFill>
              <w14:schemeClr w14:val="tx1"/>
            </w14:solidFill>
          </w14:textFill>
        </w:rPr>
        <w:t>万元，占政府采购支出总额的</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26.54</w:t>
      </w:r>
      <w:r>
        <w:rPr>
          <w:rFonts w:hint="eastAsia" w:ascii="仿宋_GB2312" w:hAnsi="仿宋_GB2312" w:eastAsia="仿宋_GB2312" w:cs="仿宋_GB2312"/>
          <w:bCs/>
          <w:color w:val="000000" w:themeColor="text1"/>
          <w:sz w:val="32"/>
          <w:szCs w:val="32"/>
          <w14:textFill>
            <w14:solidFill>
              <w14:schemeClr w14:val="tx1"/>
            </w14:solidFill>
          </w14:textFill>
        </w:rPr>
        <w:t>%，其中：授予小微企业合同金额</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18.64</w:t>
      </w:r>
      <w:r>
        <w:rPr>
          <w:rFonts w:hint="eastAsia" w:ascii="仿宋_GB2312" w:hAnsi="仿宋_GB2312" w:eastAsia="仿宋_GB2312" w:cs="仿宋_GB2312"/>
          <w:bCs/>
          <w:color w:val="000000" w:themeColor="text1"/>
          <w:sz w:val="32"/>
          <w:szCs w:val="32"/>
          <w14:textFill>
            <w14:solidFill>
              <w14:schemeClr w14:val="tx1"/>
            </w14:solidFill>
          </w14:textFill>
        </w:rPr>
        <w:t>万元，占政府采购支出总额的</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26.54</w:t>
      </w:r>
      <w:r>
        <w:rPr>
          <w:rFonts w:hint="eastAsia" w:ascii="仿宋_GB2312" w:hAnsi="仿宋_GB2312" w:eastAsia="仿宋_GB2312" w:cs="仿宋_GB2312"/>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outlineLvl w:val="2"/>
        <w:rPr>
          <w:rFonts w:ascii="楷体_GB2312" w:hAnsi="楷体_GB2312" w:eastAsia="楷体_GB2312" w:cs="楷体_GB2312"/>
          <w:bCs/>
          <w:color w:val="000000" w:themeColor="text1"/>
          <w:sz w:val="32"/>
          <w:szCs w:val="32"/>
          <w14:textFill>
            <w14:solidFill>
              <w14:schemeClr w14:val="tx1"/>
            </w14:solidFill>
          </w14:textFill>
        </w:rPr>
      </w:pPr>
      <w:bookmarkStart w:id="68" w:name="_Toc15377224"/>
      <w:r>
        <w:rPr>
          <w:rFonts w:hint="eastAsia" w:ascii="楷体_GB2312" w:hAnsi="楷体_GB2312" w:eastAsia="楷体_GB2312" w:cs="楷体_GB2312"/>
          <w:bCs/>
          <w:color w:val="000000" w:themeColor="text1"/>
          <w:sz w:val="32"/>
          <w:szCs w:val="32"/>
          <w14:textFill>
            <w14:solidFill>
              <w14:schemeClr w14:val="tx1"/>
            </w14:solidFill>
          </w14:textFill>
        </w:rPr>
        <w:t>（三）国有资产占有使用情况</w:t>
      </w:r>
      <w:bookmarkEnd w:id="68"/>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截至202</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bCs/>
          <w:color w:val="000000" w:themeColor="text1"/>
          <w:sz w:val="32"/>
          <w:szCs w:val="32"/>
          <w14:textFill>
            <w14:solidFill>
              <w14:schemeClr w14:val="tx1"/>
            </w14:solidFill>
          </w14:textFill>
        </w:rPr>
        <w:t>年12月31日，广元市医疗保障局共有车辆0辆。单价100万元以上专用设备0台（套）。</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outlineLvl w:val="2"/>
        <w:rPr>
          <w:rFonts w:ascii="楷体_GB2312" w:hAnsi="楷体_GB2312" w:eastAsia="楷体_GB2312" w:cs="楷体_GB2312"/>
          <w:bCs/>
          <w:color w:val="000000" w:themeColor="text1"/>
          <w:sz w:val="32"/>
          <w:szCs w:val="32"/>
          <w14:textFill>
            <w14:solidFill>
              <w14:schemeClr w14:val="tx1"/>
            </w14:solidFill>
          </w14:textFill>
        </w:rPr>
      </w:pPr>
      <w:r>
        <w:rPr>
          <w:rFonts w:hint="eastAsia" w:ascii="楷体_GB2312" w:hAnsi="楷体_GB2312" w:eastAsia="楷体_GB2312" w:cs="楷体_GB2312"/>
          <w:bCs/>
          <w:color w:val="000000" w:themeColor="text1"/>
          <w:sz w:val="32"/>
          <w:szCs w:val="32"/>
          <w14:textFill>
            <w14:solidFill>
              <w14:schemeClr w14:val="tx1"/>
            </w14:solidFill>
          </w14:textFill>
        </w:rPr>
        <w:t>（四）预算绩效管理情况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根据预算绩效管理要求，本部门在202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年度预算编制阶段，对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w:t>
      </w:r>
      <w:r>
        <w:rPr>
          <w:rFonts w:hint="eastAsia" w:ascii="仿宋_GB2312" w:hAnsi="仿宋_GB2312" w:eastAsia="仿宋_GB2312" w:cs="仿宋_GB2312"/>
          <w:color w:val="000000" w:themeColor="text1"/>
          <w:sz w:val="32"/>
          <w:szCs w:val="32"/>
          <w14:textFill>
            <w14:solidFill>
              <w14:schemeClr w14:val="tx1"/>
            </w14:solidFill>
          </w14:textFill>
        </w:rPr>
        <w:t>个项目</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不含基本支出类</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编制了绩效目标，预算执行过程中，选取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w:t>
      </w:r>
      <w:r>
        <w:rPr>
          <w:rFonts w:hint="eastAsia" w:ascii="仿宋_GB2312" w:hAnsi="仿宋_GB2312" w:eastAsia="仿宋_GB2312" w:cs="仿宋_GB2312"/>
          <w:color w:val="000000" w:themeColor="text1"/>
          <w:sz w:val="32"/>
          <w:szCs w:val="32"/>
          <w14:textFill>
            <w14:solidFill>
              <w14:schemeClr w14:val="tx1"/>
            </w14:solidFill>
          </w14:textFill>
        </w:rPr>
        <w:t>个项目</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不含基本支出类</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开展绩效监控。</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bidi="ar-SA"/>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组织对202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年度一般公共预算、政府性基金预算、国有资本经营预算、社会保险基金预算以及资本资产、债券资金等全面开展绩效自评，</w:t>
      </w:r>
      <w:r>
        <w:rPr>
          <w:rFonts w:hint="eastAsia" w:ascii="仿宋_GB2312" w:hAnsi="仿宋_GB2312" w:eastAsia="仿宋_GB2312" w:cs="仿宋_GB2312"/>
          <w:bCs/>
          <w:color w:val="000000" w:themeColor="text1"/>
          <w:sz w:val="32"/>
          <w:szCs w:val="32"/>
          <w14:textFill>
            <w14:solidFill>
              <w14:schemeClr w14:val="tx1"/>
            </w14:solidFill>
          </w14:textFill>
        </w:rPr>
        <w:t>形成广元市医疗保障局部门整体（含部门预算项目）绩效评价报告、大病医疗救助、离休干部医疗保险费等</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bCs/>
          <w:color w:val="000000" w:themeColor="text1"/>
          <w:sz w:val="32"/>
          <w:szCs w:val="32"/>
          <w14:textFill>
            <w14:solidFill>
              <w14:schemeClr w14:val="tx1"/>
            </w14:solidFill>
          </w14:textFill>
        </w:rPr>
        <w:t>个专项预算项目绩效自评报告、其中，广元市医疗保障局部门整体支出（含部门预算项目）绩效自评得分为</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93.79</w:t>
      </w:r>
      <w:r>
        <w:rPr>
          <w:rFonts w:hint="eastAsia" w:ascii="仿宋_GB2312" w:hAnsi="仿宋_GB2312" w:eastAsia="仿宋_GB2312" w:cs="仿宋_GB2312"/>
          <w:bCs/>
          <w:color w:val="000000" w:themeColor="text1"/>
          <w:sz w:val="32"/>
          <w:szCs w:val="32"/>
          <w14:textFill>
            <w14:solidFill>
              <w14:schemeClr w14:val="tx1"/>
            </w14:solidFill>
          </w14:textFill>
        </w:rPr>
        <w:t>分</w:t>
      </w:r>
      <w:r>
        <w:rPr>
          <w:rFonts w:hint="eastAsia" w:ascii="仿宋_GB2312" w:hAnsi="仿宋_GB2312" w:eastAsia="仿宋_GB2312" w:cs="仿宋_GB2312"/>
          <w:color w:val="000000" w:themeColor="text1"/>
          <w:sz w:val="32"/>
          <w:szCs w:val="32"/>
          <w14:textFill>
            <w14:solidFill>
              <w14:schemeClr w14:val="tx1"/>
            </w14:solidFill>
          </w14:textFill>
        </w:rPr>
        <w:t>，绩效自评综述：</w:t>
      </w:r>
      <w:r>
        <w:rPr>
          <w:rFonts w:hint="eastAsia" w:ascii="仿宋_GB2312" w:hAnsi="仿宋_GB2312" w:eastAsia="仿宋_GB2312" w:cs="仿宋_GB2312"/>
          <w:bCs/>
          <w:color w:val="000000" w:themeColor="text1"/>
          <w:sz w:val="32"/>
          <w:szCs w:val="32"/>
          <w14:textFill>
            <w14:solidFill>
              <w14:schemeClr w14:val="tx1"/>
            </w14:solidFill>
          </w14:textFill>
        </w:rPr>
        <w:t>我部门全面实施预算项目绩效管理，规范项目预算编制，明确预算执行主体，严格落实项目支出绩效管理责任，优化资源配置，确保绩效目标落实，提高了财政资</w:t>
      </w:r>
      <w:r>
        <w:rPr>
          <w:rFonts w:hint="eastAsia" w:ascii="仿宋_GB2312" w:hAnsi="仿宋_GB2312" w:eastAsia="仿宋_GB2312" w:cs="仿宋_GB2312"/>
          <w:b w:val="0"/>
          <w:bCs/>
          <w:color w:val="000000" w:themeColor="text1"/>
          <w:sz w:val="32"/>
          <w:szCs w:val="32"/>
          <w14:textFill>
            <w14:solidFill>
              <w14:schemeClr w14:val="tx1"/>
            </w14:solidFill>
          </w14:textFill>
        </w:rPr>
        <w:t>金使用效益；大病医疗救助专项预算项目绩效自评得分为</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99.75</w:t>
      </w:r>
      <w:r>
        <w:rPr>
          <w:rFonts w:hint="eastAsia" w:ascii="仿宋_GB2312" w:hAnsi="仿宋_GB2312" w:eastAsia="仿宋_GB2312" w:cs="仿宋_GB2312"/>
          <w:b w:val="0"/>
          <w:bCs/>
          <w:color w:val="000000" w:themeColor="text1"/>
          <w:sz w:val="32"/>
          <w:szCs w:val="32"/>
          <w14:textFill>
            <w14:solidFill>
              <w14:schemeClr w14:val="tx1"/>
            </w14:solidFill>
          </w14:textFill>
        </w:rPr>
        <w:t>分，绩效自评综述：通过项目实施，</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完善和强化了</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符合条件的救助人员</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医药费保障机制及财政机制，确保</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符合条件的救助人员</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医药费按规定实报实销，妥善解决了</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符合条件的救助人员</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医疗待遇问题，</w:t>
      </w:r>
      <w:r>
        <w:rPr>
          <w:rFonts w:hint="eastAsia" w:ascii="仿宋_GB2312" w:hAnsi="宋体" w:eastAsia="仿宋_GB2312" w:cs="Times New Roman"/>
          <w:b w:val="0"/>
          <w:bCs w:val="0"/>
          <w:color w:val="000000" w:themeColor="text1"/>
          <w:sz w:val="32"/>
          <w:szCs w:val="32"/>
          <w14:textFill>
            <w14:solidFill>
              <w14:schemeClr w14:val="tx1"/>
            </w14:solidFill>
          </w14:textFill>
        </w:rPr>
        <w:t>减轻了救助人员的经济压力和生活压力</w:t>
      </w:r>
      <w:r>
        <w:rPr>
          <w:rFonts w:hint="eastAsia" w:ascii="仿宋_GB2312" w:hAnsi="仿宋_GB2312" w:eastAsia="仿宋_GB2312" w:cs="仿宋_GB2312"/>
          <w:b w:val="0"/>
          <w:bCs/>
          <w:color w:val="000000" w:themeColor="text1"/>
          <w:sz w:val="32"/>
          <w:szCs w:val="32"/>
          <w14:textFill>
            <w14:solidFill>
              <w14:schemeClr w14:val="tx1"/>
            </w14:solidFill>
          </w14:textFill>
        </w:rPr>
        <w:t>。建国初期退休老干部医疗照顾费专项预算项目自评得</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99.75</w:t>
      </w:r>
      <w:r>
        <w:rPr>
          <w:rFonts w:hint="eastAsia" w:ascii="仿宋_GB2312" w:hAnsi="仿宋_GB2312" w:eastAsia="仿宋_GB2312" w:cs="仿宋_GB2312"/>
          <w:b w:val="0"/>
          <w:bCs/>
          <w:color w:val="000000" w:themeColor="text1"/>
          <w:sz w:val="32"/>
          <w:szCs w:val="32"/>
          <w14:textFill>
            <w14:solidFill>
              <w14:schemeClr w14:val="tx1"/>
            </w14:solidFill>
          </w14:textFill>
        </w:rPr>
        <w:t>分，绩效自评综述：</w:t>
      </w:r>
      <w:r>
        <w:rPr>
          <w:rFonts w:hint="eastAsia" w:ascii="仿宋_GB2312" w:hAnsi="仿宋_GB2312" w:eastAsia="仿宋_GB2312" w:cs="仿宋_GB2312"/>
          <w:b w:val="0"/>
          <w:bCs/>
          <w:color w:val="000000" w:themeColor="text1"/>
          <w:spacing w:val="11"/>
          <w:sz w:val="32"/>
          <w:szCs w:val="32"/>
          <w14:textFill>
            <w14:solidFill>
              <w14:schemeClr w14:val="tx1"/>
            </w14:solidFill>
          </w14:textFill>
        </w:rPr>
        <w:t>通过项目实施，解决了建国初期参加革命工作退休人员医疗费用问题，减轻了建国初期参加革命工作退休人员的经济压力和生活压力。</w:t>
      </w:r>
      <w:r>
        <w:rPr>
          <w:rFonts w:hint="eastAsia" w:ascii="仿宋_GB2312" w:hAnsi="仿宋_GB2312" w:eastAsia="仿宋_GB2312" w:cs="仿宋_GB2312"/>
          <w:b w:val="0"/>
          <w:bCs/>
          <w:color w:val="000000" w:themeColor="text1"/>
          <w:sz w:val="32"/>
          <w:szCs w:val="32"/>
          <w14:textFill>
            <w14:solidFill>
              <w14:schemeClr w14:val="tx1"/>
            </w14:solidFill>
          </w14:textFill>
        </w:rPr>
        <w:t>离休干部医疗保险费专项预算项目自评得</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99.75</w:t>
      </w:r>
      <w:r>
        <w:rPr>
          <w:rFonts w:hint="eastAsia" w:ascii="仿宋_GB2312" w:hAnsi="仿宋_GB2312" w:eastAsia="仿宋_GB2312" w:cs="仿宋_GB2312"/>
          <w:b w:val="0"/>
          <w:bCs/>
          <w:color w:val="000000" w:themeColor="text1"/>
          <w:sz w:val="32"/>
          <w:szCs w:val="32"/>
          <w14:textFill>
            <w14:solidFill>
              <w14:schemeClr w14:val="tx1"/>
            </w14:solidFill>
          </w14:textFill>
        </w:rPr>
        <w:t>分，绩效自评综述：</w:t>
      </w:r>
      <w:r>
        <w:rPr>
          <w:rFonts w:hint="eastAsia" w:ascii="仿宋_GB2312" w:hAnsi="仿宋_GB2312" w:eastAsia="仿宋_GB2312" w:cs="仿宋_GB2312"/>
          <w:b w:val="0"/>
          <w:bCs/>
          <w:color w:val="000000" w:themeColor="text1"/>
          <w:sz w:val="32"/>
          <w:szCs w:val="32"/>
          <w:lang w:val="zh-CN"/>
          <w14:textFill>
            <w14:solidFill>
              <w14:schemeClr w14:val="tx1"/>
            </w14:solidFill>
          </w14:textFill>
        </w:rPr>
        <w:t>通过项目实施，解决了离休干部及老红军遗孀医疗费用问题，减轻了离休干部及老红军遗孀的经济压力和生活压力</w:t>
      </w:r>
      <w:r>
        <w:rPr>
          <w:rFonts w:hint="eastAsia" w:ascii="仿宋_GB2312" w:hAnsi="仿宋_GB2312" w:eastAsia="仿宋_GB2312" w:cs="仿宋_GB2312"/>
          <w:b w:val="0"/>
          <w:bCs/>
          <w:color w:val="000000" w:themeColor="text1"/>
          <w:sz w:val="32"/>
          <w:szCs w:val="32"/>
          <w14:textFill>
            <w14:solidFill>
              <w14:schemeClr w14:val="tx1"/>
            </w14:solidFill>
          </w14:textFill>
        </w:rPr>
        <w:t>。企业军转干部门诊补助资金专项预算项目自评得</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99.75</w:t>
      </w:r>
      <w:r>
        <w:rPr>
          <w:rFonts w:hint="eastAsia" w:ascii="仿宋_GB2312" w:hAnsi="仿宋_GB2312" w:eastAsia="仿宋_GB2312" w:cs="仿宋_GB2312"/>
          <w:b w:val="0"/>
          <w:bCs/>
          <w:color w:val="000000" w:themeColor="text1"/>
          <w:sz w:val="32"/>
          <w:szCs w:val="32"/>
          <w14:textFill>
            <w14:solidFill>
              <w14:schemeClr w14:val="tx1"/>
            </w14:solidFill>
          </w14:textFill>
        </w:rPr>
        <w:t>分，绩效自评综述：通过项目实施，保障了企业军转干部及时享受医疗待遇，减轻了企业军转干部的经济压力和生活压力。</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公开引进高层次人才安家补助和工作补助专项预算项目自评得100分，</w:t>
      </w:r>
      <w:r>
        <w:rPr>
          <w:rFonts w:hint="eastAsia" w:ascii="仿宋_GB2312" w:hAnsi="仿宋_GB2312" w:eastAsia="仿宋_GB2312" w:cs="仿宋_GB2312"/>
          <w:b w:val="0"/>
          <w:bCs/>
          <w:color w:val="000000" w:themeColor="text1"/>
          <w:sz w:val="32"/>
          <w:szCs w:val="32"/>
          <w14:textFill>
            <w14:solidFill>
              <w14:schemeClr w14:val="tx1"/>
            </w14:solidFill>
          </w14:textFill>
        </w:rPr>
        <w:t>绩效自评综述：</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bidi="ar-SA"/>
          <w14:textFill>
            <w14:solidFill>
              <w14:schemeClr w14:val="tx1"/>
            </w14:solidFill>
          </w14:textFill>
        </w:rPr>
        <w:t>项目实施过程规范，按时足额发放引进人才安家补助和工作补助，人才满意度高，对医保业务发展起到积极促进作用。</w:t>
      </w:r>
      <w:r>
        <w:rPr>
          <w:rFonts w:hint="eastAsia" w:ascii="仿宋_GB2312" w:hAnsi="仿宋_GB2312" w:eastAsia="仿宋_GB2312" w:cs="仿宋_GB2312"/>
          <w:b w:val="0"/>
          <w:bCs/>
          <w:color w:val="000000" w:themeColor="text1"/>
          <w:sz w:val="32"/>
          <w:szCs w:val="32"/>
          <w14:textFill>
            <w14:solidFill>
              <w14:schemeClr w14:val="tx1"/>
            </w14:solidFill>
          </w14:textFill>
        </w:rPr>
        <w:t>202</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b w:val="0"/>
          <w:bCs/>
          <w:color w:val="000000" w:themeColor="text1"/>
          <w:sz w:val="32"/>
          <w:szCs w:val="32"/>
          <w14:textFill>
            <w14:solidFill>
              <w14:schemeClr w14:val="tx1"/>
            </w14:solidFill>
          </w14:textFill>
        </w:rPr>
        <w:t>年度医疗服务与保障能力提升资金项目采用中央专项资金绩效自评模板，</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绩效自评得</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99.5分，</w:t>
      </w:r>
      <w:r>
        <w:rPr>
          <w:rFonts w:hint="eastAsia" w:ascii="仿宋_GB2312" w:hAnsi="仿宋_GB2312" w:eastAsia="仿宋_GB2312" w:cs="仿宋_GB2312"/>
          <w:b w:val="0"/>
          <w:bCs/>
          <w:color w:val="000000" w:themeColor="text1"/>
          <w:sz w:val="32"/>
          <w:szCs w:val="32"/>
          <w14:textFill>
            <w14:solidFill>
              <w14:schemeClr w14:val="tx1"/>
            </w14:solidFill>
          </w14:textFill>
        </w:rPr>
        <w:t>绩效自评综述：</w:t>
      </w:r>
      <w:r>
        <w:rPr>
          <w:rFonts w:hint="eastAsia" w:ascii="仿宋_GB2312" w:eastAsia="仿宋_GB2312" w:cs="仿宋_GB2312"/>
          <w:color w:val="000000" w:themeColor="text1"/>
          <w:sz w:val="32"/>
          <w:szCs w:val="32"/>
          <w14:textFill>
            <w14:solidFill>
              <w14:schemeClr w14:val="tx1"/>
            </w14:solidFill>
          </w14:textFill>
        </w:rPr>
        <w:t>202</w:t>
      </w:r>
      <w:r>
        <w:rPr>
          <w:rFonts w:hint="eastAsia" w:asci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eastAsia="仿宋_GB2312" w:cs="仿宋_GB2312"/>
          <w:color w:val="000000" w:themeColor="text1"/>
          <w:sz w:val="32"/>
          <w:szCs w:val="32"/>
          <w14:textFill>
            <w14:solidFill>
              <w14:schemeClr w14:val="tx1"/>
            </w14:solidFill>
          </w14:textFill>
        </w:rPr>
        <w:t>年</w:t>
      </w:r>
      <w:r>
        <w:rPr>
          <w:rFonts w:hint="eastAsia" w:ascii="仿宋_GB2312" w:eastAsia="仿宋_GB2312" w:cs="仿宋_GB2312"/>
          <w:color w:val="000000" w:themeColor="text1"/>
          <w:sz w:val="32"/>
          <w:szCs w:val="32"/>
          <w:lang w:eastAsia="zh-CN"/>
          <w14:textFill>
            <w14:solidFill>
              <w14:schemeClr w14:val="tx1"/>
            </w14:solidFill>
          </w14:textFill>
        </w:rPr>
        <w:t>度</w:t>
      </w:r>
      <w:r>
        <w:rPr>
          <w:rFonts w:hint="eastAsia" w:ascii="仿宋_GB2312" w:eastAsia="仿宋_GB2312" w:cs="仿宋_GB2312"/>
          <w:color w:val="000000" w:themeColor="text1"/>
          <w:sz w:val="32"/>
          <w:szCs w:val="32"/>
          <w14:textFill>
            <w14:solidFill>
              <w14:schemeClr w14:val="tx1"/>
            </w14:solidFill>
          </w14:textFill>
        </w:rPr>
        <w:t>全市医疗服务与保障能力不断提升，</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eastAsia="zh-CN" w:bidi="ar-SA"/>
          <w14:textFill>
            <w14:solidFill>
              <w14:schemeClr w14:val="tx1"/>
            </w14:solidFill>
          </w14:textFill>
        </w:rPr>
        <w:t>医保服务持续向基层延伸，村卫生室纳入医保结算，行政村覆盖率100%，智慧服务不断升级，实现医保码“扫码付”“移动付”“刷脸付”“一码付”多方式结算和挂号、就诊、结算、取药、取报告全流程应用；基金监管能力不断提升，运用智能审核、智能监控等方式提升监管力度。</w:t>
      </w:r>
    </w:p>
    <w:p>
      <w:pPr>
        <w:adjustRightInd w:val="0"/>
        <w:snapToGrid w:val="0"/>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p>
    <w:p>
      <w:pPr>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p>
    <w:p>
      <w:pPr>
        <w:widowControl/>
        <w:ind w:firstLine="643" w:firstLineChars="200"/>
        <w:jc w:val="left"/>
        <w:rPr>
          <w:rFonts w:ascii="仿宋_GB2312" w:eastAsia="仿宋_GB2312" w:cs="仿宋_GB2312"/>
          <w:color w:val="000000" w:themeColor="text1"/>
          <w:sz w:val="32"/>
          <w:szCs w:val="32"/>
          <w14:textFill>
            <w14:solidFill>
              <w14:schemeClr w14:val="tx1"/>
            </w14:solidFill>
          </w14:textFill>
        </w:rPr>
      </w:pPr>
      <w:r>
        <w:rPr>
          <w:rFonts w:ascii="仿宋_GB2312" w:eastAsia="仿宋_GB2312"/>
          <w:b/>
          <w:color w:val="000000" w:themeColor="text1"/>
          <w:sz w:val="32"/>
          <w:szCs w:val="32"/>
          <w14:textFill>
            <w14:solidFill>
              <w14:schemeClr w14:val="tx1"/>
            </w14:solidFill>
          </w14:textFill>
        </w:rPr>
        <w:br w:type="page"/>
      </w:r>
    </w:p>
    <w:p>
      <w:pPr>
        <w:numPr>
          <w:ilvl w:val="0"/>
          <w:numId w:val="4"/>
        </w:numPr>
        <w:spacing w:line="600" w:lineRule="exact"/>
        <w:ind w:firstLine="660" w:firstLineChars="150"/>
        <w:jc w:val="center"/>
        <w:outlineLvl w:val="0"/>
        <w:rPr>
          <w:rStyle w:val="26"/>
          <w:rFonts w:hint="eastAsia" w:ascii="方正小标宋简体" w:hAnsi="方正小标宋简体" w:eastAsia="方正小标宋简体" w:cs="方正小标宋简体"/>
          <w:b w:val="0"/>
          <w:color w:val="000000" w:themeColor="text1"/>
          <w14:textFill>
            <w14:solidFill>
              <w14:schemeClr w14:val="tx1"/>
            </w14:solidFill>
          </w14:textFill>
        </w:rPr>
      </w:pPr>
      <w:bookmarkStart w:id="69" w:name="_Toc15396613"/>
      <w:bookmarkStart w:id="70" w:name="_Toc15377225"/>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 xml:space="preserve"> </w:t>
      </w:r>
      <w:bookmarkStart w:id="71" w:name="_Toc342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名</w:t>
      </w:r>
      <w:r>
        <w:rPr>
          <w:rStyle w:val="26"/>
          <w:rFonts w:hint="eastAsia" w:ascii="方正小标宋简体" w:hAnsi="方正小标宋简体" w:eastAsia="方正小标宋简体" w:cs="方正小标宋简体"/>
          <w:b w:val="0"/>
          <w:color w:val="000000" w:themeColor="text1"/>
          <w14:textFill>
            <w14:solidFill>
              <w14:schemeClr w14:val="tx1"/>
            </w14:solidFill>
          </w14:textFill>
        </w:rPr>
        <w:t>词解释</w:t>
      </w:r>
      <w:bookmarkEnd w:id="69"/>
      <w:bookmarkEnd w:id="70"/>
      <w:bookmarkEnd w:id="71"/>
    </w:p>
    <w:p>
      <w:pPr>
        <w:pStyle w:val="37"/>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ascii="仿宋_GB2312" w:eastAsia="仿宋_GB2312" w:cs="仿宋_GB2312"/>
          <w:color w:val="000000" w:themeColor="text1"/>
          <w:sz w:val="32"/>
          <w:szCs w:val="32"/>
          <w14:textFill>
            <w14:solidFill>
              <w14:schemeClr w14:val="tx1"/>
            </w14:solidFill>
          </w14:textFill>
        </w:rPr>
      </w:pPr>
    </w:p>
    <w:p>
      <w:pPr>
        <w:pStyle w:val="37"/>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ascii="仿宋_GB2312" w:eastAsia="仿宋_GB2312" w:cs="仿宋_GB2312"/>
          <w:color w:val="000000" w:themeColor="text1"/>
          <w:spacing w:val="-12"/>
          <w:sz w:val="32"/>
          <w:szCs w:val="32"/>
          <w14:textFill>
            <w14:solidFill>
              <w14:schemeClr w14:val="tx1"/>
            </w14:solidFill>
          </w14:textFill>
        </w:rPr>
      </w:pPr>
      <w:r>
        <w:rPr>
          <w:rFonts w:ascii="仿宋_GB2312" w:eastAsia="仿宋_GB2312" w:cs="仿宋_GB2312"/>
          <w:color w:val="000000" w:themeColor="text1"/>
          <w:sz w:val="32"/>
          <w:szCs w:val="32"/>
          <w14:textFill>
            <w14:solidFill>
              <w14:schemeClr w14:val="tx1"/>
            </w14:solidFill>
          </w14:textFill>
        </w:rPr>
        <w:t xml:space="preserve">1. </w:t>
      </w:r>
      <w:r>
        <w:rPr>
          <w:rFonts w:hint="eastAsia" w:ascii="仿宋_GB2312" w:eastAsia="仿宋_GB2312" w:cs="仿宋_GB2312"/>
          <w:color w:val="000000" w:themeColor="text1"/>
          <w:spacing w:val="-12"/>
          <w:sz w:val="32"/>
          <w:szCs w:val="32"/>
          <w14:textFill>
            <w14:solidFill>
              <w14:schemeClr w14:val="tx1"/>
            </w14:solidFill>
          </w14:textFill>
        </w:rPr>
        <w:t>财政拨款收入：指单位从同级财政部门取得的财政预算资金。</w:t>
      </w:r>
    </w:p>
    <w:p>
      <w:pPr>
        <w:pStyle w:val="37"/>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hint="eastAsia"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2</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年初结转和结余：指以前年度尚未完成、结转到本年按有关规定继续使用的资金。</w:t>
      </w:r>
    </w:p>
    <w:p>
      <w:pPr>
        <w:pStyle w:val="2"/>
        <w:keepNext w:val="0"/>
        <w:keepLines w:val="0"/>
        <w:pageBreakBefore w:val="0"/>
        <w:widowControl w:val="0"/>
        <w:kinsoku/>
        <w:wordWrap/>
        <w:overflowPunct/>
        <w:topLinePunct w:val="0"/>
        <w:bidi w:val="0"/>
        <w:adjustRightInd w:val="0"/>
        <w:snapToGrid/>
        <w:spacing w:beforeLines="0" w:line="576" w:lineRule="exact"/>
        <w:ind w:left="0" w:leftChars="0" w:firstLine="640" w:firstLineChars="200"/>
        <w:jc w:val="both"/>
        <w:textAlignment w:val="auto"/>
        <w:rPr>
          <w:rFonts w:hint="default" w:ascii="仿宋_GB2312" w:eastAsia="仿宋_GB2312" w:cs="仿宋_GB2312"/>
          <w:color w:val="000000" w:themeColor="text1"/>
          <w:sz w:val="32"/>
          <w:szCs w:val="32"/>
          <w:lang w:val="en-US" w:eastAsia="zh-CN"/>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3.</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xml:space="preserve">社会保障和就业（类）人力资源和社会保障管理事务（款） </w:t>
      </w:r>
      <w:r>
        <w:rPr>
          <w:rStyle w:val="23"/>
          <w:rFonts w:hint="eastAsia" w:ascii="仿宋_GB2312" w:hAnsi="仿宋_GB2312" w:eastAsia="仿宋_GB2312" w:cs="仿宋_GB2312"/>
          <w:b w:val="0"/>
          <w:bCs/>
          <w:color w:val="000000" w:themeColor="text1"/>
          <w:sz w:val="32"/>
          <w:szCs w:val="32"/>
          <w:lang w:eastAsia="zh-CN"/>
          <w14:textFill>
            <w14:solidFill>
              <w14:schemeClr w14:val="tx1"/>
            </w14:solidFill>
          </w14:textFill>
        </w:rPr>
        <w:t>引进人才费用</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（项）</w:t>
      </w:r>
      <w:r>
        <w:rPr>
          <w:rStyle w:val="23"/>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23"/>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指局机关及事业单位其他用于人力资源和</w:t>
      </w:r>
      <w:r>
        <w:rPr>
          <w:rStyle w:val="23"/>
          <w:rFonts w:hint="eastAsia" w:ascii="仿宋_GB2312" w:hAnsi="仿宋_GB2312" w:eastAsia="仿宋_GB2312" w:cs="仿宋_GB2312"/>
          <w:b w:val="0"/>
          <w:color w:val="000000" w:themeColor="text1"/>
          <w:spacing w:val="-6"/>
          <w:sz w:val="32"/>
          <w:szCs w:val="32"/>
          <w:lang w:val="en-US" w:eastAsia="zh-CN"/>
          <w14:textFill>
            <w14:solidFill>
              <w14:schemeClr w14:val="tx1"/>
            </w14:solidFill>
          </w14:textFill>
        </w:rPr>
        <w:t>社会保障管理事务方面的支出，主要是指引进高层次人才工作补助。</w:t>
      </w:r>
    </w:p>
    <w:p>
      <w:pPr>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4</w:t>
      </w:r>
      <w:r>
        <w:rPr>
          <w:rFonts w:ascii="仿宋_GB2312" w:eastAsia="仿宋_GB2312" w:cs="仿宋_GB2312"/>
          <w:color w:val="000000" w:themeColor="text1"/>
          <w:sz w:val="32"/>
          <w:szCs w:val="32"/>
          <w14:textFill>
            <w14:solidFill>
              <w14:schemeClr w14:val="tx1"/>
            </w14:solidFill>
          </w14:textFill>
        </w:rPr>
        <w:t xml:space="preserve">. </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机关事业单位基本养老保险缴费支出（项）</w:t>
      </w:r>
      <w:r>
        <w:rPr>
          <w:rFonts w:hint="eastAsia" w:ascii="仿宋_GB2312" w:eastAsia="仿宋_GB2312" w:cs="仿宋_GB2312"/>
          <w:color w:val="000000" w:themeColor="text1"/>
          <w:sz w:val="32"/>
          <w:szCs w:val="32"/>
          <w14:textFill>
            <w14:solidFill>
              <w14:schemeClr w14:val="tx1"/>
            </w14:solidFill>
          </w14:textFill>
        </w:rPr>
        <w:t>：指反映部门实施养老保险制度由单位缴纳的养老保险费的支出。</w:t>
      </w:r>
    </w:p>
    <w:p>
      <w:pPr>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5</w:t>
      </w:r>
      <w:r>
        <w:rPr>
          <w:rFonts w:ascii="仿宋_GB2312" w:eastAsia="仿宋_GB2312" w:cs="仿宋_GB2312"/>
          <w:color w:val="000000" w:themeColor="text1"/>
          <w:sz w:val="32"/>
          <w:szCs w:val="32"/>
          <w14:textFill>
            <w14:solidFill>
              <w14:schemeClr w14:val="tx1"/>
            </w14:solidFill>
          </w14:textFill>
        </w:rPr>
        <w:t xml:space="preserve">. </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机关事业单位职业年金缴费支出（项）</w:t>
      </w:r>
      <w:r>
        <w:rPr>
          <w:rFonts w:hint="eastAsia" w:ascii="仿宋_GB2312" w:eastAsia="仿宋_GB2312" w:cs="仿宋_GB2312"/>
          <w:color w:val="000000" w:themeColor="text1"/>
          <w:sz w:val="32"/>
          <w:szCs w:val="32"/>
          <w14:textFill>
            <w14:solidFill>
              <w14:schemeClr w14:val="tx1"/>
            </w14:solidFill>
          </w14:textFill>
        </w:rPr>
        <w:t>：指反映部门实施职业年金制度由单位缴纳的职业年金的支出。</w:t>
      </w:r>
    </w:p>
    <w:p>
      <w:pPr>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hint="eastAsia"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6</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卫生健康支出（类）行政事业单位医疗（款）行政单位医疗（项）：反映行政机关及参公管理事业单位用于缴纳单位基本医疗保险经费支出。</w:t>
      </w:r>
    </w:p>
    <w:p>
      <w:pPr>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7</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卫生健康支出（类）行政事业单位医疗（款）</w:t>
      </w:r>
      <w:r>
        <w:rPr>
          <w:rFonts w:hint="eastAsia" w:ascii="仿宋_GB2312" w:eastAsia="仿宋_GB2312" w:cs="仿宋_GB2312"/>
          <w:color w:val="000000" w:themeColor="text1"/>
          <w:sz w:val="32"/>
          <w:szCs w:val="32"/>
          <w:lang w:val="en-US" w:eastAsia="zh-CN"/>
          <w14:textFill>
            <w14:solidFill>
              <w14:schemeClr w14:val="tx1"/>
            </w14:solidFill>
          </w14:textFill>
        </w:rPr>
        <w:t>事业</w:t>
      </w:r>
      <w:r>
        <w:rPr>
          <w:rFonts w:hint="eastAsia" w:ascii="仿宋_GB2312" w:eastAsia="仿宋_GB2312" w:cs="仿宋_GB2312"/>
          <w:color w:val="000000" w:themeColor="text1"/>
          <w:sz w:val="32"/>
          <w:szCs w:val="32"/>
          <w14:textFill>
            <w14:solidFill>
              <w14:schemeClr w14:val="tx1"/>
            </w14:solidFill>
          </w14:textFill>
        </w:rPr>
        <w:t>单位医疗（项）：反映事业单位用于缴纳单位基本医疗保险经费支出。</w:t>
      </w:r>
    </w:p>
    <w:p>
      <w:pPr>
        <w:pStyle w:val="20"/>
        <w:keepNext w:val="0"/>
        <w:keepLines w:val="0"/>
        <w:pageBreakBefore w:val="0"/>
        <w:widowControl w:val="0"/>
        <w:kinsoku/>
        <w:wordWrap/>
        <w:overflowPunct/>
        <w:topLinePunct w:val="0"/>
        <w:bidi w:val="0"/>
        <w:adjustRightInd w:val="0"/>
        <w:snapToGrid/>
        <w:spacing w:after="0" w:line="576" w:lineRule="exact"/>
        <w:ind w:left="0" w:leftChars="0" w:firstLine="640" w:firstLineChars="200"/>
        <w:jc w:val="both"/>
        <w:textAlignment w:val="auto"/>
        <w:rPr>
          <w:rStyle w:val="23"/>
          <w:rFonts w:hint="eastAsia" w:hAnsi="仿宋_GB2312" w:eastAsia="仿宋_GB2312" w:cs="仿宋_GB2312"/>
          <w:b w:val="0"/>
          <w:bCs/>
          <w:color w:val="000000" w:themeColor="text1"/>
          <w:sz w:val="32"/>
          <w:lang w:eastAsia="zh-CN"/>
          <w14:textFill>
            <w14:solidFill>
              <w14:schemeClr w14:val="tx1"/>
            </w14:solidFill>
          </w14:textFill>
        </w:rPr>
      </w:pPr>
      <w:r>
        <w:rPr>
          <w:rStyle w:val="23"/>
          <w:rFonts w:hint="eastAsia" w:hAnsi="仿宋_GB2312" w:eastAsia="仿宋_GB2312" w:cs="仿宋_GB2312"/>
          <w:b w:val="0"/>
          <w:bCs/>
          <w:color w:val="000000" w:themeColor="text1"/>
          <w:sz w:val="32"/>
          <w:lang w:val="en-US" w:eastAsia="zh-CN"/>
          <w14:textFill>
            <w14:solidFill>
              <w14:schemeClr w14:val="tx1"/>
            </w14:solidFill>
          </w14:textFill>
        </w:rPr>
        <w:t>8</w:t>
      </w:r>
      <w:r>
        <w:rPr>
          <w:rStyle w:val="23"/>
          <w:rFonts w:hint="eastAsia" w:hAnsi="仿宋_GB2312" w:eastAsia="仿宋_GB2312" w:cs="仿宋_GB2312"/>
          <w:b w:val="0"/>
          <w:bCs/>
          <w:color w:val="000000" w:themeColor="text1"/>
          <w:sz w:val="32"/>
          <w14:textFill>
            <w14:solidFill>
              <w14:schemeClr w14:val="tx1"/>
            </w14:solidFill>
          </w14:textFill>
        </w:rPr>
        <w:t>.</w:t>
      </w:r>
      <w:r>
        <w:rPr>
          <w:rStyle w:val="23"/>
          <w:rFonts w:hint="default" w:hAnsi="仿宋_GB2312" w:eastAsia="仿宋_GB2312" w:cs="仿宋_GB2312"/>
          <w:b w:val="0"/>
          <w:bCs/>
          <w:color w:val="000000" w:themeColor="text1"/>
          <w:sz w:val="32"/>
          <w:lang w:val="en-US"/>
          <w14:textFill>
            <w14:solidFill>
              <w14:schemeClr w14:val="tx1"/>
            </w14:solidFill>
          </w14:textFill>
        </w:rPr>
        <w:t xml:space="preserve"> </w:t>
      </w:r>
      <w:r>
        <w:rPr>
          <w:rStyle w:val="23"/>
          <w:rFonts w:hint="eastAsia" w:hAnsi="仿宋_GB2312" w:eastAsia="仿宋_GB2312" w:cs="仿宋_GB2312"/>
          <w:b w:val="0"/>
          <w:bCs/>
          <w:color w:val="000000" w:themeColor="text1"/>
          <w:sz w:val="32"/>
          <w14:textFill>
            <w14:solidFill>
              <w14:schemeClr w14:val="tx1"/>
            </w14:solidFill>
          </w14:textFill>
        </w:rPr>
        <w:t>卫生健康支出（类）医疗救助（款）其他医疗救助支出（项）：指</w:t>
      </w:r>
      <w:r>
        <w:rPr>
          <w:rStyle w:val="23"/>
          <w:rFonts w:hint="eastAsia" w:hAnsi="仿宋_GB2312" w:eastAsia="仿宋_GB2312" w:cs="仿宋_GB2312"/>
          <w:b w:val="0"/>
          <w:bCs/>
          <w:color w:val="000000" w:themeColor="text1"/>
          <w:sz w:val="32"/>
          <w:lang w:eastAsia="zh-CN"/>
          <w14:textFill>
            <w14:solidFill>
              <w14:schemeClr w14:val="tx1"/>
            </w14:solidFill>
          </w14:textFill>
        </w:rPr>
        <w:t>市本级企业军转干部门诊医疗费补助、建国初期退休老干部医疗照顾费等支出。</w:t>
      </w:r>
    </w:p>
    <w:p>
      <w:pPr>
        <w:pStyle w:val="20"/>
        <w:keepNext w:val="0"/>
        <w:keepLines w:val="0"/>
        <w:pageBreakBefore w:val="0"/>
        <w:widowControl w:val="0"/>
        <w:kinsoku/>
        <w:wordWrap/>
        <w:overflowPunct/>
        <w:topLinePunct w:val="0"/>
        <w:autoSpaceDE/>
        <w:autoSpaceDN/>
        <w:bidi w:val="0"/>
        <w:adjustRightInd w:val="0"/>
        <w:snapToGrid/>
        <w:spacing w:after="0" w:line="546" w:lineRule="exact"/>
        <w:ind w:left="0" w:leftChars="0" w:firstLine="640" w:firstLineChars="200"/>
        <w:jc w:val="both"/>
        <w:textAlignment w:val="auto"/>
        <w:rPr>
          <w:rFonts w:eastAsia="仿宋_GB2312"/>
          <w:color w:val="000000" w:themeColor="text1"/>
          <w14:textFill>
            <w14:solidFill>
              <w14:schemeClr w14:val="tx1"/>
            </w14:solidFill>
          </w14:textFill>
        </w:rPr>
      </w:pPr>
      <w:r>
        <w:rPr>
          <w:rStyle w:val="23"/>
          <w:rFonts w:hint="eastAsia" w:hAnsi="仿宋_GB2312" w:eastAsia="仿宋_GB2312" w:cs="仿宋_GB2312"/>
          <w:b w:val="0"/>
          <w:bCs/>
          <w:color w:val="000000" w:themeColor="text1"/>
          <w:sz w:val="32"/>
          <w:lang w:val="en-US" w:eastAsia="zh-CN"/>
          <w14:textFill>
            <w14:solidFill>
              <w14:schemeClr w14:val="tx1"/>
            </w14:solidFill>
          </w14:textFill>
        </w:rPr>
        <w:t>9</w:t>
      </w:r>
      <w:r>
        <w:rPr>
          <w:rStyle w:val="23"/>
          <w:rFonts w:hint="eastAsia" w:hAnsi="仿宋_GB2312" w:eastAsia="仿宋_GB2312" w:cs="仿宋_GB2312"/>
          <w:b w:val="0"/>
          <w:bCs/>
          <w:color w:val="000000" w:themeColor="text1"/>
          <w:sz w:val="32"/>
          <w14:textFill>
            <w14:solidFill>
              <w14:schemeClr w14:val="tx1"/>
            </w14:solidFill>
          </w14:textFill>
        </w:rPr>
        <w:t>.</w:t>
      </w:r>
      <w:r>
        <w:rPr>
          <w:rStyle w:val="23"/>
          <w:rFonts w:hint="default" w:hAnsi="仿宋_GB2312" w:eastAsia="仿宋_GB2312" w:cs="仿宋_GB2312"/>
          <w:b w:val="0"/>
          <w:bCs/>
          <w:color w:val="000000" w:themeColor="text1"/>
          <w:sz w:val="32"/>
          <w:lang w:val="en-US"/>
          <w14:textFill>
            <w14:solidFill>
              <w14:schemeClr w14:val="tx1"/>
            </w14:solidFill>
          </w14:textFill>
        </w:rPr>
        <w:t xml:space="preserve"> </w:t>
      </w:r>
      <w:r>
        <w:rPr>
          <w:rStyle w:val="23"/>
          <w:rFonts w:hint="eastAsia" w:hAnsi="仿宋_GB2312" w:eastAsia="仿宋_GB2312" w:cs="仿宋_GB2312"/>
          <w:b w:val="0"/>
          <w:bCs/>
          <w:color w:val="000000" w:themeColor="text1"/>
          <w:spacing w:val="-11"/>
          <w:sz w:val="32"/>
          <w14:textFill>
            <w14:solidFill>
              <w14:schemeClr w14:val="tx1"/>
            </w14:solidFill>
          </w14:textFill>
        </w:rPr>
        <w:t>卫生健康支出（类）医疗保障管理事务（款）行政运行（项）：反映行政单位（包括实行公务员管理的事业单位）的基本支出。</w:t>
      </w:r>
    </w:p>
    <w:p>
      <w:pPr>
        <w:keepNext w:val="0"/>
        <w:keepLines w:val="0"/>
        <w:pageBreakBefore w:val="0"/>
        <w:widowControl w:val="0"/>
        <w:kinsoku/>
        <w:wordWrap/>
        <w:overflowPunct/>
        <w:topLinePunct w:val="0"/>
        <w:autoSpaceDE/>
        <w:autoSpaceDN/>
        <w:bidi w:val="0"/>
        <w:adjustRightInd w:val="0"/>
        <w:snapToGrid/>
        <w:spacing w:line="546" w:lineRule="exact"/>
        <w:ind w:left="0" w:leftChars="0" w:firstLine="640" w:firstLineChars="200"/>
        <w:jc w:val="both"/>
        <w:textAlignment w:val="auto"/>
        <w:rPr>
          <w:rFonts w:ascii="仿宋_GB2312" w:eastAsia="仿宋_GB2312" w:cs="仿宋_GB2312"/>
          <w:color w:val="000000" w:themeColor="text1"/>
          <w:sz w:val="32"/>
          <w:szCs w:val="32"/>
          <w14:textFill>
            <w14:solidFill>
              <w14:schemeClr w14:val="tx1"/>
            </w14:solidFill>
          </w14:textFill>
        </w:rPr>
      </w:pPr>
      <w:r>
        <w:rPr>
          <w:rStyle w:val="23"/>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10</w:t>
      </w:r>
      <w:r>
        <w:rPr>
          <w:rStyle w:val="23"/>
          <w:rFonts w:hint="eastAsia" w:ascii="仿宋_GB2312" w:hAnsi="仿宋_GB2312" w:eastAsia="仿宋_GB2312" w:cs="仿宋_GB2312"/>
          <w:b w:val="0"/>
          <w:bCs/>
          <w:color w:val="000000" w:themeColor="text1"/>
          <w:sz w:val="32"/>
          <w:szCs w:val="32"/>
          <w14:textFill>
            <w14:solidFill>
              <w14:schemeClr w14:val="tx1"/>
            </w14:solidFill>
          </w14:textFill>
        </w:rPr>
        <w:t>. 卫生健康支出（类）医疗保障管理事务（款）一般行政管理事务（项）：指本部门未单独设置项级科目的其他支出。</w:t>
      </w:r>
    </w:p>
    <w:p>
      <w:pPr>
        <w:pStyle w:val="8"/>
        <w:keepNext w:val="0"/>
        <w:keepLines w:val="0"/>
        <w:pageBreakBefore w:val="0"/>
        <w:widowControl w:val="0"/>
        <w:kinsoku/>
        <w:wordWrap/>
        <w:overflowPunct/>
        <w:topLinePunct w:val="0"/>
        <w:autoSpaceDE/>
        <w:autoSpaceDN/>
        <w:bidi w:val="0"/>
        <w:adjustRightInd w:val="0"/>
        <w:snapToGrid/>
        <w:spacing w:after="0" w:line="546" w:lineRule="exact"/>
        <w:ind w:left="0" w:leftChars="0" w:firstLine="640" w:firstLineChars="200"/>
        <w:jc w:val="both"/>
        <w:textAlignment w:val="auto"/>
        <w:rPr>
          <w:rStyle w:val="23"/>
          <w:rFonts w:hAnsi="仿宋_GB2312" w:eastAsia="仿宋_GB2312" w:cs="仿宋_GB2312"/>
          <w:b w:val="0"/>
          <w:bCs/>
          <w:color w:val="000000" w:themeColor="text1"/>
          <w:sz w:val="32"/>
          <w14:textFill>
            <w14:solidFill>
              <w14:schemeClr w14:val="tx1"/>
            </w14:solidFill>
          </w14:textFill>
        </w:rPr>
      </w:pPr>
      <w:r>
        <w:rPr>
          <w:rStyle w:val="23"/>
          <w:rFonts w:hint="eastAsia" w:hAnsi="仿宋_GB2312" w:eastAsia="仿宋_GB2312" w:cs="仿宋_GB2312"/>
          <w:b w:val="0"/>
          <w:bCs/>
          <w:color w:val="000000" w:themeColor="text1"/>
          <w:sz w:val="32"/>
          <w:lang w:val="en-US" w:eastAsia="zh-CN"/>
          <w14:textFill>
            <w14:solidFill>
              <w14:schemeClr w14:val="tx1"/>
            </w14:solidFill>
          </w14:textFill>
        </w:rPr>
        <w:t>11</w:t>
      </w:r>
      <w:r>
        <w:rPr>
          <w:rStyle w:val="23"/>
          <w:rFonts w:hint="eastAsia" w:hAnsi="仿宋_GB2312" w:eastAsia="仿宋_GB2312" w:cs="仿宋_GB2312"/>
          <w:b w:val="0"/>
          <w:bCs/>
          <w:color w:val="000000" w:themeColor="text1"/>
          <w:sz w:val="32"/>
          <w14:textFill>
            <w14:solidFill>
              <w14:schemeClr w14:val="tx1"/>
            </w14:solidFill>
          </w14:textFill>
        </w:rPr>
        <w:t>. 卫生健康支出（类）医疗保障管理事务（款）医疗保障政策管理（项）：反映医疗保障待遇管理、医药服务管理、医药价格和招标采购管理、医疗保障基金监管等支出。</w:t>
      </w:r>
    </w:p>
    <w:p>
      <w:pPr>
        <w:pStyle w:val="8"/>
        <w:keepNext w:val="0"/>
        <w:keepLines w:val="0"/>
        <w:pageBreakBefore w:val="0"/>
        <w:widowControl w:val="0"/>
        <w:kinsoku/>
        <w:wordWrap/>
        <w:overflowPunct/>
        <w:topLinePunct w:val="0"/>
        <w:autoSpaceDE/>
        <w:autoSpaceDN/>
        <w:bidi w:val="0"/>
        <w:adjustRightInd w:val="0"/>
        <w:snapToGrid/>
        <w:spacing w:after="0" w:line="546" w:lineRule="exact"/>
        <w:ind w:left="0" w:leftChars="0" w:firstLine="640" w:firstLineChars="200"/>
        <w:jc w:val="both"/>
        <w:textAlignment w:val="auto"/>
        <w:rPr>
          <w:rStyle w:val="23"/>
          <w:rFonts w:hAnsi="仿宋_GB2312" w:eastAsia="仿宋_GB2312" w:cs="仿宋_GB2312"/>
          <w:b w:val="0"/>
          <w:bCs/>
          <w:color w:val="000000" w:themeColor="text1"/>
          <w:sz w:val="32"/>
          <w14:textFill>
            <w14:solidFill>
              <w14:schemeClr w14:val="tx1"/>
            </w14:solidFill>
          </w14:textFill>
        </w:rPr>
      </w:pPr>
      <w:r>
        <w:rPr>
          <w:rStyle w:val="23"/>
          <w:rFonts w:hint="eastAsia" w:hAnsi="仿宋_GB2312" w:eastAsia="仿宋_GB2312" w:cs="仿宋_GB2312"/>
          <w:b w:val="0"/>
          <w:bCs/>
          <w:color w:val="000000" w:themeColor="text1"/>
          <w:sz w:val="32"/>
          <w:lang w:val="en-US" w:eastAsia="zh-CN"/>
          <w14:textFill>
            <w14:solidFill>
              <w14:schemeClr w14:val="tx1"/>
            </w14:solidFill>
          </w14:textFill>
        </w:rPr>
        <w:t>12</w:t>
      </w:r>
      <w:r>
        <w:rPr>
          <w:rStyle w:val="23"/>
          <w:rFonts w:hint="eastAsia" w:hAnsi="仿宋_GB2312" w:eastAsia="仿宋_GB2312" w:cs="仿宋_GB2312"/>
          <w:b w:val="0"/>
          <w:bCs/>
          <w:color w:val="000000" w:themeColor="text1"/>
          <w:sz w:val="32"/>
          <w14:textFill>
            <w14:solidFill>
              <w14:schemeClr w14:val="tx1"/>
            </w14:solidFill>
          </w14:textFill>
        </w:rPr>
        <w:t>. 卫生健康支出（类）医疗保障管理事务（款）医疗保障经办事务（项）：反映医保基金核算、精算、参保登记、权益记录、转移接续等医疗保障经办支出。</w:t>
      </w:r>
    </w:p>
    <w:p>
      <w:pPr>
        <w:pStyle w:val="8"/>
        <w:keepNext w:val="0"/>
        <w:keepLines w:val="0"/>
        <w:pageBreakBefore w:val="0"/>
        <w:widowControl w:val="0"/>
        <w:kinsoku/>
        <w:wordWrap/>
        <w:overflowPunct/>
        <w:topLinePunct w:val="0"/>
        <w:autoSpaceDE/>
        <w:autoSpaceDN/>
        <w:bidi w:val="0"/>
        <w:adjustRightInd w:val="0"/>
        <w:snapToGrid/>
        <w:spacing w:after="0" w:line="546" w:lineRule="exact"/>
        <w:ind w:left="0" w:leftChars="0" w:firstLine="640" w:firstLineChars="200"/>
        <w:jc w:val="both"/>
        <w:textAlignment w:val="auto"/>
        <w:rPr>
          <w:rStyle w:val="23"/>
          <w:rFonts w:hAnsi="仿宋_GB2312" w:eastAsia="仿宋_GB2312" w:cs="仿宋_GB2312"/>
          <w:b w:val="0"/>
          <w:bCs/>
          <w:color w:val="000000" w:themeColor="text1"/>
          <w:sz w:val="32"/>
          <w14:textFill>
            <w14:solidFill>
              <w14:schemeClr w14:val="tx1"/>
            </w14:solidFill>
          </w14:textFill>
        </w:rPr>
      </w:pPr>
      <w:r>
        <w:rPr>
          <w:rStyle w:val="23"/>
          <w:rFonts w:hint="eastAsia" w:hAnsi="仿宋_GB2312" w:eastAsia="仿宋_GB2312" w:cs="仿宋_GB2312"/>
          <w:b w:val="0"/>
          <w:bCs/>
          <w:color w:val="000000" w:themeColor="text1"/>
          <w:sz w:val="32"/>
          <w:lang w:val="en-US" w:eastAsia="zh-CN"/>
          <w14:textFill>
            <w14:solidFill>
              <w14:schemeClr w14:val="tx1"/>
            </w14:solidFill>
          </w14:textFill>
        </w:rPr>
        <w:t>13</w:t>
      </w:r>
      <w:r>
        <w:rPr>
          <w:rStyle w:val="23"/>
          <w:rFonts w:hint="eastAsia" w:hAnsi="仿宋_GB2312" w:eastAsia="仿宋_GB2312" w:cs="仿宋_GB2312"/>
          <w:b w:val="0"/>
          <w:bCs/>
          <w:color w:val="000000" w:themeColor="text1"/>
          <w:sz w:val="32"/>
          <w14:textFill>
            <w14:solidFill>
              <w14:schemeClr w14:val="tx1"/>
            </w14:solidFill>
          </w14:textFill>
        </w:rPr>
        <w:t>. 卫生健康支出（类）医疗保障管理事务（款）事业运行（项）：反映事业单位的基本支出。</w:t>
      </w:r>
    </w:p>
    <w:p>
      <w:pPr>
        <w:keepNext w:val="0"/>
        <w:keepLines w:val="0"/>
        <w:pageBreakBefore w:val="0"/>
        <w:widowControl w:val="0"/>
        <w:kinsoku/>
        <w:wordWrap/>
        <w:overflowPunct/>
        <w:topLinePunct w:val="0"/>
        <w:autoSpaceDE/>
        <w:autoSpaceDN/>
        <w:bidi w:val="0"/>
        <w:adjustRightInd w:val="0"/>
        <w:snapToGrid/>
        <w:spacing w:line="546" w:lineRule="exact"/>
        <w:ind w:left="0" w:leftChars="0" w:firstLine="640" w:firstLineChars="200"/>
        <w:jc w:val="both"/>
        <w:textAlignment w:val="auto"/>
        <w:rPr>
          <w:rStyle w:val="23"/>
          <w:rFonts w:hAnsi="仿宋_GB2312" w:eastAsia="仿宋_GB2312" w:cs="仿宋_GB2312"/>
          <w:b w:val="0"/>
          <w:bCs/>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14</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卫生健康支出（类）医疗保障管理事务（款）其他医疗保障管理事务支出</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s="仿宋_GB2312"/>
          <w:color w:val="000000" w:themeColor="text1"/>
          <w:sz w:val="32"/>
          <w:szCs w:val="32"/>
          <w14:textFill>
            <w14:solidFill>
              <w14:schemeClr w14:val="tx1"/>
            </w14:solidFill>
          </w14:textFill>
        </w:rPr>
        <w:t>反映除上述项目以外的其他用于医疗保障管理事务方面的支出。</w:t>
      </w:r>
    </w:p>
    <w:p>
      <w:pPr>
        <w:pStyle w:val="8"/>
        <w:keepNext w:val="0"/>
        <w:keepLines w:val="0"/>
        <w:pageBreakBefore w:val="0"/>
        <w:widowControl w:val="0"/>
        <w:kinsoku/>
        <w:wordWrap/>
        <w:overflowPunct/>
        <w:topLinePunct w:val="0"/>
        <w:autoSpaceDE/>
        <w:autoSpaceDN/>
        <w:bidi w:val="0"/>
        <w:adjustRightInd w:val="0"/>
        <w:snapToGrid/>
        <w:spacing w:after="0" w:line="546" w:lineRule="exact"/>
        <w:ind w:left="0" w:leftChars="0" w:firstLine="640" w:firstLineChars="200"/>
        <w:jc w:val="both"/>
        <w:textAlignment w:val="auto"/>
        <w:rPr>
          <w:rStyle w:val="23"/>
          <w:rFonts w:hAnsi="仿宋_GB2312" w:eastAsia="仿宋_GB2312" w:cs="仿宋_GB2312"/>
          <w:b w:val="0"/>
          <w:bCs/>
          <w:color w:val="000000" w:themeColor="text1"/>
          <w:sz w:val="32"/>
          <w14:textFill>
            <w14:solidFill>
              <w14:schemeClr w14:val="tx1"/>
            </w14:solidFill>
          </w14:textFill>
        </w:rPr>
      </w:pPr>
      <w:r>
        <w:rPr>
          <w:rStyle w:val="23"/>
          <w:rFonts w:hint="eastAsia" w:hAnsi="仿宋_GB2312" w:eastAsia="仿宋_GB2312" w:cs="仿宋_GB2312"/>
          <w:b w:val="0"/>
          <w:bCs/>
          <w:color w:val="000000" w:themeColor="text1"/>
          <w:sz w:val="32"/>
          <w:lang w:val="en-US" w:eastAsia="zh-CN"/>
          <w14:textFill>
            <w14:solidFill>
              <w14:schemeClr w14:val="tx1"/>
            </w14:solidFill>
          </w14:textFill>
        </w:rPr>
        <w:t>15</w:t>
      </w:r>
      <w:r>
        <w:rPr>
          <w:rStyle w:val="23"/>
          <w:rFonts w:hint="eastAsia" w:hAnsi="仿宋_GB2312" w:eastAsia="仿宋_GB2312" w:cs="仿宋_GB2312"/>
          <w:b w:val="0"/>
          <w:bCs/>
          <w:color w:val="000000" w:themeColor="text1"/>
          <w:sz w:val="32"/>
          <w14:textFill>
            <w14:solidFill>
              <w14:schemeClr w14:val="tx1"/>
            </w14:solidFill>
          </w14:textFill>
        </w:rPr>
        <w:t>.</w:t>
      </w:r>
      <w:r>
        <w:rPr>
          <w:rStyle w:val="23"/>
          <w:rFonts w:hAnsi="仿宋_GB2312" w:eastAsia="仿宋_GB2312" w:cs="仿宋_GB2312"/>
          <w:b w:val="0"/>
          <w:bCs/>
          <w:color w:val="000000" w:themeColor="text1"/>
          <w:sz w:val="32"/>
          <w14:textFill>
            <w14:solidFill>
              <w14:schemeClr w14:val="tx1"/>
            </w14:solidFill>
          </w14:textFill>
        </w:rPr>
        <w:t xml:space="preserve"> </w:t>
      </w:r>
      <w:r>
        <w:rPr>
          <w:rStyle w:val="23"/>
          <w:rFonts w:hint="eastAsia" w:hAnsi="仿宋_GB2312" w:eastAsia="仿宋_GB2312" w:cs="仿宋_GB2312"/>
          <w:b w:val="0"/>
          <w:bCs/>
          <w:color w:val="000000" w:themeColor="text1"/>
          <w:sz w:val="32"/>
          <w14:textFill>
            <w14:solidFill>
              <w14:schemeClr w14:val="tx1"/>
            </w14:solidFill>
          </w14:textFill>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val="0"/>
        <w:snapToGrid/>
        <w:spacing w:line="546" w:lineRule="exact"/>
        <w:ind w:left="0" w:leftChars="0" w:firstLine="640" w:firstLineChars="200"/>
        <w:jc w:val="both"/>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16</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基本支出：指为保障机构正常运转、完成日常工作任务而发生的人员支出和公用支出。</w:t>
      </w:r>
    </w:p>
    <w:p>
      <w:pPr>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17</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项目支出：指在基本支出之外为完成特定行政任务和事业发展目标所发生的支出。</w:t>
      </w:r>
    </w:p>
    <w:p>
      <w:pPr>
        <w:pStyle w:val="37"/>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ascii="仿宋_GB2312" w:eastAsia="仿宋_GB2312" w:cs="Times New Roman"/>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18</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7"/>
        <w:keepNext w:val="0"/>
        <w:keepLines w:val="0"/>
        <w:pageBreakBefore w:val="0"/>
        <w:widowControl w:val="0"/>
        <w:kinsoku/>
        <w:wordWrap/>
        <w:overflowPunct/>
        <w:topLinePunct w:val="0"/>
        <w:bidi w:val="0"/>
        <w:adjustRightInd w:val="0"/>
        <w:snapToGrid/>
        <w:spacing w:line="576" w:lineRule="exact"/>
        <w:ind w:left="0" w:leftChars="0" w:firstLine="640" w:firstLineChars="200"/>
        <w:jc w:val="both"/>
        <w:textAlignment w:val="auto"/>
        <w:rPr>
          <w:rFonts w:hint="eastAsia"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lang w:val="en-US" w:eastAsia="zh-CN"/>
          <w14:textFill>
            <w14:solidFill>
              <w14:schemeClr w14:val="tx1"/>
            </w14:solidFill>
          </w14:textFill>
        </w:rPr>
        <w:t>19</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72" w:name="_Toc15396614"/>
      <w:bookmarkStart w:id="73" w:name="_Toc15377226"/>
    </w:p>
    <w:p>
      <w:pPr>
        <w:rPr>
          <w:rFonts w:hint="eastAsia" w:ascii="黑体" w:hAnsi="黑体" w:eastAsia="黑体"/>
          <w:color w:val="000000" w:themeColor="text1"/>
          <w:sz w:val="44"/>
          <w:szCs w:val="44"/>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br w:type="page"/>
      </w:r>
    </w:p>
    <w:p>
      <w:pPr>
        <w:spacing w:line="600" w:lineRule="exact"/>
        <w:jc w:val="center"/>
        <w:outlineLvl w:val="0"/>
        <w:rPr>
          <w:rStyle w:val="26"/>
          <w:rFonts w:hint="eastAsia" w:ascii="方正小标宋简体" w:hAnsi="方正小标宋简体" w:eastAsia="方正小标宋简体" w:cs="方正小标宋简体"/>
          <w:b w:val="0"/>
          <w:color w:val="000000" w:themeColor="text1"/>
          <w14:textFill>
            <w14:solidFill>
              <w14:schemeClr w14:val="tx1"/>
            </w14:solidFill>
          </w14:textFill>
        </w:rPr>
      </w:pPr>
      <w:bookmarkStart w:id="74" w:name="_Toc1148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第</w:t>
      </w:r>
      <w:r>
        <w:rPr>
          <w:rStyle w:val="26"/>
          <w:rFonts w:hint="eastAsia" w:ascii="方正小标宋简体" w:hAnsi="方正小标宋简体" w:eastAsia="方正小标宋简体" w:cs="方正小标宋简体"/>
          <w:b w:val="0"/>
          <w:color w:val="000000" w:themeColor="text1"/>
          <w14:textFill>
            <w14:solidFill>
              <w14:schemeClr w14:val="tx1"/>
            </w14:solidFill>
          </w14:textFill>
        </w:rPr>
        <w:t>四部分   附  件</w:t>
      </w:r>
      <w:bookmarkEnd w:id="72"/>
      <w:bookmarkEnd w:id="74"/>
    </w:p>
    <w:p>
      <w:pPr>
        <w:spacing w:line="576" w:lineRule="exact"/>
        <w:textAlignment w:val="baseline"/>
        <w:rPr>
          <w:rStyle w:val="43"/>
          <w:rFonts w:ascii="黑体" w:hAnsi="黑体" w:eastAsia="黑体"/>
          <w:color w:val="000000" w:themeColor="text1"/>
          <w:sz w:val="32"/>
          <w:szCs w:val="32"/>
          <w14:textFill>
            <w14:solidFill>
              <w14:schemeClr w14:val="tx1"/>
            </w14:solidFill>
          </w14:textFill>
        </w:rPr>
      </w:pPr>
      <w:bookmarkStart w:id="75" w:name="_Toc15396618"/>
      <w:r>
        <w:rPr>
          <w:rStyle w:val="43"/>
          <w:rFonts w:hint="eastAsia" w:ascii="黑体" w:hAnsi="黑体" w:eastAsia="黑体"/>
          <w:color w:val="000000" w:themeColor="text1"/>
          <w:sz w:val="32"/>
          <w:szCs w:val="32"/>
          <w14:textFill>
            <w14:solidFill>
              <w14:schemeClr w14:val="tx1"/>
            </w14:solidFill>
          </w14:textFill>
        </w:rPr>
        <w:t>附件1</w:t>
      </w:r>
    </w:p>
    <w:p>
      <w:pPr>
        <w:pStyle w:val="29"/>
        <w:spacing w:after="0" w:line="300" w:lineRule="exact"/>
        <w:rPr>
          <w:rFonts w:hint="eastAsia"/>
          <w:b w:val="0"/>
          <w:bCs w:val="0"/>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baseline"/>
        <w:rPr>
          <w:rStyle w:val="43"/>
          <w:rFonts w:ascii="方正小标宋简体" w:eastAsia="方正小标宋简体"/>
          <w:b w:val="0"/>
          <w:bCs w:val="0"/>
          <w:color w:val="000000" w:themeColor="text1"/>
          <w:sz w:val="44"/>
          <w:szCs w:val="44"/>
          <w14:textFill>
            <w14:solidFill>
              <w14:schemeClr w14:val="tx1"/>
            </w14:solidFill>
          </w14:textFill>
        </w:rPr>
      </w:pPr>
      <w:r>
        <w:rPr>
          <w:rStyle w:val="43"/>
          <w:rFonts w:ascii="方正小标宋简体" w:eastAsia="方正小标宋简体"/>
          <w:b w:val="0"/>
          <w:bCs w:val="0"/>
          <w:color w:val="000000" w:themeColor="text1"/>
          <w:sz w:val="44"/>
          <w:szCs w:val="44"/>
          <w14:textFill>
            <w14:solidFill>
              <w14:schemeClr w14:val="tx1"/>
            </w14:solidFill>
          </w14:textFill>
        </w:rPr>
        <w:t>202</w:t>
      </w:r>
      <w:r>
        <w:rPr>
          <w:rStyle w:val="43"/>
          <w:rFonts w:hint="eastAsia" w:ascii="方正小标宋简体" w:eastAsia="方正小标宋简体"/>
          <w:b w:val="0"/>
          <w:bCs w:val="0"/>
          <w:color w:val="000000" w:themeColor="text1"/>
          <w:sz w:val="44"/>
          <w:szCs w:val="44"/>
          <w:lang w:val="en-US"/>
          <w14:textFill>
            <w14:solidFill>
              <w14:schemeClr w14:val="tx1"/>
            </w14:solidFill>
          </w14:textFill>
        </w:rPr>
        <w:t>4</w:t>
      </w:r>
      <w:r>
        <w:rPr>
          <w:rStyle w:val="43"/>
          <w:rFonts w:ascii="方正小标宋简体" w:eastAsia="方正小标宋简体"/>
          <w:b w:val="0"/>
          <w:bCs w:val="0"/>
          <w:color w:val="000000" w:themeColor="text1"/>
          <w:sz w:val="44"/>
          <w:szCs w:val="44"/>
          <w14:textFill>
            <w14:solidFill>
              <w14:schemeClr w14:val="tx1"/>
            </w14:solidFill>
          </w14:textFill>
        </w:rPr>
        <w:t>年</w:t>
      </w:r>
      <w:r>
        <w:rPr>
          <w:rStyle w:val="43"/>
          <w:rFonts w:hint="eastAsia" w:ascii="方正小标宋简体" w:eastAsia="方正小标宋简体"/>
          <w:b w:val="0"/>
          <w:bCs w:val="0"/>
          <w:color w:val="000000" w:themeColor="text1"/>
          <w:sz w:val="44"/>
          <w:szCs w:val="44"/>
          <w14:textFill>
            <w14:solidFill>
              <w14:schemeClr w14:val="tx1"/>
            </w14:solidFill>
          </w14:textFill>
        </w:rPr>
        <w:t>度</w:t>
      </w:r>
      <w:r>
        <w:rPr>
          <w:rStyle w:val="43"/>
          <w:rFonts w:ascii="方正小标宋简体" w:eastAsia="方正小标宋简体"/>
          <w:b w:val="0"/>
          <w:bCs w:val="0"/>
          <w:color w:val="000000" w:themeColor="text1"/>
          <w:sz w:val="44"/>
          <w:szCs w:val="44"/>
          <w14:textFill>
            <w14:solidFill>
              <w14:schemeClr w14:val="tx1"/>
            </w14:solidFill>
          </w14:textFill>
        </w:rPr>
        <w:t>广元市医疗保障局整体支出</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baseline"/>
        <w:rPr>
          <w:rStyle w:val="43"/>
          <w:rFonts w:ascii="方正小标宋简体" w:eastAsia="方正小标宋简体"/>
          <w:b w:val="0"/>
          <w:bCs w:val="0"/>
          <w:color w:val="000000" w:themeColor="text1"/>
          <w:sz w:val="44"/>
          <w:szCs w:val="44"/>
          <w14:textFill>
            <w14:solidFill>
              <w14:schemeClr w14:val="tx1"/>
            </w14:solidFill>
          </w14:textFill>
        </w:rPr>
      </w:pPr>
      <w:r>
        <w:rPr>
          <w:rStyle w:val="43"/>
          <w:rFonts w:ascii="方正小标宋简体" w:eastAsia="方正小标宋简体"/>
          <w:b w:val="0"/>
          <w:bCs w:val="0"/>
          <w:color w:val="000000" w:themeColor="text1"/>
          <w:sz w:val="44"/>
          <w:szCs w:val="44"/>
          <w14:textFill>
            <w14:solidFill>
              <w14:schemeClr w14:val="tx1"/>
            </w14:solidFill>
          </w14:textFill>
        </w:rPr>
        <w:t>绩效</w:t>
      </w:r>
      <w:r>
        <w:rPr>
          <w:rStyle w:val="43"/>
          <w:rFonts w:hint="eastAsia" w:ascii="方正小标宋简体" w:eastAsia="方正小标宋简体"/>
          <w:b w:val="0"/>
          <w:bCs w:val="0"/>
          <w:color w:val="000000" w:themeColor="text1"/>
          <w:sz w:val="44"/>
          <w:szCs w:val="44"/>
          <w14:textFill>
            <w14:solidFill>
              <w14:schemeClr w14:val="tx1"/>
            </w14:solidFill>
          </w14:textFill>
        </w:rPr>
        <w:t>自评</w:t>
      </w:r>
      <w:r>
        <w:rPr>
          <w:rStyle w:val="43"/>
          <w:rFonts w:ascii="方正小标宋简体" w:eastAsia="方正小标宋简体"/>
          <w:b w:val="0"/>
          <w:bCs w:val="0"/>
          <w:color w:val="000000" w:themeColor="text1"/>
          <w:sz w:val="44"/>
          <w:szCs w:val="44"/>
          <w14:textFill>
            <w14:solidFill>
              <w14:schemeClr w14:val="tx1"/>
            </w14:solidFill>
          </w14:textFill>
        </w:rPr>
        <w:t>报告</w:t>
      </w: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0" w:firstLineChars="200"/>
        <w:jc w:val="both"/>
        <w:textAlignment w:val="baseline"/>
        <w:outlineLvl w:val="9"/>
        <w:rPr>
          <w:rStyle w:val="43"/>
          <w:rFonts w:ascii="黑体" w:hAnsi="黑体" w:eastAsia="黑体"/>
          <w:b w:val="0"/>
          <w:bCs w:val="0"/>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0" w:firstLineChars="200"/>
        <w:jc w:val="both"/>
        <w:textAlignment w:val="baseline"/>
        <w:outlineLvl w:val="9"/>
        <w:rPr>
          <w:rStyle w:val="43"/>
          <w:rFonts w:ascii="黑体" w:hAnsi="黑体" w:eastAsia="黑体"/>
          <w:b w:val="0"/>
          <w:bCs w:val="0"/>
          <w:color w:val="000000" w:themeColor="text1"/>
          <w:sz w:val="32"/>
          <w:szCs w:val="32"/>
          <w14:textFill>
            <w14:solidFill>
              <w14:schemeClr w14:val="tx1"/>
            </w14:solidFill>
          </w14:textFill>
        </w:rPr>
      </w:pPr>
      <w:r>
        <w:rPr>
          <w:rStyle w:val="43"/>
          <w:rFonts w:ascii="黑体" w:hAnsi="黑体" w:eastAsia="黑体"/>
          <w:b w:val="0"/>
          <w:bCs w:val="0"/>
          <w:color w:val="000000" w:themeColor="text1"/>
          <w:sz w:val="32"/>
          <w:szCs w:val="32"/>
          <w14:textFill>
            <w14:solidFill>
              <w14:schemeClr w14:val="tx1"/>
            </w14:solidFill>
          </w14:textFill>
        </w:rPr>
        <w:t>一、部门（单位）概况</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rPr>
          <w:rStyle w:val="43"/>
          <w:rFonts w:hint="eastAsia" w:ascii="楷体_GB2312" w:hAnsi="楷体_GB2312" w:eastAsia="楷体_GB2312" w:cs="楷体_GB2312"/>
          <w:b w:val="0"/>
          <w:bCs w:val="0"/>
          <w:color w:val="000000" w:themeColor="text1"/>
          <w:sz w:val="32"/>
          <w:szCs w:val="32"/>
          <w:lang w:val="zh-CN"/>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lang w:val="zh-CN"/>
          <w14:textFill>
            <w14:solidFill>
              <w14:schemeClr w14:val="tx1"/>
            </w14:solidFill>
          </w14:textFill>
        </w:rPr>
        <w:t>（一）机构组成</w:t>
      </w: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16" w:firstLineChars="200"/>
        <w:jc w:val="both"/>
        <w:textAlignment w:val="baseline"/>
        <w:outlineLvl w:val="9"/>
        <w:rPr>
          <w:rStyle w:val="43"/>
          <w:rFonts w:ascii="仿宋_GB2312" w:eastAsia="仿宋_GB2312"/>
          <w:b w:val="0"/>
          <w:bCs w:val="0"/>
          <w:color w:val="000000" w:themeColor="text1"/>
          <w:spacing w:val="-6"/>
          <w:sz w:val="32"/>
          <w:szCs w:val="32"/>
          <w14:textFill>
            <w14:solidFill>
              <w14:schemeClr w14:val="tx1"/>
            </w14:solidFill>
          </w14:textFill>
        </w:rPr>
      </w:pPr>
      <w:r>
        <w:rPr>
          <w:rStyle w:val="43"/>
          <w:rFonts w:ascii="仿宋_GB2312" w:eastAsia="仿宋_GB2312"/>
          <w:b w:val="0"/>
          <w:bCs w:val="0"/>
          <w:color w:val="000000" w:themeColor="text1"/>
          <w:spacing w:val="-6"/>
          <w:sz w:val="32"/>
          <w:szCs w:val="32"/>
          <w14:textFill>
            <w14:solidFill>
              <w14:schemeClr w14:val="tx1"/>
            </w14:solidFill>
          </w14:textFill>
        </w:rPr>
        <w:t>广元市医疗保障局下属二级单位2个，其中参照公务员法管理的事业单位1个，其他事业单位1个，均为非独立预算二级单位。广元市医疗保障局部门预算包括：局机关预算、局属参公事业单位广元市医疗保障事务中心预算、局属事业单位市医保信息中心预算。</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rPr>
          <w:rStyle w:val="43"/>
          <w:rFonts w:hint="eastAsia" w:ascii="楷体_GB2312" w:hAnsi="楷体_GB2312" w:eastAsia="楷体_GB2312" w:cs="楷体_GB2312"/>
          <w:b w:val="0"/>
          <w:bCs w:val="0"/>
          <w:color w:val="000000" w:themeColor="text1"/>
          <w:sz w:val="32"/>
          <w:szCs w:val="32"/>
          <w:lang w:val="zh-CN"/>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lang w:val="zh-CN"/>
          <w14:textFill>
            <w14:solidFill>
              <w14:schemeClr w14:val="tx1"/>
            </w14:solidFill>
          </w14:textFill>
        </w:rPr>
        <w:t>（二）机构职能</w:t>
      </w:r>
    </w:p>
    <w:p>
      <w:pPr>
        <w:keepNext w:val="0"/>
        <w:keepLines w:val="0"/>
        <w:pageBreakBefore w:val="0"/>
        <w:widowControl w:val="0"/>
        <w:kinsoku/>
        <w:wordWrap/>
        <w:overflowPunct/>
        <w:topLinePunct w:val="0"/>
        <w:autoSpaceDE/>
        <w:autoSpaceDN/>
        <w:bidi w:val="0"/>
        <w:adjustRightInd w:val="0"/>
        <w:snapToGrid w:val="0"/>
        <w:spacing w:line="54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1. 负责贯彻执行国家、省、市有关医疗保险、生育保险、医疗救助、长期护理保险等医疗保障政策制度。</w:t>
      </w:r>
    </w:p>
    <w:p>
      <w:pPr>
        <w:keepNext w:val="0"/>
        <w:keepLines w:val="0"/>
        <w:pageBreakBefore w:val="0"/>
        <w:widowControl w:val="0"/>
        <w:kinsoku/>
        <w:wordWrap/>
        <w:overflowPunct/>
        <w:topLinePunct w:val="0"/>
        <w:autoSpaceDE/>
        <w:autoSpaceDN/>
        <w:bidi w:val="0"/>
        <w:adjustRightInd w:val="0"/>
        <w:snapToGrid w:val="0"/>
        <w:spacing w:line="54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2. 组织起草有关地方性法规和规章草案。负责拟订全市医疗保障事业发展规划、政策和标准，并组织实施和监督检查。</w:t>
      </w:r>
    </w:p>
    <w:p>
      <w:pPr>
        <w:keepNext w:val="0"/>
        <w:keepLines w:val="0"/>
        <w:pageBreakBefore w:val="0"/>
        <w:widowControl w:val="0"/>
        <w:kinsoku/>
        <w:wordWrap/>
        <w:overflowPunct/>
        <w:topLinePunct w:val="0"/>
        <w:autoSpaceDE/>
        <w:autoSpaceDN/>
        <w:bidi w:val="0"/>
        <w:adjustRightInd w:val="0"/>
        <w:snapToGrid w:val="0"/>
        <w:spacing w:line="54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 xml:space="preserve">3. </w:t>
      </w:r>
      <w:r>
        <w:rPr>
          <w:rStyle w:val="43"/>
          <w:rFonts w:ascii="仿宋_GB2312" w:eastAsia="仿宋_GB2312"/>
          <w:b w:val="0"/>
          <w:bCs w:val="0"/>
          <w:color w:val="000000" w:themeColor="text1"/>
          <w:spacing w:val="6"/>
          <w:sz w:val="32"/>
          <w:szCs w:val="32"/>
          <w14:textFill>
            <w14:solidFill>
              <w14:schemeClr w14:val="tx1"/>
            </w14:solidFill>
          </w14:textFill>
        </w:rPr>
        <w:t>组织拟订并实施医疗保障基金监督管理制度，建立健全医疗保障基金安全防控机制，监督强化全市医疗保障基金运行管理。</w:t>
      </w:r>
    </w:p>
    <w:p>
      <w:pPr>
        <w:keepNext w:val="0"/>
        <w:keepLines w:val="0"/>
        <w:pageBreakBefore w:val="0"/>
        <w:widowControl w:val="0"/>
        <w:kinsoku/>
        <w:wordWrap/>
        <w:overflowPunct/>
        <w:topLinePunct w:val="0"/>
        <w:autoSpaceDE/>
        <w:autoSpaceDN/>
        <w:bidi w:val="0"/>
        <w:adjustRightInd w:val="0"/>
        <w:snapToGrid w:val="0"/>
        <w:spacing w:line="54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4. 组织拟订医疗保障筹资和待遇政策，负责医疗保障基金归集，拟订医疗保障基金年度收支计划，按政策和标准支付医疗待遇；完善动态调整和区域调剂平衡机制，统筹城乡医疗保障待遇标准，建立健全与筹资水平相适应的待遇调整机制。</w:t>
      </w:r>
    </w:p>
    <w:p>
      <w:pPr>
        <w:keepNext w:val="0"/>
        <w:keepLines w:val="0"/>
        <w:pageBreakBefore w:val="0"/>
        <w:widowControl w:val="0"/>
        <w:kinsoku/>
        <w:wordWrap/>
        <w:overflowPunct/>
        <w:topLinePunct w:val="0"/>
        <w:autoSpaceDE/>
        <w:autoSpaceDN/>
        <w:bidi w:val="0"/>
        <w:adjustRightInd w:val="0"/>
        <w:snapToGrid w:val="0"/>
        <w:spacing w:line="546" w:lineRule="exact"/>
        <w:ind w:left="0" w:leftChars="0" w:firstLine="640" w:firstLineChars="200"/>
        <w:jc w:val="both"/>
        <w:textAlignment w:val="baseline"/>
        <w:outlineLvl w:val="9"/>
        <w:rPr>
          <w:rStyle w:val="43"/>
          <w:rFonts w:ascii="仿宋_GB2312" w:eastAsia="仿宋_GB2312"/>
          <w:b w:val="0"/>
          <w:bCs w:val="0"/>
          <w:color w:val="000000" w:themeColor="text1"/>
          <w:spacing w:val="6"/>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 xml:space="preserve">5. </w:t>
      </w:r>
      <w:r>
        <w:rPr>
          <w:rStyle w:val="43"/>
          <w:rFonts w:ascii="仿宋_GB2312" w:eastAsia="仿宋_GB2312"/>
          <w:b w:val="0"/>
          <w:bCs w:val="0"/>
          <w:color w:val="000000" w:themeColor="text1"/>
          <w:spacing w:val="6"/>
          <w:sz w:val="32"/>
          <w:szCs w:val="32"/>
          <w14:textFill>
            <w14:solidFill>
              <w14:schemeClr w14:val="tx1"/>
            </w14:solidFill>
          </w14:textFill>
        </w:rPr>
        <w:t>贯彻执行上级药品目录、医用耗材、医疗服务项目、医疗服务设施等医疗保障目录和支付标准政策。拟订全市药品目录、医用耗材、医疗服务项目、医疗服务设施等医疗保障目录和支付标准政策。拟订全市有关医保目录准入谈判规则并组织实施。</w:t>
      </w:r>
    </w:p>
    <w:p>
      <w:pPr>
        <w:keepNext w:val="0"/>
        <w:keepLines w:val="0"/>
        <w:pageBreakBefore w:val="0"/>
        <w:widowControl w:val="0"/>
        <w:kinsoku/>
        <w:wordWrap/>
        <w:overflowPunct/>
        <w:topLinePunct w:val="0"/>
        <w:autoSpaceDE/>
        <w:autoSpaceDN/>
        <w:bidi w:val="0"/>
        <w:adjustRightInd w:val="0"/>
        <w:snapToGrid w:val="0"/>
        <w:spacing w:line="54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6. 贯彻执行上级药品、医用耗材价格和医疗服务项目、医疗服务设施收费等政策，负责拟订全市医用耗材价格和医疗服务项目、医疗服务设施收费等政策。建立医保支付医药服务价格合理确定和动态调整机制。推动建立市场主导的社会医药服务价格形成机制，建立价格信息监测和信息发布制度。</w:t>
      </w:r>
    </w:p>
    <w:p>
      <w:pPr>
        <w:keepNext w:val="0"/>
        <w:keepLines w:val="0"/>
        <w:pageBreakBefore w:val="0"/>
        <w:widowControl w:val="0"/>
        <w:kinsoku/>
        <w:wordWrap/>
        <w:overflowPunct/>
        <w:topLinePunct w:val="0"/>
        <w:autoSpaceDE/>
        <w:autoSpaceDN/>
        <w:bidi w:val="0"/>
        <w:adjustRightInd w:val="0"/>
        <w:snapToGrid w:val="0"/>
        <w:spacing w:line="54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7. 贯彻执行上级药品、医用耗材的招标采购政策并监督实施。负责全市药品、医用耗材招标采购平台建设。组织实施大病保险招标准入和业务指导。</w:t>
      </w:r>
    </w:p>
    <w:p>
      <w:pPr>
        <w:keepNext w:val="0"/>
        <w:keepLines w:val="0"/>
        <w:pageBreakBefore w:val="0"/>
        <w:widowControl w:val="0"/>
        <w:kinsoku/>
        <w:wordWrap/>
        <w:overflowPunct/>
        <w:topLinePunct w:val="0"/>
        <w:autoSpaceDE/>
        <w:autoSpaceDN/>
        <w:bidi w:val="0"/>
        <w:adjustRightInd w:val="0"/>
        <w:snapToGrid w:val="0"/>
        <w:spacing w:line="54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8. 推进医疗保障基金支付方式改革，拟订全市定点医药机构协议和支付管理办法并组织实施。负责全市医疗保障定点机构管理和考核工作。</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9. 建立健全医疗保障信用评价体系和信息披露制度。推进协议服务机构标准化建设，建立协议服务机构准入和退出机制。监督管理纳入医保范围内的医疗服务行为和医疗费用，依法查处医疗保障领域违法违规行为。</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10. 负责全市医疗保障经办管理、公共服务体系建设。组织拟订和完善异地就医管理和费用结算政策。建立健全医疗保障关系转移接续制度。监督管理全市医保经办服务工作，开展医疗保障领域对外合作交流。</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11. 负责推进实施全市医疗保障信息化建设，组织开展医疗保障大数据管理和应用。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12. 负责职责范围内的安全生产和职业健康、生态环境保护、审批服务便民化等工作。</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13. 完成市委和市政府交办的其他任务。</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14. 职能转变。完善统一的城乡居民基本医疗保险制度和大病保险制度，不断提高医疗保障水平，建立健全覆盖全民、城乡统筹的多层次医疗保障体系，确保医保资金合理使用、安全可控，推进医疗、医保、医药“三医联动”改革，更好保障人民群众就医需求、减轻医药费用负担。</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15. 有关职责分工。市卫生健康委员会、市医疗保障局和市市场监督管理局等部门在医疗、医保、医药等方面加强制度、政策衔接，建立沟通协商机制，协同推进改革，提高医疗资源使用效率和医疗保障水平。</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rPr>
          <w:rStyle w:val="43"/>
          <w:rFonts w:hint="eastAsia" w:ascii="楷体_GB2312" w:hAnsi="楷体_GB2312" w:eastAsia="楷体_GB2312" w:cs="楷体_GB2312"/>
          <w:b w:val="0"/>
          <w:bCs w:val="0"/>
          <w:color w:val="000000" w:themeColor="text1"/>
          <w:sz w:val="32"/>
          <w:szCs w:val="32"/>
          <w:lang w:val="zh-CN"/>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lang w:val="zh-CN"/>
          <w14:textFill>
            <w14:solidFill>
              <w14:schemeClr w14:val="tx1"/>
            </w14:solidFill>
          </w14:textFill>
        </w:rPr>
        <w:t>（三）人员概况</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24" w:firstLineChars="200"/>
        <w:rPr>
          <w:rFonts w:hint="eastAsia" w:ascii="仿宋_GB2312" w:hAnsi="宋体" w:eastAsia="仿宋_GB2312" w:cs="宋体"/>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eastAsia="仿宋_GB2312"/>
          <w:b w:val="0"/>
          <w:bCs w:val="0"/>
          <w:color w:val="000000" w:themeColor="text1"/>
          <w:spacing w:val="-4"/>
          <w:sz w:val="32"/>
          <w:szCs w:val="32"/>
          <w14:textFill>
            <w14:solidFill>
              <w14:schemeClr w14:val="tx1"/>
            </w14:solidFill>
          </w14:textFill>
        </w:rPr>
        <w:t>市医疗保障局总编制43个，其中:行政编制15个，参公事业编制22个，事业编制5个，工勤编制1个。在职人员</w:t>
      </w:r>
      <w:r>
        <w:rPr>
          <w:rFonts w:hint="eastAsia" w:ascii="仿宋_GB2312" w:eastAsia="仿宋_GB2312"/>
          <w:b w:val="0"/>
          <w:bCs w:val="0"/>
          <w:color w:val="000000" w:themeColor="text1"/>
          <w:spacing w:val="-4"/>
          <w:sz w:val="32"/>
          <w:szCs w:val="32"/>
          <w:lang w:val="en-US" w:eastAsia="zh-CN"/>
          <w14:textFill>
            <w14:solidFill>
              <w14:schemeClr w14:val="tx1"/>
            </w14:solidFill>
          </w14:textFill>
        </w:rPr>
        <w:t>40</w:t>
      </w:r>
      <w:r>
        <w:rPr>
          <w:rFonts w:hint="eastAsia" w:ascii="仿宋_GB2312" w:eastAsia="仿宋_GB2312"/>
          <w:b w:val="0"/>
          <w:bCs w:val="0"/>
          <w:color w:val="000000" w:themeColor="text1"/>
          <w:spacing w:val="-4"/>
          <w:sz w:val="32"/>
          <w:szCs w:val="32"/>
          <w14:textFill>
            <w14:solidFill>
              <w14:schemeClr w14:val="tx1"/>
            </w14:solidFill>
          </w14:textFill>
        </w:rPr>
        <w:t>人，其中:行政人员</w:t>
      </w:r>
      <w:r>
        <w:rPr>
          <w:rFonts w:hint="eastAsia" w:ascii="仿宋_GB2312" w:eastAsia="仿宋_GB2312"/>
          <w:b w:val="0"/>
          <w:bCs w:val="0"/>
          <w:color w:val="000000" w:themeColor="text1"/>
          <w:spacing w:val="-4"/>
          <w:sz w:val="32"/>
          <w:szCs w:val="32"/>
          <w:lang w:val="en-US" w:eastAsia="zh-CN"/>
          <w14:textFill>
            <w14:solidFill>
              <w14:schemeClr w14:val="tx1"/>
            </w14:solidFill>
          </w14:textFill>
        </w:rPr>
        <w:t>13</w:t>
      </w:r>
      <w:r>
        <w:rPr>
          <w:rFonts w:hint="eastAsia" w:ascii="仿宋_GB2312" w:eastAsia="仿宋_GB2312"/>
          <w:b w:val="0"/>
          <w:bCs w:val="0"/>
          <w:color w:val="000000" w:themeColor="text1"/>
          <w:spacing w:val="-4"/>
          <w:sz w:val="32"/>
          <w:szCs w:val="32"/>
          <w14:textFill>
            <w14:solidFill>
              <w14:schemeClr w14:val="tx1"/>
            </w14:solidFill>
          </w14:textFill>
        </w:rPr>
        <w:t>人，参公事业人员</w:t>
      </w:r>
      <w:r>
        <w:rPr>
          <w:rFonts w:hint="eastAsia" w:ascii="仿宋_GB2312" w:eastAsia="仿宋_GB2312"/>
          <w:b w:val="0"/>
          <w:bCs w:val="0"/>
          <w:color w:val="000000" w:themeColor="text1"/>
          <w:spacing w:val="-4"/>
          <w:sz w:val="32"/>
          <w:szCs w:val="32"/>
          <w:lang w:val="en-US" w:eastAsia="zh-CN"/>
          <w14:textFill>
            <w14:solidFill>
              <w14:schemeClr w14:val="tx1"/>
            </w14:solidFill>
          </w14:textFill>
        </w:rPr>
        <w:t>21</w:t>
      </w:r>
      <w:r>
        <w:rPr>
          <w:rFonts w:hint="eastAsia" w:ascii="仿宋_GB2312" w:eastAsia="仿宋_GB2312"/>
          <w:b w:val="0"/>
          <w:bCs w:val="0"/>
          <w:color w:val="000000" w:themeColor="text1"/>
          <w:spacing w:val="-4"/>
          <w:sz w:val="32"/>
          <w:szCs w:val="32"/>
          <w14:textFill>
            <w14:solidFill>
              <w14:schemeClr w14:val="tx1"/>
            </w14:solidFill>
          </w14:textFill>
        </w:rPr>
        <w:t>人，事业人员</w:t>
      </w:r>
      <w:r>
        <w:rPr>
          <w:rFonts w:hint="eastAsia" w:ascii="仿宋_GB2312" w:eastAsia="仿宋_GB2312"/>
          <w:b w:val="0"/>
          <w:bCs w:val="0"/>
          <w:color w:val="000000" w:themeColor="text1"/>
          <w:spacing w:val="-4"/>
          <w:sz w:val="32"/>
          <w:szCs w:val="32"/>
          <w:lang w:val="en-US" w:eastAsia="zh-CN"/>
          <w14:textFill>
            <w14:solidFill>
              <w14:schemeClr w14:val="tx1"/>
            </w14:solidFill>
          </w14:textFill>
        </w:rPr>
        <w:t>5</w:t>
      </w:r>
      <w:r>
        <w:rPr>
          <w:rFonts w:hint="eastAsia" w:ascii="仿宋_GB2312" w:eastAsia="仿宋_GB2312"/>
          <w:b w:val="0"/>
          <w:bCs w:val="0"/>
          <w:color w:val="000000" w:themeColor="text1"/>
          <w:spacing w:val="-4"/>
          <w:sz w:val="32"/>
          <w:szCs w:val="32"/>
          <w14:textFill>
            <w14:solidFill>
              <w14:schemeClr w14:val="tx1"/>
            </w14:solidFill>
          </w14:textFill>
        </w:rPr>
        <w:t>人，工勤人员1人；退休人员</w:t>
      </w:r>
      <w:r>
        <w:rPr>
          <w:rFonts w:hint="eastAsia" w:ascii="仿宋_GB2312" w:eastAsia="仿宋_GB2312"/>
          <w:b w:val="0"/>
          <w:bCs w:val="0"/>
          <w:color w:val="000000" w:themeColor="text1"/>
          <w:spacing w:val="-4"/>
          <w:sz w:val="32"/>
          <w:szCs w:val="32"/>
          <w:lang w:val="en-US" w:eastAsia="zh-CN"/>
          <w14:textFill>
            <w14:solidFill>
              <w14:schemeClr w14:val="tx1"/>
            </w14:solidFill>
          </w14:textFill>
        </w:rPr>
        <w:t>11</w:t>
      </w:r>
      <w:r>
        <w:rPr>
          <w:rFonts w:hint="eastAsia" w:ascii="仿宋_GB2312" w:eastAsia="仿宋_GB2312"/>
          <w:b w:val="0"/>
          <w:bCs w:val="0"/>
          <w:color w:val="000000" w:themeColor="text1"/>
          <w:spacing w:val="-4"/>
          <w:sz w:val="32"/>
          <w:szCs w:val="32"/>
          <w14:textFill>
            <w14:solidFill>
              <w14:schemeClr w14:val="tx1"/>
            </w14:solidFill>
          </w14:textFill>
        </w:rPr>
        <w:t>人</w:t>
      </w:r>
      <w:r>
        <w:rPr>
          <w:rFonts w:hint="eastAsia" w:ascii="仿宋_GB2312" w:hAnsi="仿宋" w:eastAsia="仿宋_GB2312"/>
          <w:b w:val="0"/>
          <w:bCs w:val="0"/>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黑体" w:hAnsi="黑体" w:eastAsia="黑体"/>
          <w:b w:val="0"/>
          <w:bCs w:val="0"/>
          <w:color w:val="000000" w:themeColor="text1"/>
          <w:sz w:val="32"/>
          <w:szCs w:val="32"/>
          <w14:textFill>
            <w14:solidFill>
              <w14:schemeClr w14:val="tx1"/>
            </w14:solidFill>
          </w14:textFill>
        </w:rPr>
      </w:pPr>
      <w:r>
        <w:rPr>
          <w:rStyle w:val="43"/>
          <w:rFonts w:ascii="黑体" w:hAnsi="黑体" w:eastAsia="黑体"/>
          <w:b w:val="0"/>
          <w:bCs w:val="0"/>
          <w:color w:val="000000" w:themeColor="text1"/>
          <w:sz w:val="32"/>
          <w:szCs w:val="32"/>
          <w14:textFill>
            <w14:solidFill>
              <w14:schemeClr w14:val="tx1"/>
            </w14:solidFill>
          </w14:textFill>
        </w:rPr>
        <w:t>二、部门财政资金收支情况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t>（一）部门财政资金收入情况</w:t>
      </w:r>
    </w:p>
    <w:p>
      <w:pPr>
        <w:pStyle w:val="18"/>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left="0" w:leftChars="0" w:firstLine="640" w:firstLineChars="200"/>
        <w:jc w:val="both"/>
        <w:outlineLvl w:val="9"/>
        <w:rPr>
          <w:rFonts w:hint="eastAsia" w:ascii="仿宋_GB2312" w:hAnsi="宋体" w:eastAsia="仿宋_GB2312" w:cs="宋体"/>
          <w:b w:val="0"/>
          <w:bCs w:val="0"/>
          <w:color w:val="000000" w:themeColor="text1"/>
          <w:sz w:val="32"/>
          <w:szCs w:val="32"/>
          <w14:textFill>
            <w14:solidFill>
              <w14:schemeClr w14:val="tx1"/>
            </w14:solidFill>
          </w14:textFill>
        </w:rPr>
      </w:pPr>
      <w:r>
        <w:rPr>
          <w:rFonts w:hint="eastAsia" w:ascii="仿宋_GB2312" w:hAnsi="宋体" w:eastAsia="仿宋_GB2312" w:cs="宋体"/>
          <w:b w:val="0"/>
          <w:bCs w:val="0"/>
          <w:color w:val="000000" w:themeColor="text1"/>
          <w:sz w:val="32"/>
          <w:szCs w:val="32"/>
          <w:shd w:val="clear" w:color="auto" w:fill="FFFFFF"/>
          <w:lang w:eastAsia="zh-CN"/>
          <w14:textFill>
            <w14:solidFill>
              <w14:schemeClr w14:val="tx1"/>
            </w14:solidFill>
          </w14:textFill>
        </w:rPr>
        <w:t>我局</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202</w:t>
      </w:r>
      <w:r>
        <w:rPr>
          <w:rFonts w:hint="eastAsia" w:ascii="仿宋_GB2312" w:eastAsia="仿宋_GB2312" w:cs="宋体"/>
          <w:b w:val="0"/>
          <w:bCs w:val="0"/>
          <w:color w:val="000000" w:themeColor="text1"/>
          <w:sz w:val="32"/>
          <w:szCs w:val="32"/>
          <w:shd w:val="clear" w:color="auto" w:fill="FFFFFF"/>
          <w:lang w:val="en-US" w:eastAsia="zh-CN"/>
          <w14:textFill>
            <w14:solidFill>
              <w14:schemeClr w14:val="tx1"/>
            </w14:solidFill>
          </w14:textFill>
        </w:rPr>
        <w:t>4</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年</w:t>
      </w:r>
      <w:r>
        <w:rPr>
          <w:rFonts w:hint="eastAsia" w:ascii="仿宋_GB2312" w:eastAsia="仿宋_GB2312" w:cs="宋体"/>
          <w:b w:val="0"/>
          <w:bCs w:val="0"/>
          <w:color w:val="000000" w:themeColor="text1"/>
          <w:sz w:val="32"/>
          <w:szCs w:val="32"/>
          <w:shd w:val="clear" w:color="auto" w:fill="FFFFFF"/>
          <w:lang w:eastAsia="zh-CN"/>
          <w14:textFill>
            <w14:solidFill>
              <w14:schemeClr w14:val="tx1"/>
            </w14:solidFill>
          </w14:textFill>
        </w:rPr>
        <w:t>年初</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预算</w:t>
      </w:r>
      <w:r>
        <w:rPr>
          <w:rFonts w:hint="eastAsia" w:ascii="仿宋_GB2312" w:eastAsia="仿宋_GB2312" w:cs="宋体"/>
          <w:b w:val="0"/>
          <w:bCs w:val="0"/>
          <w:color w:val="000000" w:themeColor="text1"/>
          <w:sz w:val="32"/>
          <w:szCs w:val="32"/>
          <w:shd w:val="clear" w:color="auto" w:fill="FFFFFF"/>
          <w:lang w:eastAsia="zh-CN"/>
          <w14:textFill>
            <w14:solidFill>
              <w14:schemeClr w14:val="tx1"/>
            </w14:solidFill>
          </w14:textFill>
        </w:rPr>
        <w:t>收入</w:t>
      </w:r>
      <w:r>
        <w:rPr>
          <w:rFonts w:hint="eastAsia" w:ascii="仿宋_GB2312" w:eastAsia="仿宋_GB2312" w:cs="宋体"/>
          <w:b w:val="0"/>
          <w:bCs w:val="0"/>
          <w:color w:val="000000" w:themeColor="text1"/>
          <w:sz w:val="32"/>
          <w:szCs w:val="32"/>
          <w:shd w:val="clear" w:color="auto" w:fill="FFFFFF"/>
          <w:lang w:val="en-US" w:eastAsia="zh-CN"/>
          <w14:textFill>
            <w14:solidFill>
              <w14:schemeClr w14:val="tx1"/>
            </w14:solidFill>
          </w14:textFill>
        </w:rPr>
        <w:t>1176.57</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万元，其中一般公共预算拨款收入</w:t>
      </w:r>
      <w:r>
        <w:rPr>
          <w:rFonts w:hint="eastAsia" w:ascii="仿宋_GB2312" w:eastAsia="仿宋_GB2312" w:cs="宋体"/>
          <w:b w:val="0"/>
          <w:bCs w:val="0"/>
          <w:color w:val="000000" w:themeColor="text1"/>
          <w:sz w:val="32"/>
          <w:szCs w:val="32"/>
          <w:shd w:val="clear" w:color="auto" w:fill="FFFFFF"/>
          <w:lang w:val="en-US" w:eastAsia="zh-CN"/>
          <w14:textFill>
            <w14:solidFill>
              <w14:schemeClr w14:val="tx1"/>
            </w14:solidFill>
          </w14:textFill>
        </w:rPr>
        <w:t>1176.57</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万元，占100%</w:t>
      </w:r>
      <w:r>
        <w:rPr>
          <w:rFonts w:hint="eastAsia" w:ascii="仿宋_GB2312" w:eastAsia="仿宋_GB2312" w:cs="宋体"/>
          <w:b w:val="0"/>
          <w:bCs w:val="0"/>
          <w:color w:val="000000" w:themeColor="text1"/>
          <w:sz w:val="32"/>
          <w:szCs w:val="32"/>
          <w:shd w:val="clear" w:color="auto" w:fill="FFFFFF"/>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我局2024年决算收入2280.29万元，其中：一般公共预算财政拨款收入2252.3万元，年初结转资金0.15万元。</w:t>
      </w:r>
    </w:p>
    <w:p>
      <w:pPr>
        <w:keepNext w:val="0"/>
        <w:keepLines w:val="0"/>
        <w:pageBreakBefore w:val="0"/>
        <w:widowControl w:val="0"/>
        <w:numPr>
          <w:ilvl w:val="0"/>
          <w:numId w:val="5"/>
        </w:numPr>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t>部门财政资金支出情况</w:t>
      </w:r>
    </w:p>
    <w:p>
      <w:pPr>
        <w:pStyle w:val="18"/>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left="0" w:leftChars="0" w:firstLine="640" w:firstLineChars="200"/>
        <w:jc w:val="both"/>
        <w:outlineLvl w:val="9"/>
        <w:rPr>
          <w:rFonts w:hint="eastAsia" w:ascii="仿宋_GB2312" w:hAnsi="宋体" w:eastAsia="仿宋_GB2312" w:cs="宋体"/>
          <w:b w:val="0"/>
          <w:bCs w:val="0"/>
          <w:color w:val="000000" w:themeColor="text1"/>
          <w:sz w:val="32"/>
          <w:szCs w:val="32"/>
          <w14:textFill>
            <w14:solidFill>
              <w14:schemeClr w14:val="tx1"/>
            </w14:solidFill>
          </w14:textFill>
        </w:rPr>
      </w:pPr>
      <w:r>
        <w:rPr>
          <w:rFonts w:hint="eastAsia" w:ascii="仿宋_GB2312" w:eastAsia="仿宋_GB2312" w:cs="宋体"/>
          <w:b w:val="0"/>
          <w:bCs w:val="0"/>
          <w:color w:val="000000" w:themeColor="text1"/>
          <w:sz w:val="32"/>
          <w:szCs w:val="32"/>
          <w:shd w:val="clear" w:color="auto" w:fill="FFFFFF"/>
          <w:lang w:eastAsia="zh-CN"/>
          <w14:textFill>
            <w14:solidFill>
              <w14:schemeClr w14:val="tx1"/>
            </w14:solidFill>
          </w14:textFill>
        </w:rPr>
        <w:t>我局</w:t>
      </w:r>
      <w:r>
        <w:rPr>
          <w:rFonts w:hint="eastAsia" w:ascii="仿宋_GB2312" w:eastAsia="仿宋_GB2312" w:cs="宋体"/>
          <w:b w:val="0"/>
          <w:bCs w:val="0"/>
          <w:color w:val="000000" w:themeColor="text1"/>
          <w:sz w:val="32"/>
          <w:szCs w:val="32"/>
          <w:shd w:val="clear" w:color="auto" w:fill="FFFFFF"/>
          <w:lang w:val="en-US" w:eastAsia="zh-CN"/>
          <w14:textFill>
            <w14:solidFill>
              <w14:schemeClr w14:val="tx1"/>
            </w14:solidFill>
          </w14:textFill>
        </w:rPr>
        <w:t>2024年年初</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预算</w:t>
      </w:r>
      <w:r>
        <w:rPr>
          <w:rFonts w:hint="eastAsia" w:ascii="仿宋_GB2312" w:eastAsia="仿宋_GB2312" w:cs="宋体"/>
          <w:b w:val="0"/>
          <w:bCs w:val="0"/>
          <w:color w:val="000000" w:themeColor="text1"/>
          <w:sz w:val="32"/>
          <w:szCs w:val="32"/>
          <w:shd w:val="clear" w:color="auto" w:fill="FFFFFF"/>
          <w:lang w:eastAsia="zh-CN"/>
          <w14:textFill>
            <w14:solidFill>
              <w14:schemeClr w14:val="tx1"/>
            </w14:solidFill>
          </w14:textFill>
        </w:rPr>
        <w:t>支出数</w:t>
      </w:r>
      <w:r>
        <w:rPr>
          <w:rFonts w:hint="eastAsia" w:ascii="仿宋_GB2312" w:eastAsia="仿宋_GB2312" w:cs="宋体"/>
          <w:b w:val="0"/>
          <w:bCs w:val="0"/>
          <w:color w:val="000000" w:themeColor="text1"/>
          <w:sz w:val="32"/>
          <w:szCs w:val="32"/>
          <w:shd w:val="clear" w:color="auto" w:fill="FFFFFF"/>
          <w:lang w:val="en-US" w:eastAsia="zh-CN"/>
          <w14:textFill>
            <w14:solidFill>
              <w14:schemeClr w14:val="tx1"/>
            </w14:solidFill>
          </w14:textFill>
        </w:rPr>
        <w:t>1176.57</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万元，其中：基本支出</w:t>
      </w:r>
      <w:r>
        <w:rPr>
          <w:rFonts w:hint="eastAsia" w:ascii="仿宋_GB2312" w:eastAsia="仿宋_GB2312" w:cs="宋体"/>
          <w:b w:val="0"/>
          <w:bCs w:val="0"/>
          <w:color w:val="000000" w:themeColor="text1"/>
          <w:sz w:val="32"/>
          <w:szCs w:val="32"/>
          <w:shd w:val="clear" w:color="auto" w:fill="FFFFFF"/>
          <w:lang w:val="en-US" w:eastAsia="zh-CN"/>
          <w14:textFill>
            <w14:solidFill>
              <w14:schemeClr w14:val="tx1"/>
            </w14:solidFill>
          </w14:textFill>
        </w:rPr>
        <w:t>776.13</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万元，占65.</w:t>
      </w:r>
      <w:r>
        <w:rPr>
          <w:rFonts w:hint="eastAsia" w:ascii="仿宋_GB2312" w:eastAsia="仿宋_GB2312" w:cs="宋体"/>
          <w:b w:val="0"/>
          <w:bCs w:val="0"/>
          <w:color w:val="000000" w:themeColor="text1"/>
          <w:sz w:val="32"/>
          <w:szCs w:val="32"/>
          <w:shd w:val="clear" w:color="auto" w:fill="FFFFFF"/>
          <w:lang w:val="en-US" w:eastAsia="zh-CN"/>
          <w14:textFill>
            <w14:solidFill>
              <w14:schemeClr w14:val="tx1"/>
            </w14:solidFill>
          </w14:textFill>
        </w:rPr>
        <w:t>97</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%；项目支出400.44万元，占34.</w:t>
      </w:r>
      <w:r>
        <w:rPr>
          <w:rFonts w:hint="eastAsia" w:ascii="仿宋_GB2312" w:eastAsia="仿宋_GB2312" w:cs="宋体"/>
          <w:b w:val="0"/>
          <w:bCs w:val="0"/>
          <w:color w:val="000000" w:themeColor="text1"/>
          <w:sz w:val="32"/>
          <w:szCs w:val="32"/>
          <w:shd w:val="clear" w:color="auto" w:fill="FFFFFF"/>
          <w:lang w:val="en-US" w:eastAsia="zh-CN"/>
          <w14:textFill>
            <w14:solidFill>
              <w14:schemeClr w14:val="tx1"/>
            </w14:solidFill>
          </w14:textFill>
        </w:rPr>
        <w:t>03</w:t>
      </w:r>
      <w:r>
        <w:rPr>
          <w:rFonts w:hint="eastAsia" w:ascii="仿宋_GB2312" w:hAnsi="宋体" w:eastAsia="仿宋_GB2312" w:cs="宋体"/>
          <w:b w:val="0"/>
          <w:bCs w:val="0"/>
          <w:color w:val="000000" w:themeColor="text1"/>
          <w:sz w:val="32"/>
          <w:szCs w:val="32"/>
          <w:shd w:val="clear" w:color="auto" w:fill="FFFFFF"/>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outlineLvl w:val="9"/>
        <w:rPr>
          <w:rFonts w:hint="eastAsia"/>
          <w:b w:val="0"/>
          <w:bCs w:val="0"/>
          <w:color w:val="000000" w:themeColor="text1"/>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我局</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20</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24</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年</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决算</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支出</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数</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2280.29</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万元，其中：基本支出</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816.49</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万元，占</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35.81</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%；项目支出</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1463.8</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万元，占</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64.19</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outlineLvl w:val="9"/>
        <w:rPr>
          <w:rFonts w:hint="eastAsia" w:ascii="楷体_GB2312" w:hAnsi="楷体_GB2312" w:eastAsia="楷体_GB2312" w:cs="楷体_GB2312"/>
          <w:b w:val="0"/>
          <w:bCs w:val="0"/>
          <w:color w:val="000000" w:themeColor="text1"/>
          <w:kern w:val="0"/>
          <w:sz w:val="32"/>
          <w:szCs w:val="32"/>
          <w:highlight w:val="none"/>
          <w:shd w:val="clear" w:color="auto" w:fill="FFFFFF"/>
          <w:lang w:val="en-US" w:eastAsia="zh-CN"/>
          <w14:textFill>
            <w14:solidFill>
              <w14:schemeClr w14:val="tx1"/>
            </w14:solidFill>
          </w14:textFill>
        </w:rPr>
      </w:pPr>
      <w:r>
        <w:rPr>
          <w:rFonts w:hint="eastAsia" w:ascii="楷体_GB2312" w:hAnsi="楷体_GB2312" w:eastAsia="楷体_GB2312" w:cs="楷体_GB2312"/>
          <w:b w:val="0"/>
          <w:bCs w:val="0"/>
          <w:color w:val="000000" w:themeColor="text1"/>
          <w:kern w:val="0"/>
          <w:sz w:val="32"/>
          <w:szCs w:val="32"/>
          <w:highlight w:val="none"/>
          <w:shd w:val="clear" w:color="auto" w:fill="FFFFFF"/>
          <w:lang w:val="en-US" w:eastAsia="zh-CN"/>
          <w14:textFill>
            <w14:solidFill>
              <w14:schemeClr w14:val="tx1"/>
            </w14:solidFill>
          </w14:textFill>
        </w:rPr>
        <w:t>部门财政拨款结转结余情况</w:t>
      </w:r>
    </w:p>
    <w:p>
      <w:pPr>
        <w:pStyle w:val="20"/>
        <w:keepNext w:val="0"/>
        <w:keepLines w:val="0"/>
        <w:pageBreakBefore w:val="0"/>
        <w:widowControl w:val="0"/>
        <w:numPr>
          <w:ilvl w:val="0"/>
          <w:numId w:val="0"/>
        </w:numPr>
        <w:kinsoku/>
        <w:wordWrap/>
        <w:overflowPunct/>
        <w:topLinePunct w:val="0"/>
        <w:autoSpaceDE/>
        <w:autoSpaceDN/>
        <w:bidi w:val="0"/>
        <w:adjustRightInd w:val="0"/>
        <w:snapToGrid w:val="0"/>
        <w:spacing w:after="0" w:line="576" w:lineRule="exact"/>
        <w:ind w:left="0" w:leftChars="0" w:firstLine="640" w:firstLineChars="200"/>
        <w:jc w:val="both"/>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2024年决算报表结转结余0万元。</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黑体" w:hAnsi="黑体" w:eastAsia="黑体" w:cs="Times New Roman"/>
          <w:b w:val="0"/>
          <w:bCs w:val="0"/>
          <w:color w:val="000000" w:themeColor="text1"/>
          <w:sz w:val="32"/>
          <w:szCs w:val="32"/>
          <w14:textFill>
            <w14:solidFill>
              <w14:schemeClr w14:val="tx1"/>
            </w14:solidFill>
          </w14:textFill>
        </w:rPr>
      </w:pPr>
      <w:r>
        <w:rPr>
          <w:rStyle w:val="43"/>
          <w:rFonts w:hint="default" w:ascii="黑体" w:hAnsi="黑体" w:eastAsia="黑体" w:cs="Times New Roman"/>
          <w:b w:val="0"/>
          <w:bCs w:val="0"/>
          <w:color w:val="000000" w:themeColor="text1"/>
          <w:sz w:val="32"/>
          <w:szCs w:val="32"/>
          <w14:textFill>
            <w14:solidFill>
              <w14:schemeClr w14:val="tx1"/>
            </w14:solidFill>
          </w14:textFill>
        </w:rPr>
        <w:t>三、部门</w:t>
      </w:r>
      <w:r>
        <w:rPr>
          <w:rStyle w:val="43"/>
          <w:rFonts w:hint="default" w:ascii="黑体" w:hAnsi="黑体" w:eastAsia="黑体" w:cs="Times New Roman"/>
          <w:b w:val="0"/>
          <w:bCs w:val="0"/>
          <w:color w:val="000000" w:themeColor="text1"/>
          <w:sz w:val="32"/>
          <w:szCs w:val="32"/>
          <w:lang w:eastAsia="zh-CN"/>
          <w14:textFill>
            <w14:solidFill>
              <w14:schemeClr w14:val="tx1"/>
            </w14:solidFill>
          </w14:textFill>
        </w:rPr>
        <w:t>预算</w:t>
      </w:r>
      <w:r>
        <w:rPr>
          <w:rStyle w:val="43"/>
          <w:rFonts w:hint="default" w:ascii="黑体" w:hAnsi="黑体" w:eastAsia="黑体" w:cs="Times New Roman"/>
          <w:b w:val="0"/>
          <w:bCs w:val="0"/>
          <w:color w:val="000000" w:themeColor="text1"/>
          <w:sz w:val="32"/>
          <w:szCs w:val="32"/>
          <w14:textFill>
            <w14:solidFill>
              <w14:schemeClr w14:val="tx1"/>
            </w14:solidFill>
          </w14:textFill>
        </w:rPr>
        <w:t>绩效</w:t>
      </w:r>
      <w:r>
        <w:rPr>
          <w:rStyle w:val="43"/>
          <w:rFonts w:hint="default" w:ascii="黑体" w:hAnsi="黑体" w:eastAsia="黑体" w:cs="Times New Roman"/>
          <w:b w:val="0"/>
          <w:bCs w:val="0"/>
          <w:color w:val="000000" w:themeColor="text1"/>
          <w:sz w:val="32"/>
          <w:szCs w:val="32"/>
          <w:lang w:eastAsia="zh-CN"/>
          <w14:textFill>
            <w14:solidFill>
              <w14:schemeClr w14:val="tx1"/>
            </w14:solidFill>
          </w14:textFill>
        </w:rPr>
        <w:t>分析</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lang w:val="zh-CN"/>
          <w14:textFill>
            <w14:solidFill>
              <w14:schemeClr w14:val="tx1"/>
            </w14:solidFill>
          </w14:textFill>
        </w:rPr>
        <w:t>（一）部门预算总体绩效分析</w:t>
      </w:r>
      <w:r>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t>（</w:t>
      </w:r>
      <w:r>
        <w:rPr>
          <w:rStyle w:val="43"/>
          <w:rFonts w:hint="eastAsia" w:ascii="楷体_GB2312" w:hAnsi="楷体_GB2312" w:eastAsia="楷体_GB2312" w:cs="楷体_GB2312"/>
          <w:b w:val="0"/>
          <w:bCs w:val="0"/>
          <w:color w:val="000000" w:themeColor="text1"/>
          <w:sz w:val="32"/>
          <w:szCs w:val="32"/>
          <w:lang w:val="en-US"/>
          <w14:textFill>
            <w14:solidFill>
              <w14:schemeClr w14:val="tx1"/>
            </w14:solidFill>
          </w14:textFill>
        </w:rPr>
        <w:t>58.79</w:t>
      </w:r>
      <w:r>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t>分）</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Style w:val="43"/>
          <w:rFonts w:hint="eastAsia" w:ascii="仿宋_GB2312" w:eastAsia="仿宋_GB2312" w:cs="Times New Roman"/>
          <w:b w:val="0"/>
          <w:bCs w:val="0"/>
          <w:color w:val="000000" w:themeColor="text1"/>
          <w:sz w:val="32"/>
          <w:szCs w:val="32"/>
          <w:lang w:val="zh-CN"/>
          <w14:textFill>
            <w14:solidFill>
              <w14:schemeClr w14:val="tx1"/>
            </w14:solidFill>
          </w14:textFill>
        </w:rPr>
      </w:pPr>
      <w:r>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t>根据</w:t>
      </w:r>
      <w:r>
        <w:rPr>
          <w:rStyle w:val="43"/>
          <w:rFonts w:hint="eastAsia" w:ascii="仿宋_GB2312" w:hAnsi="Times New Roman" w:eastAsia="仿宋_GB2312" w:cs="Times New Roman"/>
          <w:b w:val="0"/>
          <w:bCs w:val="0"/>
          <w:color w:val="000000" w:themeColor="text1"/>
          <w:sz w:val="32"/>
          <w:szCs w:val="32"/>
          <w:lang w:val="en-US"/>
          <w14:textFill>
            <w14:solidFill>
              <w14:schemeClr w14:val="tx1"/>
            </w14:solidFill>
          </w14:textFill>
        </w:rPr>
        <w:t>部门</w:t>
      </w:r>
      <w:r>
        <w:rPr>
          <w:rStyle w:val="43"/>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整体</w:t>
      </w:r>
      <w:r>
        <w:rPr>
          <w:rStyle w:val="43"/>
          <w:rFonts w:hint="eastAsia" w:ascii="仿宋_GB2312" w:hAnsi="Times New Roman" w:eastAsia="仿宋_GB2312" w:cs="Times New Roman"/>
          <w:b w:val="0"/>
          <w:bCs w:val="0"/>
          <w:color w:val="000000" w:themeColor="text1"/>
          <w:sz w:val="32"/>
          <w:szCs w:val="32"/>
          <w:lang w:val="en-US"/>
          <w14:textFill>
            <w14:solidFill>
              <w14:schemeClr w14:val="tx1"/>
            </w14:solidFill>
          </w14:textFill>
        </w:rPr>
        <w:t>绩效评价</w:t>
      </w:r>
      <w:r>
        <w:rPr>
          <w:rStyle w:val="43"/>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评分表</w:t>
      </w:r>
      <w:r>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t>“总体绩效”中对履职效能、预算管理、财务管理、资产管理、采购管理等情况进行全面自评</w:t>
      </w:r>
      <w:r>
        <w:rPr>
          <w:rStyle w:val="43"/>
          <w:rFonts w:hint="eastAsia" w:ascii="仿宋_GB2312" w:eastAsia="仿宋_GB2312" w:cs="Times New Roman"/>
          <w:b w:val="0"/>
          <w:bCs w:val="0"/>
          <w:color w:val="000000" w:themeColor="text1"/>
          <w:sz w:val="32"/>
          <w:szCs w:val="32"/>
          <w:lang w:val="zh-CN"/>
          <w14:textFill>
            <w14:solidFill>
              <w14:schemeClr w14:val="tx1"/>
            </w14:solidFill>
          </w14:textFill>
        </w:rPr>
        <w:t>。</w:t>
      </w:r>
    </w:p>
    <w:p>
      <w:pPr>
        <w:keepNext w:val="0"/>
        <w:keepLines w:val="0"/>
        <w:pageBreakBefore w:val="0"/>
        <w:widowControl w:val="0"/>
        <w:suppressAutoHyphens/>
        <w:kinsoku/>
        <w:wordWrap/>
        <w:overflowPunct/>
        <w:topLinePunct w:val="0"/>
        <w:autoSpaceDE/>
        <w:autoSpaceDN/>
        <w:bidi w:val="0"/>
        <w:adjustRightInd w:val="0"/>
        <w:snapToGrid w:val="0"/>
        <w:spacing w:line="546" w:lineRule="exact"/>
        <w:ind w:left="0" w:leftChars="0" w:firstLine="640" w:firstLineChars="200"/>
        <w:jc w:val="both"/>
        <w:textAlignment w:val="auto"/>
        <w:outlineLvl w:val="9"/>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pPr>
      <w:r>
        <w:rPr>
          <w:rStyle w:val="43"/>
          <w:rFonts w:hint="default" w:ascii="仿宋_GB2312" w:eastAsia="仿宋_GB2312" w:cs="Times New Roman"/>
          <w:b w:val="0"/>
          <w:bCs w:val="0"/>
          <w:color w:val="000000" w:themeColor="text1"/>
          <w:sz w:val="32"/>
          <w:szCs w:val="32"/>
          <w:lang w:val="en-US"/>
          <w14:textFill>
            <w14:solidFill>
              <w14:schemeClr w14:val="tx1"/>
            </w14:solidFill>
          </w14:textFill>
        </w:rPr>
        <w:t xml:space="preserve">1. </w:t>
      </w:r>
      <w:r>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t>履职效能（</w:t>
      </w:r>
      <w:r>
        <w:rPr>
          <w:rStyle w:val="43"/>
          <w:rFonts w:hint="eastAsia" w:ascii="仿宋_GB2312" w:hAnsi="Times New Roman" w:eastAsia="仿宋_GB2312" w:cs="Times New Roman"/>
          <w:b w:val="0"/>
          <w:bCs w:val="0"/>
          <w:color w:val="000000" w:themeColor="text1"/>
          <w:sz w:val="32"/>
          <w:szCs w:val="32"/>
          <w:lang w:val="en-US"/>
          <w14:textFill>
            <w14:solidFill>
              <w14:schemeClr w14:val="tx1"/>
            </w14:solidFill>
          </w14:textFill>
        </w:rPr>
        <w:t>15分</w:t>
      </w:r>
      <w:r>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t>）</w:t>
      </w:r>
    </w:p>
    <w:p>
      <w:pPr>
        <w:keepNext w:val="0"/>
        <w:keepLines w:val="0"/>
        <w:pageBreakBefore w:val="0"/>
        <w:widowControl w:val="0"/>
        <w:numPr>
          <w:ilvl w:val="0"/>
          <w:numId w:val="7"/>
        </w:numPr>
        <w:suppressAutoHyphens/>
        <w:kinsoku/>
        <w:wordWrap/>
        <w:overflowPunct/>
        <w:topLinePunct w:val="0"/>
        <w:autoSpaceDE/>
        <w:autoSpaceDN/>
        <w:bidi w:val="0"/>
        <w:adjustRightInd w:val="0"/>
        <w:snapToGrid w:val="0"/>
        <w:spacing w:line="546" w:lineRule="exact"/>
        <w:ind w:left="0" w:leftChars="0" w:firstLine="640" w:firstLineChars="200"/>
        <w:jc w:val="both"/>
        <w:textAlignment w:val="auto"/>
        <w:outlineLvl w:val="9"/>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pPr>
      <w:r>
        <w:rPr>
          <w:rStyle w:val="43"/>
          <w:rFonts w:hint="eastAsia" w:ascii="仿宋_GB2312" w:eastAsia="仿宋_GB2312" w:cs="Times New Roman"/>
          <w:b w:val="0"/>
          <w:bCs w:val="0"/>
          <w:color w:val="000000" w:themeColor="text1"/>
          <w:sz w:val="32"/>
          <w:szCs w:val="32"/>
          <w:lang w:val="en-US"/>
          <w14:textFill>
            <w14:solidFill>
              <w14:schemeClr w14:val="tx1"/>
            </w14:solidFill>
          </w14:textFill>
        </w:rPr>
        <w:t>基金监管工作</w:t>
      </w:r>
      <w:r>
        <w:rPr>
          <w:rFonts w:hint="eastAsia" w:ascii="CESI楷体-GB2312" w:hAnsi="CESI楷体-GB2312" w:eastAsia="CESI楷体-GB2312" w:cs="CESI楷体-GB2312"/>
          <w:b w:val="0"/>
          <w:bCs w:val="0"/>
          <w:color w:val="000000" w:themeColor="text1"/>
          <w:spacing w:val="6"/>
          <w:sz w:val="32"/>
          <w:szCs w:val="32"/>
          <w:lang w:bidi="ar-SA"/>
          <w14:textFill>
            <w14:solidFill>
              <w14:schemeClr w14:val="tx1"/>
            </w14:solidFill>
          </w14:textFill>
        </w:rPr>
        <w:t>严密有效</w:t>
      </w:r>
      <w:r>
        <w:rPr>
          <w:rStyle w:val="43"/>
          <w:rFonts w:hint="eastAsia" w:ascii="仿宋_GB2312" w:eastAsia="仿宋_GB2312" w:cs="Times New Roman"/>
          <w:b w:val="0"/>
          <w:bCs w:val="0"/>
          <w:color w:val="000000" w:themeColor="text1"/>
          <w:sz w:val="32"/>
          <w:szCs w:val="32"/>
          <w:lang w:val="en-US"/>
          <w14:textFill>
            <w14:solidFill>
              <w14:schemeClr w14:val="tx1"/>
            </w14:solidFill>
          </w14:textFill>
        </w:rPr>
        <w:t>履职效能。2024年</w:t>
      </w:r>
      <w:r>
        <w:rPr>
          <w:rFonts w:hint="eastAsia" w:ascii="仿宋_GB2312" w:eastAsia="仿宋_GB2312" w:cs="仿宋_GB2312"/>
          <w:b w:val="0"/>
          <w:bCs w:val="0"/>
          <w:color w:val="000000" w:themeColor="text1"/>
          <w:sz w:val="32"/>
          <w:szCs w:val="32"/>
          <w:lang w:val="en-US" w:eastAsia="zh-CN" w:bidi="ar-SA"/>
          <w14:textFill>
            <w14:solidFill>
              <w14:schemeClr w14:val="tx1"/>
            </w14:solidFill>
          </w14:textFill>
        </w:rPr>
        <w:t>坚持自查自纠在先、日常提醒为重、靶向监管聚焦的模式，宽严相济引导医疗机构自查自纠，运用智能审核、智能监控、异常数据核查提醒纠偏，结合大数据筛查线索、国家下发疑点开展现场检查，全年检查医药机构1514家次，追回资金7804万元，保障了基金安全，高效完成基金监管工作履职效能，该项得5分。</w:t>
      </w:r>
    </w:p>
    <w:p>
      <w:pPr>
        <w:keepNext w:val="0"/>
        <w:keepLines w:val="0"/>
        <w:pageBreakBefore w:val="0"/>
        <w:widowControl w:val="0"/>
        <w:numPr>
          <w:ilvl w:val="0"/>
          <w:numId w:val="7"/>
        </w:numPr>
        <w:suppressAutoHyphens/>
        <w:kinsoku/>
        <w:wordWrap/>
        <w:overflowPunct/>
        <w:topLinePunct w:val="0"/>
        <w:autoSpaceDE/>
        <w:autoSpaceDN/>
        <w:bidi w:val="0"/>
        <w:adjustRightInd w:val="0"/>
        <w:snapToGrid w:val="0"/>
        <w:spacing w:line="546" w:lineRule="exact"/>
        <w:ind w:left="0" w:leftChars="0" w:firstLine="640" w:firstLineChars="200"/>
        <w:jc w:val="both"/>
        <w:textAlignment w:val="auto"/>
        <w:outlineLvl w:val="9"/>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pPr>
      <w:r>
        <w:rPr>
          <w:rStyle w:val="43"/>
          <w:rFonts w:hint="eastAsia" w:ascii="仿宋_GB2312" w:eastAsia="仿宋_GB2312" w:cs="Times New Roman"/>
          <w:b w:val="0"/>
          <w:bCs w:val="0"/>
          <w:color w:val="000000" w:themeColor="text1"/>
          <w:sz w:val="32"/>
          <w:szCs w:val="32"/>
          <w:lang w:val="zh-CN"/>
          <w14:textFill>
            <w14:solidFill>
              <w14:schemeClr w14:val="tx1"/>
            </w14:solidFill>
          </w14:textFill>
        </w:rPr>
        <w:t>经办服务工作便捷高效履职效能。</w:t>
      </w:r>
      <w:r>
        <w:rPr>
          <w:rFonts w:hint="eastAsia" w:ascii="仿宋_GB2312" w:eastAsia="仿宋_GB2312" w:cs="仿宋"/>
          <w:b w:val="0"/>
          <w:bCs w:val="0"/>
          <w:color w:val="000000" w:themeColor="text1"/>
          <w:spacing w:val="6"/>
          <w:sz w:val="32"/>
          <w:szCs w:val="32"/>
          <w:lang w:bidi="ar-SA"/>
          <w14:textFill>
            <w14:solidFill>
              <w14:schemeClr w14:val="tx1"/>
            </w14:solidFill>
          </w14:textFill>
        </w:rPr>
        <w:t>坚持应定尽定，持续扩面定点医药机构</w:t>
      </w:r>
      <w:r>
        <w:rPr>
          <w:rFonts w:hint="eastAsia" w:ascii="仿宋_GB2312" w:eastAsia="仿宋_GB2312" w:cs="仿宋"/>
          <w:b w:val="0"/>
          <w:bCs w:val="0"/>
          <w:color w:val="000000" w:themeColor="text1"/>
          <w:spacing w:val="6"/>
          <w:sz w:val="32"/>
          <w:szCs w:val="32"/>
          <w:u w:val="none"/>
          <w:lang w:bidi="ar-SA"/>
          <w14:textFill>
            <w14:solidFill>
              <w14:schemeClr w14:val="tx1"/>
            </w14:solidFill>
          </w14:textFill>
        </w:rPr>
        <w:t>达15</w:t>
      </w:r>
      <w:r>
        <w:rPr>
          <w:rFonts w:hint="eastAsia" w:ascii="仿宋_GB2312" w:eastAsia="仿宋_GB2312" w:cs="仿宋"/>
          <w:b w:val="0"/>
          <w:bCs w:val="0"/>
          <w:color w:val="000000" w:themeColor="text1"/>
          <w:spacing w:val="6"/>
          <w:sz w:val="32"/>
          <w:szCs w:val="32"/>
          <w:u w:val="none"/>
          <w:lang w:val="en-US" w:eastAsia="zh-CN" w:bidi="ar-SA"/>
          <w14:textFill>
            <w14:solidFill>
              <w14:schemeClr w14:val="tx1"/>
            </w14:solidFill>
          </w14:textFill>
        </w:rPr>
        <w:t>76</w:t>
      </w:r>
      <w:r>
        <w:rPr>
          <w:rFonts w:hint="eastAsia" w:ascii="仿宋_GB2312" w:eastAsia="仿宋_GB2312" w:cs="仿宋"/>
          <w:b w:val="0"/>
          <w:bCs w:val="0"/>
          <w:color w:val="000000" w:themeColor="text1"/>
          <w:spacing w:val="6"/>
          <w:sz w:val="32"/>
          <w:szCs w:val="32"/>
          <w:u w:val="none"/>
          <w:lang w:bidi="ar-SA"/>
          <w14:textFill>
            <w14:solidFill>
              <w14:schemeClr w14:val="tx1"/>
            </w14:solidFill>
          </w14:textFill>
        </w:rPr>
        <w:t>家。</w:t>
      </w:r>
      <w:r>
        <w:rPr>
          <w:rFonts w:hint="eastAsia" w:ascii="仿宋_GB2312" w:eastAsia="仿宋_GB2312" w:cs="仿宋"/>
          <w:b w:val="0"/>
          <w:bCs w:val="0"/>
          <w:color w:val="000000" w:themeColor="text1"/>
          <w:spacing w:val="6"/>
          <w:sz w:val="32"/>
          <w:szCs w:val="32"/>
          <w:lang w:bidi="ar-SA"/>
          <w14:textFill>
            <w14:solidFill>
              <w14:schemeClr w14:val="tx1"/>
            </w14:solidFill>
          </w14:textFill>
        </w:rPr>
        <w:t>“多级多点多渠道多场景”医保服务综合体</w:t>
      </w:r>
      <w:r>
        <w:rPr>
          <w:rFonts w:hint="eastAsia" w:ascii="仿宋_GB2312" w:eastAsia="仿宋_GB2312" w:cs="仿宋"/>
          <w:b w:val="0"/>
          <w:bCs w:val="0"/>
          <w:color w:val="000000" w:themeColor="text1"/>
          <w:spacing w:val="6"/>
          <w:sz w:val="32"/>
          <w:szCs w:val="32"/>
          <w:lang w:val="en-US" w:eastAsia="zh-CN" w:bidi="ar-SA"/>
          <w14:textFill>
            <w14:solidFill>
              <w14:schemeClr w14:val="tx1"/>
            </w14:solidFill>
          </w14:textFill>
        </w:rPr>
        <w:t>建设</w:t>
      </w:r>
      <w:r>
        <w:rPr>
          <w:rFonts w:ascii="仿宋_GB2312" w:eastAsia="仿宋_GB2312" w:cs="仿宋"/>
          <w:b w:val="0"/>
          <w:bCs w:val="0"/>
          <w:color w:val="000000" w:themeColor="text1"/>
          <w:spacing w:val="6"/>
          <w:sz w:val="32"/>
          <w:szCs w:val="32"/>
          <w:lang w:bidi="ar-SA"/>
          <w14:textFill>
            <w14:solidFill>
              <w14:schemeClr w14:val="tx1"/>
            </w14:solidFill>
          </w14:textFill>
        </w:rPr>
        <w:t>取得实效</w:t>
      </w:r>
      <w:r>
        <w:rPr>
          <w:rFonts w:hint="eastAsia" w:ascii="仿宋_GB2312" w:eastAsia="仿宋_GB2312" w:cs="仿宋"/>
          <w:b w:val="0"/>
          <w:bCs w:val="0"/>
          <w:color w:val="000000" w:themeColor="text1"/>
          <w:spacing w:val="6"/>
          <w:sz w:val="32"/>
          <w:szCs w:val="32"/>
          <w:lang w:bidi="ar-SA"/>
          <w14:textFill>
            <w14:solidFill>
              <w14:schemeClr w14:val="tx1"/>
            </w14:solidFill>
          </w14:textFill>
        </w:rPr>
        <w:t>，建成医保服务站点</w:t>
      </w:r>
      <w:r>
        <w:rPr>
          <w:rFonts w:hint="eastAsia" w:ascii="仿宋_GB2312" w:eastAsia="仿宋_GB2312" w:cs="仿宋"/>
          <w:b w:val="0"/>
          <w:bCs w:val="0"/>
          <w:color w:val="000000" w:themeColor="text1"/>
          <w:spacing w:val="6"/>
          <w:sz w:val="32"/>
          <w:szCs w:val="32"/>
          <w:lang w:val="en-US" w:eastAsia="zh-CN" w:bidi="ar-SA"/>
          <w14:textFill>
            <w14:solidFill>
              <w14:schemeClr w14:val="tx1"/>
            </w14:solidFill>
          </w14:textFill>
        </w:rPr>
        <w:t>2040</w:t>
      </w:r>
      <w:r>
        <w:rPr>
          <w:rFonts w:hint="eastAsia" w:ascii="仿宋_GB2312" w:eastAsia="仿宋_GB2312" w:cs="仿宋"/>
          <w:b w:val="0"/>
          <w:bCs w:val="0"/>
          <w:color w:val="000000" w:themeColor="text1"/>
          <w:spacing w:val="6"/>
          <w:sz w:val="32"/>
          <w:szCs w:val="32"/>
          <w:lang w:bidi="ar-SA"/>
          <w14:textFill>
            <w14:solidFill>
              <w14:schemeClr w14:val="tx1"/>
            </w14:solidFill>
          </w14:textFill>
        </w:rPr>
        <w:t>个，</w:t>
      </w:r>
      <w:r>
        <w:rPr>
          <w:rFonts w:ascii="仿宋_GB2312" w:eastAsia="仿宋_GB2312" w:cs="仿宋"/>
          <w:b w:val="0"/>
          <w:bCs w:val="0"/>
          <w:color w:val="000000" w:themeColor="text1"/>
          <w:spacing w:val="6"/>
          <w:sz w:val="32"/>
          <w:szCs w:val="32"/>
          <w:lang w:bidi="ar-SA"/>
          <w14:textFill>
            <w14:solidFill>
              <w14:schemeClr w14:val="tx1"/>
            </w14:solidFill>
          </w14:textFill>
        </w:rPr>
        <w:t>其中</w:t>
      </w:r>
      <w:r>
        <w:rPr>
          <w:rFonts w:hint="eastAsia" w:ascii="仿宋_GB2312" w:eastAsia="仿宋_GB2312" w:cs="仿宋"/>
          <w:b w:val="0"/>
          <w:bCs w:val="0"/>
          <w:color w:val="000000" w:themeColor="text1"/>
          <w:spacing w:val="6"/>
          <w:sz w:val="32"/>
          <w:szCs w:val="32"/>
          <w:lang w:bidi="ar-SA"/>
          <w14:textFill>
            <w14:solidFill>
              <w14:schemeClr w14:val="tx1"/>
            </w14:solidFill>
          </w14:textFill>
        </w:rPr>
        <w:t>与大病保险承办机构、合作银行共建医保便民服务点167个</w:t>
      </w:r>
      <w:r>
        <w:rPr>
          <w:rFonts w:ascii="仿宋_GB2312" w:eastAsia="仿宋_GB2312" w:cs="仿宋"/>
          <w:b w:val="0"/>
          <w:bCs w:val="0"/>
          <w:color w:val="000000" w:themeColor="text1"/>
          <w:spacing w:val="6"/>
          <w:sz w:val="32"/>
          <w:szCs w:val="32"/>
          <w:lang w:bidi="ar-SA"/>
          <w14:textFill>
            <w14:solidFill>
              <w14:schemeClr w14:val="tx1"/>
            </w14:solidFill>
          </w14:textFill>
        </w:rPr>
        <w:t>；</w:t>
      </w:r>
      <w:r>
        <w:rPr>
          <w:rFonts w:hint="eastAsia" w:ascii="仿宋_GB2312" w:eastAsia="仿宋_GB2312" w:cs="仿宋"/>
          <w:b w:val="0"/>
          <w:bCs w:val="0"/>
          <w:color w:val="000000" w:themeColor="text1"/>
          <w:spacing w:val="6"/>
          <w:sz w:val="32"/>
          <w:szCs w:val="32"/>
          <w14:textFill>
            <w14:solidFill>
              <w14:schemeClr w14:val="tx1"/>
            </w14:solidFill>
          </w14:textFill>
        </w:rPr>
        <w:t>1157家村卫生室实现医保结算</w:t>
      </w:r>
      <w:r>
        <w:rPr>
          <w:rFonts w:ascii="仿宋_GB2312" w:eastAsia="仿宋_GB2312" w:cs="仿宋"/>
          <w:b w:val="0"/>
          <w:bCs w:val="0"/>
          <w:color w:val="000000" w:themeColor="text1"/>
          <w:spacing w:val="6"/>
          <w:sz w:val="32"/>
          <w:szCs w:val="32"/>
          <w14:textFill>
            <w14:solidFill>
              <w14:schemeClr w14:val="tx1"/>
            </w14:solidFill>
          </w14:textFill>
        </w:rPr>
        <w:t>，</w:t>
      </w:r>
      <w:r>
        <w:rPr>
          <w:rFonts w:hint="eastAsia" w:ascii="仿宋_GB2312" w:eastAsia="仿宋_GB2312" w:cs="仿宋"/>
          <w:b w:val="0"/>
          <w:bCs w:val="0"/>
          <w:color w:val="000000" w:themeColor="text1"/>
          <w:spacing w:val="6"/>
          <w:sz w:val="32"/>
          <w:szCs w:val="32"/>
          <w14:textFill>
            <w14:solidFill>
              <w14:schemeClr w14:val="tx1"/>
            </w14:solidFill>
          </w14:textFill>
        </w:rPr>
        <w:t>34项医保服务事项中实现16项及时办结、</w:t>
      </w:r>
      <w:r>
        <w:rPr>
          <w:rFonts w:hint="eastAsia" w:ascii="仿宋_GB2312" w:eastAsia="仿宋_GB2312" w:cs="仿宋"/>
          <w:b w:val="0"/>
          <w:bCs w:val="0"/>
          <w:color w:val="000000" w:themeColor="text1"/>
          <w:spacing w:val="6"/>
          <w:sz w:val="32"/>
          <w:szCs w:val="32"/>
          <w:lang w:val="en-US" w:eastAsia="zh-CN"/>
          <w14:textFill>
            <w14:solidFill>
              <w14:schemeClr w14:val="tx1"/>
            </w14:solidFill>
          </w14:textFill>
        </w:rPr>
        <w:t>22</w:t>
      </w:r>
      <w:r>
        <w:rPr>
          <w:rFonts w:hint="eastAsia" w:ascii="仿宋_GB2312" w:eastAsia="仿宋_GB2312" w:cs="仿宋"/>
          <w:b w:val="0"/>
          <w:bCs w:val="0"/>
          <w:color w:val="000000" w:themeColor="text1"/>
          <w:spacing w:val="6"/>
          <w:sz w:val="32"/>
          <w:szCs w:val="32"/>
          <w14:textFill>
            <w14:solidFill>
              <w14:schemeClr w14:val="tx1"/>
            </w14:solidFill>
          </w14:textFill>
        </w:rPr>
        <w:t>项全市通办、10项跨域通办</w:t>
      </w:r>
      <w:r>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t>，</w:t>
      </w:r>
      <w:r>
        <w:rPr>
          <w:rFonts w:hint="eastAsia" w:ascii="仿宋_GB2312" w:eastAsia="仿宋_GB2312" w:cs="仿宋_GB2312"/>
          <w:b w:val="0"/>
          <w:bCs w:val="0"/>
          <w:color w:val="000000" w:themeColor="text1"/>
          <w:spacing w:val="-6"/>
          <w:kern w:val="2"/>
          <w:sz w:val="32"/>
          <w:szCs w:val="32"/>
          <w:lang w:val="en-US" w:eastAsia="zh-CN" w:bidi="ar-SA"/>
          <w14:textFill>
            <w14:solidFill>
              <w14:schemeClr w14:val="tx1"/>
            </w14:solidFill>
          </w14:textFill>
        </w:rPr>
        <w:t>提高了医保经办服务能力，实现了医保经办效能，</w:t>
      </w:r>
      <w:r>
        <w:rPr>
          <w:rStyle w:val="43"/>
          <w:rFonts w:hint="eastAsia" w:ascii="仿宋_GB2312" w:eastAsia="仿宋_GB2312" w:cs="Times New Roman"/>
          <w:b w:val="0"/>
          <w:bCs w:val="0"/>
          <w:color w:val="000000" w:themeColor="text1"/>
          <w:sz w:val="32"/>
          <w:szCs w:val="32"/>
          <w:lang w:val="zh-CN"/>
          <w14:textFill>
            <w14:solidFill>
              <w14:schemeClr w14:val="tx1"/>
            </w14:solidFill>
          </w14:textFill>
        </w:rPr>
        <w:t>该项得</w:t>
      </w:r>
      <w:r>
        <w:rPr>
          <w:rStyle w:val="43"/>
          <w:rFonts w:hint="eastAsia" w:ascii="仿宋_GB2312" w:eastAsia="仿宋_GB2312" w:cs="Times New Roman"/>
          <w:b w:val="0"/>
          <w:bCs w:val="0"/>
          <w:color w:val="000000" w:themeColor="text1"/>
          <w:sz w:val="32"/>
          <w:szCs w:val="32"/>
          <w:lang w:val="en-US"/>
          <w14:textFill>
            <w14:solidFill>
              <w14:schemeClr w14:val="tx1"/>
            </w14:solidFill>
          </w14:textFill>
        </w:rPr>
        <w:t>5分。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46" w:lineRule="exact"/>
        <w:ind w:left="0" w:firstLine="640" w:firstLineChars="200"/>
        <w:textAlignment w:val="auto"/>
        <w:rPr>
          <w:rStyle w:val="43"/>
          <w:rFonts w:hint="eastAsia" w:ascii="仿宋_GB2312" w:hAnsi="Times New Roman" w:eastAsia="仿宋_GB2312" w:cs="Times New Roman"/>
          <w:b w:val="0"/>
          <w:bCs w:val="0"/>
          <w:color w:val="000000" w:themeColor="text1"/>
          <w:sz w:val="32"/>
          <w:szCs w:val="32"/>
          <w:lang w:val="zh-CN"/>
          <w14:textFill>
            <w14:solidFill>
              <w14:schemeClr w14:val="tx1"/>
            </w14:solidFill>
          </w14:textFill>
        </w:rPr>
      </w:pPr>
      <w:r>
        <w:rPr>
          <w:rStyle w:val="43"/>
          <w:rFonts w:hint="eastAsia" w:ascii="仿宋_GB2312" w:eastAsia="仿宋_GB2312" w:cs="Times New Roman"/>
          <w:b w:val="0"/>
          <w:bCs w:val="0"/>
          <w:color w:val="000000" w:themeColor="text1"/>
          <w:sz w:val="32"/>
          <w:szCs w:val="32"/>
          <w:lang w:val="zh-CN"/>
          <w14:textFill>
            <w14:solidFill>
              <w14:schemeClr w14:val="tx1"/>
            </w14:solidFill>
          </w14:textFill>
        </w:rPr>
        <w:t>（</w:t>
      </w:r>
      <w:r>
        <w:rPr>
          <w:rStyle w:val="43"/>
          <w:rFonts w:hint="eastAsia" w:ascii="仿宋_GB2312" w:eastAsia="仿宋_GB2312" w:cs="Times New Roman"/>
          <w:b w:val="0"/>
          <w:bCs w:val="0"/>
          <w:color w:val="000000" w:themeColor="text1"/>
          <w:sz w:val="32"/>
          <w:szCs w:val="32"/>
          <w:lang w:val="en-US"/>
          <w14:textFill>
            <w14:solidFill>
              <w14:schemeClr w14:val="tx1"/>
            </w14:solidFill>
          </w14:textFill>
        </w:rPr>
        <w:t>3</w:t>
      </w:r>
      <w:r>
        <w:rPr>
          <w:rStyle w:val="43"/>
          <w:rFonts w:hint="eastAsia" w:ascii="仿宋_GB2312" w:eastAsia="仿宋_GB2312" w:cs="Times New Roman"/>
          <w:b w:val="0"/>
          <w:bCs w:val="0"/>
          <w:color w:val="000000" w:themeColor="text1"/>
          <w:sz w:val="32"/>
          <w:szCs w:val="32"/>
          <w:lang w:val="zh-CN"/>
          <w14:textFill>
            <w14:solidFill>
              <w14:schemeClr w14:val="tx1"/>
            </w14:solidFill>
          </w14:textFill>
        </w:rPr>
        <w:t>）医保信息化建设纵深推进履职效能。</w:t>
      </w:r>
      <w:r>
        <w:rPr>
          <w:rFonts w:hint="eastAsia" w:ascii="仿宋_GB2312" w:eastAsia="仿宋_GB2312" w:cs="仿宋"/>
          <w:b w:val="0"/>
          <w:bCs w:val="0"/>
          <w:color w:val="000000" w:themeColor="text1"/>
          <w:spacing w:val="6"/>
          <w:sz w:val="32"/>
          <w:szCs w:val="32"/>
          <w:lang w:bidi="ar-SA"/>
          <w14:textFill>
            <w14:solidFill>
              <w14:schemeClr w14:val="tx1"/>
            </w14:solidFill>
          </w14:textFill>
        </w:rPr>
        <w:t>持续拓展医保线上服务渠道，</w:t>
      </w:r>
      <w:r>
        <w:rPr>
          <w:rFonts w:ascii="仿宋_GB2312" w:eastAsia="仿宋_GB2312" w:cs="仿宋"/>
          <w:b w:val="0"/>
          <w:bCs w:val="0"/>
          <w:color w:val="000000" w:themeColor="text1"/>
          <w:spacing w:val="6"/>
          <w:sz w:val="32"/>
          <w:szCs w:val="32"/>
          <w:lang w:bidi="ar-SA"/>
          <w14:textFill>
            <w14:solidFill>
              <w14:schemeClr w14:val="tx1"/>
            </w14:solidFill>
          </w14:textFill>
        </w:rPr>
        <w:t>全覆盖</w:t>
      </w:r>
      <w:r>
        <w:rPr>
          <w:rFonts w:hint="eastAsia" w:ascii="仿宋_GB2312" w:eastAsia="仿宋_GB2312" w:cs="仿宋"/>
          <w:b w:val="0"/>
          <w:bCs w:val="0"/>
          <w:color w:val="000000" w:themeColor="text1"/>
          <w:spacing w:val="6"/>
          <w:sz w:val="32"/>
          <w:szCs w:val="32"/>
          <w:lang w:bidi="ar-SA"/>
          <w14:textFill>
            <w14:solidFill>
              <w14:schemeClr w14:val="tx1"/>
            </w14:solidFill>
          </w14:textFill>
        </w:rPr>
        <w:t>开通异地就医直接结算</w:t>
      </w:r>
      <w:r>
        <w:rPr>
          <w:rFonts w:ascii="仿宋_GB2312" w:eastAsia="仿宋_GB2312" w:cs="仿宋"/>
          <w:b w:val="0"/>
          <w:bCs w:val="0"/>
          <w:color w:val="000000" w:themeColor="text1"/>
          <w:spacing w:val="6"/>
          <w:sz w:val="32"/>
          <w:szCs w:val="32"/>
          <w:lang w:bidi="ar-SA"/>
          <w14:textFill>
            <w14:solidFill>
              <w14:schemeClr w14:val="tx1"/>
            </w14:solidFill>
          </w14:textFill>
        </w:rPr>
        <w:t>，</w:t>
      </w:r>
      <w:r>
        <w:rPr>
          <w:rFonts w:hint="eastAsia" w:ascii="仿宋_GB2312" w:eastAsia="仿宋_GB2312" w:cs="仿宋"/>
          <w:b w:val="0"/>
          <w:bCs w:val="0"/>
          <w:color w:val="000000" w:themeColor="text1"/>
          <w:spacing w:val="6"/>
          <w:sz w:val="32"/>
          <w:szCs w:val="32"/>
          <w:lang w:bidi="ar-SA"/>
          <w14:textFill>
            <w14:solidFill>
              <w14:schemeClr w14:val="tx1"/>
            </w14:solidFill>
          </w14:textFill>
        </w:rPr>
        <w:t>直接结算率达95%以上</w:t>
      </w:r>
      <w:r>
        <w:rPr>
          <w:rFonts w:hint="eastAsia" w:ascii="仿宋_GB2312" w:eastAsia="仿宋_GB2312" w:cs="仿宋"/>
          <w:b w:val="0"/>
          <w:bCs w:val="0"/>
          <w:color w:val="000000" w:themeColor="text1"/>
          <w:spacing w:val="6"/>
          <w:sz w:val="32"/>
          <w:szCs w:val="32"/>
          <w:u w:val="none"/>
          <w:lang w:bidi="ar-SA"/>
          <w14:textFill>
            <w14:solidFill>
              <w14:schemeClr w14:val="tx1"/>
            </w14:solidFill>
          </w14:textFill>
        </w:rPr>
        <w:t>；</w:t>
      </w:r>
      <w:r>
        <w:rPr>
          <w:rFonts w:hint="eastAsia" w:ascii="仿宋_GB2312" w:eastAsia="仿宋_GB2312" w:cs="仿宋"/>
          <w:b w:val="0"/>
          <w:bCs w:val="0"/>
          <w:color w:val="000000" w:themeColor="text1"/>
          <w:spacing w:val="6"/>
          <w:sz w:val="32"/>
          <w:szCs w:val="32"/>
          <w14:textFill>
            <w14:solidFill>
              <w14:schemeClr w14:val="tx1"/>
            </w14:solidFill>
          </w14:textFill>
        </w:rPr>
        <w:t>深化医保电子凭证应用，医保码激活率达96%以上，结算率保持在75%以上，长期保持全省前列</w:t>
      </w:r>
      <w:r>
        <w:rPr>
          <w:rFonts w:hint="eastAsia" w:ascii="仿宋_GB2312" w:eastAsia="仿宋_GB2312" w:cs="仿宋"/>
          <w:b w:val="0"/>
          <w:bCs w:val="0"/>
          <w:color w:val="000000" w:themeColor="text1"/>
          <w:spacing w:val="6"/>
          <w:sz w:val="32"/>
          <w:szCs w:val="32"/>
          <w:lang w:eastAsia="zh-CN"/>
          <w14:textFill>
            <w14:solidFill>
              <w14:schemeClr w14:val="tx1"/>
            </w14:solidFill>
          </w14:textFill>
        </w:rPr>
        <w:t>，我市</w:t>
      </w:r>
      <w:r>
        <w:rPr>
          <w:rFonts w:hint="eastAsia" w:ascii="仿宋_GB2312" w:eastAsia="仿宋_GB2312" w:cs="仿宋"/>
          <w:b w:val="0"/>
          <w:bCs w:val="0"/>
          <w:color w:val="000000" w:themeColor="text1"/>
          <w:spacing w:val="6"/>
          <w:sz w:val="32"/>
          <w:szCs w:val="32"/>
          <w14:textFill>
            <w14:solidFill>
              <w14:schemeClr w14:val="tx1"/>
            </w14:solidFill>
          </w14:textFill>
        </w:rPr>
        <w:t>医保码推广经验</w:t>
      </w:r>
      <w:r>
        <w:rPr>
          <w:rFonts w:hint="eastAsia" w:ascii="仿宋_GB2312" w:eastAsia="仿宋_GB2312" w:cs="仿宋"/>
          <w:b w:val="0"/>
          <w:bCs w:val="0"/>
          <w:color w:val="000000" w:themeColor="text1"/>
          <w:spacing w:val="6"/>
          <w:sz w:val="32"/>
          <w:szCs w:val="32"/>
          <w:lang w:eastAsia="zh-CN"/>
          <w14:textFill>
            <w14:solidFill>
              <w14:schemeClr w14:val="tx1"/>
            </w14:solidFill>
          </w14:textFill>
        </w:rPr>
        <w:t>在</w:t>
      </w:r>
      <w:r>
        <w:rPr>
          <w:rFonts w:hint="eastAsia" w:ascii="仿宋_GB2312" w:eastAsia="仿宋_GB2312" w:cs="仿宋"/>
          <w:b w:val="0"/>
          <w:bCs w:val="0"/>
          <w:color w:val="000000" w:themeColor="text1"/>
          <w:spacing w:val="6"/>
          <w:sz w:val="32"/>
          <w:szCs w:val="32"/>
          <w14:textFill>
            <w14:solidFill>
              <w14:schemeClr w14:val="tx1"/>
            </w14:solidFill>
          </w14:textFill>
        </w:rPr>
        <w:t>中国医疗保险杂志</w:t>
      </w:r>
      <w:r>
        <w:rPr>
          <w:rFonts w:hint="eastAsia" w:ascii="仿宋_GB2312" w:eastAsia="仿宋_GB2312" w:cs="仿宋"/>
          <w:b w:val="0"/>
          <w:bCs w:val="0"/>
          <w:color w:val="000000" w:themeColor="text1"/>
          <w:spacing w:val="6"/>
          <w:sz w:val="32"/>
          <w:szCs w:val="32"/>
          <w:lang w:eastAsia="zh-CN"/>
          <w14:textFill>
            <w14:solidFill>
              <w14:schemeClr w14:val="tx1"/>
            </w14:solidFill>
          </w14:textFill>
        </w:rPr>
        <w:t>刊登</w:t>
      </w:r>
      <w:r>
        <w:rPr>
          <w:rFonts w:ascii="仿宋_GB2312" w:eastAsia="仿宋_GB2312" w:cs="仿宋"/>
          <w:b w:val="0"/>
          <w:bCs w:val="0"/>
          <w:color w:val="000000" w:themeColor="text1"/>
          <w:spacing w:val="6"/>
          <w:sz w:val="32"/>
          <w:szCs w:val="32"/>
          <w14:textFill>
            <w14:solidFill>
              <w14:schemeClr w14:val="tx1"/>
            </w14:solidFill>
          </w14:textFill>
        </w:rPr>
        <w:t>；</w:t>
      </w:r>
      <w:r>
        <w:rPr>
          <w:rFonts w:hint="eastAsia" w:ascii="仿宋_GB2312" w:eastAsia="仿宋_GB2312" w:cs="仿宋"/>
          <w:b w:val="0"/>
          <w:bCs w:val="0"/>
          <w:color w:val="000000" w:themeColor="text1"/>
          <w:spacing w:val="6"/>
          <w:sz w:val="32"/>
          <w:szCs w:val="32"/>
          <w14:textFill>
            <w14:solidFill>
              <w14:schemeClr w14:val="tx1"/>
            </w14:solidFill>
          </w14:textFill>
        </w:rPr>
        <w:t>全市1</w:t>
      </w:r>
      <w:r>
        <w:rPr>
          <w:rFonts w:hint="eastAsia" w:ascii="仿宋_GB2312" w:eastAsia="仿宋_GB2312" w:cs="仿宋"/>
          <w:b w:val="0"/>
          <w:bCs w:val="0"/>
          <w:color w:val="000000" w:themeColor="text1"/>
          <w:spacing w:val="6"/>
          <w:sz w:val="32"/>
          <w:szCs w:val="32"/>
          <w:lang w:val="en-US" w:eastAsia="zh-CN"/>
          <w14:textFill>
            <w14:solidFill>
              <w14:schemeClr w14:val="tx1"/>
            </w14:solidFill>
          </w14:textFill>
        </w:rPr>
        <w:t>1</w:t>
      </w:r>
      <w:r>
        <w:rPr>
          <w:rFonts w:hint="eastAsia" w:ascii="仿宋_GB2312" w:eastAsia="仿宋_GB2312" w:cs="仿宋"/>
          <w:b w:val="0"/>
          <w:bCs w:val="0"/>
          <w:color w:val="000000" w:themeColor="text1"/>
          <w:spacing w:val="6"/>
          <w:sz w:val="32"/>
          <w:szCs w:val="32"/>
          <w14:textFill>
            <w14:solidFill>
              <w14:schemeClr w14:val="tx1"/>
            </w14:solidFill>
          </w14:textFill>
        </w:rPr>
        <w:t>家三级医疗机构上线</w:t>
      </w:r>
      <w:r>
        <w:rPr>
          <w:rFonts w:hint="eastAsia" w:ascii="仿宋_GB2312" w:eastAsia="仿宋_GB2312" w:cs="仿宋"/>
          <w:b w:val="0"/>
          <w:bCs w:val="0"/>
          <w:color w:val="000000" w:themeColor="text1"/>
          <w:spacing w:val="6"/>
          <w:sz w:val="32"/>
          <w:szCs w:val="32"/>
          <w:lang w:eastAsia="zh-CN"/>
          <w14:textFill>
            <w14:solidFill>
              <w14:schemeClr w14:val="tx1"/>
            </w14:solidFill>
          </w14:textFill>
        </w:rPr>
        <w:t>医保</w:t>
      </w:r>
      <w:r>
        <w:rPr>
          <w:rFonts w:hint="eastAsia" w:ascii="仿宋_GB2312" w:eastAsia="仿宋_GB2312" w:cs="仿宋"/>
          <w:b w:val="0"/>
          <w:bCs w:val="0"/>
          <w:color w:val="000000" w:themeColor="text1"/>
          <w:spacing w:val="6"/>
          <w:sz w:val="32"/>
          <w:szCs w:val="32"/>
          <w14:textFill>
            <w14:solidFill>
              <w14:schemeClr w14:val="tx1"/>
            </w14:solidFill>
          </w14:textFill>
        </w:rPr>
        <w:t>移动支付，“一码付”“电子处方”流转等功能上线应用，参保患者就医购药更方便快捷</w:t>
      </w:r>
      <w:r>
        <w:rPr>
          <w:rFonts w:ascii="仿宋_GB2312" w:eastAsia="仿宋_GB2312" w:cs="仿宋"/>
          <w:b w:val="0"/>
          <w:bCs w:val="0"/>
          <w:color w:val="000000" w:themeColor="text1"/>
          <w:spacing w:val="6"/>
          <w:sz w:val="32"/>
          <w:szCs w:val="32"/>
          <w14:textFill>
            <w14:solidFill>
              <w14:schemeClr w14:val="tx1"/>
            </w14:solidFill>
          </w14:textFill>
        </w:rPr>
        <w:t>，</w:t>
      </w:r>
      <w:r>
        <w:rPr>
          <w:rFonts w:hint="eastAsia" w:ascii="仿宋_GB2312" w:eastAsia="仿宋_GB2312" w:cs="仿宋"/>
          <w:b w:val="0"/>
          <w:bCs w:val="0"/>
          <w:color w:val="000000" w:themeColor="text1"/>
          <w:spacing w:val="6"/>
          <w:sz w:val="32"/>
          <w:szCs w:val="32"/>
          <w14:textFill>
            <w14:solidFill>
              <w14:schemeClr w14:val="tx1"/>
            </w14:solidFill>
          </w14:textFill>
        </w:rPr>
        <w:t>医保事项实现“就近能办、多点可办、少跑快办</w:t>
      </w:r>
      <w:r>
        <w:rPr>
          <w:rFonts w:ascii="仿宋_GB2312" w:eastAsia="仿宋_GB2312" w:cs="仿宋"/>
          <w:b w:val="0"/>
          <w:bCs w:val="0"/>
          <w:color w:val="000000" w:themeColor="text1"/>
          <w:spacing w:val="6"/>
          <w:sz w:val="32"/>
          <w:szCs w:val="32"/>
          <w14:textFill>
            <w14:solidFill>
              <w14:schemeClr w14:val="tx1"/>
            </w14:solidFill>
          </w14:textFill>
        </w:rPr>
        <w:t>、一网通办</w:t>
      </w:r>
      <w:r>
        <w:rPr>
          <w:rFonts w:hint="eastAsia" w:ascii="仿宋_GB2312" w:eastAsia="仿宋_GB2312" w:cs="仿宋"/>
          <w:b w:val="0"/>
          <w:bCs w:val="0"/>
          <w:color w:val="000000" w:themeColor="text1"/>
          <w:spacing w:val="6"/>
          <w:sz w:val="32"/>
          <w:szCs w:val="32"/>
          <w14:textFill>
            <w14:solidFill>
              <w14:schemeClr w14:val="tx1"/>
            </w14:solidFill>
          </w14:textFill>
        </w:rPr>
        <w:t>”</w:t>
      </w:r>
      <w:r>
        <w:rPr>
          <w:rFonts w:hint="eastAsia" w:ascii="仿宋_GB2312" w:eastAsia="仿宋_GB2312" w:cs="仿宋"/>
          <w:b w:val="0"/>
          <w:bCs w:val="0"/>
          <w:color w:val="000000" w:themeColor="text1"/>
          <w:spacing w:val="6"/>
          <w:sz w:val="32"/>
          <w:szCs w:val="32"/>
          <w:lang w:eastAsia="zh-CN"/>
          <w14:textFill>
            <w14:solidFill>
              <w14:schemeClr w14:val="tx1"/>
            </w14:solidFill>
          </w14:textFill>
        </w:rPr>
        <w:t>，医保信息化建设纵深推进，实现了医保信息化建设履职效能，</w:t>
      </w:r>
      <w:r>
        <w:rPr>
          <w:rStyle w:val="43"/>
          <w:rFonts w:hint="eastAsia" w:ascii="仿宋_GB2312" w:eastAsia="仿宋_GB2312" w:cs="Times New Roman"/>
          <w:b w:val="0"/>
          <w:bCs w:val="0"/>
          <w:color w:val="000000" w:themeColor="text1"/>
          <w:sz w:val="32"/>
          <w:szCs w:val="32"/>
          <w:lang w:val="zh-CN"/>
          <w14:textFill>
            <w14:solidFill>
              <w14:schemeClr w14:val="tx1"/>
            </w14:solidFill>
          </w14:textFill>
        </w:rPr>
        <w:t>该项得</w:t>
      </w:r>
      <w:r>
        <w:rPr>
          <w:rStyle w:val="43"/>
          <w:rFonts w:hint="eastAsia" w:ascii="仿宋_GB2312" w:eastAsia="仿宋_GB2312" w:cs="Times New Roman"/>
          <w:b w:val="0"/>
          <w:bCs w:val="0"/>
          <w:color w:val="000000" w:themeColor="text1"/>
          <w:sz w:val="32"/>
          <w:szCs w:val="32"/>
          <w:lang w:val="en-US"/>
          <w14:textFill>
            <w14:solidFill>
              <w14:schemeClr w14:val="tx1"/>
            </w14:solidFill>
          </w14:textFill>
        </w:rPr>
        <w:t>5分。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zh-CN"/>
          <w14:textFill>
            <w14:solidFill>
              <w14:schemeClr w14:val="tx1"/>
            </w14:solidFill>
          </w14:textFill>
        </w:rPr>
      </w:pPr>
      <w:r>
        <w:rPr>
          <w:rStyle w:val="43"/>
          <w:rFonts w:hint="eastAsia" w:ascii="仿宋_GB2312" w:eastAsia="仿宋_GB2312"/>
          <w:b w:val="0"/>
          <w:bCs w:val="0"/>
          <w:color w:val="000000" w:themeColor="text1"/>
          <w:sz w:val="32"/>
          <w:szCs w:val="32"/>
          <w:lang w:val="en-US"/>
          <w14:textFill>
            <w14:solidFill>
              <w14:schemeClr w14:val="tx1"/>
            </w14:solidFill>
          </w14:textFill>
        </w:rPr>
        <w:t>2</w:t>
      </w:r>
      <w:r>
        <w:rPr>
          <w:rStyle w:val="43"/>
          <w:rFonts w:hint="default" w:ascii="仿宋_GB2312" w:eastAsia="仿宋_GB2312"/>
          <w:b w:val="0"/>
          <w:bCs w:val="0"/>
          <w:color w:val="000000" w:themeColor="text1"/>
          <w:sz w:val="32"/>
          <w:szCs w:val="32"/>
          <w:lang w:val="en-US"/>
          <w14:textFill>
            <w14:solidFill>
              <w14:schemeClr w14:val="tx1"/>
            </w14:solidFill>
          </w14:textFill>
        </w:rPr>
        <w:t xml:space="preserve">. </w:t>
      </w:r>
      <w:r>
        <w:rPr>
          <w:rStyle w:val="43"/>
          <w:rFonts w:hint="eastAsia" w:ascii="仿宋_GB2312" w:eastAsia="仿宋_GB2312"/>
          <w:b w:val="0"/>
          <w:bCs w:val="0"/>
          <w:color w:val="000000" w:themeColor="text1"/>
          <w:sz w:val="32"/>
          <w:szCs w:val="32"/>
          <w:lang w:val="zh-CN"/>
          <w14:textFill>
            <w14:solidFill>
              <w14:schemeClr w14:val="tx1"/>
            </w14:solidFill>
          </w14:textFill>
        </w:rPr>
        <w:t>预算管理（</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21.93分</w:t>
      </w:r>
      <w:r>
        <w:rPr>
          <w:rStyle w:val="43"/>
          <w:rFonts w:hint="eastAsia" w:ascii="仿宋_GB2312" w:eastAsia="仿宋_GB2312"/>
          <w:b w:val="0"/>
          <w:bCs w:val="0"/>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pPr>
      <w:r>
        <w:rPr>
          <w:rStyle w:val="43"/>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w:t>
      </w:r>
      <w:r>
        <w:rPr>
          <w:rStyle w:val="43"/>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1</w:t>
      </w:r>
      <w:r>
        <w:rPr>
          <w:rStyle w:val="43"/>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w:t>
      </w:r>
      <w:r>
        <w:rPr>
          <w:rStyle w:val="43"/>
          <w:rFonts w:hint="eastAsia" w:ascii="仿宋_GB2312" w:hAnsi="Times New Roman" w:eastAsia="仿宋_GB2312" w:cs="Times New Roman"/>
          <w:b w:val="0"/>
          <w:bCs w:val="0"/>
          <w:color w:val="000000" w:themeColor="text1"/>
          <w:spacing w:val="-6"/>
          <w:sz w:val="32"/>
          <w:szCs w:val="32"/>
          <w:lang w:val="zh-CN" w:eastAsia="zh-CN"/>
          <w14:textFill>
            <w14:solidFill>
              <w14:schemeClr w14:val="tx1"/>
            </w14:solidFill>
          </w14:textFill>
        </w:rPr>
        <w:t>预算编制质量。2024年年初部门预算数为1176.57万元，年初部门预算执行数为1154.63万元，其中年初支付采购预算10万元，执行数为10万元，年初资产配置预算7.2万元，执行数为7.19万元</w:t>
      </w:r>
      <w:r>
        <w:rPr>
          <w:rStyle w:val="43"/>
          <w:rFonts w:hint="eastAsia" w:ascii="仿宋_GB2312" w:eastAsia="仿宋_GB2312" w:cs="Times New Roman"/>
          <w:b w:val="0"/>
          <w:bCs w:val="0"/>
          <w:color w:val="000000" w:themeColor="text1"/>
          <w:spacing w:val="-6"/>
          <w:sz w:val="32"/>
          <w:szCs w:val="32"/>
          <w:lang w:val="zh-CN" w:eastAsia="zh-CN"/>
          <w14:textFill>
            <w14:solidFill>
              <w14:schemeClr w14:val="tx1"/>
            </w14:solidFill>
          </w14:textFill>
        </w:rPr>
        <w:t>，</w:t>
      </w:r>
      <w:r>
        <w:rPr>
          <w:rStyle w:val="43"/>
          <w:rFonts w:hint="eastAsia" w:ascii="仿宋_GB2312" w:hAnsi="Times New Roman" w:eastAsia="仿宋_GB2312" w:cs="Times New Roman"/>
          <w:b w:val="0"/>
          <w:bCs w:val="0"/>
          <w:color w:val="000000" w:themeColor="text1"/>
          <w:spacing w:val="-6"/>
          <w:sz w:val="32"/>
          <w:szCs w:val="32"/>
          <w:lang w:val="zh-CN" w:eastAsia="zh-CN"/>
          <w14:textFill>
            <w14:solidFill>
              <w14:schemeClr w14:val="tx1"/>
            </w14:solidFill>
          </w14:textFill>
        </w:rPr>
        <w:t>根据公式计算该项得分为</w:t>
      </w:r>
      <w:r>
        <w:rPr>
          <w:rStyle w:val="43"/>
          <w:rFonts w:hint="eastAsia" w:ascii="仿宋_GB2312" w:eastAsia="仿宋_GB2312" w:cs="Times New Roman"/>
          <w:b w:val="0"/>
          <w:bCs w:val="0"/>
          <w:color w:val="000000" w:themeColor="text1"/>
          <w:spacing w:val="-6"/>
          <w:sz w:val="32"/>
          <w:szCs w:val="32"/>
          <w:lang w:val="en-US" w:eastAsia="zh-CN"/>
          <w14:textFill>
            <w14:solidFill>
              <w14:schemeClr w14:val="tx1"/>
            </w14:solidFill>
          </w14:textFill>
        </w:rPr>
        <w:t>7.93</w:t>
      </w:r>
      <w:r>
        <w:rPr>
          <w:rStyle w:val="43"/>
          <w:rFonts w:hint="eastAsia" w:ascii="仿宋_GB2312" w:hAnsi="Times New Roman" w:eastAsia="仿宋_GB2312" w:cs="Times New Roman"/>
          <w:b w:val="0"/>
          <w:bCs w:val="0"/>
          <w:color w:val="000000" w:themeColor="text1"/>
          <w:spacing w:val="-6"/>
          <w:sz w:val="32"/>
          <w:szCs w:val="32"/>
          <w:lang w:val="zh-CN" w:eastAsia="zh-CN"/>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（2）支出执行进度。2024年全年部门预算数为2302.34万元，1-6月预算执行数为 654.81万元，支出预警金额为0.26万元，无违规金额。1-10月预算执行数为 1844.05万元，支出预警金额为6.45万元，无违规金额，根据公式计算得5.05分。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3</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）预算年终结余。2024年部门年终注销金额和结转金额共22.05万元，部门整体预算2302.34万元，预算结余率为0.96%，根据公式计算得4.95分。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hAnsi="Times New Roman" w:eastAsia="仿宋_GB2312" w:cs="Times New Roman"/>
          <w:b w:val="0"/>
          <w:bCs w:val="0"/>
          <w:color w:val="000000" w:themeColor="text1"/>
          <w:spacing w:val="-1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4</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w:t>
      </w:r>
      <w:r>
        <w:rPr>
          <w:rStyle w:val="43"/>
          <w:rFonts w:hint="eastAsia" w:ascii="仿宋_GB2312" w:hAnsi="Times New Roman" w:eastAsia="仿宋_GB2312" w:cs="Times New Roman"/>
          <w:b w:val="0"/>
          <w:bCs w:val="0"/>
          <w:color w:val="000000" w:themeColor="text1"/>
          <w:spacing w:val="-11"/>
          <w:sz w:val="32"/>
          <w:szCs w:val="32"/>
          <w:lang w:val="en-US" w:eastAsia="zh-CN"/>
          <w14:textFill>
            <w14:solidFill>
              <w14:schemeClr w14:val="tx1"/>
            </w14:solidFill>
          </w14:textFill>
        </w:rPr>
        <w:t>严控一般性支出。</w:t>
      </w:r>
      <w:r>
        <w:rPr>
          <w:rStyle w:val="43"/>
          <w:rFonts w:hint="eastAsia" w:ascii="仿宋_GB2312" w:eastAsia="仿宋_GB2312" w:cs="Times New Roman"/>
          <w:b w:val="0"/>
          <w:bCs w:val="0"/>
          <w:color w:val="000000" w:themeColor="text1"/>
          <w:spacing w:val="-11"/>
          <w:sz w:val="32"/>
          <w:szCs w:val="32"/>
          <w:lang w:val="en-US" w:eastAsia="zh-CN"/>
          <w14:textFill>
            <w14:solidFill>
              <w14:schemeClr w14:val="tx1"/>
            </w14:solidFill>
          </w14:textFill>
        </w:rPr>
        <w:t>2</w:t>
      </w:r>
      <w:r>
        <w:rPr>
          <w:rStyle w:val="43"/>
          <w:rFonts w:hint="eastAsia" w:ascii="仿宋_GB2312" w:hAnsi="Times New Roman" w:eastAsia="仿宋_GB2312" w:cs="Times New Roman"/>
          <w:b w:val="0"/>
          <w:bCs w:val="0"/>
          <w:color w:val="000000" w:themeColor="text1"/>
          <w:spacing w:val="-11"/>
          <w:sz w:val="32"/>
          <w:szCs w:val="32"/>
          <w:lang w:val="en-US" w:eastAsia="zh-CN"/>
          <w14:textFill>
            <w14:solidFill>
              <w14:schemeClr w14:val="tx1"/>
            </w14:solidFill>
          </w14:textFill>
        </w:rPr>
        <w:t>024年</w:t>
      </w:r>
      <w:r>
        <w:rPr>
          <w:rStyle w:val="43"/>
          <w:rFonts w:hint="eastAsia" w:ascii="仿宋_GB2312" w:eastAsia="仿宋_GB2312" w:cs="Times New Roman"/>
          <w:b w:val="0"/>
          <w:bCs w:val="0"/>
          <w:color w:val="000000" w:themeColor="text1"/>
          <w:spacing w:val="-11"/>
          <w:sz w:val="32"/>
          <w:szCs w:val="32"/>
          <w:lang w:val="en-US" w:eastAsia="zh-CN"/>
          <w14:textFill>
            <w14:solidFill>
              <w14:schemeClr w14:val="tx1"/>
            </w14:solidFill>
          </w14:textFill>
        </w:rPr>
        <w:t>我局</w:t>
      </w:r>
      <w:r>
        <w:rPr>
          <w:rStyle w:val="43"/>
          <w:rFonts w:hint="eastAsia" w:ascii="仿宋_GB2312" w:hAnsi="Times New Roman" w:eastAsia="仿宋_GB2312" w:cs="Times New Roman"/>
          <w:b w:val="0"/>
          <w:bCs w:val="0"/>
          <w:color w:val="000000" w:themeColor="text1"/>
          <w:spacing w:val="-11"/>
          <w:sz w:val="32"/>
          <w:szCs w:val="32"/>
          <w:lang w:val="en-US" w:eastAsia="zh-CN"/>
          <w14:textFill>
            <w14:solidFill>
              <w14:schemeClr w14:val="tx1"/>
            </w14:solidFill>
          </w14:textFill>
        </w:rPr>
        <w:t>年初预算一般性支出70.84万元，2023年年初预算一般性支出</w:t>
      </w:r>
      <w:r>
        <w:rPr>
          <w:rStyle w:val="43"/>
          <w:rFonts w:hint="eastAsia" w:ascii="仿宋_GB2312" w:eastAsia="仿宋_GB2312" w:cs="Times New Roman"/>
          <w:b w:val="0"/>
          <w:bCs w:val="0"/>
          <w:color w:val="000000" w:themeColor="text1"/>
          <w:spacing w:val="-11"/>
          <w:sz w:val="32"/>
          <w:szCs w:val="32"/>
          <w:lang w:val="en-US" w:eastAsia="zh-CN"/>
          <w14:textFill>
            <w14:solidFill>
              <w14:schemeClr w14:val="tx1"/>
            </w14:solidFill>
          </w14:textFill>
        </w:rPr>
        <w:t>58.1</w:t>
      </w:r>
      <w:r>
        <w:rPr>
          <w:rStyle w:val="43"/>
          <w:rFonts w:hint="eastAsia" w:ascii="仿宋_GB2312" w:hAnsi="Times New Roman" w:eastAsia="仿宋_GB2312" w:cs="Times New Roman"/>
          <w:b w:val="0"/>
          <w:bCs w:val="0"/>
          <w:color w:val="000000" w:themeColor="text1"/>
          <w:spacing w:val="-11"/>
          <w:sz w:val="32"/>
          <w:szCs w:val="32"/>
          <w:lang w:val="en-US" w:eastAsia="zh-CN"/>
          <w14:textFill>
            <w14:solidFill>
              <w14:schemeClr w14:val="tx1"/>
            </w14:solidFill>
          </w14:textFill>
        </w:rPr>
        <w:t>万元，</w:t>
      </w:r>
      <w:r>
        <w:rPr>
          <w:rStyle w:val="43"/>
          <w:rFonts w:hint="eastAsia" w:ascii="仿宋_GB2312" w:eastAsia="仿宋_GB2312" w:cs="Times New Roman"/>
          <w:b w:val="0"/>
          <w:bCs w:val="0"/>
          <w:color w:val="000000" w:themeColor="text1"/>
          <w:spacing w:val="-11"/>
          <w:sz w:val="32"/>
          <w:szCs w:val="32"/>
          <w:lang w:val="en-US" w:eastAsia="zh-CN"/>
          <w14:textFill>
            <w14:solidFill>
              <w14:schemeClr w14:val="tx1"/>
            </w14:solidFill>
          </w14:textFill>
        </w:rPr>
        <w:t>一般性支出年初预算未实现压减，</w:t>
      </w:r>
      <w:r>
        <w:rPr>
          <w:rStyle w:val="43"/>
          <w:rFonts w:hint="eastAsia" w:ascii="仿宋_GB2312" w:hAnsi="Times New Roman" w:eastAsia="仿宋_GB2312" w:cs="Times New Roman"/>
          <w:b w:val="0"/>
          <w:bCs w:val="0"/>
          <w:color w:val="000000" w:themeColor="text1"/>
          <w:spacing w:val="-11"/>
          <w:sz w:val="32"/>
          <w:szCs w:val="32"/>
          <w:lang w:val="en-US" w:eastAsia="zh-CN"/>
          <w14:textFill>
            <w14:solidFill>
              <w14:schemeClr w14:val="tx1"/>
            </w14:solidFill>
          </w14:textFill>
        </w:rPr>
        <w:t>2024年一般性支出执行数为116.55万元，2023年一般性支出执行数为293万元</w:t>
      </w:r>
      <w:r>
        <w:rPr>
          <w:rStyle w:val="43"/>
          <w:rFonts w:hint="eastAsia" w:ascii="仿宋_GB2312" w:eastAsia="仿宋_GB2312" w:cs="Times New Roman"/>
          <w:b w:val="0"/>
          <w:bCs w:val="0"/>
          <w:color w:val="000000" w:themeColor="text1"/>
          <w:spacing w:val="-11"/>
          <w:sz w:val="32"/>
          <w:szCs w:val="32"/>
          <w:lang w:val="en-US" w:eastAsia="zh-CN"/>
          <w14:textFill>
            <w14:solidFill>
              <w14:schemeClr w14:val="tx1"/>
            </w14:solidFill>
          </w14:textFill>
        </w:rPr>
        <w:t>。2024年一般性支出执行数实现压减，且较上年压减率超5%，</w:t>
      </w:r>
      <w:r>
        <w:rPr>
          <w:rStyle w:val="43"/>
          <w:rFonts w:hint="eastAsia" w:ascii="仿宋_GB2312" w:hAnsi="Times New Roman" w:eastAsia="仿宋_GB2312" w:cs="Times New Roman"/>
          <w:b w:val="0"/>
          <w:bCs w:val="0"/>
          <w:color w:val="000000" w:themeColor="text1"/>
          <w:spacing w:val="-11"/>
          <w:sz w:val="32"/>
          <w:szCs w:val="32"/>
          <w:lang w:val="en-US" w:eastAsia="zh-CN"/>
          <w14:textFill>
            <w14:solidFill>
              <w14:schemeClr w14:val="tx1"/>
            </w14:solidFill>
          </w14:textFill>
        </w:rPr>
        <w:t>根据得分要求该项得</w:t>
      </w:r>
      <w:r>
        <w:rPr>
          <w:rStyle w:val="43"/>
          <w:rFonts w:hint="eastAsia" w:ascii="仿宋_GB2312" w:eastAsia="仿宋_GB2312" w:cs="Times New Roman"/>
          <w:b w:val="0"/>
          <w:bCs w:val="0"/>
          <w:color w:val="000000" w:themeColor="text1"/>
          <w:spacing w:val="-11"/>
          <w:sz w:val="32"/>
          <w:szCs w:val="32"/>
          <w:lang w:val="en-US" w:eastAsia="zh-CN"/>
          <w14:textFill>
            <w14:solidFill>
              <w14:schemeClr w14:val="tx1"/>
            </w14:solidFill>
          </w14:textFill>
        </w:rPr>
        <w:t>4</w:t>
      </w:r>
      <w:r>
        <w:rPr>
          <w:rStyle w:val="43"/>
          <w:rFonts w:hint="eastAsia" w:ascii="仿宋_GB2312" w:hAnsi="Times New Roman" w:eastAsia="仿宋_GB2312" w:cs="Times New Roman"/>
          <w:b w:val="0"/>
          <w:bCs w:val="0"/>
          <w:color w:val="000000" w:themeColor="text1"/>
          <w:spacing w:val="-11"/>
          <w:sz w:val="32"/>
          <w:szCs w:val="32"/>
          <w:lang w:val="en-US" w:eastAsia="zh-CN"/>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3</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 xml:space="preserve">. </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财务管理（10分）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（1）财务管理制度。我局制度有内部财务管理制度等制度机制，且财务管理制度得到落实，此项得4分。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（2）财务岗位设置。我局合理设置财务工作岗位，明确职责权限，并严格实行不相容岗位分离的，此项得2分。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（3）资金使用规范。我局资金使用符合相关财务管理制度规定的，此项得4分。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4</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 xml:space="preserve">. </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资产管理（6.6分）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（1）</w:t>
      </w:r>
      <w:r>
        <w:rPr>
          <w:rStyle w:val="43"/>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人均资产变化率。2023年固定资产净资产为392.65万元，无形资产净资产为571.24万元，年末人数40人，2024年固定资产净值371.46万元，无形资产净值495.13万元，年末人数40人，根据计算</w:t>
      </w:r>
      <w:r>
        <w:rPr>
          <w:rStyle w:val="43"/>
          <w:rFonts w:hint="eastAsia" w:ascii="仿宋_GB2312" w:eastAsia="仿宋_GB2312" w:cs="Times New Roman"/>
          <w:b w:val="0"/>
          <w:bCs w:val="0"/>
          <w:color w:val="000000" w:themeColor="text1"/>
          <w:spacing w:val="-6"/>
          <w:sz w:val="32"/>
          <w:szCs w:val="32"/>
          <w:lang w:val="en-US" w:eastAsia="zh-CN"/>
          <w14:textFill>
            <w14:solidFill>
              <w14:schemeClr w14:val="tx1"/>
            </w14:solidFill>
          </w14:textFill>
        </w:rPr>
        <w:t>我局人均资产变化率为10.09%，增长率</w:t>
      </w:r>
      <w:r>
        <w:rPr>
          <w:rStyle w:val="43"/>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为-10.09%</w:t>
      </w:r>
      <w:r>
        <w:rPr>
          <w:rStyle w:val="43"/>
          <w:rFonts w:hint="eastAsia" w:ascii="仿宋_GB2312" w:eastAsia="仿宋_GB2312" w:cs="Times New Roman"/>
          <w:b w:val="0"/>
          <w:bCs w:val="0"/>
          <w:color w:val="000000" w:themeColor="text1"/>
          <w:spacing w:val="-6"/>
          <w:sz w:val="32"/>
          <w:szCs w:val="32"/>
          <w:lang w:val="en-US" w:eastAsia="zh-CN"/>
          <w14:textFill>
            <w14:solidFill>
              <w14:schemeClr w14:val="tx1"/>
            </w14:solidFill>
          </w14:textFill>
        </w:rPr>
        <w:t>，我局人均资产增长率小于0 且变化率小于市直行政事业单位人均资产变化率为，根据得分要求自评，此项得3分。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2）资产利用率。2024年我局办公家具设备原值为49.57万元，已完成折旧仍继续使用办公家具原值1.46万元，办公家具超最低使用年限资产利用率为2.95%，办公设备原值为635.67万元，已完成折旧仍继续使用办公设备原值106.64万元，办公设备超最低使用年限资产利用率为16.78%，根据得分要求自评，此项得0.6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outlineLvl w:val="9"/>
        <w:rPr>
          <w:rStyle w:val="43"/>
          <w:rFonts w:hint="eastAsia" w:ascii="仿宋_GB2312" w:eastAsia="仿宋_GB2312"/>
          <w:b w:val="0"/>
          <w:bCs w:val="0"/>
          <w:color w:val="000000" w:themeColor="text1"/>
          <w:spacing w:val="-6"/>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（3）</w:t>
      </w:r>
      <w:r>
        <w:rPr>
          <w:rStyle w:val="43"/>
          <w:rFonts w:hint="eastAsia" w:ascii="仿宋_GB2312" w:eastAsia="仿宋_GB2312"/>
          <w:b w:val="0"/>
          <w:bCs w:val="0"/>
          <w:color w:val="000000" w:themeColor="text1"/>
          <w:spacing w:val="-6"/>
          <w:sz w:val="32"/>
          <w:szCs w:val="32"/>
          <w:lang w:val="en-US" w:eastAsia="zh-CN"/>
          <w14:textFill>
            <w14:solidFill>
              <w14:schemeClr w14:val="tx1"/>
            </w14:solidFill>
          </w14:textFill>
        </w:rPr>
        <w:t>资产盘活率。我单位两年内均无闲置资产，该项得3分。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5</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 采购管理</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（5.26分）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（1）支持中小企业发展。我局严格执行政府采购促进中小企业发展相关管理办法，对适宜由中小企业提供的采购项目和采购包，预留采购份额专门面向中小企业采购，并在采购预算中单独列示，该项自评得3分。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（2）采购执行率。2024年政府采购支付总额为43.6万元，当年政府采购总预算58.51万元，当年已完成采购项目节约资金0.51万元，根基公式计算指标得2.26分。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楷体_GB2312" w:hAnsi="楷体_GB2312" w:eastAsia="楷体_GB2312" w:cs="楷体_GB2312"/>
          <w:b w:val="0"/>
          <w:bCs w:val="0"/>
          <w:color w:val="000000" w:themeColor="text1"/>
          <w:sz w:val="32"/>
          <w:szCs w:val="32"/>
          <w:lang w:val="zh-CN" w:eastAsia="zh-CN"/>
          <w14:textFill>
            <w14:solidFill>
              <w14:schemeClr w14:val="tx1"/>
            </w14:solidFill>
          </w14:textFill>
        </w:rPr>
      </w:pPr>
      <w:r>
        <w:rPr>
          <w:rStyle w:val="43"/>
          <w:rFonts w:hint="default" w:ascii="楷体_GB2312" w:hAnsi="楷体_GB2312" w:eastAsia="楷体_GB2312" w:cs="楷体_GB2312"/>
          <w:b w:val="0"/>
          <w:bCs w:val="0"/>
          <w:color w:val="000000" w:themeColor="text1"/>
          <w:sz w:val="32"/>
          <w:szCs w:val="32"/>
          <w:lang w:val="zh-CN" w:eastAsia="zh-CN"/>
          <w14:textFill>
            <w14:solidFill>
              <w14:schemeClr w14:val="tx1"/>
            </w14:solidFill>
          </w14:textFill>
        </w:rPr>
        <w:t>（二）部门预算项目绩效分析</w:t>
      </w:r>
      <w:r>
        <w:rPr>
          <w:rStyle w:val="43"/>
          <w:rFonts w:hint="eastAsia" w:ascii="楷体_GB2312" w:hAnsi="楷体_GB2312" w:eastAsia="楷体_GB2312" w:cs="楷体_GB2312"/>
          <w:b w:val="0"/>
          <w:bCs w:val="0"/>
          <w:color w:val="000000" w:themeColor="text1"/>
          <w:sz w:val="32"/>
          <w:szCs w:val="32"/>
          <w:lang w:val="zh-CN" w:eastAsia="zh-CN"/>
          <w14:textFill>
            <w14:solidFill>
              <w14:schemeClr w14:val="tx1"/>
            </w14:solidFill>
          </w14:textFill>
        </w:rPr>
        <w:t>（</w:t>
      </w:r>
      <w:r>
        <w:rPr>
          <w:rStyle w:val="43"/>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35分</w:t>
      </w:r>
      <w:r>
        <w:rPr>
          <w:rStyle w:val="43"/>
          <w:rFonts w:hint="eastAsia" w:ascii="楷体_GB2312" w:hAnsi="楷体_GB2312" w:eastAsia="楷体_GB2312" w:cs="楷体_GB2312"/>
          <w:b w:val="0"/>
          <w:bCs w:val="0"/>
          <w:color w:val="000000" w:themeColor="text1"/>
          <w:sz w:val="32"/>
          <w:szCs w:val="32"/>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val="en-US" w:eastAsia="zh-CN"/>
          <w14:textFill>
            <w14:solidFill>
              <w14:schemeClr w14:val="tx1"/>
            </w14:solidFill>
          </w14:textFill>
        </w:rPr>
      </w:pPr>
      <w:r>
        <w:rPr>
          <w:rStyle w:val="43"/>
          <w:rFonts w:hint="default" w:ascii="仿宋_GB2312" w:eastAsia="仿宋_GB2312"/>
          <w:b w:val="0"/>
          <w:bCs w:val="0"/>
          <w:color w:val="000000" w:themeColor="text1"/>
          <w:sz w:val="32"/>
          <w:szCs w:val="32"/>
          <w:lang w:val="zh-CN" w:eastAsia="zh-CN"/>
          <w14:textFill>
            <w14:solidFill>
              <w14:schemeClr w14:val="tx1"/>
            </w14:solidFill>
          </w14:textFill>
        </w:rPr>
        <w:t>根据</w:t>
      </w:r>
      <w:r>
        <w:rPr>
          <w:rStyle w:val="43"/>
          <w:rFonts w:hint="eastAsia" w:ascii="仿宋_GB2312" w:eastAsia="仿宋_GB2312"/>
          <w:b w:val="0"/>
          <w:bCs w:val="0"/>
          <w:color w:val="000000" w:themeColor="text1"/>
          <w:sz w:val="32"/>
          <w:szCs w:val="32"/>
          <w:lang w:val="zh-CN" w:eastAsia="zh-CN"/>
          <w14:textFill>
            <w14:solidFill>
              <w14:schemeClr w14:val="tx1"/>
            </w14:solidFill>
          </w14:textFill>
        </w:rPr>
        <w:t>部门整体绩效评价评分表</w:t>
      </w:r>
      <w:r>
        <w:rPr>
          <w:rStyle w:val="43"/>
          <w:rFonts w:hint="default" w:ascii="仿宋_GB2312" w:eastAsia="仿宋_GB2312"/>
          <w:b w:val="0"/>
          <w:bCs w:val="0"/>
          <w:color w:val="000000" w:themeColor="text1"/>
          <w:sz w:val="32"/>
          <w:szCs w:val="32"/>
          <w:lang w:val="zh-CN" w:eastAsia="zh-CN"/>
          <w14:textFill>
            <w14:solidFill>
              <w14:schemeClr w14:val="tx1"/>
            </w14:solidFill>
          </w14:textFill>
        </w:rPr>
        <w:t>“项目绩效”</w:t>
      </w:r>
      <w:r>
        <w:rPr>
          <w:rStyle w:val="43"/>
          <w:rFonts w:hint="eastAsia" w:ascii="仿宋_GB2312" w:eastAsia="仿宋_GB2312"/>
          <w:b w:val="0"/>
          <w:bCs w:val="0"/>
          <w:color w:val="000000" w:themeColor="text1"/>
          <w:sz w:val="32"/>
          <w:szCs w:val="32"/>
          <w:lang w:val="zh-CN" w:eastAsia="zh-CN"/>
          <w14:textFill>
            <w14:solidFill>
              <w14:schemeClr w14:val="tx1"/>
            </w14:solidFill>
          </w14:textFill>
        </w:rPr>
        <w:t>对</w:t>
      </w:r>
      <w:r>
        <w:rPr>
          <w:rStyle w:val="43"/>
          <w:rFonts w:hint="default" w:ascii="仿宋_GB2312" w:eastAsia="仿宋_GB2312"/>
          <w:b w:val="0"/>
          <w:bCs w:val="0"/>
          <w:color w:val="000000" w:themeColor="text1"/>
          <w:sz w:val="32"/>
          <w:szCs w:val="32"/>
          <w:lang w:val="zh-CN" w:eastAsia="zh-CN"/>
          <w14:textFill>
            <w14:solidFill>
              <w14:schemeClr w14:val="tx1"/>
            </w14:solidFill>
          </w14:textFill>
        </w:rPr>
        <w:t>项目</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决策、项目执行、目标实现等情况</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进行全面分析。</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16" w:firstLineChars="200"/>
        <w:jc w:val="both"/>
        <w:textAlignment w:val="baseline"/>
        <w:outlineLvl w:val="9"/>
        <w:rPr>
          <w:rStyle w:val="43"/>
          <w:rFonts w:hint="default" w:ascii="仿宋_GB2312" w:eastAsia="仿宋_GB2312"/>
          <w:b w:val="0"/>
          <w:bCs w:val="0"/>
          <w:color w:val="000000" w:themeColor="text1"/>
          <w:spacing w:val="-6"/>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pacing w:val="-6"/>
          <w:sz w:val="32"/>
          <w:szCs w:val="32"/>
          <w:lang w:val="en-US" w:eastAsia="zh-CN"/>
          <w14:textFill>
            <w14:solidFill>
              <w14:schemeClr w14:val="tx1"/>
            </w14:solidFill>
          </w14:textFill>
        </w:rPr>
        <w:t>2024年度我局所有项目均为常年项目，预算金额共计1484.61万元（含结转资金27.99万元），</w:t>
      </w:r>
      <w:r>
        <w:rPr>
          <w:rStyle w:val="43"/>
          <w:rFonts w:hint="eastAsia" w:ascii="仿宋_GB2312" w:eastAsia="仿宋_GB2312"/>
          <w:b w:val="0"/>
          <w:bCs w:val="0"/>
          <w:color w:val="000000" w:themeColor="text1"/>
          <w:spacing w:val="-6"/>
          <w:sz w:val="32"/>
          <w:szCs w:val="32"/>
          <w:lang w:val="zh-CN" w:eastAsia="zh-CN"/>
          <w14:textFill>
            <w14:solidFill>
              <w14:schemeClr w14:val="tx1"/>
            </w14:solidFill>
          </w14:textFill>
        </w:rPr>
        <w:t>本年项目共</w:t>
      </w:r>
      <w:r>
        <w:rPr>
          <w:rStyle w:val="43"/>
          <w:rFonts w:hint="eastAsia" w:ascii="仿宋_GB2312" w:eastAsia="仿宋_GB2312"/>
          <w:b w:val="0"/>
          <w:bCs w:val="0"/>
          <w:color w:val="000000" w:themeColor="text1"/>
          <w:spacing w:val="-6"/>
          <w:sz w:val="32"/>
          <w:szCs w:val="32"/>
          <w:lang w:val="en-US" w:eastAsia="zh-CN"/>
          <w14:textFill>
            <w14:solidFill>
              <w14:schemeClr w14:val="tx1"/>
            </w14:solidFill>
          </w14:textFill>
        </w:rPr>
        <w:t>16个（年初预算10个，追加5个，转移1个）</w:t>
      </w:r>
      <w:r>
        <w:rPr>
          <w:rStyle w:val="43"/>
          <w:rFonts w:hint="default" w:ascii="仿宋_GB2312" w:eastAsia="仿宋_GB2312"/>
          <w:b w:val="0"/>
          <w:bCs w:val="0"/>
          <w:color w:val="000000" w:themeColor="text1"/>
          <w:spacing w:val="-6"/>
          <w:sz w:val="32"/>
          <w:szCs w:val="32"/>
          <w:lang w:val="zh-CN" w:eastAsia="zh-CN"/>
          <w14:textFill>
            <w14:solidFill>
              <w14:schemeClr w14:val="tx1"/>
            </w14:solidFill>
          </w14:textFill>
        </w:rPr>
        <w:t>，</w:t>
      </w:r>
      <w:r>
        <w:rPr>
          <w:rStyle w:val="43"/>
          <w:rFonts w:hint="eastAsia" w:ascii="仿宋_GB2312" w:eastAsia="仿宋_GB2312"/>
          <w:b w:val="0"/>
          <w:bCs w:val="0"/>
          <w:color w:val="000000" w:themeColor="text1"/>
          <w:spacing w:val="-6"/>
          <w:sz w:val="32"/>
          <w:szCs w:val="32"/>
          <w:lang w:val="en-US" w:eastAsia="zh-CN"/>
          <w14:textFill>
            <w14:solidFill>
              <w14:schemeClr w14:val="tx1"/>
            </w14:solidFill>
          </w14:textFill>
        </w:rPr>
        <w:t>支付1463.80万元，</w:t>
      </w:r>
      <w:r>
        <w:rPr>
          <w:rStyle w:val="43"/>
          <w:rFonts w:hint="default" w:ascii="仿宋_GB2312" w:eastAsia="仿宋_GB2312"/>
          <w:b w:val="0"/>
          <w:bCs w:val="0"/>
          <w:color w:val="000000" w:themeColor="text1"/>
          <w:spacing w:val="-6"/>
          <w:sz w:val="32"/>
          <w:szCs w:val="32"/>
          <w:lang w:val="zh-CN" w:eastAsia="zh-CN"/>
          <w14:textFill>
            <w14:solidFill>
              <w14:schemeClr w14:val="tx1"/>
            </w14:solidFill>
          </w14:textFill>
        </w:rPr>
        <w:t>1</w:t>
      </w:r>
      <w:r>
        <w:rPr>
          <w:rStyle w:val="43"/>
          <w:rFonts w:hint="eastAsia" w:ascii="仿宋_GB2312" w:eastAsia="仿宋_GB2312"/>
          <w:b w:val="0"/>
          <w:bCs w:val="0"/>
          <w:color w:val="000000" w:themeColor="text1"/>
          <w:spacing w:val="-6"/>
          <w:sz w:val="32"/>
          <w:szCs w:val="32"/>
          <w:lang w:val="zh-CN" w:eastAsia="zh-CN"/>
          <w14:textFill>
            <w14:solidFill>
              <w14:schemeClr w14:val="tx1"/>
            </w14:solidFill>
          </w14:textFill>
        </w:rPr>
        <w:t>—</w:t>
      </w:r>
      <w:r>
        <w:rPr>
          <w:rStyle w:val="43"/>
          <w:rFonts w:hint="default" w:ascii="仿宋_GB2312" w:eastAsia="仿宋_GB2312"/>
          <w:b w:val="0"/>
          <w:bCs w:val="0"/>
          <w:color w:val="000000" w:themeColor="text1"/>
          <w:spacing w:val="-6"/>
          <w:sz w:val="32"/>
          <w:szCs w:val="32"/>
          <w:lang w:val="zh-CN" w:eastAsia="zh-CN"/>
          <w14:textFill>
            <w14:solidFill>
              <w14:schemeClr w14:val="tx1"/>
            </w14:solidFill>
          </w14:textFill>
        </w:rPr>
        <w:t>1</w:t>
      </w:r>
      <w:r>
        <w:rPr>
          <w:rStyle w:val="43"/>
          <w:rFonts w:hint="default" w:ascii="仿宋_GB2312" w:eastAsia="仿宋_GB2312"/>
          <w:b w:val="0"/>
          <w:bCs w:val="0"/>
          <w:color w:val="000000" w:themeColor="text1"/>
          <w:spacing w:val="-6"/>
          <w:sz w:val="32"/>
          <w:szCs w:val="32"/>
          <w:lang w:val="en-US" w:eastAsia="zh-CN"/>
          <w14:textFill>
            <w14:solidFill>
              <w14:schemeClr w14:val="tx1"/>
            </w14:solidFill>
          </w14:textFill>
        </w:rPr>
        <w:t>2</w:t>
      </w:r>
      <w:r>
        <w:rPr>
          <w:rStyle w:val="43"/>
          <w:rFonts w:hint="default" w:ascii="仿宋_GB2312" w:eastAsia="仿宋_GB2312"/>
          <w:b w:val="0"/>
          <w:bCs w:val="0"/>
          <w:color w:val="000000" w:themeColor="text1"/>
          <w:spacing w:val="-6"/>
          <w:sz w:val="32"/>
          <w:szCs w:val="32"/>
          <w:lang w:val="zh-CN" w:eastAsia="zh-CN"/>
          <w14:textFill>
            <w14:solidFill>
              <w14:schemeClr w14:val="tx1"/>
            </w14:solidFill>
          </w14:textFill>
        </w:rPr>
        <w:t>月预算执行总体进度为</w:t>
      </w:r>
      <w:r>
        <w:rPr>
          <w:rStyle w:val="43"/>
          <w:rFonts w:hint="default" w:ascii="仿宋_GB2312" w:eastAsia="仿宋_GB2312"/>
          <w:b w:val="0"/>
          <w:bCs w:val="0"/>
          <w:color w:val="000000" w:themeColor="text1"/>
          <w:spacing w:val="-6"/>
          <w:sz w:val="32"/>
          <w:szCs w:val="32"/>
          <w:lang w:val="en-US" w:eastAsia="zh-CN"/>
          <w14:textFill>
            <w14:solidFill>
              <w14:schemeClr w14:val="tx1"/>
            </w14:solidFill>
          </w14:textFill>
        </w:rPr>
        <w:t xml:space="preserve"> </w:t>
      </w:r>
      <w:r>
        <w:rPr>
          <w:rStyle w:val="43"/>
          <w:rFonts w:hint="eastAsia" w:ascii="仿宋_GB2312" w:eastAsia="仿宋_GB2312"/>
          <w:b w:val="0"/>
          <w:bCs w:val="0"/>
          <w:color w:val="000000" w:themeColor="text1"/>
          <w:spacing w:val="-6"/>
          <w:sz w:val="32"/>
          <w:szCs w:val="32"/>
          <w:lang w:val="en-US" w:eastAsia="zh-CN"/>
          <w14:textFill>
            <w14:solidFill>
              <w14:schemeClr w14:val="tx1"/>
            </w14:solidFill>
          </w14:textFill>
        </w:rPr>
        <w:t>98.60</w:t>
      </w:r>
      <w:r>
        <w:rPr>
          <w:rStyle w:val="43"/>
          <w:rFonts w:hint="default" w:ascii="仿宋_GB2312" w:eastAsia="仿宋_GB2312"/>
          <w:b w:val="0"/>
          <w:bCs w:val="0"/>
          <w:color w:val="000000" w:themeColor="text1"/>
          <w:spacing w:val="-6"/>
          <w:sz w:val="32"/>
          <w:szCs w:val="32"/>
          <w:lang w:val="en-US" w:eastAsia="zh-CN"/>
          <w14:textFill>
            <w14:solidFill>
              <w14:schemeClr w14:val="tx1"/>
            </w14:solidFill>
          </w14:textFill>
        </w:rPr>
        <w:t xml:space="preserve"> </w:t>
      </w:r>
      <w:r>
        <w:rPr>
          <w:rStyle w:val="43"/>
          <w:rFonts w:hint="default" w:ascii="仿宋_GB2312" w:eastAsia="仿宋_GB2312"/>
          <w:b w:val="0"/>
          <w:bCs w:val="0"/>
          <w:color w:val="000000" w:themeColor="text1"/>
          <w:spacing w:val="-6"/>
          <w:sz w:val="32"/>
          <w:szCs w:val="32"/>
          <w:lang w:val="zh-CN" w:eastAsia="zh-CN"/>
          <w14:textFill>
            <w14:solidFill>
              <w14:schemeClr w14:val="tx1"/>
            </w14:solidFill>
          </w14:textFill>
        </w:rPr>
        <w:t>%预算结余率大于</w:t>
      </w:r>
      <w:r>
        <w:rPr>
          <w:rStyle w:val="43"/>
          <w:rFonts w:hint="default" w:ascii="仿宋_GB2312" w:eastAsia="仿宋_GB2312"/>
          <w:b w:val="0"/>
          <w:bCs w:val="0"/>
          <w:color w:val="000000" w:themeColor="text1"/>
          <w:spacing w:val="-6"/>
          <w:sz w:val="32"/>
          <w:szCs w:val="32"/>
          <w:lang w:val="en-US" w:eastAsia="zh-CN"/>
          <w14:textFill>
            <w14:solidFill>
              <w14:schemeClr w14:val="tx1"/>
            </w14:solidFill>
          </w14:textFill>
        </w:rPr>
        <w:t>10%</w:t>
      </w:r>
      <w:r>
        <w:rPr>
          <w:rStyle w:val="43"/>
          <w:rFonts w:hint="default" w:ascii="仿宋_GB2312" w:eastAsia="仿宋_GB2312"/>
          <w:b w:val="0"/>
          <w:bCs w:val="0"/>
          <w:color w:val="000000" w:themeColor="text1"/>
          <w:spacing w:val="-6"/>
          <w:sz w:val="32"/>
          <w:szCs w:val="32"/>
          <w:lang w:val="zh-CN" w:eastAsia="zh-CN"/>
          <w14:textFill>
            <w14:solidFill>
              <w14:schemeClr w14:val="tx1"/>
            </w14:solidFill>
          </w14:textFill>
        </w:rPr>
        <w:t>的项目</w:t>
      </w:r>
      <w:r>
        <w:rPr>
          <w:rStyle w:val="43"/>
          <w:rFonts w:hint="eastAsia" w:ascii="仿宋_GB2312" w:eastAsia="仿宋_GB2312"/>
          <w:b w:val="0"/>
          <w:bCs w:val="0"/>
          <w:color w:val="000000" w:themeColor="text1"/>
          <w:spacing w:val="-6"/>
          <w:sz w:val="32"/>
          <w:szCs w:val="32"/>
          <w:lang w:val="en-US" w:eastAsia="zh-CN"/>
          <w14:textFill>
            <w14:solidFill>
              <w14:schemeClr w14:val="tx1"/>
            </w14:solidFill>
          </w14:textFill>
        </w:rPr>
        <w:t>0个。</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1</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 xml:space="preserve">. </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项目决策</w:t>
      </w:r>
      <w:r>
        <w:rPr>
          <w:rStyle w:val="43"/>
          <w:rFonts w:hint="default" w:ascii="仿宋_GB2312" w:eastAsia="仿宋_GB2312"/>
          <w:b w:val="0"/>
          <w:bCs w:val="0"/>
          <w:color w:val="000000" w:themeColor="text1"/>
          <w:sz w:val="32"/>
          <w:szCs w:val="32"/>
          <w:lang w:eastAsia="zh-CN"/>
          <w14:textFill>
            <w14:solidFill>
              <w14:schemeClr w14:val="tx1"/>
            </w14:solidFill>
          </w14:textFill>
        </w:rPr>
        <w:t>（12分）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（1）决策程序。我局预算项目设立全部按规定履行评估论证、申报程序</w:t>
      </w:r>
      <w:r>
        <w:rPr>
          <w:rStyle w:val="43"/>
          <w:rFonts w:hint="default" w:ascii="仿宋_GB2312" w:eastAsia="仿宋_GB2312"/>
          <w:b w:val="0"/>
          <w:bCs w:val="0"/>
          <w:color w:val="000000" w:themeColor="text1"/>
          <w:sz w:val="32"/>
          <w:szCs w:val="32"/>
          <w:lang w:eastAsia="zh-CN"/>
          <w14:textFill>
            <w14:solidFill>
              <w14:schemeClr w14:val="tx1"/>
            </w14:solidFill>
          </w14:textFill>
        </w:rPr>
        <w:t>。该项自评得4分。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eastAsia="zh-CN"/>
          <w14:textFill>
            <w14:solidFill>
              <w14:schemeClr w14:val="tx1"/>
            </w14:solidFill>
          </w14:textFill>
        </w:rPr>
      </w:pP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2</w:t>
      </w: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default" w:ascii="仿宋_GB2312" w:eastAsia="仿宋_GB2312"/>
          <w:b w:val="0"/>
          <w:bCs w:val="0"/>
          <w:color w:val="000000" w:themeColor="text1"/>
          <w:sz w:val="32"/>
          <w:szCs w:val="32"/>
          <w:lang w:eastAsia="zh-CN"/>
          <w14:textFill>
            <w14:solidFill>
              <w14:schemeClr w14:val="tx1"/>
            </w14:solidFill>
          </w14:textFill>
        </w:rPr>
        <w:t>目标设置。我局预算项目绩效目标与计划期内的任务量、预算安排的资金量匹配情况，绩效目标设置科学合理、规范完整、量化细化、预算匹配。该项自评得4分。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eastAsia="zh-CN"/>
          <w14:textFill>
            <w14:solidFill>
              <w14:schemeClr w14:val="tx1"/>
            </w14:solidFill>
          </w14:textFill>
        </w:rPr>
      </w:pP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3</w:t>
      </w: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default" w:ascii="仿宋_GB2312" w:eastAsia="仿宋_GB2312"/>
          <w:b w:val="0"/>
          <w:bCs w:val="0"/>
          <w:color w:val="000000" w:themeColor="text1"/>
          <w:sz w:val="32"/>
          <w:szCs w:val="32"/>
          <w:lang w:eastAsia="zh-CN"/>
          <w14:textFill>
            <w14:solidFill>
              <w14:schemeClr w14:val="tx1"/>
            </w14:solidFill>
          </w14:textFill>
        </w:rPr>
        <w:t>项目入库。我局预算项目在规定时间完成项目入库。该项自评得4分。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2</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 xml:space="preserve">. </w:t>
      </w:r>
      <w:r>
        <w:rPr>
          <w:rStyle w:val="43"/>
          <w:rFonts w:hint="default" w:ascii="仿宋_GB2312" w:eastAsia="仿宋_GB2312"/>
          <w:b w:val="0"/>
          <w:bCs w:val="0"/>
          <w:color w:val="000000" w:themeColor="text1"/>
          <w:sz w:val="32"/>
          <w:szCs w:val="32"/>
          <w:lang w:eastAsia="zh-CN"/>
          <w14:textFill>
            <w14:solidFill>
              <w14:schemeClr w14:val="tx1"/>
            </w14:solidFill>
          </w14:textFill>
        </w:rPr>
        <w:t>项目执行</w:t>
      </w: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12分）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eastAsia="zh-CN"/>
          <w14:textFill>
            <w14:solidFill>
              <w14:schemeClr w14:val="tx1"/>
            </w14:solidFill>
          </w14:textFill>
        </w:rPr>
      </w:pP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1</w:t>
      </w: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default" w:ascii="仿宋_GB2312" w:eastAsia="仿宋_GB2312"/>
          <w:b w:val="0"/>
          <w:bCs w:val="0"/>
          <w:color w:val="000000" w:themeColor="text1"/>
          <w:sz w:val="32"/>
          <w:szCs w:val="32"/>
          <w:lang w:eastAsia="zh-CN"/>
          <w14:textFill>
            <w14:solidFill>
              <w14:schemeClr w14:val="tx1"/>
            </w14:solidFill>
          </w14:textFill>
        </w:rPr>
        <w:t>执行同向</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。我局预算项目实际列支内容与绩效目标设置方向相符。该项自评得4分。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eastAsia="zh-CN"/>
          <w14:textFill>
            <w14:solidFill>
              <w14:schemeClr w14:val="tx1"/>
            </w14:solidFill>
          </w14:textFill>
        </w:rPr>
      </w:pP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2</w:t>
      </w:r>
      <w:r>
        <w:rPr>
          <w:rStyle w:val="43"/>
          <w:rFonts w:hint="eastAsia" w:ascii="仿宋_GB2312" w:eastAsia="仿宋_GB2312"/>
          <w:b w:val="0"/>
          <w:bCs w:val="0"/>
          <w:color w:val="000000" w:themeColor="text1"/>
          <w:sz w:val="32"/>
          <w:szCs w:val="32"/>
          <w:lang w:eastAsia="zh-CN"/>
          <w14:textFill>
            <w14:solidFill>
              <w14:schemeClr w14:val="tx1"/>
            </w14:solidFill>
          </w14:textFill>
        </w:rPr>
        <w:t>）</w:t>
      </w:r>
      <w:r>
        <w:rPr>
          <w:rStyle w:val="43"/>
          <w:rFonts w:hint="default" w:ascii="仿宋_GB2312" w:eastAsia="仿宋_GB2312"/>
          <w:b w:val="0"/>
          <w:bCs w:val="0"/>
          <w:color w:val="000000" w:themeColor="text1"/>
          <w:sz w:val="32"/>
          <w:szCs w:val="32"/>
          <w:lang w:eastAsia="zh-CN"/>
          <w14:textFill>
            <w14:solidFill>
              <w14:schemeClr w14:val="tx1"/>
            </w14:solidFill>
          </w14:textFill>
        </w:rPr>
        <w:t>项目调整</w:t>
      </w:r>
      <w:r>
        <w:rPr>
          <w:rStyle w:val="43"/>
          <w:rFonts w:hint="eastAsia" w:ascii="仿宋_GB2312" w:eastAsia="仿宋_GB2312"/>
          <w:b w:val="0"/>
          <w:bCs w:val="0"/>
          <w:color w:val="000000" w:themeColor="text1"/>
          <w:sz w:val="32"/>
          <w:szCs w:val="32"/>
          <w:lang w:eastAsia="zh-CN"/>
          <w14:textFill>
            <w14:solidFill>
              <w14:schemeClr w14:val="tx1"/>
            </w14:solidFill>
          </w14:textFill>
        </w:rPr>
        <w:t>。我局预算项目均采取对应调整措施。该项自评得</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（3）执行结果。2024年我局共计项目16个，预算结余率小于10%的项目16个，根据公式计算此项得4分。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3</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 xml:space="preserve">. </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目标实现（11分）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（1）目标完成。我局预算项目绩效目标数量指标全部完成。该项自评得4分。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（2）</w:t>
      </w:r>
      <w:r>
        <w:rPr>
          <w:rStyle w:val="43"/>
          <w:rFonts w:hint="default" w:ascii="仿宋_GB2312" w:eastAsia="仿宋_GB2312"/>
          <w:b w:val="0"/>
          <w:bCs w:val="0"/>
          <w:color w:val="000000" w:themeColor="text1"/>
          <w:sz w:val="32"/>
          <w:szCs w:val="32"/>
          <w:lang w:val="en-US" w:eastAsia="zh-CN"/>
          <w14:textFill>
            <w14:solidFill>
              <w14:schemeClr w14:val="tx1"/>
            </w14:solidFill>
          </w14:textFill>
        </w:rPr>
        <w:t>目标偏离</w:t>
      </w:r>
      <w:r>
        <w:rPr>
          <w:rStyle w:val="43"/>
          <w:rFonts w:hint="eastAsia" w:ascii="仿宋_GB2312" w:eastAsia="仿宋_GB2312"/>
          <w:b w:val="0"/>
          <w:bCs w:val="0"/>
          <w:color w:val="000000" w:themeColor="text1"/>
          <w:sz w:val="32"/>
          <w:szCs w:val="32"/>
          <w:lang w:val="en-US" w:eastAsia="zh-CN"/>
          <w14:textFill>
            <w14:solidFill>
              <w14:schemeClr w14:val="tx1"/>
            </w14:solidFill>
          </w14:textFill>
        </w:rPr>
        <w:t>。我局预算项目绩效目标数量指标实现程度与预期目标的偏离度均低于30%该项自评得4分。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（3）实现效果。我局部门预算特定目标类项目绩效目标效益指标全部完成。该项自评得3分。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outlineLvl w:val="9"/>
        <w:rPr>
          <w:rFonts w:hint="default"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pPr>
      <w:r>
        <w:rPr>
          <w:rStyle w:val="43"/>
          <w:rFonts w:hint="default" w:ascii="楷体_GB2312" w:hAnsi="楷体_GB2312" w:eastAsia="楷体_GB2312" w:cs="楷体_GB2312"/>
          <w:b w:val="0"/>
          <w:bCs w:val="0"/>
          <w:color w:val="000000" w:themeColor="text1"/>
          <w:sz w:val="32"/>
          <w:szCs w:val="32"/>
          <w:lang w:val="zh-CN" w:eastAsia="zh-CN"/>
          <w14:textFill>
            <w14:solidFill>
              <w14:schemeClr w14:val="tx1"/>
            </w14:solidFill>
          </w14:textFill>
        </w:rPr>
        <w:t>（</w:t>
      </w:r>
      <w:r>
        <w:rPr>
          <w:rStyle w:val="43"/>
          <w:rFonts w:hint="eastAsia" w:ascii="楷体_GB2312" w:hAnsi="楷体_GB2312" w:eastAsia="楷体_GB2312" w:cs="楷体_GB2312"/>
          <w:b w:val="0"/>
          <w:bCs w:val="0"/>
          <w:color w:val="000000" w:themeColor="text1"/>
          <w:sz w:val="32"/>
          <w:szCs w:val="32"/>
          <w:lang w:val="zh-CN" w:eastAsia="zh-CN"/>
          <w14:textFill>
            <w14:solidFill>
              <w14:schemeClr w14:val="tx1"/>
            </w14:solidFill>
          </w14:textFill>
        </w:rPr>
        <w:t>三</w:t>
      </w:r>
      <w:r>
        <w:rPr>
          <w:rStyle w:val="43"/>
          <w:rFonts w:hint="default" w:ascii="楷体_GB2312" w:hAnsi="楷体_GB2312" w:eastAsia="楷体_GB2312" w:cs="楷体_GB2312"/>
          <w:b w:val="0"/>
          <w:bCs w:val="0"/>
          <w:color w:val="000000" w:themeColor="text1"/>
          <w:sz w:val="32"/>
          <w:szCs w:val="32"/>
          <w:lang w:val="zh-CN" w:eastAsia="zh-CN"/>
          <w14:textFill>
            <w14:solidFill>
              <w14:schemeClr w14:val="tx1"/>
            </w14:solidFill>
          </w14:textFill>
        </w:rPr>
        <w:t>）重点领域绩效分析。</w:t>
      </w:r>
      <w:r>
        <w:rPr>
          <w:rFonts w:hint="eastAsia" w:ascii="仿宋_GB2312" w:hAnsi="仿宋_GB2312" w:eastAsia="仿宋_GB2312" w:cs="仿宋_GB2312"/>
          <w:b w:val="0"/>
          <w:bCs w:val="0"/>
          <w:color w:val="000000" w:themeColor="text1"/>
          <w:sz w:val="32"/>
          <w:szCs w:val="32"/>
          <w14:textFill>
            <w14:solidFill>
              <w14:schemeClr w14:val="tx1"/>
            </w14:solidFill>
          </w14:textFill>
        </w:rPr>
        <w:t>我局按照节约、效能适用的原则，合理配置资产，对资产购置做到年初有预算年中有统筹年末有决算，</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购置有审批</w:t>
      </w:r>
      <w:r>
        <w:rPr>
          <w:rFonts w:hint="eastAsia" w:ascii="仿宋_GB2312" w:hAnsi="仿宋_GB2312" w:eastAsia="仿宋_GB2312" w:cs="仿宋_GB2312"/>
          <w:b w:val="0"/>
          <w:bCs w:val="0"/>
          <w:color w:val="000000" w:themeColor="text1"/>
          <w:sz w:val="32"/>
          <w:szCs w:val="32"/>
          <w14:textFill>
            <w14:solidFill>
              <w14:schemeClr w14:val="tx1"/>
            </w14:solidFill>
          </w14:textFill>
        </w:rPr>
        <w:t>，使用中加强资产保管核算</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u w:val="none"/>
          <w:lang w:eastAsia="zh-CN"/>
          <w14:textFill>
            <w14:solidFill>
              <w14:schemeClr w14:val="tx1"/>
            </w14:solidFill>
          </w14:textFill>
        </w:rPr>
        <w:t>保障了行政事业性国有资产的高效利用。</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2024年我局</w:t>
      </w:r>
      <w:r>
        <w:rPr>
          <w:rFonts w:hint="eastAsia" w:ascii="仿宋_GB2312" w:hAnsi="仿宋_GB2312" w:eastAsia="仿宋_GB2312" w:cs="仿宋_GB2312"/>
          <w:b w:val="0"/>
          <w:bCs w:val="0"/>
          <w:color w:val="000000" w:themeColor="text1"/>
          <w:sz w:val="32"/>
          <w:szCs w:val="32"/>
          <w:highlight w:val="none"/>
          <w:u w:val="none"/>
          <w:lang w:eastAsia="zh-CN"/>
          <w14:textFill>
            <w14:solidFill>
              <w14:schemeClr w14:val="tx1"/>
            </w14:solidFill>
          </w14:textFill>
        </w:rPr>
        <w:t>办公设施设备购置和维护项目、定点医疗机构监管工作经费项目、医疗与服务能力提升补助资金项目涉及政府采购，均严格按照政府采购流程实施。</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2024年我局医疗服务与能力提升转移支付项目根据省局统一安排完成绩效自评，自评得99.5分。</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t>（四）绩效结果应用情况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64" w:firstLineChars="200"/>
        <w:jc w:val="both"/>
        <w:textAlignment w:val="baseline"/>
        <w:outlineLvl w:val="9"/>
        <w:rPr>
          <w:rStyle w:val="43"/>
          <w:rFonts w:ascii="仿宋_GB2312" w:eastAsia="仿宋_GB2312"/>
          <w:b w:val="0"/>
          <w:bCs w:val="0"/>
          <w:color w:val="000000" w:themeColor="text1"/>
          <w:spacing w:val="6"/>
          <w:sz w:val="32"/>
          <w:szCs w:val="32"/>
          <w14:textFill>
            <w14:solidFill>
              <w14:schemeClr w14:val="tx1"/>
            </w14:solidFill>
          </w14:textFill>
        </w:rPr>
      </w:pPr>
      <w:r>
        <w:rPr>
          <w:rStyle w:val="43"/>
          <w:rFonts w:hint="eastAsia" w:ascii="仿宋_GB2312" w:eastAsia="仿宋_GB2312"/>
          <w:b w:val="0"/>
          <w:bCs w:val="0"/>
          <w:color w:val="000000" w:themeColor="text1"/>
          <w:spacing w:val="6"/>
          <w:sz w:val="32"/>
          <w:szCs w:val="32"/>
          <w:lang w:val="en-US"/>
          <w14:textFill>
            <w14:solidFill>
              <w14:schemeClr w14:val="tx1"/>
            </w14:solidFill>
          </w14:textFill>
        </w:rPr>
        <w:t>1.</w:t>
      </w:r>
      <w:r>
        <w:rPr>
          <w:rStyle w:val="43"/>
          <w:rFonts w:hint="default" w:ascii="仿宋_GB2312" w:eastAsia="仿宋_GB2312"/>
          <w:b w:val="0"/>
          <w:bCs w:val="0"/>
          <w:color w:val="000000" w:themeColor="text1"/>
          <w:spacing w:val="6"/>
          <w:sz w:val="32"/>
          <w:szCs w:val="32"/>
          <w:lang w:val="en-US"/>
          <w14:textFill>
            <w14:solidFill>
              <w14:schemeClr w14:val="tx1"/>
            </w14:solidFill>
          </w14:textFill>
        </w:rPr>
        <w:t xml:space="preserve"> </w:t>
      </w:r>
      <w:r>
        <w:rPr>
          <w:rStyle w:val="43"/>
          <w:rFonts w:ascii="仿宋_GB2312" w:eastAsia="仿宋_GB2312"/>
          <w:b w:val="0"/>
          <w:bCs w:val="0"/>
          <w:color w:val="000000" w:themeColor="text1"/>
          <w:spacing w:val="6"/>
          <w:sz w:val="32"/>
          <w:szCs w:val="32"/>
          <w14:textFill>
            <w14:solidFill>
              <w14:schemeClr w14:val="tx1"/>
            </w14:solidFill>
          </w14:textFill>
        </w:rPr>
        <w:t>内部应用。落实组织保障，将科室设置和绩效自评纳入考核体系，建立相关科室和下属单位预算与绩效挂钩机制，成立了由局长为组长，党组成员为副组长，各科室及局属单位负责人为成员的预算绩效管理工作领导小组，定期研究解决预算绩效管理工作中的实际问题，确保预算项目绩效管理抓严抓实抓落地</w:t>
      </w:r>
      <w:r>
        <w:rPr>
          <w:rStyle w:val="43"/>
          <w:rFonts w:hint="eastAsia" w:ascii="仿宋_GB2312" w:eastAsia="仿宋_GB2312"/>
          <w:b w:val="0"/>
          <w:bCs w:val="0"/>
          <w:color w:val="000000" w:themeColor="text1"/>
          <w:spacing w:val="6"/>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hint="eastAsia" w:ascii="仿宋_GB2312" w:eastAsia="仿宋_GB2312"/>
          <w:b w:val="0"/>
          <w:bCs w:val="0"/>
          <w:color w:val="000000" w:themeColor="text1"/>
          <w:sz w:val="32"/>
          <w:szCs w:val="32"/>
          <w:lang w:val="en-US"/>
          <w14:textFill>
            <w14:solidFill>
              <w14:schemeClr w14:val="tx1"/>
            </w14:solidFill>
          </w14:textFill>
        </w:rPr>
        <w:t>2.</w:t>
      </w:r>
      <w:r>
        <w:rPr>
          <w:rStyle w:val="43"/>
          <w:rFonts w:hint="default" w:ascii="仿宋_GB2312" w:eastAsia="仿宋_GB2312"/>
          <w:b w:val="0"/>
          <w:bCs w:val="0"/>
          <w:color w:val="000000" w:themeColor="text1"/>
          <w:sz w:val="32"/>
          <w:szCs w:val="32"/>
          <w:lang w:val="en-US"/>
          <w14:textFill>
            <w14:solidFill>
              <w14:schemeClr w14:val="tx1"/>
            </w14:solidFill>
          </w14:textFill>
        </w:rPr>
        <w:t xml:space="preserve"> </w:t>
      </w:r>
      <w:r>
        <w:rPr>
          <w:rStyle w:val="43"/>
          <w:rFonts w:hint="eastAsia" w:ascii="仿宋_GB2312" w:eastAsia="仿宋_GB2312"/>
          <w:b w:val="0"/>
          <w:bCs w:val="0"/>
          <w:color w:val="000000" w:themeColor="text1"/>
          <w:sz w:val="32"/>
          <w:szCs w:val="32"/>
          <w:lang w:eastAsia="zh-CN"/>
          <w14:textFill>
            <w14:solidFill>
              <w14:schemeClr w14:val="tx1"/>
            </w14:solidFill>
          </w14:textFill>
        </w:rPr>
        <w:t>信息</w:t>
      </w:r>
      <w:r>
        <w:rPr>
          <w:rStyle w:val="43"/>
          <w:rFonts w:ascii="仿宋_GB2312" w:eastAsia="仿宋_GB2312"/>
          <w:b w:val="0"/>
          <w:bCs w:val="0"/>
          <w:color w:val="000000" w:themeColor="text1"/>
          <w:sz w:val="32"/>
          <w:szCs w:val="32"/>
          <w14:textFill>
            <w14:solidFill>
              <w14:schemeClr w14:val="tx1"/>
            </w14:solidFill>
          </w14:textFill>
        </w:rPr>
        <w:t>公开。我局按要求将绩效目标随同部门年初预算同步公开，绩效目标完成情况、部门整体支出绩效评价自评报告等绩效信息随同部门年终决算公开</w:t>
      </w:r>
      <w:r>
        <w:rPr>
          <w:rStyle w:val="43"/>
          <w:rFonts w:hint="eastAsia" w:ascii="仿宋_GB2312" w:eastAsia="仿宋_GB2312"/>
          <w:b w:val="0"/>
          <w:bCs w:val="0"/>
          <w:color w:val="000000" w:themeColor="text1"/>
          <w:sz w:val="32"/>
          <w:szCs w:val="32"/>
          <w14:textFill>
            <w14:solidFill>
              <w14:schemeClr w14:val="tx1"/>
            </w14:solidFill>
          </w14:textFill>
        </w:rPr>
        <w:t>。</w:t>
      </w:r>
      <w:r>
        <w:rPr>
          <w:rStyle w:val="43"/>
          <w:rFonts w:ascii="仿宋_GB2312" w:eastAsia="仿宋_GB2312"/>
          <w:b w:val="0"/>
          <w:bCs w:val="0"/>
          <w:color w:val="000000" w:themeColor="text1"/>
          <w:sz w:val="32"/>
          <w:szCs w:val="32"/>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hint="eastAsia" w:ascii="仿宋_GB2312" w:eastAsia="仿宋_GB2312"/>
          <w:b w:val="0"/>
          <w:bCs w:val="0"/>
          <w:color w:val="000000" w:themeColor="text1"/>
          <w:sz w:val="32"/>
          <w:szCs w:val="32"/>
          <w:lang w:val="en-US"/>
          <w14:textFill>
            <w14:solidFill>
              <w14:schemeClr w14:val="tx1"/>
            </w14:solidFill>
          </w14:textFill>
        </w:rPr>
        <w:t>3.</w:t>
      </w:r>
      <w:r>
        <w:rPr>
          <w:rStyle w:val="43"/>
          <w:rFonts w:hint="default" w:ascii="仿宋_GB2312" w:eastAsia="仿宋_GB2312"/>
          <w:b w:val="0"/>
          <w:bCs w:val="0"/>
          <w:color w:val="000000" w:themeColor="text1"/>
          <w:sz w:val="32"/>
          <w:szCs w:val="32"/>
          <w:lang w:val="en-US"/>
          <w14:textFill>
            <w14:solidFill>
              <w14:schemeClr w14:val="tx1"/>
            </w14:solidFill>
          </w14:textFill>
        </w:rPr>
        <w:t xml:space="preserve"> </w:t>
      </w:r>
      <w:r>
        <w:rPr>
          <w:rStyle w:val="43"/>
          <w:rFonts w:ascii="仿宋_GB2312" w:eastAsia="仿宋_GB2312"/>
          <w:b w:val="0"/>
          <w:bCs w:val="0"/>
          <w:color w:val="000000" w:themeColor="text1"/>
          <w:sz w:val="32"/>
          <w:szCs w:val="32"/>
          <w14:textFill>
            <w14:solidFill>
              <w14:schemeClr w14:val="tx1"/>
            </w14:solidFill>
          </w14:textFill>
        </w:rPr>
        <w:t>问题整改。202</w:t>
      </w:r>
      <w:r>
        <w:rPr>
          <w:rStyle w:val="43"/>
          <w:rFonts w:hint="eastAsia" w:ascii="仿宋_GB2312" w:eastAsia="仿宋_GB2312"/>
          <w:b w:val="0"/>
          <w:bCs w:val="0"/>
          <w:color w:val="000000" w:themeColor="text1"/>
          <w:sz w:val="32"/>
          <w:szCs w:val="32"/>
          <w:lang w:val="en-US"/>
          <w14:textFill>
            <w14:solidFill>
              <w14:schemeClr w14:val="tx1"/>
            </w14:solidFill>
          </w14:textFill>
        </w:rPr>
        <w:t>4</w:t>
      </w:r>
      <w:r>
        <w:rPr>
          <w:rStyle w:val="43"/>
          <w:rFonts w:ascii="仿宋_GB2312" w:eastAsia="仿宋_GB2312"/>
          <w:b w:val="0"/>
          <w:bCs w:val="0"/>
          <w:color w:val="000000" w:themeColor="text1"/>
          <w:sz w:val="32"/>
          <w:szCs w:val="32"/>
          <w14:textFill>
            <w14:solidFill>
              <w14:schemeClr w14:val="tx1"/>
            </w14:solidFill>
          </w14:textFill>
        </w:rPr>
        <w:t>年，我局根据上级统一安排部署，结合地方实际，制定了详细的项目资金执行进度表、路线图，</w:t>
      </w:r>
      <w:r>
        <w:rPr>
          <w:rStyle w:val="43"/>
          <w:rFonts w:hint="eastAsia" w:ascii="仿宋_GB2312" w:eastAsia="仿宋_GB2312"/>
          <w:b w:val="0"/>
          <w:bCs w:val="0"/>
          <w:color w:val="000000" w:themeColor="text1"/>
          <w:sz w:val="32"/>
          <w:szCs w:val="32"/>
          <w14:textFill>
            <w14:solidFill>
              <w14:schemeClr w14:val="tx1"/>
            </w14:solidFill>
          </w14:textFill>
        </w:rPr>
        <w:t>不定期</w:t>
      </w:r>
      <w:r>
        <w:rPr>
          <w:rStyle w:val="43"/>
          <w:rFonts w:ascii="仿宋_GB2312" w:eastAsia="仿宋_GB2312"/>
          <w:b w:val="0"/>
          <w:bCs w:val="0"/>
          <w:color w:val="000000" w:themeColor="text1"/>
          <w:sz w:val="32"/>
          <w:szCs w:val="32"/>
          <w14:textFill>
            <w14:solidFill>
              <w14:schemeClr w14:val="tx1"/>
            </w14:solidFill>
          </w14:textFill>
        </w:rPr>
        <w:t>对资金执行进度进行考核通报，有效提高了资金的使用率。</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14:textFill>
            <w14:solidFill>
              <w14:schemeClr w14:val="tx1"/>
            </w14:solidFill>
          </w14:textFill>
        </w:rPr>
      </w:pPr>
      <w:r>
        <w:rPr>
          <w:rStyle w:val="43"/>
          <w:rFonts w:hint="eastAsia" w:ascii="仿宋_GB2312" w:eastAsia="仿宋_GB2312"/>
          <w:b w:val="0"/>
          <w:bCs w:val="0"/>
          <w:color w:val="000000" w:themeColor="text1"/>
          <w:sz w:val="32"/>
          <w:szCs w:val="32"/>
          <w:lang w:val="en-US"/>
          <w14:textFill>
            <w14:solidFill>
              <w14:schemeClr w14:val="tx1"/>
            </w14:solidFill>
          </w14:textFill>
        </w:rPr>
        <w:t>4.</w:t>
      </w:r>
      <w:r>
        <w:rPr>
          <w:rStyle w:val="43"/>
          <w:rFonts w:hint="default" w:ascii="仿宋_GB2312" w:eastAsia="仿宋_GB2312"/>
          <w:b w:val="0"/>
          <w:bCs w:val="0"/>
          <w:color w:val="000000" w:themeColor="text1"/>
          <w:sz w:val="32"/>
          <w:szCs w:val="32"/>
          <w:lang w:val="en-US"/>
          <w14:textFill>
            <w14:solidFill>
              <w14:schemeClr w14:val="tx1"/>
            </w14:solidFill>
          </w14:textFill>
        </w:rPr>
        <w:t xml:space="preserve"> </w:t>
      </w:r>
      <w:r>
        <w:rPr>
          <w:rStyle w:val="43"/>
          <w:rFonts w:ascii="仿宋_GB2312" w:eastAsia="仿宋_GB2312"/>
          <w:b w:val="0"/>
          <w:bCs w:val="0"/>
          <w:color w:val="000000" w:themeColor="text1"/>
          <w:sz w:val="32"/>
          <w:szCs w:val="32"/>
          <w14:textFill>
            <w14:solidFill>
              <w14:schemeClr w14:val="tx1"/>
            </w14:solidFill>
          </w14:textFill>
        </w:rPr>
        <w:t>应</w:t>
      </w:r>
      <w:r>
        <w:rPr>
          <w:rStyle w:val="43"/>
          <w:rFonts w:ascii="仿宋_GB2312" w:eastAsia="仿宋_GB2312"/>
          <w:b w:val="0"/>
          <w:bCs w:val="0"/>
          <w:color w:val="000000" w:themeColor="text1"/>
          <w:spacing w:val="6"/>
          <w:sz w:val="32"/>
          <w:szCs w:val="32"/>
          <w14:textFill>
            <w14:solidFill>
              <w14:schemeClr w14:val="tx1"/>
            </w14:solidFill>
          </w14:textFill>
        </w:rPr>
        <w:t>用反馈。严格按照绩效管理要求要求，按时报送预算绩效管理工作考核自查报告及相关材料，同时我局将各项目绩效评价结果作为次年政策优化、改进管理、预算调整、项目调整等的重要依据，并根据结果对202</w:t>
      </w:r>
      <w:r>
        <w:rPr>
          <w:rStyle w:val="43"/>
          <w:rFonts w:hint="eastAsia" w:ascii="仿宋_GB2312" w:eastAsia="仿宋_GB2312"/>
          <w:b w:val="0"/>
          <w:bCs w:val="0"/>
          <w:color w:val="000000" w:themeColor="text1"/>
          <w:spacing w:val="6"/>
          <w:sz w:val="32"/>
          <w:szCs w:val="32"/>
          <w:lang w:val="en-US"/>
          <w14:textFill>
            <w14:solidFill>
              <w14:schemeClr w14:val="tx1"/>
            </w14:solidFill>
          </w14:textFill>
        </w:rPr>
        <w:t>5</w:t>
      </w:r>
      <w:r>
        <w:rPr>
          <w:rStyle w:val="43"/>
          <w:rFonts w:ascii="仿宋_GB2312" w:eastAsia="仿宋_GB2312"/>
          <w:b w:val="0"/>
          <w:bCs w:val="0"/>
          <w:color w:val="000000" w:themeColor="text1"/>
          <w:spacing w:val="6"/>
          <w:sz w:val="32"/>
          <w:szCs w:val="32"/>
          <w14:textFill>
            <w14:solidFill>
              <w14:schemeClr w14:val="tx1"/>
            </w14:solidFill>
          </w14:textFill>
        </w:rPr>
        <w:t>年部分项目做了调整优化</w:t>
      </w:r>
      <w:r>
        <w:rPr>
          <w:rStyle w:val="43"/>
          <w:rFonts w:hint="eastAsia" w:ascii="仿宋_GB2312" w:eastAsia="仿宋_GB2312"/>
          <w:b w:val="0"/>
          <w:bCs w:val="0"/>
          <w:color w:val="000000" w:themeColor="text1"/>
          <w:spacing w:val="6"/>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黑体" w:hAnsi="黑体" w:eastAsia="黑体"/>
          <w:b w:val="0"/>
          <w:bCs w:val="0"/>
          <w:color w:val="000000" w:themeColor="text1"/>
          <w:sz w:val="32"/>
          <w:szCs w:val="32"/>
          <w14:textFill>
            <w14:solidFill>
              <w14:schemeClr w14:val="tx1"/>
            </w14:solidFill>
          </w14:textFill>
        </w:rPr>
      </w:pPr>
      <w:r>
        <w:rPr>
          <w:rStyle w:val="43"/>
          <w:rFonts w:ascii="黑体" w:hAnsi="黑体" w:eastAsia="黑体"/>
          <w:b w:val="0"/>
          <w:bCs w:val="0"/>
          <w:color w:val="000000" w:themeColor="text1"/>
          <w:sz w:val="32"/>
          <w:szCs w:val="32"/>
          <w14:textFill>
            <w14:solidFill>
              <w14:schemeClr w14:val="tx1"/>
            </w14:solidFill>
          </w14:textFill>
        </w:rPr>
        <w:t>四、评价结论及建议</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t>（一）评价结论</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eastAsia="仿宋_GB2312"/>
          <w:b w:val="0"/>
          <w:bCs w:val="0"/>
          <w:color w:val="000000" w:themeColor="text1"/>
          <w:sz w:val="32"/>
          <w:szCs w:val="32"/>
          <w14:textFill>
            <w14:solidFill>
              <w14:schemeClr w14:val="tx1"/>
            </w14:solidFill>
          </w14:textFill>
        </w:rPr>
      </w:pPr>
      <w:r>
        <w:rPr>
          <w:rStyle w:val="43"/>
          <w:rFonts w:ascii="仿宋_GB2312" w:eastAsia="仿宋_GB2312"/>
          <w:b w:val="0"/>
          <w:bCs w:val="0"/>
          <w:color w:val="000000" w:themeColor="text1"/>
          <w:sz w:val="32"/>
          <w:szCs w:val="32"/>
          <w14:textFill>
            <w14:solidFill>
              <w14:schemeClr w14:val="tx1"/>
            </w14:solidFill>
          </w14:textFill>
        </w:rPr>
        <w:t>根据</w:t>
      </w:r>
      <w:r>
        <w:rPr>
          <w:rStyle w:val="43"/>
          <w:rFonts w:ascii="仿宋_GB2312" w:hAnsi="仿宋_GB2312" w:eastAsia="仿宋_GB2312"/>
          <w:b w:val="0"/>
          <w:bCs w:val="0"/>
          <w:color w:val="000000" w:themeColor="text1"/>
          <w:spacing w:val="-6"/>
          <w:sz w:val="32"/>
          <w:szCs w:val="32"/>
          <w14:textFill>
            <w14:solidFill>
              <w14:schemeClr w14:val="tx1"/>
            </w14:solidFill>
          </w14:textFill>
        </w:rPr>
        <w:t>《广元市财政局关于开展202</w:t>
      </w:r>
      <w:r>
        <w:rPr>
          <w:rStyle w:val="43"/>
          <w:rFonts w:hint="eastAsia" w:ascii="仿宋_GB2312" w:hAnsi="仿宋_GB2312" w:eastAsia="仿宋_GB2312"/>
          <w:b w:val="0"/>
          <w:bCs w:val="0"/>
          <w:color w:val="000000" w:themeColor="text1"/>
          <w:spacing w:val="-6"/>
          <w:sz w:val="32"/>
          <w:szCs w:val="32"/>
          <w:lang w:val="en-US"/>
          <w14:textFill>
            <w14:solidFill>
              <w14:schemeClr w14:val="tx1"/>
            </w14:solidFill>
          </w14:textFill>
        </w:rPr>
        <w:t>5</w:t>
      </w:r>
      <w:r>
        <w:rPr>
          <w:rStyle w:val="43"/>
          <w:rFonts w:ascii="仿宋_GB2312" w:hAnsi="仿宋_GB2312" w:eastAsia="仿宋_GB2312"/>
          <w:b w:val="0"/>
          <w:bCs w:val="0"/>
          <w:color w:val="000000" w:themeColor="text1"/>
          <w:spacing w:val="-6"/>
          <w:sz w:val="32"/>
          <w:szCs w:val="32"/>
          <w14:textFill>
            <w14:solidFill>
              <w14:schemeClr w14:val="tx1"/>
            </w14:solidFill>
          </w14:textFill>
        </w:rPr>
        <w:t>年度</w:t>
      </w:r>
      <w:r>
        <w:rPr>
          <w:rStyle w:val="43"/>
          <w:rFonts w:hint="eastAsia" w:ascii="仿宋_GB2312" w:hAnsi="仿宋_GB2312" w:eastAsia="仿宋_GB2312"/>
          <w:b w:val="0"/>
          <w:bCs w:val="0"/>
          <w:color w:val="000000" w:themeColor="text1"/>
          <w:spacing w:val="-6"/>
          <w:sz w:val="32"/>
          <w:szCs w:val="32"/>
          <w14:textFill>
            <w14:solidFill>
              <w14:schemeClr w14:val="tx1"/>
            </w14:solidFill>
          </w14:textFill>
        </w:rPr>
        <w:t>市级</w:t>
      </w:r>
      <w:r>
        <w:rPr>
          <w:rStyle w:val="43"/>
          <w:rFonts w:ascii="仿宋_GB2312" w:hAnsi="仿宋_GB2312" w:eastAsia="仿宋_GB2312"/>
          <w:b w:val="0"/>
          <w:bCs w:val="0"/>
          <w:color w:val="000000" w:themeColor="text1"/>
          <w:spacing w:val="-6"/>
          <w:sz w:val="32"/>
          <w:szCs w:val="32"/>
          <w14:textFill>
            <w14:solidFill>
              <w14:schemeClr w14:val="tx1"/>
            </w14:solidFill>
          </w14:textFill>
        </w:rPr>
        <w:t>部门绩效自评工作的通知》（广财绩〔202</w:t>
      </w:r>
      <w:r>
        <w:rPr>
          <w:rStyle w:val="43"/>
          <w:rFonts w:hint="eastAsia" w:ascii="仿宋_GB2312" w:hAnsi="仿宋_GB2312" w:eastAsia="仿宋_GB2312"/>
          <w:b w:val="0"/>
          <w:bCs w:val="0"/>
          <w:color w:val="000000" w:themeColor="text1"/>
          <w:spacing w:val="-6"/>
          <w:sz w:val="32"/>
          <w:szCs w:val="32"/>
          <w:lang w:val="en-US"/>
          <w14:textFill>
            <w14:solidFill>
              <w14:schemeClr w14:val="tx1"/>
            </w14:solidFill>
          </w14:textFill>
        </w:rPr>
        <w:t>5</w:t>
      </w:r>
      <w:r>
        <w:rPr>
          <w:rStyle w:val="43"/>
          <w:rFonts w:ascii="仿宋_GB2312" w:hAnsi="仿宋_GB2312" w:eastAsia="仿宋_GB2312"/>
          <w:b w:val="0"/>
          <w:bCs w:val="0"/>
          <w:color w:val="000000" w:themeColor="text1"/>
          <w:spacing w:val="-6"/>
          <w:sz w:val="32"/>
          <w:szCs w:val="32"/>
          <w14:textFill>
            <w14:solidFill>
              <w14:schemeClr w14:val="tx1"/>
            </w14:solidFill>
          </w14:textFill>
        </w:rPr>
        <w:t>〕</w:t>
      </w:r>
      <w:r>
        <w:rPr>
          <w:rStyle w:val="43"/>
          <w:rFonts w:hint="eastAsia" w:ascii="仿宋_GB2312" w:hAnsi="仿宋_GB2312" w:eastAsia="仿宋_GB2312"/>
          <w:b w:val="0"/>
          <w:bCs w:val="0"/>
          <w:color w:val="000000" w:themeColor="text1"/>
          <w:spacing w:val="-6"/>
          <w:sz w:val="32"/>
          <w:szCs w:val="32"/>
          <w:lang w:val="en-US"/>
          <w14:textFill>
            <w14:solidFill>
              <w14:schemeClr w14:val="tx1"/>
            </w14:solidFill>
          </w14:textFill>
        </w:rPr>
        <w:t>4</w:t>
      </w:r>
      <w:r>
        <w:rPr>
          <w:rStyle w:val="43"/>
          <w:rFonts w:ascii="仿宋_GB2312" w:hAnsi="仿宋_GB2312" w:eastAsia="仿宋_GB2312"/>
          <w:b w:val="0"/>
          <w:bCs w:val="0"/>
          <w:color w:val="000000" w:themeColor="text1"/>
          <w:spacing w:val="-6"/>
          <w:sz w:val="32"/>
          <w:szCs w:val="32"/>
          <w14:textFill>
            <w14:solidFill>
              <w14:schemeClr w14:val="tx1"/>
            </w14:solidFill>
          </w14:textFill>
        </w:rPr>
        <w:t>号）</w:t>
      </w:r>
      <w:r>
        <w:rPr>
          <w:rStyle w:val="43"/>
          <w:rFonts w:ascii="仿宋_GB2312" w:eastAsia="仿宋_GB2312"/>
          <w:b w:val="0"/>
          <w:bCs w:val="0"/>
          <w:color w:val="000000" w:themeColor="text1"/>
          <w:sz w:val="32"/>
          <w:szCs w:val="32"/>
          <w14:textFill>
            <w14:solidFill>
              <w14:schemeClr w14:val="tx1"/>
            </w14:solidFill>
          </w14:textFill>
        </w:rPr>
        <w:t>文件要求，我局高度重视，认真学习解读，并对202</w:t>
      </w:r>
      <w:r>
        <w:rPr>
          <w:rStyle w:val="43"/>
          <w:rFonts w:hint="eastAsia" w:ascii="仿宋_GB2312" w:eastAsia="仿宋_GB2312"/>
          <w:b w:val="0"/>
          <w:bCs w:val="0"/>
          <w:color w:val="000000" w:themeColor="text1"/>
          <w:sz w:val="32"/>
          <w:szCs w:val="32"/>
          <w:lang w:val="en-US"/>
          <w14:textFill>
            <w14:solidFill>
              <w14:schemeClr w14:val="tx1"/>
            </w14:solidFill>
          </w14:textFill>
        </w:rPr>
        <w:t>4</w:t>
      </w:r>
      <w:r>
        <w:rPr>
          <w:rStyle w:val="43"/>
          <w:rFonts w:ascii="仿宋_GB2312" w:eastAsia="仿宋_GB2312"/>
          <w:b w:val="0"/>
          <w:bCs w:val="0"/>
          <w:color w:val="000000" w:themeColor="text1"/>
          <w:sz w:val="32"/>
          <w:szCs w:val="32"/>
          <w14:textFill>
            <w14:solidFill>
              <w14:schemeClr w14:val="tx1"/>
            </w14:solidFill>
          </w14:textFill>
        </w:rPr>
        <w:t>年整体支出情况开展自评，自评得</w:t>
      </w:r>
      <w:r>
        <w:rPr>
          <w:rStyle w:val="43"/>
          <w:rFonts w:hint="eastAsia" w:ascii="仿宋_GB2312" w:eastAsia="仿宋_GB2312"/>
          <w:b w:val="0"/>
          <w:bCs w:val="0"/>
          <w:color w:val="000000" w:themeColor="text1"/>
          <w:sz w:val="32"/>
          <w:szCs w:val="32"/>
          <w:lang w:val="en-US"/>
          <w14:textFill>
            <w14:solidFill>
              <w14:schemeClr w14:val="tx1"/>
            </w14:solidFill>
          </w14:textFill>
        </w:rPr>
        <w:t xml:space="preserve"> 93.79 </w:t>
      </w:r>
      <w:r>
        <w:rPr>
          <w:rStyle w:val="43"/>
          <w:rFonts w:ascii="仿宋_GB2312" w:eastAsia="仿宋_GB2312"/>
          <w:b w:val="0"/>
          <w:bCs w:val="0"/>
          <w:color w:val="000000" w:themeColor="text1"/>
          <w:sz w:val="32"/>
          <w:szCs w:val="32"/>
          <w14:textFill>
            <w14:solidFill>
              <w14:schemeClr w14:val="tx1"/>
            </w14:solidFill>
          </w14:textFill>
        </w:rPr>
        <w:t>分，自评结果为优秀。</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pPr>
      <w:r>
        <w:rPr>
          <w:rStyle w:val="43"/>
          <w:rFonts w:hint="eastAsia" w:ascii="楷体_GB2312" w:hAnsi="楷体_GB2312" w:eastAsia="楷体_GB2312" w:cs="楷体_GB2312"/>
          <w:b w:val="0"/>
          <w:bCs w:val="0"/>
          <w:color w:val="000000" w:themeColor="text1"/>
          <w:sz w:val="32"/>
          <w:szCs w:val="32"/>
          <w14:textFill>
            <w14:solidFill>
              <w14:schemeClr w14:val="tx1"/>
            </w14:solidFill>
          </w14:textFill>
        </w:rPr>
        <w:t>（二）存在问题</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ascii="仿宋_GB2312" w:hAnsi="仿宋_GB2312" w:eastAsia="仿宋_GB2312"/>
          <w:b w:val="0"/>
          <w:bCs w:val="0"/>
          <w:color w:val="000000" w:themeColor="text1"/>
          <w:spacing w:val="0"/>
          <w:sz w:val="32"/>
          <w:szCs w:val="32"/>
          <w14:textFill>
            <w14:solidFill>
              <w14:schemeClr w14:val="tx1"/>
            </w14:solidFill>
          </w14:textFill>
        </w:rPr>
      </w:pPr>
      <w:r>
        <w:rPr>
          <w:rStyle w:val="43"/>
          <w:rFonts w:hint="eastAsia" w:ascii="仿宋_GB2312" w:hAnsi="仿宋_GB2312" w:eastAsia="仿宋_GB2312"/>
          <w:b w:val="0"/>
          <w:bCs w:val="0"/>
          <w:color w:val="000000" w:themeColor="text1"/>
          <w:spacing w:val="0"/>
          <w:sz w:val="32"/>
          <w:szCs w:val="32"/>
          <w:lang w:val="en-US"/>
          <w14:textFill>
            <w14:solidFill>
              <w14:schemeClr w14:val="tx1"/>
            </w14:solidFill>
          </w14:textFill>
        </w:rPr>
        <w:t>1.</w:t>
      </w:r>
      <w:r>
        <w:rPr>
          <w:rStyle w:val="43"/>
          <w:rFonts w:hint="default" w:ascii="仿宋_GB2312" w:hAnsi="仿宋_GB2312" w:eastAsia="仿宋_GB2312"/>
          <w:b w:val="0"/>
          <w:bCs w:val="0"/>
          <w:color w:val="000000" w:themeColor="text1"/>
          <w:spacing w:val="0"/>
          <w:sz w:val="32"/>
          <w:szCs w:val="32"/>
          <w:lang w:val="en-US"/>
          <w14:textFill>
            <w14:solidFill>
              <w14:schemeClr w14:val="tx1"/>
            </w14:solidFill>
          </w14:textFill>
        </w:rPr>
        <w:t xml:space="preserve"> </w:t>
      </w:r>
      <w:r>
        <w:rPr>
          <w:rStyle w:val="43"/>
          <w:rFonts w:ascii="仿宋_GB2312" w:hAnsi="仿宋_GB2312" w:eastAsia="仿宋_GB2312"/>
          <w:b w:val="0"/>
          <w:bCs w:val="0"/>
          <w:color w:val="000000" w:themeColor="text1"/>
          <w:spacing w:val="0"/>
          <w:sz w:val="32"/>
          <w:szCs w:val="32"/>
          <w14:textFill>
            <w14:solidFill>
              <w14:schemeClr w14:val="tx1"/>
            </w14:solidFill>
          </w14:textFill>
        </w:rPr>
        <w:t>预算</w:t>
      </w:r>
      <w:r>
        <w:rPr>
          <w:rStyle w:val="43"/>
          <w:rFonts w:hint="eastAsia" w:ascii="仿宋_GB2312" w:hAnsi="仿宋_GB2312" w:eastAsia="仿宋_GB2312"/>
          <w:b w:val="0"/>
          <w:bCs w:val="0"/>
          <w:color w:val="000000" w:themeColor="text1"/>
          <w:spacing w:val="0"/>
          <w:sz w:val="32"/>
          <w:szCs w:val="32"/>
          <w:lang w:eastAsia="zh-CN"/>
          <w14:textFill>
            <w14:solidFill>
              <w14:schemeClr w14:val="tx1"/>
            </w14:solidFill>
          </w14:textFill>
        </w:rPr>
        <w:t>编制不够精确</w:t>
      </w:r>
      <w:r>
        <w:rPr>
          <w:rStyle w:val="43"/>
          <w:rFonts w:ascii="仿宋_GB2312" w:hAnsi="仿宋_GB2312" w:eastAsia="仿宋_GB2312"/>
          <w:b w:val="0"/>
          <w:bCs w:val="0"/>
          <w:color w:val="000000" w:themeColor="text1"/>
          <w:spacing w:val="0"/>
          <w:sz w:val="32"/>
          <w:szCs w:val="32"/>
          <w14:textFill>
            <w14:solidFill>
              <w14:schemeClr w14:val="tx1"/>
            </w14:solidFill>
          </w14:textFill>
        </w:rPr>
        <w:t>。</w:t>
      </w:r>
      <w:r>
        <w:rPr>
          <w:rStyle w:val="43"/>
          <w:rFonts w:hint="eastAsia" w:ascii="仿宋_GB2312" w:hAnsi="仿宋_GB2312" w:eastAsia="仿宋_GB2312"/>
          <w:b w:val="0"/>
          <w:bCs w:val="0"/>
          <w:color w:val="000000" w:themeColor="text1"/>
          <w:spacing w:val="0"/>
          <w:sz w:val="32"/>
          <w:szCs w:val="32"/>
          <w14:textFill>
            <w14:solidFill>
              <w14:schemeClr w14:val="tx1"/>
            </w14:solidFill>
          </w14:textFill>
        </w:rPr>
        <w:t>因对数据预测缺乏前瞻性，</w:t>
      </w:r>
      <w:r>
        <w:rPr>
          <w:rStyle w:val="43"/>
          <w:rFonts w:ascii="仿宋_GB2312" w:hAnsi="仿宋_GB2312" w:eastAsia="仿宋_GB2312"/>
          <w:b w:val="0"/>
          <w:bCs w:val="0"/>
          <w:color w:val="000000" w:themeColor="text1"/>
          <w:spacing w:val="0"/>
          <w:sz w:val="32"/>
          <w:szCs w:val="32"/>
          <w14:textFill>
            <w14:solidFill>
              <w14:schemeClr w14:val="tx1"/>
            </w14:solidFill>
          </w14:textFill>
        </w:rPr>
        <w:t>编制依据和测算深度不够，</w:t>
      </w:r>
      <w:r>
        <w:rPr>
          <w:rStyle w:val="43"/>
          <w:rFonts w:hint="eastAsia" w:ascii="仿宋_GB2312" w:hAnsi="仿宋_GB2312" w:eastAsia="仿宋_GB2312"/>
          <w:b w:val="0"/>
          <w:bCs w:val="0"/>
          <w:color w:val="000000" w:themeColor="text1"/>
          <w:spacing w:val="0"/>
          <w:sz w:val="32"/>
          <w:szCs w:val="32"/>
          <w14:textFill>
            <w14:solidFill>
              <w14:schemeClr w14:val="tx1"/>
            </w14:solidFill>
          </w14:textFill>
        </w:rPr>
        <w:t>导致部分预算执行与年初存在偏离度。</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hAnsi="仿宋_GB2312" w:eastAsia="仿宋_GB2312"/>
          <w:b w:val="0"/>
          <w:bCs w:val="0"/>
          <w:color w:val="000000" w:themeColor="text1"/>
          <w:spacing w:val="0"/>
          <w:sz w:val="32"/>
          <w:szCs w:val="32"/>
          <w14:textFill>
            <w14:solidFill>
              <w14:schemeClr w14:val="tx1"/>
            </w14:solidFill>
          </w14:textFill>
        </w:rPr>
      </w:pPr>
      <w:r>
        <w:rPr>
          <w:rStyle w:val="43"/>
          <w:rFonts w:hint="eastAsia" w:ascii="仿宋_GB2312" w:hAnsi="仿宋_GB2312" w:eastAsia="仿宋_GB2312"/>
          <w:b w:val="0"/>
          <w:bCs w:val="0"/>
          <w:color w:val="000000" w:themeColor="text1"/>
          <w:spacing w:val="0"/>
          <w:sz w:val="32"/>
          <w:szCs w:val="32"/>
          <w:lang w:val="en-US"/>
          <w14:textFill>
            <w14:solidFill>
              <w14:schemeClr w14:val="tx1"/>
            </w14:solidFill>
          </w14:textFill>
        </w:rPr>
        <w:t>2</w:t>
      </w:r>
      <w:r>
        <w:rPr>
          <w:rStyle w:val="43"/>
          <w:rFonts w:hint="default" w:ascii="仿宋_GB2312" w:hAnsi="仿宋_GB2312" w:eastAsia="仿宋_GB2312"/>
          <w:b w:val="0"/>
          <w:bCs w:val="0"/>
          <w:color w:val="000000" w:themeColor="text1"/>
          <w:spacing w:val="0"/>
          <w:sz w:val="32"/>
          <w:szCs w:val="32"/>
          <w:lang w:val="en-US"/>
          <w14:textFill>
            <w14:solidFill>
              <w14:schemeClr w14:val="tx1"/>
            </w14:solidFill>
          </w14:textFill>
        </w:rPr>
        <w:t xml:space="preserve">. </w:t>
      </w:r>
      <w:r>
        <w:rPr>
          <w:rStyle w:val="43"/>
          <w:rFonts w:ascii="仿宋_GB2312" w:hAnsi="仿宋_GB2312" w:eastAsia="仿宋_GB2312"/>
          <w:b w:val="0"/>
          <w:bCs w:val="0"/>
          <w:color w:val="000000" w:themeColor="text1"/>
          <w:spacing w:val="0"/>
          <w:sz w:val="32"/>
          <w:szCs w:val="32"/>
          <w14:textFill>
            <w14:solidFill>
              <w14:schemeClr w14:val="tx1"/>
            </w14:solidFill>
          </w14:textFill>
        </w:rPr>
        <w:t>预算执行进度不均衡。因个别项目支出集中在年底，</w:t>
      </w:r>
      <w:r>
        <w:rPr>
          <w:rStyle w:val="43"/>
          <w:rFonts w:hint="eastAsia" w:ascii="仿宋_GB2312" w:hAnsi="仿宋_GB2312" w:eastAsia="仿宋_GB2312"/>
          <w:b w:val="0"/>
          <w:bCs w:val="0"/>
          <w:color w:val="000000" w:themeColor="text1"/>
          <w:spacing w:val="0"/>
          <w:sz w:val="32"/>
          <w:szCs w:val="32"/>
          <w14:textFill>
            <w14:solidFill>
              <w14:schemeClr w14:val="tx1"/>
            </w14:solidFill>
          </w14:textFill>
        </w:rPr>
        <w:t>导致上半年执行进度低于序时进度。</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default" w:ascii="仿宋_GB2312" w:hAnsi="仿宋_GB2312" w:eastAsia="仿宋_GB2312"/>
          <w:b w:val="0"/>
          <w:bCs w:val="0"/>
          <w:color w:val="000000" w:themeColor="text1"/>
          <w:spacing w:val="0"/>
          <w:sz w:val="32"/>
          <w:szCs w:val="32"/>
          <w:lang w:val="en-US"/>
          <w14:textFill>
            <w14:solidFill>
              <w14:schemeClr w14:val="tx1"/>
            </w14:solidFill>
          </w14:textFill>
        </w:rPr>
      </w:pPr>
      <w:r>
        <w:rPr>
          <w:rStyle w:val="43"/>
          <w:rFonts w:hint="eastAsia" w:ascii="仿宋_GB2312" w:hAnsi="仿宋_GB2312" w:eastAsia="仿宋_GB2312"/>
          <w:b w:val="0"/>
          <w:bCs w:val="0"/>
          <w:color w:val="000000" w:themeColor="text1"/>
          <w:spacing w:val="0"/>
          <w:sz w:val="32"/>
          <w:szCs w:val="32"/>
          <w:lang w:val="en-US"/>
          <w14:textFill>
            <w14:solidFill>
              <w14:schemeClr w14:val="tx1"/>
            </w14:solidFill>
          </w14:textFill>
        </w:rPr>
        <w:t>3.</w:t>
      </w:r>
      <w:r>
        <w:rPr>
          <w:rStyle w:val="43"/>
          <w:rFonts w:hint="default" w:ascii="仿宋_GB2312" w:hAnsi="仿宋_GB2312" w:eastAsia="仿宋_GB2312"/>
          <w:b w:val="0"/>
          <w:bCs w:val="0"/>
          <w:color w:val="000000" w:themeColor="text1"/>
          <w:spacing w:val="0"/>
          <w:sz w:val="32"/>
          <w:szCs w:val="32"/>
          <w:lang w:val="en-US"/>
          <w14:textFill>
            <w14:solidFill>
              <w14:schemeClr w14:val="tx1"/>
            </w14:solidFill>
          </w14:textFill>
        </w:rPr>
        <w:t xml:space="preserve"> </w:t>
      </w:r>
      <w:r>
        <w:rPr>
          <w:rStyle w:val="43"/>
          <w:rFonts w:hint="eastAsia" w:ascii="仿宋_GB2312" w:hAnsi="仿宋_GB2312" w:eastAsia="仿宋_GB2312"/>
          <w:b w:val="0"/>
          <w:bCs w:val="0"/>
          <w:color w:val="000000" w:themeColor="text1"/>
          <w:spacing w:val="0"/>
          <w:sz w:val="32"/>
          <w:szCs w:val="32"/>
          <w:lang w:val="en-US"/>
          <w14:textFill>
            <w14:solidFill>
              <w14:schemeClr w14:val="tx1"/>
            </w14:solidFill>
          </w14:textFill>
        </w:rPr>
        <w:t>资产利用率不高。缺乏资产维护的技术与经验，未能延长资产的使用年限，导致已完成折旧的资产持续利用率低。</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楷体_GB2312" w:hAnsi="楷体_GB2312" w:eastAsia="楷体_GB2312" w:cs="楷体_GB2312"/>
          <w:b w:val="0"/>
          <w:bCs w:val="0"/>
          <w:color w:val="000000" w:themeColor="text1"/>
          <w:spacing w:val="0"/>
          <w:sz w:val="32"/>
          <w:szCs w:val="32"/>
          <w14:textFill>
            <w14:solidFill>
              <w14:schemeClr w14:val="tx1"/>
            </w14:solidFill>
          </w14:textFill>
        </w:rPr>
      </w:pPr>
      <w:r>
        <w:rPr>
          <w:rStyle w:val="43"/>
          <w:rFonts w:hint="eastAsia" w:ascii="楷体_GB2312" w:hAnsi="楷体_GB2312" w:eastAsia="楷体_GB2312" w:cs="楷体_GB2312"/>
          <w:b w:val="0"/>
          <w:bCs w:val="0"/>
          <w:color w:val="000000" w:themeColor="text1"/>
          <w:spacing w:val="0"/>
          <w:sz w:val="32"/>
          <w:szCs w:val="32"/>
          <w14:textFill>
            <w14:solidFill>
              <w14:schemeClr w14:val="tx1"/>
            </w14:solidFill>
          </w14:textFill>
        </w:rPr>
        <w:t>（三）改进建议</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14:textFill>
            <w14:solidFill>
              <w14:schemeClr w14:val="tx1"/>
            </w14:solidFill>
          </w14:textFill>
        </w:rPr>
      </w:pPr>
      <w:r>
        <w:rPr>
          <w:rStyle w:val="43"/>
          <w:rFonts w:hint="eastAsia" w:ascii="仿宋_GB2312" w:eastAsia="仿宋_GB2312"/>
          <w:b w:val="0"/>
          <w:bCs w:val="0"/>
          <w:color w:val="000000" w:themeColor="text1"/>
          <w:sz w:val="32"/>
          <w:szCs w:val="32"/>
          <w:lang w:val="en-US"/>
          <w14:textFill>
            <w14:solidFill>
              <w14:schemeClr w14:val="tx1"/>
            </w14:solidFill>
          </w14:textFill>
        </w:rPr>
        <w:t>1.</w:t>
      </w:r>
      <w:r>
        <w:rPr>
          <w:rStyle w:val="43"/>
          <w:rFonts w:hint="default" w:ascii="仿宋_GB2312" w:eastAsia="仿宋_GB2312"/>
          <w:b w:val="0"/>
          <w:bCs w:val="0"/>
          <w:color w:val="000000" w:themeColor="text1"/>
          <w:sz w:val="32"/>
          <w:szCs w:val="32"/>
          <w:lang w:val="en-US"/>
          <w14:textFill>
            <w14:solidFill>
              <w14:schemeClr w14:val="tx1"/>
            </w14:solidFill>
          </w14:textFill>
        </w:rPr>
        <w:t xml:space="preserve"> </w:t>
      </w:r>
      <w:r>
        <w:rPr>
          <w:rStyle w:val="43"/>
          <w:rFonts w:hint="eastAsia" w:ascii="仿宋_GB2312" w:eastAsia="仿宋_GB2312"/>
          <w:b w:val="0"/>
          <w:bCs w:val="0"/>
          <w:color w:val="000000" w:themeColor="text1"/>
          <w:sz w:val="32"/>
          <w:szCs w:val="32"/>
          <w14:textFill>
            <w14:solidFill>
              <w14:schemeClr w14:val="tx1"/>
            </w14:solidFill>
          </w14:textFill>
        </w:rPr>
        <w:t>提升预算标编制</w:t>
      </w:r>
      <w:r>
        <w:rPr>
          <w:rStyle w:val="43"/>
          <w:rFonts w:hint="eastAsia" w:ascii="仿宋_GB2312" w:eastAsia="仿宋_GB2312"/>
          <w:b w:val="0"/>
          <w:bCs w:val="0"/>
          <w:color w:val="000000" w:themeColor="text1"/>
          <w:sz w:val="32"/>
          <w:szCs w:val="32"/>
          <w:lang w:eastAsia="zh-CN"/>
          <w14:textFill>
            <w14:solidFill>
              <w14:schemeClr w14:val="tx1"/>
            </w14:solidFill>
          </w14:textFill>
        </w:rPr>
        <w:t>科学性</w:t>
      </w:r>
      <w:r>
        <w:rPr>
          <w:rStyle w:val="43"/>
          <w:rFonts w:hint="eastAsia" w:ascii="仿宋_GB2312" w:eastAsia="仿宋_GB2312"/>
          <w:b w:val="0"/>
          <w:bCs w:val="0"/>
          <w:color w:val="000000" w:themeColor="text1"/>
          <w:sz w:val="32"/>
          <w:szCs w:val="32"/>
          <w14:textFill>
            <w14:solidFill>
              <w14:schemeClr w14:val="tx1"/>
            </w14:solidFill>
          </w14:textFill>
        </w:rPr>
        <w:t>。加强运用大数据分析等技术手段，提高信息的准确性和及时性。随着预算的执行不断补充和修订，使预算始终保持一定的前瞻性和灵活性。</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14:textFill>
            <w14:solidFill>
              <w14:schemeClr w14:val="tx1"/>
            </w14:solidFill>
          </w14:textFill>
        </w:rPr>
      </w:pPr>
      <w:r>
        <w:rPr>
          <w:rStyle w:val="43"/>
          <w:rFonts w:hint="eastAsia" w:ascii="仿宋_GB2312" w:eastAsia="仿宋_GB2312"/>
          <w:b w:val="0"/>
          <w:bCs w:val="0"/>
          <w:color w:val="000000" w:themeColor="text1"/>
          <w:sz w:val="32"/>
          <w:szCs w:val="32"/>
          <w:lang w:val="en-US"/>
          <w14:textFill>
            <w14:solidFill>
              <w14:schemeClr w14:val="tx1"/>
            </w14:solidFill>
          </w14:textFill>
        </w:rPr>
        <w:t>2.</w:t>
      </w:r>
      <w:r>
        <w:rPr>
          <w:rStyle w:val="43"/>
          <w:rFonts w:hint="default" w:ascii="仿宋_GB2312" w:eastAsia="仿宋_GB2312"/>
          <w:b w:val="0"/>
          <w:bCs w:val="0"/>
          <w:color w:val="000000" w:themeColor="text1"/>
          <w:sz w:val="32"/>
          <w:szCs w:val="32"/>
          <w:lang w:val="en-US"/>
          <w14:textFill>
            <w14:solidFill>
              <w14:schemeClr w14:val="tx1"/>
            </w14:solidFill>
          </w14:textFill>
        </w:rPr>
        <w:t xml:space="preserve"> </w:t>
      </w:r>
      <w:r>
        <w:rPr>
          <w:rStyle w:val="43"/>
          <w:rFonts w:ascii="仿宋_GB2312" w:eastAsia="仿宋_GB2312"/>
          <w:b w:val="0"/>
          <w:bCs w:val="0"/>
          <w:color w:val="000000" w:themeColor="text1"/>
          <w:sz w:val="32"/>
          <w:szCs w:val="32"/>
          <w14:textFill>
            <w14:solidFill>
              <w14:schemeClr w14:val="tx1"/>
            </w14:solidFill>
          </w14:textFill>
        </w:rPr>
        <w:t>严格执行预算绩效管理规定。定期做好支出财务分析，及时对预算执行情况进行通报和预警。加强项目实施进度的跟踪，</w:t>
      </w:r>
      <w:r>
        <w:rPr>
          <w:rStyle w:val="43"/>
          <w:rFonts w:hint="eastAsia" w:ascii="仿宋_GB2312" w:eastAsia="仿宋_GB2312"/>
          <w:b w:val="0"/>
          <w:bCs w:val="0"/>
          <w:color w:val="000000" w:themeColor="text1"/>
          <w:sz w:val="32"/>
          <w:szCs w:val="32"/>
          <w14:textFill>
            <w14:solidFill>
              <w14:schemeClr w14:val="tx1"/>
            </w14:solidFill>
          </w14:textFill>
        </w:rPr>
        <w:t>提高财政资金支出的运行效率。</w:t>
      </w:r>
    </w:p>
    <w:p>
      <w:pPr>
        <w:pStyle w:val="2"/>
        <w:keepNext w:val="0"/>
        <w:keepLines w:val="0"/>
        <w:pageBreakBefore w:val="0"/>
        <w:widowControl w:val="0"/>
        <w:kinsoku/>
        <w:wordWrap/>
        <w:overflowPunct/>
        <w:topLinePunct w:val="0"/>
        <w:autoSpaceDE/>
        <w:autoSpaceDN/>
        <w:bidi w:val="0"/>
        <w:adjustRightInd w:val="0"/>
        <w:snapToGrid w:val="0"/>
        <w:spacing w:beforeLines="0" w:after="0" w:line="576" w:lineRule="exact"/>
        <w:ind w:left="0" w:firstLine="640" w:firstLineChars="200"/>
        <w:rPr>
          <w:rFonts w:hint="default"/>
          <w:b w:val="0"/>
          <w:bCs w:val="0"/>
          <w:color w:val="000000" w:themeColor="text1"/>
          <w:lang w:val="en-US"/>
          <w14:textFill>
            <w14:solidFill>
              <w14:schemeClr w14:val="tx1"/>
            </w14:solidFill>
          </w14:textFill>
        </w:rPr>
      </w:pPr>
      <w:r>
        <w:rPr>
          <w:rStyle w:val="43"/>
          <w:rFonts w:hint="eastAsia" w:ascii="仿宋_GB2312" w:eastAsia="仿宋_GB2312"/>
          <w:b w:val="0"/>
          <w:bCs w:val="0"/>
          <w:color w:val="000000" w:themeColor="text1"/>
          <w:sz w:val="32"/>
          <w:szCs w:val="32"/>
          <w:lang w:val="en-US"/>
          <w14:textFill>
            <w14:solidFill>
              <w14:schemeClr w14:val="tx1"/>
            </w14:solidFill>
          </w14:textFill>
        </w:rPr>
        <w:t>3.</w:t>
      </w:r>
      <w:r>
        <w:rPr>
          <w:rStyle w:val="43"/>
          <w:rFonts w:hint="default" w:ascii="仿宋_GB2312" w:eastAsia="仿宋_GB2312"/>
          <w:b w:val="0"/>
          <w:bCs w:val="0"/>
          <w:color w:val="000000" w:themeColor="text1"/>
          <w:sz w:val="32"/>
          <w:szCs w:val="32"/>
          <w:lang w:val="en-US"/>
          <w14:textFill>
            <w14:solidFill>
              <w14:schemeClr w14:val="tx1"/>
            </w14:solidFill>
          </w14:textFill>
        </w:rPr>
        <w:t xml:space="preserve"> </w:t>
      </w:r>
      <w:r>
        <w:rPr>
          <w:rStyle w:val="43"/>
          <w:rFonts w:hint="eastAsia" w:ascii="仿宋_GB2312" w:eastAsia="仿宋_GB2312"/>
          <w:b w:val="0"/>
          <w:bCs w:val="0"/>
          <w:color w:val="000000" w:themeColor="text1"/>
          <w:sz w:val="32"/>
          <w:szCs w:val="32"/>
          <w:lang w:val="en-US"/>
          <w14:textFill>
            <w14:solidFill>
              <w14:schemeClr w14:val="tx1"/>
            </w14:solidFill>
          </w14:textFill>
        </w:rPr>
        <w:t>强化资产管理能力。了解资产使用性能，根据资产的使用频率、运行状况、设备说明书等，制定详细的预防性维护计划，定期对资产进行检查、保养和维修，及时发现并处理潜在问题，延长资产的可用时间，提高资产利用率。</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baseline"/>
        <w:outlineLvl w:val="9"/>
        <w:rPr>
          <w:rStyle w:val="43"/>
          <w:rFonts w:hint="eastAsia" w:ascii="仿宋_GB2312" w:eastAsia="仿宋_GB2312"/>
          <w:b w:val="0"/>
          <w:bCs w:val="0"/>
          <w:color w:val="000000" w:themeColor="text1"/>
          <w:sz w:val="32"/>
          <w:szCs w:val="32"/>
          <w:lang w:val="en-US" w:eastAsia="zh-CN"/>
          <w14:textFill>
            <w14:solidFill>
              <w14:schemeClr w14:val="tx1"/>
            </w14:solidFill>
          </w14:textFill>
        </w:rPr>
      </w:pPr>
      <w:r>
        <w:rPr>
          <w:rStyle w:val="43"/>
          <w:rFonts w:hint="eastAsia" w:ascii="仿宋_GB2312" w:eastAsia="仿宋_GB2312"/>
          <w:b w:val="0"/>
          <w:bCs w:val="0"/>
          <w:color w:val="000000" w:themeColor="text1"/>
          <w:sz w:val="32"/>
          <w:szCs w:val="32"/>
          <w:lang w:val="en-US" w:eastAsia="zh-CN"/>
          <w14:textFill>
            <w14:solidFill>
              <w14:schemeClr w14:val="tx1"/>
            </w14:solidFill>
          </w14:textFill>
        </w:rPr>
        <w:t>附表：</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部门预算项目支出绩效自评表（2024年度）</w:t>
      </w:r>
    </w:p>
    <w:p>
      <w:pPr>
        <w:pStyle w:val="29"/>
        <w:ind w:left="0" w:leftChars="0"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sectPr>
          <w:footerReference r:id="rId5" w:type="default"/>
          <w:pgSz w:w="11906" w:h="16838"/>
          <w:pgMar w:top="2098" w:right="1474" w:bottom="1984" w:left="1587" w:header="851" w:footer="1417" w:gutter="0"/>
          <w:pgBorders>
            <w:top w:val="none" w:sz="0" w:space="0"/>
            <w:left w:val="none" w:sz="0" w:space="0"/>
            <w:bottom w:val="none" w:sz="0" w:space="0"/>
            <w:right w:val="none" w:sz="0" w:space="0"/>
          </w:pgBorders>
          <w:pgNumType w:fmt="decimal" w:start="1"/>
          <w:cols w:space="0" w:num="1"/>
          <w:rtlGutter w:val="0"/>
          <w:docGrid w:type="lines" w:linePitch="313" w:charSpace="0"/>
        </w:sect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具体详情见附件</w:t>
      </w: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2-1</w:t>
      </w:r>
    </w:p>
    <w:p>
      <w:pPr>
        <w:pStyle w:val="42"/>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keepNext w:val="0"/>
        <w:keepLines w:val="0"/>
        <w:pageBreakBefore w:val="0"/>
        <w:widowControl w:val="0"/>
        <w:kinsoku/>
        <w:wordWrap/>
        <w:overflowPunct/>
        <w:topLinePunct w:val="0"/>
        <w:autoSpaceDE/>
        <w:autoSpaceDN/>
        <w:bidi w:val="0"/>
        <w:spacing w:line="578" w:lineRule="exact"/>
        <w:ind w:left="0" w:leftChars="0" w:firstLine="440" w:firstLineChars="10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t>专项预算项目绩效评价报告</w:t>
      </w:r>
    </w:p>
    <w:p>
      <w:pPr>
        <w:keepNext w:val="0"/>
        <w:keepLines w:val="0"/>
        <w:pageBreakBefore w:val="0"/>
        <w:widowControl w:val="0"/>
        <w:kinsoku/>
        <w:wordWrap/>
        <w:overflowPunct/>
        <w:topLinePunct w:val="0"/>
        <w:autoSpaceDE/>
        <w:autoSpaceDN/>
        <w:bidi w:val="0"/>
        <w:spacing w:line="578" w:lineRule="exact"/>
        <w:ind w:left="0" w:leftChars="0" w:firstLine="440" w:firstLineChars="10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t>（大病医疗救助费用）</w:t>
      </w:r>
    </w:p>
    <w:p>
      <w:pPr>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eastAsia="宋体" w:cs="Times New Roman"/>
          <w:b w:val="0"/>
          <w:bCs w:val="0"/>
          <w:color w:val="000000" w:themeColor="text1"/>
          <w:kern w:val="2"/>
          <w:sz w:val="32"/>
          <w:szCs w:val="32"/>
          <w:highlight w:val="none"/>
          <w:lang w:val="zh-CN"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黑体" w:hAnsi="宋体" w:eastAsia="黑体" w:cs="Times New Roman"/>
          <w:b w:val="0"/>
          <w:bCs w:val="0"/>
          <w:color w:val="000000" w:themeColor="text1"/>
          <w:sz w:val="32"/>
          <w:szCs w:val="32"/>
          <w:highlight w:val="none"/>
          <w:lang w:val="zh-CN"/>
          <w14:textFill>
            <w14:solidFill>
              <w14:schemeClr w14:val="tx1"/>
            </w14:solidFill>
          </w14:textFill>
        </w:rPr>
      </w:pPr>
      <w:r>
        <w:rPr>
          <w:rFonts w:hint="eastAsia" w:ascii="黑体" w:hAnsi="宋体" w:eastAsia="黑体" w:cs="Times New Roman"/>
          <w:b w:val="0"/>
          <w:bCs w:val="0"/>
          <w:color w:val="000000" w:themeColor="text1"/>
          <w:sz w:val="32"/>
          <w:szCs w:val="32"/>
          <w:highlight w:val="none"/>
          <w14:textFill>
            <w14:solidFill>
              <w14:schemeClr w14:val="tx1"/>
            </w14:solidFill>
          </w14:textFill>
        </w:rPr>
        <w:t>一、</w:t>
      </w:r>
      <w:r>
        <w:rPr>
          <w:rFonts w:hint="eastAsia" w:ascii="黑体" w:hAnsi="宋体" w:eastAsia="黑体" w:cs="Times New Roman"/>
          <w:b w:val="0"/>
          <w:bCs w:val="0"/>
          <w:color w:val="000000" w:themeColor="text1"/>
          <w:sz w:val="32"/>
          <w:szCs w:val="32"/>
          <w:highlight w:val="none"/>
          <w:lang w:val="zh-CN"/>
          <w14:textFill>
            <w14:solidFill>
              <w14:schemeClr w14:val="tx1"/>
            </w14:solidFill>
          </w14:textFill>
        </w:rPr>
        <w:t>项目概况</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eastAsia"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（一）设立背景及基本情况。</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广元市医疗保障局结合自身职能职责，负责贯彻执行国家、省、市医疗和生育保险政策，对各项医</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保</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政策实施情况进行监督、管理，对各项医疗费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报销进行审核、支付。</w:t>
      </w:r>
      <w:r>
        <w:rPr>
          <w:rFonts w:hint="eastAsia" w:ascii="仿宋_GB2312" w:hAnsi="宋体" w:eastAsia="仿宋_GB2312" w:cs="Times New Roman"/>
          <w:b w:val="0"/>
          <w:bCs w:val="0"/>
          <w:color w:val="000000" w:themeColor="text1"/>
          <w:sz w:val="32"/>
          <w:szCs w:val="32"/>
          <w14:textFill>
            <w14:solidFill>
              <w14:schemeClr w14:val="tx1"/>
            </w14:solidFill>
          </w14:textFill>
        </w:rPr>
        <w:t>广元市医疗保障事务中心作为市医疗保障局二级单位，</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具体负责对</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大病医疗救助费用</w:t>
      </w:r>
      <w:r>
        <w:rPr>
          <w:rFonts w:hint="eastAsia" w:ascii="仿宋_GB2312" w:hAnsi="宋体" w:eastAsia="仿宋_GB2312" w:cs="Times New Roman"/>
          <w:b w:val="0"/>
          <w:bCs w:val="0"/>
          <w:color w:val="000000" w:themeColor="text1"/>
          <w:sz w:val="32"/>
          <w:szCs w:val="32"/>
          <w14:textFill>
            <w14:solidFill>
              <w14:schemeClr w14:val="tx1"/>
            </w14:solidFill>
          </w14:textFill>
        </w:rPr>
        <w:t>进行</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报销</w:t>
      </w:r>
      <w:r>
        <w:rPr>
          <w:rFonts w:hint="eastAsia" w:ascii="仿宋_GB2312" w:hAnsi="宋体" w:eastAsia="仿宋_GB2312" w:cs="Times New Roman"/>
          <w:b w:val="0"/>
          <w:bCs w:val="0"/>
          <w:color w:val="000000" w:themeColor="text1"/>
          <w:sz w:val="32"/>
          <w:szCs w:val="32"/>
          <w14:textFill>
            <w14:solidFill>
              <w14:schemeClr w14:val="tx1"/>
            </w14:solidFill>
          </w14:textFill>
        </w:rPr>
        <w:t>、拨付。</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（二）</w:t>
      </w:r>
      <w:r>
        <w:rPr>
          <w:rFonts w:hint="default"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实施目的及支持方向</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制定了</w:t>
      </w:r>
      <w:r>
        <w:rPr>
          <w:rFonts w:hint="eastAsia" w:ascii="仿宋_GB2312" w:hAnsi="仿宋_GB2312" w:eastAsia="仿宋_GB2312" w:cs="仿宋_GB2312"/>
          <w:b w:val="0"/>
          <w:bCs w:val="0"/>
          <w:color w:val="000000" w:themeColor="text1"/>
          <w:sz w:val="32"/>
          <w:szCs w:val="32"/>
          <w14:textFill>
            <w14:solidFill>
              <w14:schemeClr w14:val="tx1"/>
            </w14:solidFill>
          </w14:textFill>
        </w:rPr>
        <w:t>《广元市</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医保经办机构医疗保障</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主要业务经办流程（试行）》</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，对</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大病医疗救助费用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的审核和</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划转</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严格按规定执行，控制项目实施成本。</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（三）</w:t>
      </w:r>
      <w:r>
        <w:rPr>
          <w:rFonts w:hint="default"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预算安排及分配管理</w:t>
      </w: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确保符合条件的救助人员能及时享受医疗待遇，同时结合当前医疗机构诊</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疗</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水平，合理分配项目资金。</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rPr>
          <w:rFonts w:hint="default"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（四）项目绩效目标设置。</w:t>
      </w:r>
      <w:r>
        <w:rPr>
          <w:rFonts w:hint="eastAsia" w:ascii="仿宋_GB2312" w:hAnsi="宋体" w:eastAsia="仿宋_GB2312" w:cs="Times New Roman"/>
          <w:b w:val="0"/>
          <w:bCs w:val="0"/>
          <w:color w:val="000000" w:themeColor="text1"/>
          <w:sz w:val="32"/>
          <w:szCs w:val="32"/>
          <w14:textFill>
            <w14:solidFill>
              <w14:schemeClr w14:val="tx1"/>
            </w14:solidFill>
          </w14:textFill>
        </w:rPr>
        <w:t>参保人员能及时享受医疗待遇。</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宋体" w:eastAsia="黑体" w:cs="Times New Roman"/>
          <w:b w:val="0"/>
          <w:bCs w:val="0"/>
          <w:color w:val="000000" w:themeColor="text1"/>
          <w:sz w:val="32"/>
          <w:szCs w:val="32"/>
          <w:highlight w:val="none"/>
          <w:lang w:eastAsia="zh-CN"/>
          <w14:textFill>
            <w14:solidFill>
              <w14:schemeClr w14:val="tx1"/>
            </w14:solidFill>
          </w14:textFill>
        </w:rPr>
      </w:pPr>
      <w:r>
        <w:rPr>
          <w:rFonts w:hint="eastAsia" w:ascii="黑体" w:hAnsi="宋体" w:eastAsia="黑体" w:cs="Times New Roman"/>
          <w:b w:val="0"/>
          <w:bCs w:val="0"/>
          <w:color w:val="000000" w:themeColor="text1"/>
          <w:sz w:val="32"/>
          <w:szCs w:val="32"/>
          <w:highlight w:val="none"/>
          <w14:textFill>
            <w14:solidFill>
              <w14:schemeClr w14:val="tx1"/>
            </w14:solidFill>
          </w14:textFill>
        </w:rPr>
        <w:t>二、</w:t>
      </w:r>
      <w:r>
        <w:rPr>
          <w:rFonts w:hint="eastAsia" w:ascii="黑体" w:hAnsi="宋体" w:eastAsia="黑体" w:cs="Times New Roman"/>
          <w:b w:val="0"/>
          <w:bCs w:val="0"/>
          <w:color w:val="000000" w:themeColor="text1"/>
          <w:sz w:val="32"/>
          <w:szCs w:val="32"/>
          <w:highlight w:val="none"/>
          <w:lang w:eastAsia="zh-CN"/>
          <w14:textFill>
            <w14:solidFill>
              <w14:schemeClr w14:val="tx1"/>
            </w14:solidFill>
          </w14:textFill>
        </w:rPr>
        <w:t>评价实施</w:t>
      </w:r>
    </w:p>
    <w:p>
      <w:pPr>
        <w:keepNext w:val="0"/>
        <w:keepLines w:val="0"/>
        <w:pageBreakBefore w:val="0"/>
        <w:widowControl w:val="0"/>
        <w:kinsoku/>
        <w:wordWrap/>
        <w:overflowPunct/>
        <w:topLinePunct w:val="0"/>
        <w:autoSpaceDE/>
        <w:autoSpaceDN/>
        <w:bidi w:val="0"/>
        <w:adjustRightInd w:val="0"/>
        <w:snapToGrid w:val="0"/>
        <w:spacing w:after="0" w:line="576" w:lineRule="exact"/>
        <w:ind w:firstLine="640" w:firstLineChars="200"/>
        <w:jc w:val="both"/>
        <w:textAlignment w:val="auto"/>
        <w:rPr>
          <w:rFonts w:hint="eastAsia" w:ascii="仿宋_GB2312" w:hAnsi="仿宋_GB2312" w:eastAsia="仿宋_GB2312" w:cs="仿宋_GB2312"/>
          <w:b w:val="0"/>
          <w:bCs w:val="0"/>
          <w:color w:val="000000" w:themeColor="text1"/>
          <w:kern w:val="0"/>
          <w:position w:val="3"/>
          <w:sz w:val="32"/>
          <w:szCs w:val="32"/>
          <w:lang w:val="zh-CN" w:eastAsia="en-US" w:bidi="ar-SA"/>
          <w14:textFill>
            <w14:solidFill>
              <w14:schemeClr w14:val="tx1"/>
            </w14:solidFill>
          </w14:textFill>
        </w:rPr>
      </w:pPr>
      <w:r>
        <w:rPr>
          <w:rFonts w:hint="eastAsia" w:ascii="楷体_GB2312" w:hAnsi="宋体" w:eastAsia="楷体_GB2312" w:cs="Times New Roman"/>
          <w:b w:val="0"/>
          <w:bCs w:val="0"/>
          <w:color w:val="000000" w:themeColor="text1"/>
          <w:kern w:val="2"/>
          <w:sz w:val="32"/>
          <w:szCs w:val="32"/>
          <w:highlight w:val="none"/>
          <w:u w:val="none"/>
          <w:lang w:val="zh-CN" w:eastAsia="en-US" w:bidi="ar-SA"/>
          <w14:textFill>
            <w14:solidFill>
              <w14:schemeClr w14:val="tx1"/>
            </w14:solidFill>
          </w14:textFill>
        </w:rPr>
        <w:t>（一）评价目的。</w:t>
      </w:r>
      <w:r>
        <w:rPr>
          <w:rFonts w:hint="eastAsia" w:ascii="仿宋_GB2312" w:hAnsi="仿宋_GB2312" w:eastAsia="仿宋_GB2312" w:cs="仿宋_GB2312"/>
          <w:b w:val="0"/>
          <w:bCs w:val="0"/>
          <w:color w:val="000000" w:themeColor="text1"/>
          <w:spacing w:val="0"/>
          <w:w w:val="100"/>
          <w:kern w:val="0"/>
          <w:position w:val="3"/>
          <w:sz w:val="32"/>
          <w:szCs w:val="20"/>
          <w:lang w:val="en-US" w:eastAsia="en-US" w:bidi="ar-SA"/>
          <w14:textFill>
            <w14:solidFill>
              <w14:schemeClr w14:val="tx1"/>
            </w14:solidFill>
          </w14:textFill>
        </w:rPr>
        <w:t>提高财政资源配置效率和财政资金使用效益</w:t>
      </w:r>
      <w:r>
        <w:rPr>
          <w:rFonts w:hint="eastAsia" w:ascii="楷体_GB2312" w:hAnsi="Times New Roman" w:eastAsia="黑体" w:cs="Times New Roman"/>
          <w:b w:val="0"/>
          <w:bCs w:val="0"/>
          <w:color w:val="000000" w:themeColor="text1"/>
          <w:kern w:val="0"/>
          <w:position w:val="3"/>
          <w:sz w:val="20"/>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0"/>
          <w:position w:val="3"/>
          <w:sz w:val="32"/>
          <w:szCs w:val="32"/>
          <w:lang w:val="zh-CN" w:eastAsia="en-US" w:bidi="ar-SA"/>
          <w14:textFill>
            <w14:solidFill>
              <w14:schemeClr w14:val="tx1"/>
            </w14:solidFill>
          </w14:textFill>
        </w:rPr>
        <w:t>确保符合条件的救助人员能及时享受医疗待遇，</w:t>
      </w:r>
      <w:r>
        <w:rPr>
          <w:rFonts w:hint="eastAsia" w:ascii="仿宋_GB2312" w:hAnsi="仿宋_GB2312" w:eastAsia="仿宋_GB2312" w:cs="仿宋_GB2312"/>
          <w:b w:val="0"/>
          <w:bCs w:val="0"/>
          <w:color w:val="000000" w:themeColor="text1"/>
          <w:kern w:val="0"/>
          <w:position w:val="3"/>
          <w:sz w:val="32"/>
          <w:szCs w:val="32"/>
          <w:lang w:val="zh-CN" w:eastAsia="zh-CN" w:bidi="ar-SA"/>
          <w14:textFill>
            <w14:solidFill>
              <w14:schemeClr w14:val="tx1"/>
            </w14:solidFill>
          </w14:textFill>
        </w:rPr>
        <w:t>医疗保障资金使用安全、规范、高效</w:t>
      </w:r>
      <w:r>
        <w:rPr>
          <w:rFonts w:hint="eastAsia" w:ascii="仿宋_GB2312" w:hAnsi="仿宋_GB2312" w:eastAsia="仿宋_GB2312" w:cs="仿宋_GB2312"/>
          <w:b w:val="0"/>
          <w:bCs w:val="0"/>
          <w:color w:val="000000" w:themeColor="text1"/>
          <w:kern w:val="0"/>
          <w:position w:val="3"/>
          <w:sz w:val="32"/>
          <w:szCs w:val="32"/>
          <w:lang w:val="zh-CN" w:eastAsia="en-US" w:bidi="ar-SA"/>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（二）预设问题及评价重点。</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确保符合条件的救助人员能及时享受医疗待遇。</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Times New Roman"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（三）评价选点。</w:t>
      </w:r>
      <w:r>
        <w:rPr>
          <w:rFonts w:hint="eastAsia" w:ascii="Times New Roman" w:hAnsi="Times New Roman" w:eastAsia="仿宋_GB2312" w:cs="Times New Roman"/>
          <w:b w:val="0"/>
          <w:bCs w:val="0"/>
          <w:color w:val="000000" w:themeColor="text1"/>
          <w:sz w:val="32"/>
          <w:szCs w:val="32"/>
          <w:lang w:val="zh-CN" w:eastAsia="zh-CN"/>
          <w14:textFill>
            <w14:solidFill>
              <w14:schemeClr w14:val="tx1"/>
            </w14:solidFill>
          </w14:textFill>
        </w:rPr>
        <w:t>以整体作为评价。</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宋体" w:eastAsia="仿宋_GB2312" w:cs="Times New Roman"/>
          <w:b w:val="0"/>
          <w:bCs w:val="0"/>
          <w:color w:val="000000" w:themeColor="text1"/>
          <w:sz w:val="32"/>
          <w:szCs w:val="32"/>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（四）评价方法。</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项目绩效自评按市财政局要求，部门决算后在规定时间内按规定内容进行自评。</w:t>
      </w:r>
    </w:p>
    <w:p>
      <w:pPr>
        <w:keepNext w:val="0"/>
        <w:keepLines w:val="0"/>
        <w:pageBreakBefore w:val="0"/>
        <w:kinsoku/>
        <w:wordWrap/>
        <w:overflowPunct/>
        <w:topLinePunct w:val="0"/>
        <w:autoSpaceDE/>
        <w:autoSpaceDN/>
        <w:bidi w:val="0"/>
        <w:spacing w:line="576" w:lineRule="exact"/>
        <w:ind w:firstLine="640" w:firstLineChars="200"/>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（五）评价组织。</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我单位</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高度重视</w:t>
      </w:r>
      <w:r>
        <w:rPr>
          <w:rFonts w:hint="eastAsia" w:ascii="仿宋_GB2312" w:hAnsi="Times New Roman" w:eastAsia="仿宋_GB2312" w:cs="Times New Roman"/>
          <w:b w:val="0"/>
          <w:bCs w:val="0"/>
          <w:color w:val="000000" w:themeColor="text1"/>
          <w:sz w:val="32"/>
          <w:szCs w:val="32"/>
          <w14:textFill>
            <w14:solidFill>
              <w14:schemeClr w14:val="tx1"/>
            </w14:solidFill>
          </w14:textFill>
        </w:rPr>
        <w:t>绩效评价工作，</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落实专人负责，全面对标评价指标，逐项分析，确保评价客观、科学、准确，为今后的项目实施提供参考，</w:t>
      </w:r>
      <w:r>
        <w:rPr>
          <w:rFonts w:hint="eastAsia" w:ascii="仿宋_GB2312" w:hAnsi="Times New Roman" w:eastAsia="仿宋_GB2312" w:cs="Times New Roman"/>
          <w:b w:val="0"/>
          <w:bCs w:val="0"/>
          <w:color w:val="000000" w:themeColor="text1"/>
          <w:sz w:val="32"/>
          <w:szCs w:val="32"/>
          <w14:textFill>
            <w14:solidFill>
              <w14:schemeClr w14:val="tx1"/>
            </w14:solidFill>
          </w14:textFill>
        </w:rPr>
        <w:t>提高财政资金使用效率</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ascii="仿宋_GB2312" w:hAnsi="宋体" w:eastAsia="仿宋_GB2312" w:cs="Times New Roman"/>
          <w:b w:val="0"/>
          <w:bCs w:val="0"/>
          <w:color w:val="000000" w:themeColor="text1"/>
          <w:sz w:val="32"/>
          <w:szCs w:val="32"/>
          <w:highlight w:val="none"/>
          <w:u w:val="none"/>
          <w:lang w:val="zh-CN"/>
          <w14:textFill>
            <w14:solidFill>
              <w14:schemeClr w14:val="tx1"/>
            </w14:solidFill>
          </w14:textFill>
        </w:rPr>
      </w:pPr>
      <w:r>
        <w:rPr>
          <w:rFonts w:hint="eastAsia" w:ascii="黑体" w:hAnsi="宋体" w:eastAsia="黑体" w:cs="Times New Roman"/>
          <w:b w:val="0"/>
          <w:bCs w:val="0"/>
          <w:color w:val="000000" w:themeColor="text1"/>
          <w:sz w:val="32"/>
          <w:szCs w:val="32"/>
          <w:highlight w:val="none"/>
          <w:u w:val="none"/>
          <w14:textFill>
            <w14:solidFill>
              <w14:schemeClr w14:val="tx1"/>
            </w14:solidFill>
          </w14:textFill>
        </w:rPr>
        <w:t>三、</w:t>
      </w:r>
      <w:r>
        <w:rPr>
          <w:rFonts w:hint="eastAsia" w:ascii="黑体" w:hAnsi="宋体" w:eastAsia="黑体" w:cs="Times New Roman"/>
          <w:b w:val="0"/>
          <w:bCs w:val="0"/>
          <w:color w:val="000000" w:themeColor="text1"/>
          <w:sz w:val="32"/>
          <w:szCs w:val="32"/>
          <w:highlight w:val="none"/>
          <w:u w:val="none"/>
          <w:lang w:eastAsia="zh-CN"/>
          <w14:textFill>
            <w14:solidFill>
              <w14:schemeClr w14:val="tx1"/>
            </w14:solidFill>
          </w14:textFill>
        </w:rPr>
        <w:t>绩效分析</w:t>
      </w:r>
      <w:r>
        <w:rPr>
          <w:rFonts w:hint="eastAsia" w:ascii="仿宋_GB2312" w:hAnsi="宋体" w:eastAsia="仿宋_GB2312" w:cs="Times New Roman"/>
          <w:b w:val="0"/>
          <w:bCs w:val="0"/>
          <w:color w:val="000000" w:themeColor="text1"/>
          <w:sz w:val="32"/>
          <w:szCs w:val="32"/>
          <w:highlight w:val="none"/>
          <w:u w:val="none"/>
          <w:lang w:val="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一</w:t>
      </w: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通用指标</w:t>
      </w:r>
      <w:r>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绩效分析</w:t>
      </w:r>
    </w:p>
    <w:p>
      <w:pPr>
        <w:keepNext w:val="0"/>
        <w:keepLines w:val="0"/>
        <w:pageBreakBefore w:val="0"/>
        <w:kinsoku/>
        <w:wordWrap/>
        <w:overflowPunct/>
        <w:topLinePunct w:val="0"/>
        <w:autoSpaceDE/>
        <w:autoSpaceDN/>
        <w:bidi w:val="0"/>
        <w:spacing w:line="576" w:lineRule="exact"/>
        <w:ind w:firstLine="640" w:firstLineChars="200"/>
        <w:rPr>
          <w:rFonts w:hint="default" w:ascii="仿宋_GB2312"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1.</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决策（自评得18分）。该项目的设立符合资金管理基本规范和决策程序要求，项目决策程序严密。项目资金属于政府支持范围，且符合财政事权支出责任划分规定，资金投向与项目总体规划、相关行业事业发展相匹配，聚焦重大任务、重点领域、重点环节和重点项目，未与其他同类项目或部门内部相关项目交叉重复。</w:t>
      </w:r>
    </w:p>
    <w:p>
      <w:pPr>
        <w:keepNext w:val="0"/>
        <w:keepLines w:val="0"/>
        <w:pageBreakBefore w:val="0"/>
        <w:kinsoku/>
        <w:wordWrap/>
        <w:overflowPunct/>
        <w:topLinePunct w:val="0"/>
        <w:autoSpaceDE/>
        <w:autoSpaceDN/>
        <w:bidi w:val="0"/>
        <w:spacing w:line="576" w:lineRule="exact"/>
        <w:ind w:firstLine="640" w:firstLineChars="200"/>
        <w:rPr>
          <w:rFonts w:hint="default" w:ascii="仿宋_GB2312"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2.</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项目管理（自评得18分）。我单位资金管理体系完善，财务制度健全，财务管理规范，会计核算真实完整，不存在管理制度缺失、管理办法过期情况，</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对</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符合条件的救助人员</w:t>
      </w:r>
      <w:r>
        <w:rPr>
          <w:rFonts w:hint="eastAsia" w:ascii="仿宋_GB2312" w:hAnsi="宋体" w:eastAsia="仿宋_GB2312" w:cs="Times New Roman"/>
          <w:b w:val="0"/>
          <w:bCs w:val="0"/>
          <w:color w:val="000000" w:themeColor="text1"/>
          <w:sz w:val="32"/>
          <w:szCs w:val="32"/>
          <w14:textFill>
            <w14:solidFill>
              <w14:schemeClr w14:val="tx1"/>
            </w14:solidFill>
          </w14:textFill>
        </w:rPr>
        <w:t>医</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疗</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费用，</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实行专款专用，科学合理设置可量化、可考核的绩效评价指标体系，全面开展绩效评价工作。</w:t>
      </w:r>
    </w:p>
    <w:p>
      <w:pPr>
        <w:keepNext w:val="0"/>
        <w:keepLines w:val="0"/>
        <w:pageBreakBefore w:val="0"/>
        <w:kinsoku/>
        <w:wordWrap/>
        <w:overflowPunct/>
        <w:topLinePunct w:val="0"/>
        <w:autoSpaceDE/>
        <w:autoSpaceDN/>
        <w:bidi w:val="0"/>
        <w:spacing w:line="576" w:lineRule="exact"/>
        <w:ind w:firstLine="640" w:firstLineChars="200"/>
        <w:rPr>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3.</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项目实施（自评得9分）。我单位</w:t>
      </w:r>
      <w:r>
        <w:rPr>
          <w:rFonts w:hint="eastAsia" w:ascii="仿宋_GB2312" w:hAnsi="Times New Roman" w:eastAsia="仿宋_GB2312" w:cs="Times New Roman"/>
          <w:b w:val="0"/>
          <w:bCs w:val="0"/>
          <w:color w:val="000000" w:themeColor="text1"/>
          <w:spacing w:val="6"/>
          <w:sz w:val="32"/>
          <w:szCs w:val="32"/>
          <w:lang w:val="zh-CN" w:eastAsia="zh-CN"/>
          <w14:textFill>
            <w14:solidFill>
              <w14:schemeClr w14:val="tx1"/>
            </w14:solidFill>
          </w14:textFill>
        </w:rPr>
        <w:t>财务管理制度健全，制度执行严格，账务处理及时，</w:t>
      </w:r>
      <w:r>
        <w:rPr>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严</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格</w:t>
      </w:r>
      <w:r>
        <w:rPr>
          <w:rFonts w:hint="eastAsia" w:ascii="仿宋_GB2312" w:hAnsi="宋体" w:eastAsia="仿宋_GB2312" w:cs="Times New Roman"/>
          <w:b w:val="0"/>
          <w:bCs w:val="0"/>
          <w:color w:val="000000" w:themeColor="text1"/>
          <w:spacing w:val="6"/>
          <w:sz w:val="32"/>
          <w:szCs w:val="32"/>
          <w:lang w:val="zh-CN"/>
          <w14:textFill>
            <w14:solidFill>
              <w14:schemeClr w14:val="tx1"/>
            </w14:solidFill>
          </w14:textFill>
        </w:rPr>
        <w:t>按</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照</w:t>
      </w:r>
      <w:r>
        <w:rPr>
          <w:rFonts w:hint="eastAsia" w:ascii="仿宋_GB2312" w:hAnsi="宋体" w:eastAsia="仿宋_GB2312" w:cs="Times New Roman"/>
          <w:b w:val="0"/>
          <w:bCs w:val="0"/>
          <w:color w:val="000000" w:themeColor="text1"/>
          <w:spacing w:val="6"/>
          <w:sz w:val="32"/>
          <w:szCs w:val="32"/>
          <w:lang w:val="zh-CN"/>
          <w14:textFill>
            <w14:solidFill>
              <w14:schemeClr w14:val="tx1"/>
            </w14:solidFill>
          </w14:textFill>
        </w:rPr>
        <w:t>《社保基金财务制度》《社保基金会计制度》管理和核算基金。</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在业务流程方面，</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中心严格按照</w:t>
      </w:r>
      <w:r>
        <w:rPr>
          <w:rFonts w:hint="eastAsia" w:ascii="仿宋_GB2312" w:hAnsi="仿宋_GB2312" w:eastAsia="仿宋_GB2312" w:cs="仿宋_GB2312"/>
          <w:b w:val="0"/>
          <w:bCs w:val="0"/>
          <w:color w:val="000000" w:themeColor="text1"/>
          <w:spacing w:val="6"/>
          <w:sz w:val="32"/>
          <w:szCs w:val="32"/>
          <w14:textFill>
            <w14:solidFill>
              <w14:schemeClr w14:val="tx1"/>
            </w14:solidFill>
          </w14:textFill>
        </w:rPr>
        <w:t>《广元市</w:t>
      </w:r>
      <w:r>
        <w:rPr>
          <w:rFonts w:hint="eastAsia" w:ascii="仿宋_GB2312" w:hAnsi="仿宋_GB2312" w:eastAsia="仿宋_GB2312" w:cs="仿宋_GB2312"/>
          <w:b w:val="0"/>
          <w:bCs w:val="0"/>
          <w:color w:val="000000" w:themeColor="text1"/>
          <w:spacing w:val="6"/>
          <w:sz w:val="32"/>
          <w:szCs w:val="32"/>
          <w:lang w:val="en-US" w:eastAsia="zh-CN"/>
          <w14:textFill>
            <w14:solidFill>
              <w14:schemeClr w14:val="tx1"/>
            </w14:solidFill>
          </w14:textFill>
        </w:rPr>
        <w:t>医保经办机构医疗保障</w:t>
      </w:r>
      <w:r>
        <w:rPr>
          <w:rFonts w:hint="eastAsia" w:ascii="仿宋_GB2312" w:hAnsi="仿宋_GB2312" w:eastAsia="仿宋_GB2312" w:cs="仿宋_GB2312"/>
          <w:b w:val="0"/>
          <w:bCs w:val="0"/>
          <w:color w:val="000000" w:themeColor="text1"/>
          <w:spacing w:val="6"/>
          <w:sz w:val="32"/>
          <w:szCs w:val="32"/>
          <w14:textFill>
            <w14:solidFill>
              <w14:schemeClr w14:val="tx1"/>
            </w14:solidFill>
          </w14:textFill>
        </w:rPr>
        <w:t>主要业务经办流程（试行）》</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，由业务经办人员对有关资料进行初审，业务组长复核，业务分管领导审核</w:t>
      </w:r>
      <w:r>
        <w:rPr>
          <w:rFonts w:hint="eastAsia" w:ascii="仿宋_GB2312" w:hAnsi="宋体" w:eastAsia="仿宋_GB2312" w:cs="Times New Roman"/>
          <w:b w:val="0"/>
          <w:bCs w:val="0"/>
          <w:color w:val="000000" w:themeColor="text1"/>
          <w:spacing w:val="6"/>
          <w:sz w:val="32"/>
          <w:szCs w:val="32"/>
          <w:lang w:eastAsia="zh-CN"/>
          <w14:textFill>
            <w14:solidFill>
              <w14:schemeClr w14:val="tx1"/>
            </w14:solidFill>
          </w14:textFill>
        </w:rPr>
        <w:t>，</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再</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由</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出纳复核、</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财务</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分管</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领导审</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核</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，中心主任签字审批拨付。</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在财务流程方面，该笔</w:t>
      </w:r>
      <w:r>
        <w:rPr>
          <w:rFonts w:hint="eastAsia" w:ascii="仿宋_GB2312" w:hAnsi="宋体" w:eastAsia="仿宋_GB2312" w:cs="Times New Roman"/>
          <w:b w:val="0"/>
          <w:bCs w:val="0"/>
          <w:color w:val="000000" w:themeColor="text1"/>
          <w:spacing w:val="6"/>
          <w:sz w:val="32"/>
          <w:szCs w:val="32"/>
          <w:lang w:val="zh-CN"/>
          <w14:textFill>
            <w14:solidFill>
              <w14:schemeClr w14:val="tx1"/>
            </w14:solidFill>
          </w14:textFill>
        </w:rPr>
        <w:t>经费按财政集中支付管理流程</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申请</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拨付至广元市医疗保障事</w:t>
      </w:r>
      <w:r>
        <w:rPr>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务中心医疗保险基金支出户</w:t>
      </w:r>
      <w:r>
        <w:rPr>
          <w:rFonts w:hint="eastAsia" w:ascii="仿宋_GB2312" w:hAnsi="Times New Roman" w:eastAsia="仿宋_GB2312" w:cs="Times New Roman"/>
          <w:b w:val="0"/>
          <w:bCs w:val="0"/>
          <w:color w:val="000000" w:themeColor="text1"/>
          <w:spacing w:val="6"/>
          <w:sz w:val="32"/>
          <w:szCs w:val="32"/>
          <w:lang w:val="zh-CN" w:eastAsia="zh-CN"/>
          <w14:textFill>
            <w14:solidFill>
              <w14:schemeClr w14:val="tx1"/>
            </w14:solidFill>
          </w14:textFill>
        </w:rPr>
        <w:t>。</w:t>
      </w:r>
    </w:p>
    <w:p>
      <w:pPr>
        <w:keepNext w:val="0"/>
        <w:keepLines w:val="0"/>
        <w:pageBreakBefore w:val="0"/>
        <w:kinsoku/>
        <w:wordWrap/>
        <w:overflowPunct/>
        <w:topLinePunct w:val="0"/>
        <w:autoSpaceDE/>
        <w:autoSpaceDN/>
        <w:bidi w:val="0"/>
        <w:spacing w:line="576" w:lineRule="exact"/>
        <w:ind w:firstLine="640" w:firstLineChars="200"/>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4.</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项目结果（自评得9分）。</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本项目资金全年共支出</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140万</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元，支出进度为100%，</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主要</w:t>
      </w:r>
      <w:r>
        <w:rPr>
          <w:rFonts w:hint="eastAsia" w:ascii="仿宋_GB2312" w:hAnsi="仿宋_GB2312" w:eastAsia="仿宋_GB2312" w:cs="仿宋_GB2312"/>
          <w:b w:val="0"/>
          <w:bCs w:val="0"/>
          <w:color w:val="000000" w:themeColor="text1"/>
          <w:sz w:val="32"/>
          <w:szCs w:val="32"/>
          <w14:textFill>
            <w14:solidFill>
              <w14:schemeClr w14:val="tx1"/>
            </w14:solidFill>
          </w14:textFill>
        </w:rPr>
        <w:t>用于确保符合条件的救助人员能及时享受医疗待遇</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。在项目执行过程中，严格按照预算批复项目资金支付范围、支付标准执行</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，严控预算执行进度和经费支出情况，资金使用安全、规范、高效</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both"/>
        <w:textAlignment w:val="baseline"/>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pP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w:t>
      </w:r>
      <w:r>
        <w:rPr>
          <w:rFonts w:hint="eastAsia" w:ascii="楷体_GB2312" w:hAnsi="宋体" w:eastAsia="楷体_GB2312" w:cs="Times New Roman"/>
          <w:b w:val="0"/>
          <w:bCs w:val="0"/>
          <w:color w:val="000000" w:themeColor="text1"/>
          <w:kern w:val="2"/>
          <w:sz w:val="32"/>
          <w:szCs w:val="32"/>
          <w:highlight w:val="none"/>
          <w:u w:val="none"/>
          <w:lang w:val="en-US" w:eastAsia="zh-CN" w:bidi="ar-SA"/>
          <w14:textFill>
            <w14:solidFill>
              <w14:schemeClr w14:val="tx1"/>
            </w14:solidFill>
          </w14:textFill>
        </w:rPr>
        <w:t>二</w:t>
      </w: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w:t>
      </w:r>
      <w:r>
        <w:rPr>
          <w:rFonts w:hint="eastAsia" w:ascii="楷体_GB2312" w:hAnsi="宋体" w:eastAsia="楷体_GB2312" w:cs="Times New Roman"/>
          <w:b w:val="0"/>
          <w:bCs w:val="0"/>
          <w:color w:val="000000" w:themeColor="text1"/>
          <w:kern w:val="2"/>
          <w:sz w:val="32"/>
          <w:szCs w:val="32"/>
          <w:highlight w:val="none"/>
          <w:u w:val="none"/>
          <w:lang w:val="en-US" w:eastAsia="zh-CN" w:bidi="ar-SA"/>
          <w14:textFill>
            <w14:solidFill>
              <w14:schemeClr w14:val="tx1"/>
            </w14:solidFill>
          </w14:textFill>
        </w:rPr>
        <w:t>专用指标</w:t>
      </w:r>
      <w:r>
        <w:rPr>
          <w:rFonts w:hint="default"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绩效分析。</w:t>
      </w:r>
      <w:r>
        <w:rPr>
          <w:rFonts w:hint="eastAsia" w:ascii="Times New Roman" w:hAnsi="Times New Roman" w:eastAsia="仿宋_GB2312" w:cs="Times New Roman"/>
          <w:b w:val="0"/>
          <w:bCs w:val="0"/>
          <w:color w:val="000000" w:themeColor="text1"/>
          <w:kern w:val="2"/>
          <w:sz w:val="32"/>
          <w:szCs w:val="32"/>
          <w:lang w:val="zh-CN" w:eastAsia="zh-CN" w:bidi="ar-SA"/>
          <w14:textFill>
            <w14:solidFill>
              <w14:schemeClr w14:val="tx1"/>
            </w14:solidFill>
          </w14:textFill>
        </w:rPr>
        <w:t>民生保</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障</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方面（自评得29.75分）</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。政策内各项目资金分配均衡公平，项目支持方向全面覆盖政策应支持</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的</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范围和对象，有效衔接</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了</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政策内各项目间支持标准，</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不</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存在标准差异较大</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的</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情况，</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救助</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对象满意度</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在9</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5%</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以上</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三</w:t>
      </w: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个性指标</w:t>
      </w:r>
      <w:r>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绩效分析</w:t>
      </w: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（自评得16分）</w:t>
      </w:r>
      <w:r>
        <w:rPr>
          <w:rFonts w:hint="default" w:ascii="Times New Roman" w:hAnsi="Times New Roman" w:eastAsia="楷体_GB2312" w:cs="Times New Roman"/>
          <w:b w:val="0"/>
          <w:bCs w:val="0"/>
          <w:color w:val="000000" w:themeColor="text1"/>
          <w:kern w:val="0"/>
          <w:sz w:val="32"/>
          <w:szCs w:val="32"/>
          <w:highlight w:val="none"/>
          <w:shd w:val="clear" w:color="auto" w:fill="FFFFFF"/>
          <w:lang w:val="zh-CN"/>
          <w14:textFill>
            <w14:solidFill>
              <w14:schemeClr w14:val="tx1"/>
            </w14:solidFill>
          </w14:textFill>
        </w:rPr>
        <w:t>。</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救助对象住院费用报销比例大于70%</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对于救助</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费用审核准确率</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98%</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以上。</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en-US" w:eastAsia="en-US"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t>四</w:t>
      </w:r>
      <w:r>
        <w:rPr>
          <w:rFonts w:hint="eastAsia" w:ascii="黑体" w:hAnsi="宋体" w:eastAsia="黑体" w:cs="Times New Roman"/>
          <w:b w:val="0"/>
          <w:bCs w:val="0"/>
          <w:color w:val="000000" w:themeColor="text1"/>
          <w:kern w:val="0"/>
          <w:position w:val="3"/>
          <w:sz w:val="32"/>
          <w:szCs w:val="32"/>
          <w:highlight w:val="none"/>
          <w:u w:val="none"/>
          <w:lang w:val="en-US" w:eastAsia="en-US" w:bidi="ar-SA"/>
          <w14:textFill>
            <w14:solidFill>
              <w14:schemeClr w14:val="tx1"/>
            </w14:solidFill>
          </w14:textFill>
        </w:rPr>
        <w:t>、评价结论</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eastAsia="仿宋_GB2312" w:cs="Times New Roman"/>
          <w:b w:val="0"/>
          <w:bCs w:val="0"/>
          <w:color w:val="000000" w:themeColor="text1"/>
          <w:sz w:val="32"/>
          <w:szCs w:val="32"/>
          <w14:textFill>
            <w14:solidFill>
              <w14:schemeClr w14:val="tx1"/>
            </w14:solidFill>
          </w14:textFill>
        </w:rPr>
      </w:pPr>
      <w:r>
        <w:rPr>
          <w:rFonts w:hint="eastAsia" w:ascii="仿宋_GB2312" w:hAnsi="宋体" w:eastAsia="仿宋_GB2312" w:cs="Times New Roman"/>
          <w:b w:val="0"/>
          <w:bCs w:val="0"/>
          <w:color w:val="000000" w:themeColor="text1"/>
          <w:sz w:val="32"/>
          <w:szCs w:val="32"/>
          <w14:textFill>
            <w14:solidFill>
              <w14:schemeClr w14:val="tx1"/>
            </w14:solidFill>
          </w14:textFill>
        </w:rPr>
        <w:t>通过项目实施，</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完善和强化了</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符合条件的救助人员</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医药费保障机制及财政机制，确保</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符合条件的救助人员</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医药费按规定实报实销，妥善解决了</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符合条件的救助人员</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医疗待遇问题，</w:t>
      </w:r>
      <w:r>
        <w:rPr>
          <w:rFonts w:hint="eastAsia" w:ascii="仿宋_GB2312" w:hAnsi="宋体" w:eastAsia="仿宋_GB2312" w:cs="Times New Roman"/>
          <w:b w:val="0"/>
          <w:bCs w:val="0"/>
          <w:color w:val="000000" w:themeColor="text1"/>
          <w:sz w:val="32"/>
          <w:szCs w:val="32"/>
          <w14:textFill>
            <w14:solidFill>
              <w14:schemeClr w14:val="tx1"/>
            </w14:solidFill>
          </w14:textFill>
        </w:rPr>
        <w:t>减轻了救助人员的经济压力和生活压力。该项目得</w:t>
      </w:r>
      <w:bookmarkStart w:id="76" w:name="OLE_LINK2"/>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99.75</w:t>
      </w:r>
      <w:bookmarkEnd w:id="76"/>
      <w:r>
        <w:rPr>
          <w:rFonts w:hint="eastAsia" w:ascii="仿宋_GB2312" w:hAnsi="宋体" w:eastAsia="仿宋_GB2312" w:cs="Times New Roman"/>
          <w:b w:val="0"/>
          <w:bCs w:val="0"/>
          <w:color w:val="000000" w:themeColor="text1"/>
          <w:sz w:val="32"/>
          <w:szCs w:val="32"/>
          <w14:textFill>
            <w14:solidFill>
              <w14:schemeClr w14:val="tx1"/>
            </w14:solidFill>
          </w14:textFill>
        </w:rPr>
        <w:t>分。</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t>五、存在主要问题</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zh-CN" w:eastAsia="zh-CN"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zh-CN" w:eastAsia="zh-CN" w:bidi="ar-SA"/>
          <w14:textFill>
            <w14:solidFill>
              <w14:schemeClr w14:val="tx1"/>
            </w14:solidFill>
          </w14:textFill>
        </w:rPr>
        <w:t>六、改进建议</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仿宋_GB2312" w:eastAsia="仿宋_GB2312" w:cs="仿宋_GB2312"/>
          <w:b w:val="0"/>
          <w:bCs w:val="0"/>
          <w:color w:val="000000" w:themeColor="text1"/>
          <w:kern w:val="0"/>
          <w:position w:val="0"/>
          <w:sz w:val="32"/>
          <w:szCs w:val="32"/>
          <w:highlight w:val="none"/>
          <w:lang w:val="en" w:eastAsia="zh-CN" w:bidi="ar-SA"/>
          <w14:textFill>
            <w14:solidFill>
              <w14:schemeClr w14:val="tx1"/>
            </w14:solidFill>
          </w14:textFill>
        </w:rPr>
      </w:pPr>
      <w:bookmarkStart w:id="77" w:name="_Hlk110546638"/>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r>
        <w:rPr>
          <w:rFonts w:hint="eastAsia" w:ascii="仿宋_GB2312" w:hAnsi="仿宋_GB2312" w:eastAsia="黑体" w:cs="仿宋_GB2312"/>
          <w:b w:val="0"/>
          <w:bCs w:val="0"/>
          <w:color w:val="000000" w:themeColor="text1"/>
          <w:kern w:val="0"/>
          <w:position w:val="0"/>
          <w:sz w:val="32"/>
          <w:szCs w:val="32"/>
          <w:highlight w:val="none"/>
          <w:lang w:val="en-US" w:eastAsia="zh-CN" w:bidi="ar-SA"/>
          <w14:textFill>
            <w14:solidFill>
              <w14:schemeClr w14:val="tx1"/>
            </w14:solidFill>
          </w14:textFill>
        </w:rPr>
        <w:t>。</w:t>
      </w:r>
    </w:p>
    <w:bookmarkEnd w:id="77"/>
    <w:p>
      <w:pPr>
        <w:keepNext w:val="0"/>
        <w:keepLines w:val="0"/>
        <w:pageBreakBefore w:val="0"/>
        <w:kinsoku/>
        <w:wordWrap/>
        <w:overflowPunct/>
        <w:topLinePunct w:val="0"/>
        <w:autoSpaceDE/>
        <w:autoSpaceDN/>
        <w:bidi w:val="0"/>
        <w:adjustRightInd/>
        <w:snapToGrid w:val="0"/>
        <w:spacing w:line="576" w:lineRule="exact"/>
        <w:ind w:left="0" w:leftChars="0" w:firstLine="640" w:firstLineChars="200"/>
        <w:textAlignment w:val="auto"/>
        <w:outlineLvl w:val="9"/>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pPr>
    </w:p>
    <w:p>
      <w:pPr>
        <w:snapToGrid w:val="0"/>
        <w:spacing w:line="576" w:lineRule="exact"/>
        <w:ind w:firstLine="640" w:firstLineChars="200"/>
        <w:rPr>
          <w:color w:val="000000" w:themeColor="text1"/>
          <w:kern w:val="0"/>
          <w:sz w:val="32"/>
          <w:szCs w:val="32"/>
          <w:shd w:val="clear" w:color="auto" w:fill="FFFFFF"/>
          <w:lang w:val="zh-CN"/>
          <w14:textFill>
            <w14:solidFill>
              <w14:schemeClr w14:val="tx1"/>
            </w14:solidFill>
          </w14:textFill>
        </w:rPr>
      </w:pPr>
    </w:p>
    <w:p>
      <w:pPr>
        <w:spacing w:line="576" w:lineRule="exact"/>
        <w:ind w:firstLine="640" w:firstLineChars="200"/>
        <w:rPr>
          <w:rFonts w:ascii="黑体" w:hAnsi="黑体" w:eastAsia="黑体" w:cs="黑体"/>
          <w:color w:val="000000" w:themeColor="text1"/>
          <w:kern w:val="0"/>
          <w:sz w:val="32"/>
          <w:szCs w:val="32"/>
          <w:shd w:val="clear" w:color="auto" w:fill="FFFFFF"/>
          <w:lang w:val="zh-CN"/>
          <w14:textFill>
            <w14:solidFill>
              <w14:schemeClr w14:val="tx1"/>
            </w14:solidFill>
          </w14:textFill>
        </w:rPr>
        <w:sectPr>
          <w:headerReference r:id="rId6" w:type="default"/>
          <w:footerReference r:id="rId7" w:type="default"/>
          <w:pgSz w:w="11906" w:h="16838"/>
          <w:pgMar w:top="2098" w:right="1474" w:bottom="1984" w:left="1587" w:header="851" w:footer="1417" w:gutter="0"/>
          <w:cols w:space="0" w:num="1"/>
          <w:rtlGutter w:val="0"/>
          <w:docGrid w:type="lines" w:linePitch="319" w:charSpace="0"/>
        </w:sectPr>
      </w:pPr>
      <w:r>
        <w:rPr>
          <w:rFonts w:ascii="仿宋_GB2312" w:eastAsia="仿宋_GB2312"/>
          <w:color w:val="000000" w:themeColor="text1"/>
          <w:sz w:val="32"/>
          <w:szCs w:val="32"/>
          <w14:textFill>
            <w14:solidFill>
              <w14:schemeClr w14:val="tx1"/>
            </w14:solidFill>
          </w14:textFill>
        </w:rPr>
        <w:t xml:space="preserve"> </w:t>
      </w: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2-2</w:t>
      </w:r>
    </w:p>
    <w:p>
      <w:pPr>
        <w:pStyle w:val="42"/>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keepNext w:val="0"/>
        <w:keepLines w:val="0"/>
        <w:pageBreakBefore w:val="0"/>
        <w:widowControl w:val="0"/>
        <w:kinsoku/>
        <w:wordWrap/>
        <w:overflowPunct/>
        <w:topLinePunct w:val="0"/>
        <w:autoSpaceDE/>
        <w:autoSpaceDN/>
        <w:bidi w:val="0"/>
        <w:spacing w:line="578" w:lineRule="exact"/>
        <w:ind w:left="0" w:leftChars="0" w:firstLine="440" w:firstLineChars="10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t>专项预算项目绩效评价报告</w:t>
      </w:r>
    </w:p>
    <w:p>
      <w:pPr>
        <w:keepNext w:val="0"/>
        <w:keepLines w:val="0"/>
        <w:pageBreakBefore w:val="0"/>
        <w:widowControl w:val="0"/>
        <w:kinsoku/>
        <w:wordWrap/>
        <w:overflowPunct/>
        <w:topLinePunct w:val="0"/>
        <w:autoSpaceDE/>
        <w:autoSpaceDN/>
        <w:bidi w:val="0"/>
        <w:spacing w:line="578" w:lineRule="exact"/>
        <w:ind w:left="0" w:leftChars="0" w:firstLine="440" w:firstLineChars="10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t>（建国初期退休老干部医疗照顾费）</w:t>
      </w:r>
    </w:p>
    <w:p>
      <w:pPr>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eastAsia="宋体" w:cs="Times New Roman"/>
          <w:b w:val="0"/>
          <w:bCs w:val="0"/>
          <w:color w:val="000000" w:themeColor="text1"/>
          <w:kern w:val="2"/>
          <w:sz w:val="32"/>
          <w:szCs w:val="32"/>
          <w:highlight w:val="none"/>
          <w:lang w:val="zh-CN"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黑体" w:hAnsi="宋体" w:eastAsia="黑体" w:cs="Times New Roman"/>
          <w:b w:val="0"/>
          <w:bCs w:val="0"/>
          <w:color w:val="000000" w:themeColor="text1"/>
          <w:sz w:val="32"/>
          <w:szCs w:val="32"/>
          <w:highlight w:val="none"/>
          <w:lang w:val="zh-CN"/>
          <w14:textFill>
            <w14:solidFill>
              <w14:schemeClr w14:val="tx1"/>
            </w14:solidFill>
          </w14:textFill>
        </w:rPr>
      </w:pPr>
      <w:r>
        <w:rPr>
          <w:rFonts w:hint="eastAsia" w:ascii="黑体" w:hAnsi="宋体" w:eastAsia="黑体" w:cs="Times New Roman"/>
          <w:b w:val="0"/>
          <w:bCs w:val="0"/>
          <w:color w:val="000000" w:themeColor="text1"/>
          <w:sz w:val="32"/>
          <w:szCs w:val="32"/>
          <w:highlight w:val="none"/>
          <w14:textFill>
            <w14:solidFill>
              <w14:schemeClr w14:val="tx1"/>
            </w14:solidFill>
          </w14:textFill>
        </w:rPr>
        <w:t>一、</w:t>
      </w:r>
      <w:r>
        <w:rPr>
          <w:rFonts w:hint="eastAsia" w:ascii="黑体" w:hAnsi="宋体" w:eastAsia="黑体" w:cs="Times New Roman"/>
          <w:b w:val="0"/>
          <w:bCs w:val="0"/>
          <w:color w:val="000000" w:themeColor="text1"/>
          <w:sz w:val="32"/>
          <w:szCs w:val="32"/>
          <w:highlight w:val="none"/>
          <w:lang w:val="zh-CN"/>
          <w14:textFill>
            <w14:solidFill>
              <w14:schemeClr w14:val="tx1"/>
            </w14:solidFill>
          </w14:textFill>
        </w:rPr>
        <w:t>项目概况</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eastAsia" w:ascii="仿宋_GB2312" w:hAnsi="仿宋_GB2312" w:eastAsia="仿宋_GB2312" w:cs="仿宋_GB2312"/>
          <w:b w:val="0"/>
          <w:bCs w:val="0"/>
          <w:color w:val="000000" w:themeColor="text1"/>
          <w:kern w:val="0"/>
          <w:sz w:val="32"/>
          <w:szCs w:val="32"/>
          <w:highlight w:val="none"/>
          <w:u w:val="none"/>
          <w:shd w:val="clear" w:color="auto" w:fill="FFFFFF"/>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（一）设立背景及基本情况。</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广元市医疗保障局结合自身职能职责，负责贯彻执行国家、省、市医疗和生育保险政策，对各项医</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保</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政策实施情况进行监督、管理，对各项医疗费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报销进行审核、支付。广元市医疗保障事务中心作为市医疗保障局二级单位，具体负责对建国初期人员医疗门诊照顾金费用进行</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划转拨付</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（二）</w:t>
      </w:r>
      <w:r>
        <w:rPr>
          <w:rFonts w:hint="default"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实施目的及支持方向</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制定了</w:t>
      </w:r>
      <w:r>
        <w:rPr>
          <w:rFonts w:hint="eastAsia" w:ascii="仿宋_GB2312" w:hAnsi="仿宋_GB2312" w:eastAsia="仿宋_GB2312" w:cs="仿宋_GB2312"/>
          <w:b w:val="0"/>
          <w:bCs w:val="0"/>
          <w:color w:val="000000" w:themeColor="text1"/>
          <w:sz w:val="32"/>
          <w:szCs w:val="32"/>
          <w14:textFill>
            <w14:solidFill>
              <w14:schemeClr w14:val="tx1"/>
            </w14:solidFill>
          </w14:textFill>
        </w:rPr>
        <w:t>《广元市</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医保经办机构医疗保障</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主要业务经办流程（试行）》</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，对建国初期人员医疗门诊照顾</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费用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的审核和</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划转</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严格按规定执行，控制项目实施成本。</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rPr>
          <w:rFonts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（三）</w:t>
      </w:r>
      <w:r>
        <w:rPr>
          <w:rFonts w:hint="default"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预算安排及分配管理</w:t>
      </w: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依据市委老干局提供的照顾对象名单，按照4000元/人标准，</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符合条件人员</w:t>
      </w:r>
      <w:r>
        <w:rPr>
          <w:rFonts w:hint="eastAsia" w:ascii="仿宋_GB2312" w:hAnsi="仿宋_GB2312" w:eastAsia="仿宋_GB2312" w:cs="仿宋_GB2312"/>
          <w:b w:val="0"/>
          <w:bCs w:val="0"/>
          <w:color w:val="000000" w:themeColor="text1"/>
          <w:sz w:val="32"/>
          <w:szCs w:val="32"/>
          <w14:textFill>
            <w14:solidFill>
              <w14:schemeClr w14:val="tx1"/>
            </w14:solidFill>
          </w14:textFill>
        </w:rPr>
        <w:t>政策内住院费用报销比例大于等于95%</w:t>
      </w:r>
      <w:r>
        <w:rPr>
          <w:rFonts w:hint="eastAsia" w:ascii="仿宋_GB2312" w:hAnsi="宋体" w:eastAsia="仿宋_GB2312" w:cs="Times New Roman"/>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同时结合当前医疗机构诊</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疗</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水平，合理分配项目资金。</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rPr>
          <w:rFonts w:hint="default"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（四）项目绩效目标设置。</w:t>
      </w:r>
      <w:r>
        <w:rPr>
          <w:rFonts w:hint="eastAsia" w:ascii="仿宋_GB2312" w:hAnsi="宋体" w:eastAsia="仿宋_GB2312" w:cs="Times New Roman"/>
          <w:b w:val="0"/>
          <w:bCs w:val="0"/>
          <w:color w:val="000000" w:themeColor="text1"/>
          <w:sz w:val="32"/>
          <w:szCs w:val="32"/>
          <w14:textFill>
            <w14:solidFill>
              <w14:schemeClr w14:val="tx1"/>
            </w14:solidFill>
          </w14:textFill>
        </w:rPr>
        <w:t>参保人员能及时享受医疗待遇，定点医疗机构能及时收到医疗费用。</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宋体" w:eastAsia="黑体" w:cs="Times New Roman"/>
          <w:b w:val="0"/>
          <w:bCs w:val="0"/>
          <w:color w:val="000000" w:themeColor="text1"/>
          <w:sz w:val="32"/>
          <w:szCs w:val="32"/>
          <w:highlight w:val="none"/>
          <w:lang w:eastAsia="zh-CN"/>
          <w14:textFill>
            <w14:solidFill>
              <w14:schemeClr w14:val="tx1"/>
            </w14:solidFill>
          </w14:textFill>
        </w:rPr>
      </w:pPr>
      <w:r>
        <w:rPr>
          <w:rFonts w:hint="eastAsia" w:ascii="黑体" w:hAnsi="宋体" w:eastAsia="黑体" w:cs="Times New Roman"/>
          <w:b w:val="0"/>
          <w:bCs w:val="0"/>
          <w:color w:val="000000" w:themeColor="text1"/>
          <w:sz w:val="32"/>
          <w:szCs w:val="32"/>
          <w:highlight w:val="none"/>
          <w14:textFill>
            <w14:solidFill>
              <w14:schemeClr w14:val="tx1"/>
            </w14:solidFill>
          </w14:textFill>
        </w:rPr>
        <w:t>二、</w:t>
      </w:r>
      <w:r>
        <w:rPr>
          <w:rFonts w:hint="eastAsia" w:ascii="黑体" w:hAnsi="宋体" w:eastAsia="黑体" w:cs="Times New Roman"/>
          <w:b w:val="0"/>
          <w:bCs w:val="0"/>
          <w:color w:val="000000" w:themeColor="text1"/>
          <w:sz w:val="32"/>
          <w:szCs w:val="32"/>
          <w:highlight w:val="none"/>
          <w:lang w:eastAsia="zh-CN"/>
          <w14:textFill>
            <w14:solidFill>
              <w14:schemeClr w14:val="tx1"/>
            </w14:solidFill>
          </w14:textFill>
        </w:rPr>
        <w:t>评价实施</w:t>
      </w:r>
    </w:p>
    <w:p>
      <w:pPr>
        <w:keepNext w:val="0"/>
        <w:keepLines w:val="0"/>
        <w:pageBreakBefore w:val="0"/>
        <w:widowControl w:val="0"/>
        <w:kinsoku/>
        <w:wordWrap/>
        <w:overflowPunct/>
        <w:topLinePunct w:val="0"/>
        <w:autoSpaceDE/>
        <w:autoSpaceDN/>
        <w:bidi w:val="0"/>
        <w:adjustRightInd w:val="0"/>
        <w:snapToGrid w:val="0"/>
        <w:spacing w:after="0" w:line="576" w:lineRule="exact"/>
        <w:ind w:firstLine="640" w:firstLineChars="200"/>
        <w:jc w:val="both"/>
        <w:textAlignment w:val="auto"/>
        <w:rPr>
          <w:rFonts w:ascii="楷体_GB2312" w:hAnsi="Times New Roman" w:eastAsia="仿宋_GB2312" w:cs="Times New Roman"/>
          <w:b w:val="0"/>
          <w:bCs w:val="0"/>
          <w:color w:val="000000" w:themeColor="text1"/>
          <w:kern w:val="0"/>
          <w:position w:val="3"/>
          <w:sz w:val="20"/>
          <w:szCs w:val="32"/>
          <w:lang w:val="en-US" w:eastAsia="en-US" w:bidi="ar-SA"/>
          <w14:textFill>
            <w14:solidFill>
              <w14:schemeClr w14:val="tx1"/>
            </w14:solidFill>
          </w14:textFill>
        </w:rPr>
      </w:pPr>
      <w:r>
        <w:rPr>
          <w:rFonts w:hint="eastAsia" w:ascii="楷体_GB2312" w:hAnsi="宋体" w:eastAsia="楷体_GB2312" w:cs="Times New Roman"/>
          <w:b w:val="0"/>
          <w:bCs w:val="0"/>
          <w:color w:val="000000" w:themeColor="text1"/>
          <w:kern w:val="2"/>
          <w:sz w:val="32"/>
          <w:szCs w:val="32"/>
          <w:highlight w:val="none"/>
          <w:u w:val="none"/>
          <w:lang w:val="zh-CN" w:eastAsia="en-US" w:bidi="ar-SA"/>
          <w14:textFill>
            <w14:solidFill>
              <w14:schemeClr w14:val="tx1"/>
            </w14:solidFill>
          </w14:textFill>
        </w:rPr>
        <w:t>（一）评价目的。</w:t>
      </w:r>
      <w:r>
        <w:rPr>
          <w:rFonts w:hint="eastAsia" w:ascii="仿宋_GB2312" w:hAnsi="宋体" w:eastAsia="仿宋_GB2312" w:cs="Times New Roman"/>
          <w:b w:val="0"/>
          <w:bCs w:val="0"/>
          <w:color w:val="000000" w:themeColor="text1"/>
          <w:kern w:val="0"/>
          <w:position w:val="3"/>
          <w:sz w:val="32"/>
          <w:szCs w:val="32"/>
          <w:lang w:val="en-US" w:eastAsia="zh-CN" w:bidi="ar-SA"/>
          <w14:textFill>
            <w14:solidFill>
              <w14:schemeClr w14:val="tx1"/>
            </w14:solidFill>
          </w14:textFill>
        </w:rPr>
        <w:t>提高财政资金使用效益，确保</w:t>
      </w:r>
      <w:r>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t>参保人员能及时享受医疗待遇</w:t>
      </w:r>
      <w:r>
        <w:rPr>
          <w:rFonts w:hint="eastAsia" w:ascii="仿宋_GB2312" w:hAnsi="宋体" w:eastAsia="黑体" w:cs="Times New Roman"/>
          <w:b w:val="0"/>
          <w:bCs w:val="0"/>
          <w:color w:val="000000" w:themeColor="text1"/>
          <w:kern w:val="0"/>
          <w:position w:val="3"/>
          <w:sz w:val="32"/>
          <w:szCs w:val="32"/>
          <w:lang w:val="en-US" w:eastAsia="zh-CN" w:bidi="ar-SA"/>
          <w14:textFill>
            <w14:solidFill>
              <w14:schemeClr w14:val="tx1"/>
            </w14:solidFill>
          </w14:textFill>
        </w:rPr>
        <w:t>，</w:t>
      </w:r>
      <w:r>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t>定点医疗机构能及时收到医疗费用</w:t>
      </w:r>
      <w:r>
        <w:rPr>
          <w:rFonts w:hint="eastAsia" w:ascii="仿宋_GB2312" w:hAnsi="宋体" w:eastAsia="黑体" w:cs="Times New Roman"/>
          <w:b w:val="0"/>
          <w:bCs w:val="0"/>
          <w:color w:val="000000" w:themeColor="text1"/>
          <w:kern w:val="0"/>
          <w:position w:val="3"/>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0"/>
          <w:position w:val="3"/>
          <w:sz w:val="32"/>
          <w:szCs w:val="32"/>
          <w:lang w:val="zh-CN" w:eastAsia="zh-CN" w:bidi="ar-SA"/>
          <w14:textFill>
            <w14:solidFill>
              <w14:schemeClr w14:val="tx1"/>
            </w14:solidFill>
          </w14:textFill>
        </w:rPr>
        <w:t>医疗保障资金使用安全、规范、高效</w:t>
      </w:r>
      <w:r>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val="0"/>
        <w:snapToGrid w:val="0"/>
        <w:spacing w:line="576" w:lineRule="exact"/>
        <w:ind w:firstLine="640" w:firstLineChars="200"/>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（二）预设问题及评价重点。</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符合条件人员</w:t>
      </w:r>
      <w:r>
        <w:rPr>
          <w:rFonts w:hint="eastAsia" w:ascii="仿宋_GB2312" w:hAnsi="仿宋_GB2312" w:eastAsia="仿宋_GB2312" w:cs="仿宋_GB2312"/>
          <w:b w:val="0"/>
          <w:bCs w:val="0"/>
          <w:color w:val="000000" w:themeColor="text1"/>
          <w:sz w:val="32"/>
          <w:szCs w:val="32"/>
          <w14:textFill>
            <w14:solidFill>
              <w14:schemeClr w14:val="tx1"/>
            </w14:solidFill>
          </w14:textFill>
        </w:rPr>
        <w:t>政策内住院费用报销比例大于等于95%</w:t>
      </w:r>
      <w:r>
        <w:rPr>
          <w:rFonts w:hint="eastAsia" w:ascii="仿宋_GB2312" w:hAnsi="宋体" w:eastAsia="仿宋_GB2312" w:cs="Times New Roman"/>
          <w:b w:val="0"/>
          <w:bCs w:val="0"/>
          <w:color w:val="000000" w:themeColor="text1"/>
          <w:sz w:val="32"/>
          <w:szCs w:val="32"/>
          <w14:textFill>
            <w14:solidFill>
              <w14:schemeClr w14:val="tx1"/>
            </w14:solidFill>
          </w14:textFill>
        </w:rPr>
        <w:t>，参保人员能及时享受医疗待遇，定点医疗机构能及时收到医疗费用。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Times New Roman"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（三）评价选点。</w:t>
      </w:r>
      <w:r>
        <w:rPr>
          <w:rFonts w:hint="eastAsia" w:ascii="Times New Roman" w:hAnsi="Times New Roman" w:eastAsia="仿宋_GB2312" w:cs="Times New Roman"/>
          <w:b w:val="0"/>
          <w:bCs w:val="0"/>
          <w:color w:val="000000" w:themeColor="text1"/>
          <w:sz w:val="32"/>
          <w:szCs w:val="32"/>
          <w:lang w:val="zh-CN" w:eastAsia="zh-CN"/>
          <w14:textFill>
            <w14:solidFill>
              <w14:schemeClr w14:val="tx1"/>
            </w14:solidFill>
          </w14:textFill>
        </w:rPr>
        <w:t>以整体作为评价。</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宋体" w:eastAsia="仿宋_GB2312" w:cs="Times New Roman"/>
          <w:b w:val="0"/>
          <w:bCs w:val="0"/>
          <w:color w:val="000000" w:themeColor="text1"/>
          <w:sz w:val="32"/>
          <w:szCs w:val="32"/>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（四）评价方法。</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项目绩效自评按市财政局要求，部门决算后在规定时间内按规定内容进行自评。</w:t>
      </w:r>
    </w:p>
    <w:p>
      <w:pPr>
        <w:keepNext w:val="0"/>
        <w:keepLines w:val="0"/>
        <w:pageBreakBefore w:val="0"/>
        <w:kinsoku/>
        <w:wordWrap/>
        <w:overflowPunct/>
        <w:topLinePunct w:val="0"/>
        <w:autoSpaceDE/>
        <w:autoSpaceDN/>
        <w:bidi w:val="0"/>
        <w:spacing w:line="576" w:lineRule="exact"/>
        <w:ind w:firstLine="640" w:firstLineChars="200"/>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（五）评价组织。</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我单位</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高度重视</w:t>
      </w:r>
      <w:r>
        <w:rPr>
          <w:rFonts w:hint="eastAsia" w:ascii="仿宋_GB2312" w:hAnsi="Times New Roman" w:eastAsia="仿宋_GB2312" w:cs="Times New Roman"/>
          <w:b w:val="0"/>
          <w:bCs w:val="0"/>
          <w:color w:val="000000" w:themeColor="text1"/>
          <w:sz w:val="32"/>
          <w:szCs w:val="32"/>
          <w14:textFill>
            <w14:solidFill>
              <w14:schemeClr w14:val="tx1"/>
            </w14:solidFill>
          </w14:textFill>
        </w:rPr>
        <w:t>绩效评价工作，</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落实专人负责，全面对标评价指标，逐项分析，确保评价客观、科学、准确，为今后的项目实施提供参考，</w:t>
      </w:r>
      <w:r>
        <w:rPr>
          <w:rFonts w:hint="eastAsia" w:ascii="仿宋_GB2312" w:hAnsi="Times New Roman" w:eastAsia="仿宋_GB2312" w:cs="Times New Roman"/>
          <w:b w:val="0"/>
          <w:bCs w:val="0"/>
          <w:color w:val="000000" w:themeColor="text1"/>
          <w:sz w:val="32"/>
          <w:szCs w:val="32"/>
          <w14:textFill>
            <w14:solidFill>
              <w14:schemeClr w14:val="tx1"/>
            </w14:solidFill>
          </w14:textFill>
        </w:rPr>
        <w:t>提高财政资金使用效率</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ascii="仿宋_GB2312" w:hAnsi="宋体" w:eastAsia="仿宋_GB2312" w:cs="Times New Roman"/>
          <w:b w:val="0"/>
          <w:bCs w:val="0"/>
          <w:color w:val="000000" w:themeColor="text1"/>
          <w:sz w:val="32"/>
          <w:szCs w:val="32"/>
          <w:highlight w:val="none"/>
          <w:u w:val="none"/>
          <w:lang w:val="zh-CN"/>
          <w14:textFill>
            <w14:solidFill>
              <w14:schemeClr w14:val="tx1"/>
            </w14:solidFill>
          </w14:textFill>
        </w:rPr>
      </w:pPr>
      <w:r>
        <w:rPr>
          <w:rFonts w:hint="eastAsia" w:ascii="黑体" w:hAnsi="宋体" w:eastAsia="黑体" w:cs="Times New Roman"/>
          <w:b w:val="0"/>
          <w:bCs w:val="0"/>
          <w:color w:val="000000" w:themeColor="text1"/>
          <w:sz w:val="32"/>
          <w:szCs w:val="32"/>
          <w:highlight w:val="none"/>
          <w:u w:val="none"/>
          <w14:textFill>
            <w14:solidFill>
              <w14:schemeClr w14:val="tx1"/>
            </w14:solidFill>
          </w14:textFill>
        </w:rPr>
        <w:t>三、</w:t>
      </w:r>
      <w:r>
        <w:rPr>
          <w:rFonts w:hint="eastAsia" w:ascii="黑体" w:hAnsi="宋体" w:eastAsia="黑体" w:cs="Times New Roman"/>
          <w:b w:val="0"/>
          <w:bCs w:val="0"/>
          <w:color w:val="000000" w:themeColor="text1"/>
          <w:sz w:val="32"/>
          <w:szCs w:val="32"/>
          <w:highlight w:val="none"/>
          <w:u w:val="none"/>
          <w:lang w:eastAsia="zh-CN"/>
          <w14:textFill>
            <w14:solidFill>
              <w14:schemeClr w14:val="tx1"/>
            </w14:solidFill>
          </w14:textFill>
        </w:rPr>
        <w:t>绩效分析</w:t>
      </w:r>
      <w:r>
        <w:rPr>
          <w:rFonts w:hint="eastAsia" w:ascii="仿宋_GB2312" w:hAnsi="宋体" w:eastAsia="仿宋_GB2312" w:cs="Times New Roman"/>
          <w:b w:val="0"/>
          <w:bCs w:val="0"/>
          <w:color w:val="000000" w:themeColor="text1"/>
          <w:sz w:val="32"/>
          <w:szCs w:val="32"/>
          <w:highlight w:val="none"/>
          <w:u w:val="none"/>
          <w:lang w:val="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一</w:t>
      </w: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通用指标</w:t>
      </w:r>
      <w:r>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绩效分析</w:t>
      </w:r>
    </w:p>
    <w:p>
      <w:pPr>
        <w:keepNext w:val="0"/>
        <w:keepLines w:val="0"/>
        <w:pageBreakBefore w:val="0"/>
        <w:kinsoku/>
        <w:wordWrap/>
        <w:overflowPunct/>
        <w:topLinePunct w:val="0"/>
        <w:autoSpaceDE/>
        <w:autoSpaceDN/>
        <w:bidi w:val="0"/>
        <w:spacing w:line="576" w:lineRule="exact"/>
        <w:ind w:firstLine="640" w:firstLineChars="200"/>
        <w:rPr>
          <w:rFonts w:hint="default" w:ascii="仿宋_GB2312"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1.</w:t>
      </w:r>
      <w:r>
        <w:rPr>
          <w:rFonts w:hint="default" w:ascii="仿宋_GB2312" w:hAnsi="Times New Roman"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决策（自评得18分）。该项目的设立符合资金管理基本规范和决策程序要求，项目决策程序严密。项目资金属于政府支持范围，且符合财政事权支出责任划分规定，资金投向与项目总体规划、相关行业事业发展相匹配，聚焦重大任务、重点领域、重点环节和重点项目，未与其他同类项目或部门内部相关项目交叉重复。</w:t>
      </w:r>
    </w:p>
    <w:p>
      <w:pPr>
        <w:keepNext w:val="0"/>
        <w:keepLines w:val="0"/>
        <w:pageBreakBefore w:val="0"/>
        <w:kinsoku/>
        <w:wordWrap/>
        <w:overflowPunct/>
        <w:topLinePunct w:val="0"/>
        <w:autoSpaceDE/>
        <w:autoSpaceDN/>
        <w:bidi w:val="0"/>
        <w:spacing w:line="576" w:lineRule="exact"/>
        <w:ind w:firstLine="640" w:firstLineChars="200"/>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2.</w:t>
      </w:r>
      <w:r>
        <w:rPr>
          <w:rFonts w:hint="default" w:ascii="仿宋_GB2312" w:hAnsi="Times New Roman"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项目管理（自评得18分）。我单位资金管理体系完善，财务制度健全，财务管理规范，会计核算真实完整，不存在管理制度缺失、管理办法过期情况，</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对建国初期人员医疗门诊照顾费用，</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实行专款专用，科学合理设置可量化、可考核的绩效评价指标体系，全面开展绩效评价工作。</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pacing w:val="-6"/>
          <w:sz w:val="32"/>
          <w:szCs w:val="32"/>
          <w:lang w:val="en-US" w:eastAsia="zh-CN"/>
          <w14:textFill>
            <w14:solidFill>
              <w14:schemeClr w14:val="tx1"/>
            </w14:solidFill>
          </w14:textFill>
        </w:rPr>
        <w:t>项目实施（自评得9分）。我单位</w:t>
      </w:r>
      <w:r>
        <w:rPr>
          <w:rFonts w:hint="eastAsia" w:ascii="仿宋_GB2312" w:hAnsi="仿宋_GB2312" w:eastAsia="仿宋_GB2312" w:cs="仿宋_GB2312"/>
          <w:b w:val="0"/>
          <w:bCs w:val="0"/>
          <w:color w:val="000000" w:themeColor="text1"/>
          <w:spacing w:val="-6"/>
          <w:sz w:val="32"/>
          <w:szCs w:val="32"/>
          <w:lang w:val="zh-CN" w:eastAsia="zh-CN"/>
          <w14:textFill>
            <w14:solidFill>
              <w14:schemeClr w14:val="tx1"/>
            </w14:solidFill>
          </w14:textFill>
        </w:rPr>
        <w:t>财务管理制度健全，制度执行严格，账务处理及时，</w:t>
      </w:r>
      <w:r>
        <w:rPr>
          <w:rFonts w:hint="eastAsia" w:ascii="仿宋_GB2312" w:hAnsi="仿宋_GB2312" w:eastAsia="仿宋_GB2312" w:cs="仿宋_GB2312"/>
          <w:b w:val="0"/>
          <w:bCs w:val="0"/>
          <w:color w:val="000000" w:themeColor="text1"/>
          <w:spacing w:val="-6"/>
          <w:sz w:val="32"/>
          <w:szCs w:val="32"/>
          <w:lang w:val="en-US" w:eastAsia="zh-CN"/>
          <w14:textFill>
            <w14:solidFill>
              <w14:schemeClr w14:val="tx1"/>
            </w14:solidFill>
          </w14:textFill>
        </w:rPr>
        <w:t>严格</w:t>
      </w:r>
      <w:r>
        <w:rPr>
          <w:rFonts w:hint="eastAsia" w:ascii="仿宋_GB2312" w:hAnsi="仿宋_GB2312" w:eastAsia="仿宋_GB2312" w:cs="仿宋_GB2312"/>
          <w:b w:val="0"/>
          <w:bCs w:val="0"/>
          <w:color w:val="000000" w:themeColor="text1"/>
          <w:spacing w:val="-6"/>
          <w:sz w:val="32"/>
          <w:szCs w:val="32"/>
          <w:lang w:val="zh-CN" w:eastAsia="zh-CN"/>
          <w14:textFill>
            <w14:solidFill>
              <w14:schemeClr w14:val="tx1"/>
            </w14:solidFill>
          </w14:textFill>
        </w:rPr>
        <w:t>按</w:t>
      </w:r>
      <w:r>
        <w:rPr>
          <w:rFonts w:hint="eastAsia" w:ascii="仿宋_GB2312" w:hAnsi="仿宋_GB2312" w:eastAsia="仿宋_GB2312" w:cs="仿宋_GB2312"/>
          <w:b w:val="0"/>
          <w:bCs w:val="0"/>
          <w:color w:val="000000" w:themeColor="text1"/>
          <w:spacing w:val="-6"/>
          <w:sz w:val="32"/>
          <w:szCs w:val="32"/>
          <w:lang w:val="en-US" w:eastAsia="zh-CN"/>
          <w14:textFill>
            <w14:solidFill>
              <w14:schemeClr w14:val="tx1"/>
            </w14:solidFill>
          </w14:textFill>
        </w:rPr>
        <w:t>照</w:t>
      </w:r>
      <w:r>
        <w:rPr>
          <w:rFonts w:hint="eastAsia" w:ascii="仿宋_GB2312" w:hAnsi="仿宋_GB2312" w:eastAsia="仿宋_GB2312" w:cs="仿宋_GB2312"/>
          <w:b w:val="0"/>
          <w:bCs w:val="0"/>
          <w:color w:val="000000" w:themeColor="text1"/>
          <w:spacing w:val="-6"/>
          <w:sz w:val="32"/>
          <w:szCs w:val="32"/>
          <w:lang w:val="zh-CN" w:eastAsia="zh-CN"/>
          <w14:textFill>
            <w14:solidFill>
              <w14:schemeClr w14:val="tx1"/>
            </w14:solidFill>
          </w14:textFill>
        </w:rPr>
        <w:t>《社保基金财务制度》《社保基金会计制度》管理和核算基金。</w:t>
      </w:r>
      <w:r>
        <w:rPr>
          <w:rFonts w:hint="eastAsia" w:ascii="仿宋_GB2312" w:hAnsi="仿宋_GB2312" w:eastAsia="仿宋_GB2312" w:cs="仿宋_GB2312"/>
          <w:b w:val="0"/>
          <w:bCs w:val="0"/>
          <w:color w:val="000000" w:themeColor="text1"/>
          <w:spacing w:val="-6"/>
          <w:sz w:val="32"/>
          <w:szCs w:val="32"/>
          <w:lang w:val="en-US" w:eastAsia="zh-CN"/>
          <w14:textFill>
            <w14:solidFill>
              <w14:schemeClr w14:val="tx1"/>
            </w14:solidFill>
          </w14:textFill>
        </w:rPr>
        <w:t>在业务流程方面，中心严格按照《广元市医保经办机构医疗保障主要业务经办流程（试行）》，由业务经办人员对有关资料进行初审，业务组长复核，业务分管领导审核，再由出纳复核、财务分管领导审核，中心主任签字审批拨付。在财务流程方面，该笔</w:t>
      </w:r>
      <w:r>
        <w:rPr>
          <w:rFonts w:hint="eastAsia" w:ascii="仿宋_GB2312" w:hAnsi="仿宋_GB2312" w:eastAsia="仿宋_GB2312" w:cs="仿宋_GB2312"/>
          <w:b w:val="0"/>
          <w:bCs w:val="0"/>
          <w:color w:val="000000" w:themeColor="text1"/>
          <w:spacing w:val="-6"/>
          <w:sz w:val="32"/>
          <w:szCs w:val="32"/>
          <w:lang w:val="zh-CN" w:eastAsia="zh-CN"/>
          <w14:textFill>
            <w14:solidFill>
              <w14:schemeClr w14:val="tx1"/>
            </w14:solidFill>
          </w14:textFill>
        </w:rPr>
        <w:t>经费按财政集中支付管理流程</w:t>
      </w:r>
      <w:r>
        <w:rPr>
          <w:rFonts w:hint="eastAsia" w:ascii="仿宋_GB2312" w:hAnsi="仿宋_GB2312" w:eastAsia="仿宋_GB2312" w:cs="仿宋_GB2312"/>
          <w:b w:val="0"/>
          <w:bCs w:val="0"/>
          <w:color w:val="000000" w:themeColor="text1"/>
          <w:spacing w:val="-6"/>
          <w:sz w:val="32"/>
          <w:szCs w:val="32"/>
          <w:lang w:val="en-US" w:eastAsia="zh-CN"/>
          <w14:textFill>
            <w14:solidFill>
              <w14:schemeClr w14:val="tx1"/>
            </w14:solidFill>
          </w14:textFill>
        </w:rPr>
        <w:t>申请拨付至广元市医疗保障事务中心医疗保险基金支出户</w:t>
      </w:r>
      <w:r>
        <w:rPr>
          <w:rFonts w:hint="eastAsia" w:ascii="仿宋_GB2312" w:hAnsi="仿宋_GB2312" w:eastAsia="仿宋_GB2312" w:cs="仿宋_GB2312"/>
          <w:b w:val="0"/>
          <w:bCs w:val="0"/>
          <w:color w:val="000000" w:themeColor="text1"/>
          <w:spacing w:val="-6"/>
          <w:sz w:val="32"/>
          <w:szCs w:val="32"/>
          <w:lang w:val="zh-CN"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项目结果（自评得9分）。</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本项目资金全年共支出</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37.68万</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元，支出进度为100%，主要</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用于支付建国初期人员门诊照顾金及住院医疗费用</w:t>
      </w:r>
      <w:r>
        <w:rPr>
          <w:rFonts w:hint="eastAsia" w:ascii="仿宋_GB2312" w:hAnsi="仿宋_GB2312" w:eastAsia="仿宋_GB2312" w:cs="仿宋_GB2312"/>
          <w:b w:val="0"/>
          <w:bCs w:val="0"/>
          <w:color w:val="000000" w:themeColor="text1"/>
          <w:sz w:val="32"/>
          <w:szCs w:val="32"/>
          <w:lang w:val="zh-CN" w:eastAsia="zh-CN"/>
          <w14:textFill>
            <w14:solidFill>
              <w14:schemeClr w14:val="tx1"/>
            </w14:solidFill>
          </w14:textFill>
        </w:rPr>
        <w:t>。在项目执行过程中，严格按照预算批复项目资金支付范围、支付标准执行</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，严控预算执行进度和经费支出情况，资金使用安全、规范、高效</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both"/>
        <w:textAlignment w:val="baseline"/>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w:t>
      </w:r>
      <w:r>
        <w:rPr>
          <w:rFonts w:hint="eastAsia" w:ascii="楷体_GB2312" w:hAnsi="宋体" w:eastAsia="楷体_GB2312" w:cs="Times New Roman"/>
          <w:b w:val="0"/>
          <w:bCs w:val="0"/>
          <w:color w:val="000000" w:themeColor="text1"/>
          <w:kern w:val="2"/>
          <w:sz w:val="32"/>
          <w:szCs w:val="32"/>
          <w:highlight w:val="none"/>
          <w:u w:val="none"/>
          <w:lang w:val="en-US" w:eastAsia="zh-CN" w:bidi="ar-SA"/>
          <w14:textFill>
            <w14:solidFill>
              <w14:schemeClr w14:val="tx1"/>
            </w14:solidFill>
          </w14:textFill>
        </w:rPr>
        <w:t>二</w:t>
      </w: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w:t>
      </w:r>
      <w:r>
        <w:rPr>
          <w:rFonts w:hint="eastAsia" w:ascii="楷体_GB2312" w:hAnsi="宋体" w:eastAsia="楷体_GB2312" w:cs="Times New Roman"/>
          <w:b w:val="0"/>
          <w:bCs w:val="0"/>
          <w:color w:val="000000" w:themeColor="text1"/>
          <w:kern w:val="2"/>
          <w:sz w:val="32"/>
          <w:szCs w:val="32"/>
          <w:highlight w:val="none"/>
          <w:u w:val="none"/>
          <w:lang w:val="en-US" w:eastAsia="zh-CN" w:bidi="ar-SA"/>
          <w14:textFill>
            <w14:solidFill>
              <w14:schemeClr w14:val="tx1"/>
            </w14:solidFill>
          </w14:textFill>
        </w:rPr>
        <w:t>专用指标</w:t>
      </w:r>
      <w:r>
        <w:rPr>
          <w:rFonts w:hint="default"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绩效分析。</w:t>
      </w:r>
      <w:r>
        <w:rPr>
          <w:rFonts w:hint="eastAsia" w:ascii="Times New Roman" w:hAnsi="Times New Roman" w:eastAsia="仿宋_GB2312" w:cs="Times New Roman"/>
          <w:b w:val="0"/>
          <w:bCs w:val="0"/>
          <w:color w:val="000000" w:themeColor="text1"/>
          <w:kern w:val="2"/>
          <w:sz w:val="32"/>
          <w:szCs w:val="32"/>
          <w:lang w:val="zh-CN" w:eastAsia="zh-CN" w:bidi="ar-SA"/>
          <w14:textFill>
            <w14:solidFill>
              <w14:schemeClr w14:val="tx1"/>
            </w14:solidFill>
          </w14:textFill>
        </w:rPr>
        <w:t>民生保障</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方面（</w:t>
      </w:r>
      <w:r>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t>自评得</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29.75</w:t>
      </w:r>
      <w:r>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t>分）</w:t>
      </w:r>
      <w:r>
        <w:rPr>
          <w:rFonts w:hint="eastAsia" w:ascii="Times New Roman" w:hAnsi="Times New Roman" w:eastAsia="仿宋_GB2312" w:cs="Times New Roman"/>
          <w:b w:val="0"/>
          <w:bCs w:val="0"/>
          <w:color w:val="000000" w:themeColor="text1"/>
          <w:kern w:val="2"/>
          <w:sz w:val="32"/>
          <w:szCs w:val="32"/>
          <w:lang w:val="zh-CN" w:eastAsia="zh-CN" w:bidi="ar-SA"/>
          <w14:textFill>
            <w14:solidFill>
              <w14:schemeClr w14:val="tx1"/>
            </w14:solidFill>
          </w14:textFill>
        </w:rPr>
        <w:t>。</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政策内各项目资金分配均衡公平，项目支持方向全面覆盖政策应支持的范围和对象，有效衔接了政策内各项目间支持标准，不存在标准差异较大的情况，</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医疗</w:t>
      </w:r>
      <w:r>
        <w:rPr>
          <w:rFonts w:hint="eastAsia" w:ascii="仿宋_GB2312" w:hAnsi="仿宋_GB2312" w:eastAsia="仿宋_GB2312" w:cs="仿宋_GB2312"/>
          <w:b w:val="0"/>
          <w:bCs w:val="0"/>
          <w:color w:val="000000" w:themeColor="text1"/>
          <w:kern w:val="2"/>
          <w:sz w:val="32"/>
          <w:szCs w:val="32"/>
          <w:lang w:val="zh-CN" w:eastAsia="zh-CN" w:bidi="ar-SA"/>
          <w14:textFill>
            <w14:solidFill>
              <w14:schemeClr w14:val="tx1"/>
            </w14:solidFill>
          </w14:textFill>
        </w:rPr>
        <w:t>照顾对象满意度</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在9</w:t>
      </w:r>
      <w:r>
        <w:rPr>
          <w:rFonts w:hint="eastAsia" w:ascii="仿宋_GB2312" w:hAnsi="仿宋_GB2312" w:eastAsia="仿宋_GB2312" w:cs="仿宋_GB2312"/>
          <w:b w:val="0"/>
          <w:bCs w:val="0"/>
          <w:color w:val="000000" w:themeColor="text1"/>
          <w:kern w:val="2"/>
          <w:sz w:val="32"/>
          <w:szCs w:val="32"/>
          <w:lang w:val="zh-CN" w:eastAsia="zh-CN" w:bidi="ar-SA"/>
          <w14:textFill>
            <w14:solidFill>
              <w14:schemeClr w14:val="tx1"/>
            </w14:solidFill>
          </w14:textFill>
        </w:rPr>
        <w:t>5%</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以上</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eastAsia"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三</w:t>
      </w: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个性指标</w:t>
      </w:r>
      <w:r>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绩效分析</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w:t>
      </w: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自评得16分）</w:t>
      </w:r>
      <w:r>
        <w:rPr>
          <w:rFonts w:hint="default" w:ascii="Times New Roman" w:hAnsi="Times New Roman" w:eastAsia="楷体_GB2312" w:cs="Times New Roman"/>
          <w:b w:val="0"/>
          <w:bCs w:val="0"/>
          <w:color w:val="000000" w:themeColor="text1"/>
          <w:kern w:val="0"/>
          <w:sz w:val="32"/>
          <w:szCs w:val="32"/>
          <w:highlight w:val="none"/>
          <w:shd w:val="clear" w:color="auto" w:fill="FFFFFF"/>
          <w:lang w:val="zh-CN"/>
          <w14:textFill>
            <w14:solidFill>
              <w14:schemeClr w14:val="tx1"/>
            </w14:solidFill>
          </w14:textFill>
        </w:rPr>
        <w:t>。</w:t>
      </w:r>
      <w:r>
        <w:rPr>
          <w:rFonts w:hint="eastAsia" w:ascii="仿宋_GB2312" w:hAnsi="宋体" w:eastAsia="仿宋_GB2312" w:cs="Times New Roman"/>
          <w:b w:val="0"/>
          <w:bCs w:val="0"/>
          <w:color w:val="000000" w:themeColor="text1"/>
          <w:sz w:val="32"/>
          <w:szCs w:val="32"/>
          <w14:textFill>
            <w14:solidFill>
              <w14:schemeClr w14:val="tx1"/>
            </w14:solidFill>
          </w14:textFill>
        </w:rPr>
        <w:t>我</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单位严格</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依据市委老干局提供的照顾对象名单，按照4000元/人标准，</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符合条件人员</w:t>
      </w:r>
      <w:r>
        <w:rPr>
          <w:rFonts w:hint="eastAsia" w:ascii="仿宋_GB2312" w:hAnsi="仿宋_GB2312" w:eastAsia="仿宋_GB2312" w:cs="仿宋_GB2312"/>
          <w:b w:val="0"/>
          <w:bCs w:val="0"/>
          <w:color w:val="000000" w:themeColor="text1"/>
          <w:sz w:val="32"/>
          <w:szCs w:val="32"/>
          <w14:textFill>
            <w14:solidFill>
              <w14:schemeClr w14:val="tx1"/>
            </w14:solidFill>
          </w14:textFill>
        </w:rPr>
        <w:t>政策内住院费用报销比例大于等于95%</w:t>
      </w:r>
      <w:r>
        <w:rPr>
          <w:rFonts w:hint="eastAsia" w:ascii="仿宋_GB2312" w:hAnsi="宋体" w:eastAsia="仿宋_GB2312" w:cs="Times New Roman"/>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同时结合当前医疗机构诊水平，合理分配项目资金，</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对于</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医疗照顾费用审核准确率</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98%</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以上。</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en-US" w:eastAsia="en-US"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t>四</w:t>
      </w:r>
      <w:r>
        <w:rPr>
          <w:rFonts w:hint="eastAsia" w:ascii="黑体" w:hAnsi="宋体" w:eastAsia="黑体" w:cs="Times New Roman"/>
          <w:b w:val="0"/>
          <w:bCs w:val="0"/>
          <w:color w:val="000000" w:themeColor="text1"/>
          <w:kern w:val="0"/>
          <w:position w:val="3"/>
          <w:sz w:val="32"/>
          <w:szCs w:val="32"/>
          <w:highlight w:val="none"/>
          <w:u w:val="none"/>
          <w:lang w:val="en-US" w:eastAsia="en-US" w:bidi="ar-SA"/>
          <w14:textFill>
            <w14:solidFill>
              <w14:schemeClr w14:val="tx1"/>
            </w14:solidFill>
          </w14:textFill>
        </w:rPr>
        <w:t>、评价结论</w:t>
      </w:r>
    </w:p>
    <w:p>
      <w:pPr>
        <w:keepNext w:val="0"/>
        <w:keepLines w:val="0"/>
        <w:pageBreakBefore w:val="0"/>
        <w:kinsoku/>
        <w:wordWrap/>
        <w:overflowPunct/>
        <w:topLinePunct w:val="0"/>
        <w:autoSpaceDE/>
        <w:autoSpaceDN/>
        <w:bidi w:val="0"/>
        <w:adjustRightInd w:val="0"/>
        <w:snapToGrid w:val="0"/>
        <w:spacing w:line="576" w:lineRule="exact"/>
        <w:ind w:firstLine="640" w:firstLineChars="200"/>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通过项目实施，解决了建国初期人员参加革命工作人员医疗费用问题，减轻了建国初期人员参加革命工作人员的经济压力和生活压力，既是对建国初期人员参加革命工作人员贡献价值的肯定，更是时代背景下的现实需求的满足。该项目得</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99.75</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分。</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t>五、存在主要问题</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zh-CN" w:eastAsia="zh-CN"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zh-CN" w:eastAsia="zh-CN" w:bidi="ar-SA"/>
          <w14:textFill>
            <w14:solidFill>
              <w14:schemeClr w14:val="tx1"/>
            </w14:solidFill>
          </w14:textFill>
        </w:rPr>
        <w:t>六、改进建议</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仿宋_GB2312" w:eastAsia="仿宋_GB2312" w:cs="仿宋_GB2312"/>
          <w:b w:val="0"/>
          <w:bCs w:val="0"/>
          <w:color w:val="000000" w:themeColor="text1"/>
          <w:kern w:val="0"/>
          <w:position w:val="0"/>
          <w:sz w:val="32"/>
          <w:szCs w:val="32"/>
          <w:highlight w:val="none"/>
          <w:lang w:val="en"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r>
        <w:rPr>
          <w:rFonts w:hint="eastAsia" w:ascii="仿宋_GB2312" w:hAnsi="仿宋_GB2312" w:eastAsia="黑体" w:cs="仿宋_GB2312"/>
          <w:b w:val="0"/>
          <w:bCs w:val="0"/>
          <w:color w:val="000000" w:themeColor="text1"/>
          <w:kern w:val="0"/>
          <w:position w:val="0"/>
          <w:sz w:val="32"/>
          <w:szCs w:val="32"/>
          <w:highlight w:val="none"/>
          <w:lang w:val="en-US" w:eastAsia="zh-CN" w:bidi="ar-SA"/>
          <w14:textFill>
            <w14:solidFill>
              <w14:schemeClr w14:val="tx1"/>
            </w14:solidFill>
          </w14:textFill>
        </w:rPr>
        <w:t>。</w:t>
      </w: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2-3</w:t>
      </w:r>
    </w:p>
    <w:p>
      <w:pPr>
        <w:pStyle w:val="42"/>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keepNext w:val="0"/>
        <w:keepLines w:val="0"/>
        <w:pageBreakBefore w:val="0"/>
        <w:widowControl w:val="0"/>
        <w:kinsoku/>
        <w:wordWrap/>
        <w:overflowPunct/>
        <w:topLinePunct w:val="0"/>
        <w:autoSpaceDE/>
        <w:autoSpaceDN/>
        <w:bidi w:val="0"/>
        <w:spacing w:line="578" w:lineRule="exact"/>
        <w:ind w:left="0" w:leftChars="0" w:firstLine="440" w:firstLineChars="10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t>专项预算项目绩效评价报告</w:t>
      </w:r>
    </w:p>
    <w:p>
      <w:pPr>
        <w:keepNext w:val="0"/>
        <w:keepLines w:val="0"/>
        <w:pageBreakBefore w:val="0"/>
        <w:widowControl w:val="0"/>
        <w:kinsoku/>
        <w:wordWrap/>
        <w:overflowPunct/>
        <w:topLinePunct w:val="0"/>
        <w:autoSpaceDE/>
        <w:autoSpaceDN/>
        <w:bidi w:val="0"/>
        <w:spacing w:line="578" w:lineRule="exact"/>
        <w:ind w:left="0" w:leftChars="0" w:firstLine="440" w:firstLineChars="10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t>（离休干部医疗保险费）</w:t>
      </w:r>
    </w:p>
    <w:p>
      <w:pPr>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eastAsia="宋体" w:cs="Times New Roman"/>
          <w:b w:val="0"/>
          <w:bCs w:val="0"/>
          <w:color w:val="000000" w:themeColor="text1"/>
          <w:kern w:val="2"/>
          <w:sz w:val="32"/>
          <w:szCs w:val="32"/>
          <w:highlight w:val="none"/>
          <w:lang w:val="zh-CN"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46" w:lineRule="exact"/>
        <w:ind w:firstLine="640" w:firstLineChars="200"/>
        <w:textAlignment w:val="auto"/>
        <w:rPr>
          <w:rFonts w:ascii="黑体" w:hAnsi="宋体" w:eastAsia="黑体" w:cs="Times New Roman"/>
          <w:b w:val="0"/>
          <w:bCs w:val="0"/>
          <w:color w:val="000000" w:themeColor="text1"/>
          <w:sz w:val="32"/>
          <w:szCs w:val="32"/>
          <w:highlight w:val="none"/>
          <w:lang w:val="zh-CN"/>
          <w14:textFill>
            <w14:solidFill>
              <w14:schemeClr w14:val="tx1"/>
            </w14:solidFill>
          </w14:textFill>
        </w:rPr>
      </w:pPr>
      <w:r>
        <w:rPr>
          <w:rFonts w:hint="eastAsia" w:ascii="黑体" w:hAnsi="宋体" w:eastAsia="黑体" w:cs="Times New Roman"/>
          <w:b w:val="0"/>
          <w:bCs w:val="0"/>
          <w:color w:val="000000" w:themeColor="text1"/>
          <w:sz w:val="32"/>
          <w:szCs w:val="32"/>
          <w:highlight w:val="none"/>
          <w14:textFill>
            <w14:solidFill>
              <w14:schemeClr w14:val="tx1"/>
            </w14:solidFill>
          </w14:textFill>
        </w:rPr>
        <w:t>一、</w:t>
      </w:r>
      <w:r>
        <w:rPr>
          <w:rFonts w:hint="eastAsia" w:ascii="黑体" w:hAnsi="宋体" w:eastAsia="黑体" w:cs="Times New Roman"/>
          <w:b w:val="0"/>
          <w:bCs w:val="0"/>
          <w:color w:val="000000" w:themeColor="text1"/>
          <w:sz w:val="32"/>
          <w:szCs w:val="32"/>
          <w:highlight w:val="none"/>
          <w:lang w:val="zh-CN"/>
          <w14:textFill>
            <w14:solidFill>
              <w14:schemeClr w14:val="tx1"/>
            </w14:solidFill>
          </w14:textFill>
        </w:rPr>
        <w:t>项目概况</w:t>
      </w:r>
    </w:p>
    <w:p>
      <w:pPr>
        <w:keepNext w:val="0"/>
        <w:keepLines w:val="0"/>
        <w:pageBreakBefore w:val="0"/>
        <w:widowControl w:val="0"/>
        <w:kinsoku/>
        <w:wordWrap/>
        <w:overflowPunct/>
        <w:topLinePunct w:val="0"/>
        <w:autoSpaceDE/>
        <w:autoSpaceDN/>
        <w:bidi w:val="0"/>
        <w:adjustRightInd w:val="0"/>
        <w:snapToGrid w:val="0"/>
        <w:spacing w:line="546" w:lineRule="exact"/>
        <w:ind w:firstLine="640" w:firstLineChars="200"/>
        <w:textAlignment w:val="auto"/>
        <w:rPr>
          <w:rFonts w:hint="eastAsia"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（一）设立背景及基本情况。</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广元市医疗保障局结合自身职能职责，负责贯彻执行国家、省、市医疗和生育保险政策，对各项医保政策实施情况进行监督、管理，对各项医疗费报销进行审核、支付。</w:t>
      </w:r>
      <w:r>
        <w:rPr>
          <w:rFonts w:hint="eastAsia" w:ascii="仿宋_GB2312" w:hAnsi="宋体" w:eastAsia="仿宋_GB2312" w:cs="Times New Roman"/>
          <w:b w:val="0"/>
          <w:bCs w:val="0"/>
          <w:color w:val="000000" w:themeColor="text1"/>
          <w:sz w:val="32"/>
          <w:szCs w:val="32"/>
          <w14:textFill>
            <w14:solidFill>
              <w14:schemeClr w14:val="tx1"/>
            </w14:solidFill>
          </w14:textFill>
        </w:rPr>
        <w:t>广元市医疗保障事务中心作为市医疗保障局二级单位，具体负责对离休干部及老红军遗孀医药费用</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报销</w:t>
      </w:r>
      <w:r>
        <w:rPr>
          <w:rFonts w:hint="eastAsia" w:ascii="仿宋_GB2312" w:hAnsi="宋体" w:eastAsia="仿宋_GB2312" w:cs="Times New Roman"/>
          <w:b w:val="0"/>
          <w:bCs w:val="0"/>
          <w:color w:val="000000" w:themeColor="text1"/>
          <w:sz w:val="32"/>
          <w:szCs w:val="32"/>
          <w14:textFill>
            <w14:solidFill>
              <w14:schemeClr w14:val="tx1"/>
            </w14:solidFill>
          </w14:textFill>
        </w:rPr>
        <w:t>进行审核、拨付。</w:t>
      </w:r>
    </w:p>
    <w:p>
      <w:pPr>
        <w:keepNext w:val="0"/>
        <w:keepLines w:val="0"/>
        <w:pageBreakBefore w:val="0"/>
        <w:widowControl w:val="0"/>
        <w:kinsoku/>
        <w:wordWrap/>
        <w:overflowPunct/>
        <w:topLinePunct w:val="0"/>
        <w:autoSpaceDE/>
        <w:autoSpaceDN/>
        <w:bidi w:val="0"/>
        <w:adjustRightInd w:val="0"/>
        <w:snapToGrid w:val="0"/>
        <w:spacing w:line="546" w:lineRule="exact"/>
        <w:ind w:firstLine="640" w:firstLineChars="200"/>
        <w:textAlignment w:val="auto"/>
        <w:rPr>
          <w:rFonts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（二）</w:t>
      </w:r>
      <w:r>
        <w:rPr>
          <w:rFonts w:hint="default"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实施目的及支持方向</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制定了</w:t>
      </w:r>
      <w:r>
        <w:rPr>
          <w:rFonts w:hint="eastAsia" w:ascii="仿宋_GB2312" w:hAnsi="仿宋_GB2312" w:eastAsia="仿宋_GB2312" w:cs="仿宋_GB2312"/>
          <w:b w:val="0"/>
          <w:bCs w:val="0"/>
          <w:color w:val="000000" w:themeColor="text1"/>
          <w:sz w:val="32"/>
          <w:szCs w:val="32"/>
          <w14:textFill>
            <w14:solidFill>
              <w14:schemeClr w14:val="tx1"/>
            </w14:solidFill>
          </w14:textFill>
        </w:rPr>
        <w:t>《广元市</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医保经办机构医疗保障</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主要业务经办流程（试行）》</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w:t>
      </w:r>
      <w:r>
        <w:rPr>
          <w:rFonts w:hint="eastAsia" w:ascii="仿宋_GB2312" w:hAnsi="宋体" w:eastAsia="仿宋_GB2312" w:cs="Times New Roman"/>
          <w:b w:val="0"/>
          <w:bCs w:val="0"/>
          <w:color w:val="000000" w:themeColor="text1"/>
          <w:sz w:val="32"/>
          <w:szCs w:val="32"/>
          <w14:textFill>
            <w14:solidFill>
              <w14:schemeClr w14:val="tx1"/>
            </w14:solidFill>
          </w14:textFill>
        </w:rPr>
        <w:t>对离休干部及老红军遗孀医疗费用的审核和拨付严格按规定执行，控制项目实施成本。</w:t>
      </w:r>
    </w:p>
    <w:p>
      <w:pPr>
        <w:keepNext w:val="0"/>
        <w:keepLines w:val="0"/>
        <w:pageBreakBefore w:val="0"/>
        <w:widowControl w:val="0"/>
        <w:kinsoku/>
        <w:wordWrap/>
        <w:overflowPunct/>
        <w:topLinePunct w:val="0"/>
        <w:autoSpaceDE/>
        <w:autoSpaceDN/>
        <w:bidi w:val="0"/>
        <w:adjustRightInd w:val="0"/>
        <w:snapToGrid w:val="0"/>
        <w:spacing w:line="546" w:lineRule="exact"/>
        <w:ind w:firstLine="640" w:firstLineChars="200"/>
        <w:textAlignment w:val="auto"/>
        <w:rPr>
          <w:rFonts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（三）</w:t>
      </w:r>
      <w:r>
        <w:rPr>
          <w:rFonts w:hint="default"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预算安排及分配管理</w:t>
      </w: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w:t>
      </w:r>
      <w:r>
        <w:rPr>
          <w:rFonts w:hint="eastAsia" w:ascii="仿宋_GB2312" w:hAnsi="宋体" w:eastAsia="仿宋_GB2312" w:cs="Times New Roman"/>
          <w:b w:val="0"/>
          <w:bCs w:val="0"/>
          <w:color w:val="000000" w:themeColor="text1"/>
          <w:sz w:val="32"/>
          <w:szCs w:val="32"/>
          <w14:textFill>
            <w14:solidFill>
              <w14:schemeClr w14:val="tx1"/>
            </w14:solidFill>
          </w14:textFill>
        </w:rPr>
        <w:t>通过分析前</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三</w:t>
      </w:r>
      <w:r>
        <w:rPr>
          <w:rFonts w:hint="eastAsia" w:ascii="仿宋_GB2312" w:hAnsi="宋体" w:eastAsia="仿宋_GB2312" w:cs="Times New Roman"/>
          <w:b w:val="0"/>
          <w:bCs w:val="0"/>
          <w:color w:val="000000" w:themeColor="text1"/>
          <w:sz w:val="32"/>
          <w:szCs w:val="32"/>
          <w14:textFill>
            <w14:solidFill>
              <w14:schemeClr w14:val="tx1"/>
            </w14:solidFill>
          </w14:textFill>
        </w:rPr>
        <w:t>个</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季</w:t>
      </w:r>
      <w:r>
        <w:rPr>
          <w:rFonts w:hint="eastAsia" w:ascii="仿宋_GB2312" w:hAnsi="宋体" w:eastAsia="仿宋_GB2312" w:cs="Times New Roman"/>
          <w:b w:val="0"/>
          <w:bCs w:val="0"/>
          <w:color w:val="000000" w:themeColor="text1"/>
          <w:sz w:val="32"/>
          <w:szCs w:val="32"/>
          <w14:textFill>
            <w14:solidFill>
              <w14:schemeClr w14:val="tx1"/>
            </w14:solidFill>
          </w14:textFill>
        </w:rPr>
        <w:t>度离休干部及老红军遗孀医疗费</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用发生情况</w:t>
      </w:r>
      <w:r>
        <w:rPr>
          <w:rFonts w:hint="eastAsia" w:ascii="仿宋_GB2312" w:hAnsi="宋体" w:eastAsia="仿宋_GB2312" w:cs="Times New Roman"/>
          <w:b w:val="0"/>
          <w:bCs w:val="0"/>
          <w:color w:val="000000" w:themeColor="text1"/>
          <w:sz w:val="32"/>
          <w:szCs w:val="32"/>
          <w14:textFill>
            <w14:solidFill>
              <w14:schemeClr w14:val="tx1"/>
            </w14:solidFill>
          </w14:textFill>
        </w:rPr>
        <w:t>，结合当前医疗机构</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诊疗</w:t>
      </w:r>
      <w:r>
        <w:rPr>
          <w:rFonts w:hint="eastAsia" w:ascii="仿宋_GB2312" w:hAnsi="宋体" w:eastAsia="仿宋_GB2312" w:cs="Times New Roman"/>
          <w:b w:val="0"/>
          <w:bCs w:val="0"/>
          <w:color w:val="000000" w:themeColor="text1"/>
          <w:sz w:val="32"/>
          <w:szCs w:val="32"/>
          <w14:textFill>
            <w14:solidFill>
              <w14:schemeClr w14:val="tx1"/>
            </w14:solidFill>
          </w14:textFill>
        </w:rPr>
        <w:t>水平，合理分配项目资金。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6" w:lineRule="exact"/>
        <w:ind w:firstLine="640" w:firstLineChars="200"/>
        <w:textAlignment w:val="auto"/>
        <w:rPr>
          <w:rFonts w:hint="default" w:ascii="仿宋_GB2312" w:hAnsi="仿宋_GB2312" w:eastAsia="仿宋_GB2312" w:cs="仿宋_GB2312"/>
          <w:b w:val="0"/>
          <w:bCs w:val="0"/>
          <w:color w:val="000000" w:themeColor="text1"/>
          <w:kern w:val="0"/>
          <w:sz w:val="32"/>
          <w:szCs w:val="32"/>
          <w:highlight w:val="none"/>
          <w:u w:val="none"/>
          <w:shd w:val="clear" w:color="auto" w:fill="FFFFFF"/>
          <w:lang w:val="zh-CN"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（四）项目绩效目标设置。</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对</w:t>
      </w:r>
      <w:r>
        <w:rPr>
          <w:rFonts w:hint="eastAsia" w:ascii="仿宋_GB2312" w:hAnsi="宋体" w:eastAsia="仿宋_GB2312" w:cs="Times New Roman"/>
          <w:b w:val="0"/>
          <w:bCs w:val="0"/>
          <w:color w:val="000000" w:themeColor="text1"/>
          <w:sz w:val="32"/>
          <w:szCs w:val="32"/>
          <w14:textFill>
            <w14:solidFill>
              <w14:schemeClr w14:val="tx1"/>
            </w14:solidFill>
          </w14:textFill>
        </w:rPr>
        <w:t>广元市离休干部及老红军遗孀的医药费</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用报销</w:t>
      </w:r>
      <w:r>
        <w:rPr>
          <w:rFonts w:hint="eastAsia" w:ascii="仿宋_GB2312" w:hAnsi="宋体" w:eastAsia="仿宋_GB2312" w:cs="Times New Roman"/>
          <w:b w:val="0"/>
          <w:bCs w:val="0"/>
          <w:color w:val="000000" w:themeColor="text1"/>
          <w:sz w:val="32"/>
          <w:szCs w:val="32"/>
          <w14:textFill>
            <w14:solidFill>
              <w14:schemeClr w14:val="tx1"/>
            </w14:solidFill>
          </w14:textFill>
        </w:rPr>
        <w:t>予以</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保障</w:t>
      </w:r>
      <w:r>
        <w:rPr>
          <w:rFonts w:hint="eastAsia" w:ascii="仿宋_GB2312" w:hAnsi="宋体" w:eastAsia="仿宋_GB2312" w:cs="Times New Roman"/>
          <w:b w:val="0"/>
          <w:bCs w:val="0"/>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46" w:lineRule="exact"/>
        <w:ind w:firstLine="640" w:firstLineChars="200"/>
        <w:textAlignment w:val="auto"/>
        <w:outlineLvl w:val="9"/>
        <w:rPr>
          <w:rFonts w:hint="eastAsia" w:ascii="黑体" w:hAnsi="宋体" w:eastAsia="黑体" w:cs="Times New Roman"/>
          <w:b w:val="0"/>
          <w:bCs w:val="0"/>
          <w:color w:val="000000" w:themeColor="text1"/>
          <w:sz w:val="32"/>
          <w:szCs w:val="32"/>
          <w:highlight w:val="none"/>
          <w:lang w:eastAsia="zh-CN"/>
          <w14:textFill>
            <w14:solidFill>
              <w14:schemeClr w14:val="tx1"/>
            </w14:solidFill>
          </w14:textFill>
        </w:rPr>
      </w:pPr>
      <w:r>
        <w:rPr>
          <w:rFonts w:hint="eastAsia" w:ascii="黑体" w:hAnsi="宋体" w:eastAsia="黑体" w:cs="Times New Roman"/>
          <w:b w:val="0"/>
          <w:bCs w:val="0"/>
          <w:color w:val="000000" w:themeColor="text1"/>
          <w:sz w:val="32"/>
          <w:szCs w:val="32"/>
          <w:highlight w:val="none"/>
          <w14:textFill>
            <w14:solidFill>
              <w14:schemeClr w14:val="tx1"/>
            </w14:solidFill>
          </w14:textFill>
        </w:rPr>
        <w:t>二、</w:t>
      </w:r>
      <w:r>
        <w:rPr>
          <w:rFonts w:hint="eastAsia" w:ascii="黑体" w:hAnsi="宋体" w:eastAsia="黑体" w:cs="Times New Roman"/>
          <w:b w:val="0"/>
          <w:bCs w:val="0"/>
          <w:color w:val="000000" w:themeColor="text1"/>
          <w:sz w:val="32"/>
          <w:szCs w:val="32"/>
          <w:highlight w:val="none"/>
          <w:lang w:eastAsia="zh-CN"/>
          <w14:textFill>
            <w14:solidFill>
              <w14:schemeClr w14:val="tx1"/>
            </w14:solidFill>
          </w14:textFill>
        </w:rPr>
        <w:t>评价实施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6" w:lineRule="exact"/>
        <w:ind w:firstLine="640" w:firstLineChars="200"/>
        <w:textAlignment w:val="auto"/>
        <w:rPr>
          <w:rFonts w:hint="eastAsia"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（一）评价目的。</w:t>
      </w:r>
      <w:r>
        <w:rPr>
          <w:rFonts w:hint="eastAsia" w:ascii="Times New Roman" w:hAnsi="Times New Roman" w:eastAsia="仿宋_GB2312" w:cs="Times New Roman"/>
          <w:b w:val="0"/>
          <w:bCs w:val="0"/>
          <w:color w:val="000000" w:themeColor="text1"/>
          <w:sz w:val="32"/>
          <w:szCs w:val="32"/>
          <w:lang w:val="en-US" w:eastAsia="zh-CN"/>
          <w14:textFill>
            <w14:solidFill>
              <w14:schemeClr w14:val="tx1"/>
            </w14:solidFill>
          </w14:textFill>
        </w:rPr>
        <w:t>提高财政资金使用效益，确保</w:t>
      </w:r>
      <w:r>
        <w:rPr>
          <w:rFonts w:hint="eastAsia" w:ascii="仿宋_GB2312" w:hAnsi="宋体" w:eastAsia="仿宋_GB2312" w:cs="Times New Roman"/>
          <w:b w:val="0"/>
          <w:bCs w:val="0"/>
          <w:color w:val="000000" w:themeColor="text1"/>
          <w:sz w:val="32"/>
          <w:szCs w:val="32"/>
          <w14:textFill>
            <w14:solidFill>
              <w14:schemeClr w14:val="tx1"/>
            </w14:solidFill>
          </w14:textFill>
        </w:rPr>
        <w:t>广元市离休干部及老红军遗孀</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医疗保障资金使用安全、规范、高效</w:t>
      </w:r>
      <w:r>
        <w:rPr>
          <w:rFonts w:hint="eastAsia" w:ascii="仿宋_GB2312" w:hAnsi="宋体" w:eastAsia="仿宋_GB2312" w:cs="Times New Roman"/>
          <w:b w:val="0"/>
          <w:bCs w:val="0"/>
          <w:color w:val="000000" w:themeColor="text1"/>
          <w:sz w:val="32"/>
          <w:szCs w:val="32"/>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6" w:lineRule="exact"/>
        <w:ind w:firstLine="640" w:firstLineChars="200"/>
        <w:textAlignment w:val="auto"/>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（二）预设问题及评价重点。</w:t>
      </w:r>
      <w:r>
        <w:rPr>
          <w:rFonts w:hint="eastAsia" w:ascii="仿宋_GB2312" w:hAnsi="宋体" w:eastAsia="仿宋_GB2312" w:cs="Times New Roman"/>
          <w:b w:val="0"/>
          <w:bCs w:val="0"/>
          <w:color w:val="000000" w:themeColor="text1"/>
          <w:sz w:val="32"/>
          <w:szCs w:val="32"/>
          <w14:textFill>
            <w14:solidFill>
              <w14:schemeClr w14:val="tx1"/>
            </w14:solidFill>
          </w14:textFill>
        </w:rPr>
        <w:t>全年享受待遇人数</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43</w:t>
      </w:r>
      <w:r>
        <w:rPr>
          <w:rFonts w:hint="eastAsia" w:ascii="仿宋_GB2312" w:hAnsi="宋体" w:eastAsia="仿宋_GB2312" w:cs="Times New Roman"/>
          <w:b w:val="0"/>
          <w:bCs w:val="0"/>
          <w:color w:val="000000" w:themeColor="text1"/>
          <w:sz w:val="32"/>
          <w:szCs w:val="32"/>
          <w14:textFill>
            <w14:solidFill>
              <w14:schemeClr w14:val="tx1"/>
            </w14:solidFill>
          </w14:textFill>
        </w:rPr>
        <w:t>人，缩短对医疗机构基金审核拨付时间，确保参保人员能及时享受医疗待遇，定点医疗机构能及时收到医疗费用。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Times New Roman"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（三）评价选点。</w:t>
      </w:r>
      <w:r>
        <w:rPr>
          <w:rFonts w:hint="eastAsia" w:ascii="Times New Roman" w:hAnsi="Times New Roman" w:eastAsia="仿宋_GB2312" w:cs="Times New Roman"/>
          <w:b w:val="0"/>
          <w:bCs w:val="0"/>
          <w:color w:val="000000" w:themeColor="text1"/>
          <w:sz w:val="32"/>
          <w:szCs w:val="32"/>
          <w:lang w:val="zh-CN" w:eastAsia="zh-CN"/>
          <w14:textFill>
            <w14:solidFill>
              <w14:schemeClr w14:val="tx1"/>
            </w14:solidFill>
          </w14:textFill>
        </w:rPr>
        <w:t>以整体作为评价。</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宋体" w:eastAsia="仿宋_GB2312" w:cs="Times New Roman"/>
          <w:b w:val="0"/>
          <w:bCs w:val="0"/>
          <w:color w:val="000000" w:themeColor="text1"/>
          <w:sz w:val="32"/>
          <w:szCs w:val="32"/>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（四）评价方法。</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项目绩效自评按市财政局要求，部门决算后在规定时间内按规定内容进行自评。</w:t>
      </w:r>
    </w:p>
    <w:p>
      <w:pPr>
        <w:keepNext w:val="0"/>
        <w:keepLines w:val="0"/>
        <w:pageBreakBefore w:val="0"/>
        <w:widowControl w:val="0"/>
        <w:kinsoku/>
        <w:wordWrap/>
        <w:overflowPunct/>
        <w:topLinePunct w:val="0"/>
        <w:autoSpaceDE/>
        <w:autoSpaceDN/>
        <w:bidi w:val="0"/>
        <w:spacing w:line="576" w:lineRule="exact"/>
        <w:ind w:firstLine="640" w:firstLineChars="200"/>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（五）评价组织。</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我单位</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高度重视</w:t>
      </w:r>
      <w:r>
        <w:rPr>
          <w:rFonts w:hint="eastAsia" w:ascii="仿宋_GB2312" w:hAnsi="Times New Roman" w:eastAsia="仿宋_GB2312" w:cs="Times New Roman"/>
          <w:b w:val="0"/>
          <w:bCs w:val="0"/>
          <w:color w:val="000000" w:themeColor="text1"/>
          <w:sz w:val="32"/>
          <w:szCs w:val="32"/>
          <w14:textFill>
            <w14:solidFill>
              <w14:schemeClr w14:val="tx1"/>
            </w14:solidFill>
          </w14:textFill>
        </w:rPr>
        <w:t>绩效评价工作，</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落实专人负责，全面对标评价指标，逐项分析，确保评价客观、科学、准确，为今后的项目实施提供参考，</w:t>
      </w:r>
      <w:r>
        <w:rPr>
          <w:rFonts w:hint="eastAsia" w:ascii="仿宋_GB2312" w:hAnsi="Times New Roman" w:eastAsia="仿宋_GB2312" w:cs="Times New Roman"/>
          <w:b w:val="0"/>
          <w:bCs w:val="0"/>
          <w:color w:val="000000" w:themeColor="text1"/>
          <w:sz w:val="32"/>
          <w:szCs w:val="32"/>
          <w14:textFill>
            <w14:solidFill>
              <w14:schemeClr w14:val="tx1"/>
            </w14:solidFill>
          </w14:textFill>
        </w:rPr>
        <w:t>提高财政资金使用效率</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宋体" w:eastAsia="仿宋_GB2312" w:cs="Times New Roman"/>
          <w:b w:val="0"/>
          <w:bCs w:val="0"/>
          <w:color w:val="000000" w:themeColor="text1"/>
          <w:sz w:val="32"/>
          <w:szCs w:val="32"/>
          <w:highlight w:val="none"/>
          <w:u w:val="none"/>
          <w:lang w:val="zh-CN"/>
          <w14:textFill>
            <w14:solidFill>
              <w14:schemeClr w14:val="tx1"/>
            </w14:solidFill>
          </w14:textFill>
        </w:rPr>
      </w:pPr>
      <w:r>
        <w:rPr>
          <w:rFonts w:hint="eastAsia" w:ascii="黑体" w:hAnsi="宋体" w:eastAsia="黑体" w:cs="Times New Roman"/>
          <w:b w:val="0"/>
          <w:bCs w:val="0"/>
          <w:color w:val="000000" w:themeColor="text1"/>
          <w:sz w:val="32"/>
          <w:szCs w:val="32"/>
          <w:highlight w:val="none"/>
          <w:u w:val="none"/>
          <w14:textFill>
            <w14:solidFill>
              <w14:schemeClr w14:val="tx1"/>
            </w14:solidFill>
          </w14:textFill>
        </w:rPr>
        <w:t>三、</w:t>
      </w:r>
      <w:r>
        <w:rPr>
          <w:rFonts w:hint="eastAsia" w:ascii="黑体" w:hAnsi="宋体" w:eastAsia="黑体" w:cs="Times New Roman"/>
          <w:b w:val="0"/>
          <w:bCs w:val="0"/>
          <w:color w:val="000000" w:themeColor="text1"/>
          <w:sz w:val="32"/>
          <w:szCs w:val="32"/>
          <w:highlight w:val="none"/>
          <w:u w:val="none"/>
          <w:lang w:eastAsia="zh-CN"/>
          <w14:textFill>
            <w14:solidFill>
              <w14:schemeClr w14:val="tx1"/>
            </w14:solidFill>
          </w14:textFill>
        </w:rPr>
        <w:t>绩效分析</w:t>
      </w:r>
      <w:r>
        <w:rPr>
          <w:rFonts w:hint="eastAsia" w:ascii="仿宋_GB2312" w:hAnsi="宋体" w:eastAsia="仿宋_GB2312" w:cs="Times New Roman"/>
          <w:b w:val="0"/>
          <w:bCs w:val="0"/>
          <w:color w:val="000000" w:themeColor="text1"/>
          <w:sz w:val="32"/>
          <w:szCs w:val="32"/>
          <w:highlight w:val="none"/>
          <w:u w:val="none"/>
          <w:lang w:val="zh-CN"/>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rPr>
          <w:rFonts w:hint="default"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一</w:t>
      </w: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通用指标</w:t>
      </w:r>
      <w:r>
        <w:rPr>
          <w:rFonts w:hint="default"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绩效分析</w:t>
      </w:r>
    </w:p>
    <w:p>
      <w:pPr>
        <w:keepNext w:val="0"/>
        <w:keepLines w:val="0"/>
        <w:pageBreakBefore w:val="0"/>
        <w:widowControl w:val="0"/>
        <w:kinsoku/>
        <w:wordWrap/>
        <w:overflowPunct/>
        <w:topLinePunct w:val="0"/>
        <w:autoSpaceDE/>
        <w:autoSpaceDN/>
        <w:bidi w:val="0"/>
        <w:spacing w:line="576" w:lineRule="exact"/>
        <w:ind w:firstLine="640" w:firstLineChars="200"/>
        <w:rPr>
          <w:rFonts w:hint="default" w:ascii="仿宋_GB2312"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1.</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决策（自评得18分）。该项目的设立符合资金管理基本规范和决策程序要求，项目决策程序严密。项目资金属于政府支持范围，且符合财政事权支出责任划分规定，资金投向与项目总体规划、相关行业事业发展相匹配，聚焦重大任务、重点领域、重点环节和重点项目，未与其他同类项目或部门内部相关项目交叉重复。</w:t>
      </w:r>
    </w:p>
    <w:p>
      <w:pPr>
        <w:keepNext w:val="0"/>
        <w:keepLines w:val="0"/>
        <w:pageBreakBefore w:val="0"/>
        <w:widowControl w:val="0"/>
        <w:kinsoku/>
        <w:wordWrap/>
        <w:overflowPunct/>
        <w:topLinePunct w:val="0"/>
        <w:autoSpaceDE/>
        <w:autoSpaceDN/>
        <w:bidi w:val="0"/>
        <w:spacing w:line="576" w:lineRule="exact"/>
        <w:ind w:firstLine="640" w:firstLineChars="200"/>
        <w:rPr>
          <w:rFonts w:hint="default" w:ascii="仿宋_GB2312"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2.</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项目管理（自评得18分）。我单位资金管理体系完善，财务制度健全，财务管理规范，会计核算真实完整，不存在管理制度缺失、管理办法过期情况，</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对</w:t>
      </w:r>
      <w:r>
        <w:rPr>
          <w:rFonts w:hint="eastAsia" w:ascii="仿宋_GB2312" w:hAnsi="宋体" w:eastAsia="仿宋_GB2312" w:cs="Times New Roman"/>
          <w:b w:val="0"/>
          <w:bCs w:val="0"/>
          <w:color w:val="000000" w:themeColor="text1"/>
          <w:sz w:val="32"/>
          <w:szCs w:val="32"/>
          <w14:textFill>
            <w14:solidFill>
              <w14:schemeClr w14:val="tx1"/>
            </w14:solidFill>
          </w14:textFill>
        </w:rPr>
        <w:t>离休干部及老红军遗孀的医</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疗</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费用，</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实行专款专用，科学合理设置可量化、可考核的绩效评价指标体系，全面开展绩效评价工作。</w:t>
      </w:r>
    </w:p>
    <w:p>
      <w:pPr>
        <w:keepNext w:val="0"/>
        <w:keepLines w:val="0"/>
        <w:pageBreakBefore w:val="0"/>
        <w:widowControl w:val="0"/>
        <w:kinsoku/>
        <w:wordWrap/>
        <w:overflowPunct/>
        <w:topLinePunct w:val="0"/>
        <w:autoSpaceDE/>
        <w:autoSpaceDN/>
        <w:bidi w:val="0"/>
        <w:spacing w:line="576" w:lineRule="exact"/>
        <w:ind w:firstLine="640" w:firstLineChars="200"/>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3.</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项目实施（自评得9分）。我单位</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财务管理制度健全，制度执行严格，账务处理及时，</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严</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格</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按</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照</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《社保基金财务制度》《社保基金会计制度》管理和核算基金。</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在业务流程方面，</w:t>
      </w:r>
      <w:r>
        <w:rPr>
          <w:rFonts w:hint="eastAsia" w:ascii="仿宋_GB2312" w:hAnsi="宋体" w:eastAsia="仿宋_GB2312" w:cs="Times New Roman"/>
          <w:b w:val="0"/>
          <w:bCs w:val="0"/>
          <w:color w:val="000000" w:themeColor="text1"/>
          <w:sz w:val="32"/>
          <w:szCs w:val="32"/>
          <w14:textFill>
            <w14:solidFill>
              <w14:schemeClr w14:val="tx1"/>
            </w14:solidFill>
          </w14:textFill>
        </w:rPr>
        <w:t>中心</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严格按照</w:t>
      </w:r>
      <w:r>
        <w:rPr>
          <w:rFonts w:hint="eastAsia" w:ascii="仿宋_GB2312" w:hAnsi="仿宋_GB2312" w:eastAsia="仿宋_GB2312" w:cs="仿宋_GB2312"/>
          <w:b w:val="0"/>
          <w:bCs w:val="0"/>
          <w:color w:val="000000" w:themeColor="text1"/>
          <w:spacing w:val="-6"/>
          <w:sz w:val="32"/>
          <w:szCs w:val="32"/>
          <w14:textFill>
            <w14:solidFill>
              <w14:schemeClr w14:val="tx1"/>
            </w14:solidFill>
          </w14:textFill>
        </w:rPr>
        <w:t>《广元市</w:t>
      </w:r>
      <w:r>
        <w:rPr>
          <w:rFonts w:hint="eastAsia" w:ascii="仿宋_GB2312" w:hAnsi="仿宋_GB2312" w:eastAsia="仿宋_GB2312" w:cs="仿宋_GB2312"/>
          <w:b w:val="0"/>
          <w:bCs w:val="0"/>
          <w:color w:val="000000" w:themeColor="text1"/>
          <w:spacing w:val="-6"/>
          <w:sz w:val="32"/>
          <w:szCs w:val="32"/>
          <w:lang w:val="en-US" w:eastAsia="zh-CN"/>
          <w14:textFill>
            <w14:solidFill>
              <w14:schemeClr w14:val="tx1"/>
            </w14:solidFill>
          </w14:textFill>
        </w:rPr>
        <w:t>医保经办机构医疗保障</w:t>
      </w:r>
      <w:r>
        <w:rPr>
          <w:rFonts w:hint="eastAsia" w:ascii="仿宋_GB2312" w:hAnsi="仿宋_GB2312" w:eastAsia="仿宋_GB2312" w:cs="仿宋_GB2312"/>
          <w:b w:val="0"/>
          <w:bCs w:val="0"/>
          <w:color w:val="000000" w:themeColor="text1"/>
          <w:spacing w:val="-6"/>
          <w:sz w:val="32"/>
          <w:szCs w:val="32"/>
          <w14:textFill>
            <w14:solidFill>
              <w14:schemeClr w14:val="tx1"/>
            </w14:solidFill>
          </w14:textFill>
        </w:rPr>
        <w:t>主要业务经办流程（试行）》</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，由业务经办人员对有关资料进行初审，业务组长复核，业务分管领导审核</w:t>
      </w:r>
      <w:r>
        <w:rPr>
          <w:rFonts w:hint="eastAsia" w:ascii="仿宋_GB2312" w:hAnsi="宋体" w:eastAsia="仿宋_GB2312" w:cs="Times New Roman"/>
          <w:b w:val="0"/>
          <w:bCs w:val="0"/>
          <w:color w:val="000000" w:themeColor="text1"/>
          <w:spacing w:val="-6"/>
          <w:sz w:val="32"/>
          <w:szCs w:val="32"/>
          <w:lang w:eastAsia="zh-CN"/>
          <w14:textFill>
            <w14:solidFill>
              <w14:schemeClr w14:val="tx1"/>
            </w14:solidFill>
          </w14:textFill>
        </w:rPr>
        <w:t>，</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再</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由</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出纳复核、</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财务</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分管</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领导审</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核</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，中心主任签字审批拨付。</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在财务流程方面，该笔</w:t>
      </w:r>
      <w:r>
        <w:rPr>
          <w:rFonts w:hint="eastAsia" w:ascii="仿宋_GB2312" w:hAnsi="宋体" w:eastAsia="仿宋_GB2312" w:cs="Times New Roman"/>
          <w:b w:val="0"/>
          <w:bCs w:val="0"/>
          <w:color w:val="000000" w:themeColor="text1"/>
          <w:spacing w:val="-6"/>
          <w:sz w:val="32"/>
          <w:szCs w:val="32"/>
          <w:lang w:val="zh-CN"/>
          <w14:textFill>
            <w14:solidFill>
              <w14:schemeClr w14:val="tx1"/>
            </w14:solidFill>
          </w14:textFill>
        </w:rPr>
        <w:t>经费按财政集中支付管理流程</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申请</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拨付至广元市医疗保障事</w:t>
      </w:r>
      <w:r>
        <w:rPr>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务中心医疗保险基金支出户</w:t>
      </w:r>
      <w:r>
        <w:rPr>
          <w:rFonts w:hint="eastAsia" w:ascii="仿宋_GB2312" w:hAnsi="Times New Roman" w:eastAsia="仿宋_GB2312" w:cs="Times New Roman"/>
          <w:b w:val="0"/>
          <w:bCs w:val="0"/>
          <w:color w:val="000000" w:themeColor="text1"/>
          <w:spacing w:val="-6"/>
          <w:sz w:val="32"/>
          <w:szCs w:val="32"/>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76" w:lineRule="exact"/>
        <w:ind w:firstLine="640" w:firstLineChars="200"/>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4.</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项目结果（自评得9分）。</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本项目资金全年共支出</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505万</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元，支出进度为100%，主要</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用于支付</w:t>
      </w:r>
      <w:r>
        <w:rPr>
          <w:rFonts w:hint="eastAsia" w:ascii="仿宋_GB2312" w:hAnsi="宋体" w:eastAsia="仿宋_GB2312" w:cs="Times New Roman"/>
          <w:b w:val="0"/>
          <w:bCs w:val="0"/>
          <w:color w:val="000000" w:themeColor="text1"/>
          <w:sz w:val="32"/>
          <w:szCs w:val="32"/>
          <w14:textFill>
            <w14:solidFill>
              <w14:schemeClr w14:val="tx1"/>
            </w14:solidFill>
          </w14:textFill>
        </w:rPr>
        <w:t>离休干部及老红军遗孀的医</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疗</w:t>
      </w:r>
      <w:r>
        <w:rPr>
          <w:rFonts w:hint="eastAsia" w:ascii="仿宋_GB2312" w:hAnsi="宋体" w:eastAsia="仿宋_GB2312" w:cs="Times New Roman"/>
          <w:b w:val="0"/>
          <w:bCs w:val="0"/>
          <w:color w:val="000000" w:themeColor="text1"/>
          <w:sz w:val="32"/>
          <w:szCs w:val="32"/>
          <w14:textFill>
            <w14:solidFill>
              <w14:schemeClr w14:val="tx1"/>
            </w14:solidFill>
          </w14:textFill>
        </w:rPr>
        <w:t>费</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用</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。在项目执行过程中，严格按照预算批复项目资金支付范围、支付标准执行</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，严控预算执行进度和经费支出情况，资金使用安全、规范、高效</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both"/>
        <w:textAlignment w:val="baseline"/>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pP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w:t>
      </w:r>
      <w:r>
        <w:rPr>
          <w:rFonts w:hint="eastAsia" w:ascii="楷体_GB2312" w:hAnsi="宋体" w:eastAsia="楷体_GB2312" w:cs="Times New Roman"/>
          <w:b w:val="0"/>
          <w:bCs w:val="0"/>
          <w:color w:val="000000" w:themeColor="text1"/>
          <w:kern w:val="2"/>
          <w:sz w:val="32"/>
          <w:szCs w:val="32"/>
          <w:highlight w:val="none"/>
          <w:u w:val="none"/>
          <w:lang w:val="en-US" w:eastAsia="zh-CN" w:bidi="ar-SA"/>
          <w14:textFill>
            <w14:solidFill>
              <w14:schemeClr w14:val="tx1"/>
            </w14:solidFill>
          </w14:textFill>
        </w:rPr>
        <w:t>二</w:t>
      </w: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w:t>
      </w:r>
      <w:r>
        <w:rPr>
          <w:rFonts w:hint="eastAsia" w:ascii="楷体_GB2312" w:hAnsi="宋体" w:eastAsia="楷体_GB2312" w:cs="Times New Roman"/>
          <w:b w:val="0"/>
          <w:bCs w:val="0"/>
          <w:color w:val="000000" w:themeColor="text1"/>
          <w:kern w:val="2"/>
          <w:sz w:val="32"/>
          <w:szCs w:val="32"/>
          <w:highlight w:val="none"/>
          <w:u w:val="none"/>
          <w:lang w:val="en-US" w:eastAsia="zh-CN" w:bidi="ar-SA"/>
          <w14:textFill>
            <w14:solidFill>
              <w14:schemeClr w14:val="tx1"/>
            </w14:solidFill>
          </w14:textFill>
        </w:rPr>
        <w:t>专用指标</w:t>
      </w:r>
      <w:r>
        <w:rPr>
          <w:rFonts w:hint="default"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绩效分析。</w:t>
      </w:r>
      <w:r>
        <w:rPr>
          <w:rFonts w:hint="eastAsia" w:ascii="Times New Roman" w:hAnsi="Times New Roman" w:eastAsia="仿宋_GB2312" w:cs="Times New Roman"/>
          <w:b w:val="0"/>
          <w:bCs w:val="0"/>
          <w:color w:val="000000" w:themeColor="text1"/>
          <w:kern w:val="2"/>
          <w:sz w:val="32"/>
          <w:szCs w:val="32"/>
          <w:lang w:val="zh-CN" w:eastAsia="zh-CN" w:bidi="ar-SA"/>
          <w14:textFill>
            <w14:solidFill>
              <w14:schemeClr w14:val="tx1"/>
            </w14:solidFill>
          </w14:textFill>
        </w:rPr>
        <w:t>民生保</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障</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方面（自评得29.75分）</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。政策内各项目资金分配均衡公平，项目支持方向全面覆盖政策应支持</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的</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范围和对象，有效衔接</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了</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政策内各项目间支持标准，</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不</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存在标准差异较大</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的</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情况，</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医疗</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照顾对象满意度</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在95</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以上</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rPr>
          <w:rFonts w:hint="eastAsia"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三</w:t>
      </w: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个性指标</w:t>
      </w:r>
      <w:r>
        <w:rPr>
          <w:rFonts w:hint="default"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绩效分析</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w:t>
      </w: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自评得16分）</w:t>
      </w:r>
      <w:r>
        <w:rPr>
          <w:rFonts w:hint="default" w:ascii="Times New Roman" w:hAnsi="Times New Roman" w:eastAsia="楷体_GB2312" w:cs="Times New Roman"/>
          <w:b w:val="0"/>
          <w:bCs w:val="0"/>
          <w:color w:val="000000" w:themeColor="text1"/>
          <w:kern w:val="0"/>
          <w:sz w:val="32"/>
          <w:szCs w:val="32"/>
          <w:highlight w:val="none"/>
          <w:shd w:val="clear" w:color="auto" w:fill="FFFFFF"/>
          <w:lang w:val="zh-CN"/>
          <w14:textFill>
            <w14:solidFill>
              <w14:schemeClr w14:val="tx1"/>
            </w14:solidFill>
          </w14:textFill>
        </w:rPr>
        <w:t>。</w:t>
      </w:r>
      <w:r>
        <w:rPr>
          <w:rFonts w:hint="eastAsia" w:ascii="仿宋_GB2312" w:hAnsi="宋体" w:eastAsia="仿宋_GB2312" w:cs="Times New Roman"/>
          <w:b w:val="0"/>
          <w:bCs w:val="0"/>
          <w:color w:val="000000" w:themeColor="text1"/>
          <w:sz w:val="32"/>
          <w:szCs w:val="32"/>
          <w14:textFill>
            <w14:solidFill>
              <w14:schemeClr w14:val="tx1"/>
            </w14:solidFill>
          </w14:textFill>
        </w:rPr>
        <w:t>我</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单位严格</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依据《中共广元市委办公室 广元市人民政府办公室关于调整市本级离休干部医疗费社会统筹标准的通知》（广委办〔2005〕216号）</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文件精神，</w:t>
      </w:r>
      <w:r>
        <w:rPr>
          <w:rFonts w:hint="eastAsia" w:ascii="仿宋_GB2312" w:hAnsi="宋体" w:eastAsia="仿宋_GB2312" w:cs="Times New Roman"/>
          <w:b w:val="0"/>
          <w:bCs w:val="0"/>
          <w:color w:val="000000" w:themeColor="text1"/>
          <w:sz w:val="32"/>
          <w:szCs w:val="32"/>
          <w14:textFill>
            <w14:solidFill>
              <w14:schemeClr w14:val="tx1"/>
            </w14:solidFill>
          </w14:textFill>
        </w:rPr>
        <w:t>离休干部门诊费用报销比例大于90%</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w:t>
      </w:r>
      <w:r>
        <w:rPr>
          <w:rFonts w:hint="eastAsia" w:ascii="仿宋_GB2312" w:hAnsi="宋体" w:eastAsia="仿宋_GB2312" w:cs="Times New Roman"/>
          <w:b w:val="0"/>
          <w:bCs w:val="0"/>
          <w:color w:val="000000" w:themeColor="text1"/>
          <w:sz w:val="32"/>
          <w:szCs w:val="32"/>
          <w14:textFill>
            <w14:solidFill>
              <w14:schemeClr w14:val="tx1"/>
            </w14:solidFill>
          </w14:textFill>
        </w:rPr>
        <w:t>符合条件人员</w:t>
      </w:r>
      <w:r>
        <w:rPr>
          <w:rFonts w:hint="eastAsia" w:ascii="仿宋_GB2312" w:hAnsi="仿宋_GB2312" w:eastAsia="仿宋_GB2312" w:cs="仿宋_GB2312"/>
          <w:b w:val="0"/>
          <w:bCs w:val="0"/>
          <w:color w:val="000000" w:themeColor="text1"/>
          <w:sz w:val="32"/>
          <w:szCs w:val="32"/>
          <w14:textFill>
            <w14:solidFill>
              <w14:schemeClr w14:val="tx1"/>
            </w14:solidFill>
          </w14:textFill>
        </w:rPr>
        <w:t>政策内住院费用报销比例</w:t>
      </w:r>
      <w:r>
        <w:rPr>
          <w:rFonts w:hint="eastAsia" w:ascii="仿宋_GB2312" w:hAnsi="宋体" w:eastAsia="仿宋_GB2312" w:cs="Times New Roman"/>
          <w:b w:val="0"/>
          <w:bCs w:val="0"/>
          <w:color w:val="000000" w:themeColor="text1"/>
          <w:sz w:val="32"/>
          <w:szCs w:val="32"/>
          <w14:textFill>
            <w14:solidFill>
              <w14:schemeClr w14:val="tx1"/>
            </w14:solidFill>
          </w14:textFill>
        </w:rPr>
        <w:t>大于90%</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对于</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医疗照顾费用审核准确率</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98%</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以上。</w:t>
      </w:r>
    </w:p>
    <w:p>
      <w:pPr>
        <w:keepNext w:val="0"/>
        <w:keepLines w:val="0"/>
        <w:pageBreakBefore w:val="0"/>
        <w:widowControl w:val="0"/>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en-US" w:eastAsia="en-US"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t>四</w:t>
      </w:r>
      <w:r>
        <w:rPr>
          <w:rFonts w:hint="eastAsia" w:ascii="黑体" w:hAnsi="宋体" w:eastAsia="黑体" w:cs="Times New Roman"/>
          <w:b w:val="0"/>
          <w:bCs w:val="0"/>
          <w:color w:val="000000" w:themeColor="text1"/>
          <w:kern w:val="0"/>
          <w:position w:val="3"/>
          <w:sz w:val="32"/>
          <w:szCs w:val="32"/>
          <w:highlight w:val="none"/>
          <w:u w:val="none"/>
          <w:lang w:val="en-US" w:eastAsia="en-US" w:bidi="ar-SA"/>
          <w14:textFill>
            <w14:solidFill>
              <w14:schemeClr w14:val="tx1"/>
            </w14:solidFill>
          </w14:textFill>
        </w:rPr>
        <w:t>、评价结论</w:t>
      </w:r>
    </w:p>
    <w:p>
      <w:pPr>
        <w:keepNext w:val="0"/>
        <w:keepLines w:val="0"/>
        <w:pageBreakBefore w:val="0"/>
        <w:widowControl w:val="0"/>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pPr>
      <w:r>
        <w:rPr>
          <w:rFonts w:hint="eastAsia" w:ascii="仿宋_GB2312" w:hAnsi="宋体" w:eastAsia="仿宋_GB2312" w:cs="Times New Roman"/>
          <w:b w:val="0"/>
          <w:bCs w:val="0"/>
          <w:color w:val="000000" w:themeColor="text1"/>
          <w:kern w:val="0"/>
          <w:position w:val="3"/>
          <w:sz w:val="32"/>
          <w:szCs w:val="32"/>
          <w:lang w:val="zh-CN" w:eastAsia="en-US" w:bidi="ar-SA"/>
          <w14:textFill>
            <w14:solidFill>
              <w14:schemeClr w14:val="tx1"/>
            </w14:solidFill>
          </w14:textFill>
        </w:rPr>
        <w:t>通过项目实施，解决了离休干部及老红军遗孀医疗费用问题，减轻了离休干部及老红军遗孀的经济压力和生活</w:t>
      </w:r>
      <w:r>
        <w:rPr>
          <w:rFonts w:hint="eastAsia" w:ascii="仿宋_GB2312" w:hAnsi="宋体" w:eastAsia="仿宋_GB2312" w:cs="Times New Roman"/>
          <w:b w:val="0"/>
          <w:bCs w:val="0"/>
          <w:color w:val="000000" w:themeColor="text1"/>
          <w:kern w:val="0"/>
          <w:position w:val="3"/>
          <w:sz w:val="32"/>
          <w:szCs w:val="32"/>
          <w:lang w:val="en-US" w:eastAsia="zh-CN" w:bidi="ar-SA"/>
          <w14:textFill>
            <w14:solidFill>
              <w14:schemeClr w14:val="tx1"/>
            </w14:solidFill>
          </w14:textFill>
        </w:rPr>
        <w:t>压</w:t>
      </w:r>
      <w:r>
        <w:rPr>
          <w:rFonts w:hint="eastAsia" w:ascii="仿宋_GB2312" w:hAnsi="宋体" w:eastAsia="仿宋_GB2312" w:cs="Times New Roman"/>
          <w:b w:val="0"/>
          <w:bCs w:val="0"/>
          <w:color w:val="000000" w:themeColor="text1"/>
          <w:kern w:val="0"/>
          <w:position w:val="3"/>
          <w:sz w:val="32"/>
          <w:szCs w:val="32"/>
          <w:lang w:val="zh-CN" w:eastAsia="en-US" w:bidi="ar-SA"/>
          <w14:textFill>
            <w14:solidFill>
              <w14:schemeClr w14:val="tx1"/>
            </w14:solidFill>
          </w14:textFill>
        </w:rPr>
        <w:t>力，既是对离休干部及老红军先烈贡献价值的肯定，更是时代背景下的现实需求的满足。该项目得</w:t>
      </w:r>
      <w:r>
        <w:rPr>
          <w:rFonts w:hint="eastAsia" w:ascii="仿宋_GB2312" w:hAnsi="宋体" w:eastAsia="仿宋_GB2312" w:cs="Times New Roman"/>
          <w:b w:val="0"/>
          <w:bCs w:val="0"/>
          <w:color w:val="000000" w:themeColor="text1"/>
          <w:kern w:val="0"/>
          <w:position w:val="3"/>
          <w:sz w:val="32"/>
          <w:szCs w:val="32"/>
          <w:lang w:val="en-US" w:eastAsia="zh-CN" w:bidi="ar-SA"/>
          <w14:textFill>
            <w14:solidFill>
              <w14:schemeClr w14:val="tx1"/>
            </w14:solidFill>
          </w14:textFill>
        </w:rPr>
        <w:t>99.75</w:t>
      </w:r>
      <w:r>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t>五、存在主要问题</w:t>
      </w:r>
    </w:p>
    <w:p>
      <w:pPr>
        <w:keepNext w:val="0"/>
        <w:keepLines w:val="0"/>
        <w:pageBreakBefore w:val="0"/>
        <w:widowControl w:val="0"/>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zh-CN" w:eastAsia="zh-CN"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zh-CN" w:eastAsia="zh-CN" w:bidi="ar-SA"/>
          <w14:textFill>
            <w14:solidFill>
              <w14:schemeClr w14:val="tx1"/>
            </w14:solidFill>
          </w14:textFill>
        </w:rPr>
        <w:t>六、改进建议</w:t>
      </w:r>
    </w:p>
    <w:p>
      <w:pPr>
        <w:keepNext w:val="0"/>
        <w:keepLines w:val="0"/>
        <w:pageBreakBefore w:val="0"/>
        <w:widowControl w:val="0"/>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仿宋_GB2312" w:eastAsia="仿宋_GB2312" w:cs="仿宋_GB2312"/>
          <w:b w:val="0"/>
          <w:bCs w:val="0"/>
          <w:color w:val="000000" w:themeColor="text1"/>
          <w:kern w:val="0"/>
          <w:position w:val="0"/>
          <w:sz w:val="32"/>
          <w:szCs w:val="32"/>
          <w:highlight w:val="none"/>
          <w:lang w:val="en"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r>
        <w:rPr>
          <w:rFonts w:hint="eastAsia" w:ascii="仿宋_GB2312" w:hAnsi="仿宋_GB2312" w:eastAsia="黑体" w:cs="仿宋_GB2312"/>
          <w:b w:val="0"/>
          <w:bCs w:val="0"/>
          <w:color w:val="000000" w:themeColor="text1"/>
          <w:kern w:val="0"/>
          <w:position w:val="0"/>
          <w:sz w:val="32"/>
          <w:szCs w:val="32"/>
          <w:highlight w:val="none"/>
          <w:lang w:val="en-US" w:eastAsia="zh-CN" w:bidi="ar-SA"/>
          <w14:textFill>
            <w14:solidFill>
              <w14:schemeClr w14:val="tx1"/>
            </w14:solidFill>
          </w14:textFill>
        </w:rPr>
        <w:t>。</w:t>
      </w:r>
    </w:p>
    <w:p>
      <w:pPr>
        <w:snapToGrid w:val="0"/>
        <w:spacing w:line="578" w:lineRule="exact"/>
        <w:ind w:firstLine="420" w:firstLineChars="200"/>
        <w:rPr>
          <w:rFonts w:ascii="黑体" w:hAnsi="黑体" w:eastAsia="黑体" w:cs="黑体"/>
          <w:color w:val="000000" w:themeColor="text1"/>
          <w:kern w:val="0"/>
          <w:sz w:val="32"/>
          <w:szCs w:val="32"/>
          <w:shd w:val="clear" w:color="auto" w:fill="FFFFFF"/>
          <w:lang w:val="zh-CN"/>
          <w14:textFill>
            <w14:solidFill>
              <w14:schemeClr w14:val="tx1"/>
            </w14:solidFill>
          </w14:textFill>
        </w:rPr>
        <w:sectPr>
          <w:pgSz w:w="11906" w:h="16838"/>
          <w:pgMar w:top="2098" w:right="1474" w:bottom="1984" w:left="1587" w:header="851" w:footer="1417" w:gutter="0"/>
          <w:cols w:space="0" w:num="1"/>
          <w:rtlGutter w:val="0"/>
          <w:docGrid w:type="lines" w:linePitch="319" w:charSpace="0"/>
        </w:sectPr>
      </w:pPr>
      <w:r>
        <w:rPr>
          <w:rFonts w:hint="eastAsia"/>
          <w:color w:val="000000" w:themeColor="text1"/>
          <w:kern w:val="0"/>
          <w:szCs w:val="32"/>
          <w:shd w:val="clear" w:color="auto" w:fill="FFFFFF"/>
          <w:lang w:val="zh-CN"/>
          <w14:textFill>
            <w14:solidFill>
              <w14:schemeClr w14:val="tx1"/>
            </w14:solidFill>
          </w14:textFill>
        </w:rPr>
        <w:br w:type="page"/>
      </w: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2-4</w:t>
      </w:r>
    </w:p>
    <w:p>
      <w:pPr>
        <w:pStyle w:val="42"/>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keepNext w:val="0"/>
        <w:keepLines w:val="0"/>
        <w:pageBreakBefore w:val="0"/>
        <w:widowControl w:val="0"/>
        <w:kinsoku/>
        <w:wordWrap/>
        <w:overflowPunct/>
        <w:topLinePunct w:val="0"/>
        <w:autoSpaceDE/>
        <w:autoSpaceDN/>
        <w:bidi w:val="0"/>
        <w:spacing w:line="578" w:lineRule="exact"/>
        <w:ind w:left="0" w:leftChars="0" w:firstLine="440" w:firstLineChars="10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t>专项预算项目绩效评价报告</w:t>
      </w:r>
    </w:p>
    <w:p>
      <w:pPr>
        <w:keepNext w:val="0"/>
        <w:keepLines w:val="0"/>
        <w:pageBreakBefore w:val="0"/>
        <w:widowControl w:val="0"/>
        <w:kinsoku/>
        <w:wordWrap/>
        <w:overflowPunct/>
        <w:topLinePunct w:val="0"/>
        <w:autoSpaceDE/>
        <w:autoSpaceDN/>
        <w:bidi w:val="0"/>
        <w:spacing w:line="578" w:lineRule="exact"/>
        <w:ind w:left="0" w:leftChars="0" w:firstLine="440" w:firstLineChars="100"/>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bidi="ar-SA"/>
          <w14:textFill>
            <w14:solidFill>
              <w14:schemeClr w14:val="tx1"/>
            </w14:solidFill>
          </w14:textFill>
        </w:rPr>
        <w:t>（企业军转干部门诊补助资金）</w:t>
      </w:r>
    </w:p>
    <w:p>
      <w:pPr>
        <w:keepNext w:val="0"/>
        <w:keepLines w:val="0"/>
        <w:pageBreakBefore w:val="0"/>
        <w:widowControl w:val="0"/>
        <w:kinsoku/>
        <w:wordWrap/>
        <w:overflowPunct/>
        <w:topLinePunct w:val="0"/>
        <w:autoSpaceDE/>
        <w:autoSpaceDN/>
        <w:bidi w:val="0"/>
        <w:spacing w:after="0" w:line="576" w:lineRule="exact"/>
        <w:ind w:left="0" w:leftChars="0" w:firstLine="640"/>
        <w:jc w:val="center"/>
        <w:textAlignment w:val="auto"/>
        <w:rPr>
          <w:rFonts w:ascii="宋体" w:hAnsi="宋体" w:eastAsia="宋体" w:cs="Times New Roman"/>
          <w:b w:val="0"/>
          <w:bCs w:val="0"/>
          <w:color w:val="000000" w:themeColor="text1"/>
          <w:kern w:val="2"/>
          <w:sz w:val="32"/>
          <w:szCs w:val="32"/>
          <w:highlight w:val="none"/>
          <w:lang w:val="zh-CN"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46" w:lineRule="exact"/>
        <w:ind w:firstLine="640" w:firstLineChars="200"/>
        <w:textAlignment w:val="auto"/>
        <w:rPr>
          <w:rFonts w:ascii="黑体" w:hAnsi="宋体" w:eastAsia="黑体" w:cs="Times New Roman"/>
          <w:b w:val="0"/>
          <w:bCs w:val="0"/>
          <w:color w:val="000000" w:themeColor="text1"/>
          <w:sz w:val="32"/>
          <w:szCs w:val="32"/>
          <w:highlight w:val="none"/>
          <w:lang w:val="zh-CN"/>
          <w14:textFill>
            <w14:solidFill>
              <w14:schemeClr w14:val="tx1"/>
            </w14:solidFill>
          </w14:textFill>
        </w:rPr>
      </w:pPr>
      <w:r>
        <w:rPr>
          <w:rFonts w:hint="eastAsia" w:ascii="黑体" w:hAnsi="宋体" w:eastAsia="黑体" w:cs="Times New Roman"/>
          <w:b w:val="0"/>
          <w:bCs w:val="0"/>
          <w:color w:val="000000" w:themeColor="text1"/>
          <w:sz w:val="32"/>
          <w:szCs w:val="32"/>
          <w:highlight w:val="none"/>
          <w14:textFill>
            <w14:solidFill>
              <w14:schemeClr w14:val="tx1"/>
            </w14:solidFill>
          </w14:textFill>
        </w:rPr>
        <w:t>一、</w:t>
      </w:r>
      <w:r>
        <w:rPr>
          <w:rFonts w:hint="eastAsia" w:ascii="黑体" w:hAnsi="宋体" w:eastAsia="黑体" w:cs="Times New Roman"/>
          <w:b w:val="0"/>
          <w:bCs w:val="0"/>
          <w:color w:val="000000" w:themeColor="text1"/>
          <w:sz w:val="32"/>
          <w:szCs w:val="32"/>
          <w:highlight w:val="none"/>
          <w:lang w:val="zh-CN"/>
          <w14:textFill>
            <w14:solidFill>
              <w14:schemeClr w14:val="tx1"/>
            </w14:solidFill>
          </w14:textFill>
        </w:rPr>
        <w:t>项目概况</w:t>
      </w:r>
    </w:p>
    <w:p>
      <w:pPr>
        <w:keepNext w:val="0"/>
        <w:keepLines w:val="0"/>
        <w:pageBreakBefore w:val="0"/>
        <w:widowControl w:val="0"/>
        <w:kinsoku/>
        <w:wordWrap/>
        <w:overflowPunct/>
        <w:topLinePunct w:val="0"/>
        <w:autoSpaceDN/>
        <w:bidi w:val="0"/>
        <w:adjustRightInd w:val="0"/>
        <w:snapToGrid w:val="0"/>
        <w:spacing w:line="546" w:lineRule="exact"/>
        <w:ind w:firstLine="640" w:firstLineChars="200"/>
        <w:textAlignment w:val="auto"/>
        <w:rPr>
          <w:rFonts w:hint="eastAsia"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（一）设立背景及基本情况。</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广元市医疗保障局结合自身职能职责，负责贯彻执行国家、省、市医疗和生育保险政策，对各项医</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保</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政策实施情况进行监督、管理，对各项医疗费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报销进行审核、支付。</w:t>
      </w:r>
      <w:r>
        <w:rPr>
          <w:rFonts w:hint="eastAsia" w:ascii="仿宋_GB2312" w:hAnsi="宋体" w:eastAsia="仿宋_GB2312" w:cs="Times New Roman"/>
          <w:b w:val="0"/>
          <w:bCs w:val="0"/>
          <w:color w:val="000000" w:themeColor="text1"/>
          <w:sz w:val="32"/>
          <w:szCs w:val="32"/>
          <w14:textFill>
            <w14:solidFill>
              <w14:schemeClr w14:val="tx1"/>
            </w14:solidFill>
          </w14:textFill>
        </w:rPr>
        <w:t>广元市医疗保障事务中心作为市医疗保障局二级单位，具体负责对企业军转干部门诊费用进行审核</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划转</w:t>
      </w:r>
      <w:r>
        <w:rPr>
          <w:rFonts w:hint="eastAsia" w:ascii="仿宋_GB2312" w:hAnsi="宋体" w:eastAsia="仿宋_GB2312" w:cs="Times New Roman"/>
          <w:b w:val="0"/>
          <w:bCs w:val="0"/>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val="0"/>
        <w:autoSpaceDN/>
        <w:bidi w:val="0"/>
        <w:adjustRightInd w:val="0"/>
        <w:snapToGrid w:val="0"/>
        <w:spacing w:line="546" w:lineRule="exact"/>
        <w:ind w:firstLine="640" w:firstLineChars="200"/>
        <w:textAlignment w:val="auto"/>
        <w:rPr>
          <w:rFonts w:hint="eastAsia"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（二）</w:t>
      </w:r>
      <w:r>
        <w:rPr>
          <w:rFonts w:hint="default"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实施目的及支持方向</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制定了</w:t>
      </w:r>
      <w:r>
        <w:rPr>
          <w:rFonts w:hint="eastAsia" w:ascii="仿宋_GB2312" w:hAnsi="仿宋_GB2312" w:eastAsia="仿宋_GB2312" w:cs="仿宋_GB2312"/>
          <w:b w:val="0"/>
          <w:bCs w:val="0"/>
          <w:color w:val="000000" w:themeColor="text1"/>
          <w:sz w:val="32"/>
          <w:szCs w:val="32"/>
          <w14:textFill>
            <w14:solidFill>
              <w14:schemeClr w14:val="tx1"/>
            </w14:solidFill>
          </w14:textFill>
        </w:rPr>
        <w:t>《广元市</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医保经办机构医疗保障</w:t>
      </w:r>
      <w:r>
        <w:rPr>
          <w:rFonts w:hint="eastAsia" w:ascii="仿宋_GB2312" w:hAnsi="仿宋_GB2312" w:eastAsia="仿宋_GB2312" w:cs="仿宋_GB2312"/>
          <w:b w:val="0"/>
          <w:bCs w:val="0"/>
          <w:color w:val="000000" w:themeColor="text1"/>
          <w:sz w:val="32"/>
          <w:szCs w:val="32"/>
          <w14:textFill>
            <w14:solidFill>
              <w14:schemeClr w14:val="tx1"/>
            </w14:solidFill>
          </w14:textFill>
        </w:rPr>
        <w:t>主要业务经办流程（试行）》</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w:t>
      </w:r>
      <w:r>
        <w:rPr>
          <w:rFonts w:hint="eastAsia" w:ascii="仿宋_GB2312" w:hAnsi="宋体" w:eastAsia="仿宋_GB2312" w:cs="Times New Roman"/>
          <w:b w:val="0"/>
          <w:bCs w:val="0"/>
          <w:color w:val="000000" w:themeColor="text1"/>
          <w:sz w:val="32"/>
          <w:szCs w:val="32"/>
          <w14:textFill>
            <w14:solidFill>
              <w14:schemeClr w14:val="tx1"/>
            </w14:solidFill>
          </w14:textFill>
        </w:rPr>
        <w:t>对企业军转干部门诊补助的审核和</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划转</w:t>
      </w:r>
      <w:r>
        <w:rPr>
          <w:rFonts w:hint="eastAsia" w:ascii="仿宋_GB2312" w:hAnsi="宋体" w:eastAsia="仿宋_GB2312" w:cs="Times New Roman"/>
          <w:b w:val="0"/>
          <w:bCs w:val="0"/>
          <w:color w:val="000000" w:themeColor="text1"/>
          <w:sz w:val="32"/>
          <w:szCs w:val="32"/>
          <w14:textFill>
            <w14:solidFill>
              <w14:schemeClr w14:val="tx1"/>
            </w14:solidFill>
          </w14:textFill>
        </w:rPr>
        <w:t>严格按规定执行，控制项目实施成本。</w:t>
      </w:r>
    </w:p>
    <w:p>
      <w:pPr>
        <w:keepNext w:val="0"/>
        <w:keepLines w:val="0"/>
        <w:pageBreakBefore w:val="0"/>
        <w:widowControl w:val="0"/>
        <w:kinsoku/>
        <w:wordWrap/>
        <w:overflowPunct/>
        <w:topLinePunct w:val="0"/>
        <w:autoSpaceDN/>
        <w:bidi w:val="0"/>
        <w:adjustRightInd w:val="0"/>
        <w:snapToGrid w:val="0"/>
        <w:spacing w:line="546" w:lineRule="exact"/>
        <w:ind w:firstLine="640" w:firstLineChars="200"/>
        <w:textAlignment w:val="auto"/>
        <w:rPr>
          <w:rFonts w:ascii="仿宋_GB2312" w:hAnsi="宋体" w:eastAsia="仿宋_GB2312" w:cs="Times New Roman"/>
          <w:b w:val="0"/>
          <w:bCs w:val="0"/>
          <w:color w:val="000000" w:themeColor="text1"/>
          <w:sz w:val="32"/>
          <w:szCs w:val="32"/>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（三）</w:t>
      </w:r>
      <w:r>
        <w:rPr>
          <w:rFonts w:hint="default"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预算安排及分配管理</w:t>
      </w:r>
      <w:r>
        <w:rPr>
          <w:rFonts w:hint="eastAsia" w:ascii="楷体_GB2312" w:hAnsi="宋体" w:eastAsia="楷体_GB2312" w:cs="Times New Roman"/>
          <w:b w:val="0"/>
          <w:bCs w:val="0"/>
          <w:color w:val="000000" w:themeColor="text1"/>
          <w:sz w:val="32"/>
          <w:szCs w:val="32"/>
          <w:highlight w:val="none"/>
          <w:u w:val="none"/>
          <w:lang w:val="zh-CN" w:eastAsia="zh-CN"/>
          <w14:textFill>
            <w14:solidFill>
              <w14:schemeClr w14:val="tx1"/>
            </w14:solidFill>
          </w14:textFill>
        </w:rPr>
        <w:t>。</w:t>
      </w:r>
      <w:r>
        <w:rPr>
          <w:rFonts w:hint="eastAsia" w:ascii="仿宋_GB2312" w:hAnsi="宋体" w:eastAsia="仿宋_GB2312" w:cs="Times New Roman"/>
          <w:b w:val="0"/>
          <w:bCs w:val="0"/>
          <w:color w:val="000000" w:themeColor="text1"/>
          <w:spacing w:val="2"/>
          <w:sz w:val="32"/>
          <w:szCs w:val="32"/>
          <w:lang w:val="en-US" w:eastAsia="zh-CN"/>
          <w14:textFill>
            <w14:solidFill>
              <w14:schemeClr w14:val="tx1"/>
            </w14:solidFill>
          </w14:textFill>
        </w:rPr>
        <w:t>按照</w:t>
      </w:r>
      <w:r>
        <w:rPr>
          <w:rFonts w:hint="eastAsia" w:ascii="仿宋_GB2312" w:hAnsi="宋体" w:eastAsia="仿宋_GB2312" w:cs="Times New Roman"/>
          <w:b w:val="0"/>
          <w:bCs w:val="0"/>
          <w:color w:val="000000" w:themeColor="text1"/>
          <w:spacing w:val="2"/>
          <w:sz w:val="32"/>
          <w:szCs w:val="32"/>
          <w14:textFill>
            <w14:solidFill>
              <w14:schemeClr w14:val="tx1"/>
            </w14:solidFill>
          </w14:textFill>
        </w:rPr>
        <w:t>《广元市退役军人事务局关于</w:t>
      </w:r>
      <w:r>
        <w:rPr>
          <w:rFonts w:hint="eastAsia" w:ascii="仿宋_GB2312" w:hAnsi="宋体" w:eastAsia="仿宋_GB2312" w:cs="Times New Roman"/>
          <w:b w:val="0"/>
          <w:bCs w:val="0"/>
          <w:color w:val="000000" w:themeColor="text1"/>
          <w:spacing w:val="2"/>
          <w:sz w:val="32"/>
          <w:szCs w:val="32"/>
          <w:lang w:val="en-US" w:eastAsia="zh-CN"/>
          <w14:textFill>
            <w14:solidFill>
              <w14:schemeClr w14:val="tx1"/>
            </w14:solidFill>
          </w14:textFill>
        </w:rPr>
        <w:t>做好2024年企业军转干部门诊医疗补助工作</w:t>
      </w:r>
      <w:r>
        <w:rPr>
          <w:rFonts w:hint="eastAsia" w:ascii="仿宋_GB2312" w:hAnsi="宋体" w:eastAsia="仿宋_GB2312" w:cs="Times New Roman"/>
          <w:b w:val="0"/>
          <w:bCs w:val="0"/>
          <w:color w:val="000000" w:themeColor="text1"/>
          <w:spacing w:val="2"/>
          <w:sz w:val="32"/>
          <w:szCs w:val="32"/>
          <w14:textFill>
            <w14:solidFill>
              <w14:schemeClr w14:val="tx1"/>
            </w14:solidFill>
          </w14:textFill>
        </w:rPr>
        <w:t>的函》，我局积极配合市退役军人事务局核实企业军转干部信息</w:t>
      </w:r>
      <w:r>
        <w:rPr>
          <w:rFonts w:hint="eastAsia" w:ascii="仿宋_GB2312" w:hAnsi="Times New Roman" w:eastAsia="仿宋_GB2312" w:cs="Times New Roman"/>
          <w:b w:val="0"/>
          <w:bCs w:val="0"/>
          <w:color w:val="000000" w:themeColor="text1"/>
          <w:spacing w:val="2"/>
          <w:sz w:val="32"/>
          <w:szCs w:val="32"/>
          <w:lang w:eastAsia="zh-CN"/>
          <w14:textFill>
            <w14:solidFill>
              <w14:schemeClr w14:val="tx1"/>
            </w14:solidFill>
          </w14:textFill>
        </w:rPr>
        <w:t>，</w:t>
      </w:r>
      <w:r>
        <w:rPr>
          <w:rFonts w:hint="eastAsia" w:ascii="仿宋_GB2312" w:hAnsi="Times New Roman" w:eastAsia="仿宋_GB2312" w:cs="Times New Roman"/>
          <w:b w:val="0"/>
          <w:bCs w:val="0"/>
          <w:color w:val="000000" w:themeColor="text1"/>
          <w:spacing w:val="2"/>
          <w:sz w:val="32"/>
          <w:szCs w:val="32"/>
          <w:lang w:val="en-US" w:eastAsia="zh-CN"/>
          <w14:textFill>
            <w14:solidFill>
              <w14:schemeClr w14:val="tx1"/>
            </w14:solidFill>
          </w14:textFill>
        </w:rPr>
        <w:t>根据</w:t>
      </w:r>
      <w:r>
        <w:rPr>
          <w:rFonts w:ascii="仿宋_GB2312" w:hAnsi="仿宋_GB2312" w:eastAsia="仿宋_GB2312" w:cs="仿宋_GB2312"/>
          <w:b w:val="0"/>
          <w:bCs w:val="0"/>
          <w:color w:val="000000" w:themeColor="text1"/>
          <w:sz w:val="31"/>
          <w:szCs w:val="31"/>
          <w14:textFill>
            <w14:solidFill>
              <w14:schemeClr w14:val="tx1"/>
            </w14:solidFill>
          </w14:textFill>
        </w:rPr>
        <w:t>门诊医疗补助的对象范围</w:t>
      </w:r>
      <w:r>
        <w:rPr>
          <w:rFonts w:hint="eastAsia" w:ascii="仿宋_GB2312" w:hAnsi="仿宋_GB2312" w:eastAsia="仿宋_GB2312" w:cs="仿宋_GB2312"/>
          <w:b w:val="0"/>
          <w:bCs w:val="0"/>
          <w:color w:val="000000" w:themeColor="text1"/>
          <w:sz w:val="31"/>
          <w:szCs w:val="31"/>
          <w:lang w:val="en-US" w:eastAsia="zh-CN"/>
          <w14:textFill>
            <w14:solidFill>
              <w14:schemeClr w14:val="tx1"/>
            </w14:solidFill>
          </w14:textFill>
        </w:rPr>
        <w:t>及</w:t>
      </w:r>
      <w:r>
        <w:rPr>
          <w:rFonts w:hint="eastAsia" w:ascii="仿宋_GB2312" w:hAnsi="Times New Roman" w:eastAsia="仿宋_GB2312" w:cs="Times New Roman"/>
          <w:b w:val="0"/>
          <w:bCs w:val="0"/>
          <w:color w:val="000000" w:themeColor="text1"/>
          <w:spacing w:val="2"/>
          <w:sz w:val="32"/>
          <w:szCs w:val="32"/>
          <w:lang w:val="en-US" w:eastAsia="zh-CN"/>
          <w14:textFill>
            <w14:solidFill>
              <w14:schemeClr w14:val="tx1"/>
            </w14:solidFill>
          </w14:textFill>
        </w:rPr>
        <w:t>补助</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标准</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及时申请资金并将</w:t>
      </w:r>
      <w:r>
        <w:rPr>
          <w:rFonts w:ascii="仿宋_GB2312" w:hAnsi="仿宋_GB2312" w:eastAsia="仿宋_GB2312" w:cs="仿宋_GB2312"/>
          <w:b w:val="0"/>
          <w:bCs w:val="0"/>
          <w:color w:val="000000" w:themeColor="text1"/>
          <w:sz w:val="31"/>
          <w:szCs w:val="31"/>
          <w14:textFill>
            <w14:solidFill>
              <w14:schemeClr w14:val="tx1"/>
            </w14:solidFill>
          </w14:textFill>
        </w:rPr>
        <w:t>2024 年企业军转干部门诊医疗补助划入企业军转干部的基本医疗保险个人账户。</w:t>
      </w:r>
    </w:p>
    <w:p>
      <w:pPr>
        <w:keepNext w:val="0"/>
        <w:keepLines w:val="0"/>
        <w:pageBreakBefore w:val="0"/>
        <w:widowControl w:val="0"/>
        <w:kinsoku/>
        <w:wordWrap/>
        <w:overflowPunct/>
        <w:topLinePunct w:val="0"/>
        <w:autoSpaceDE/>
        <w:autoSpaceDN/>
        <w:bidi w:val="0"/>
        <w:adjustRightInd w:val="0"/>
        <w:snapToGrid w:val="0"/>
        <w:spacing w:after="0" w:line="546" w:lineRule="exact"/>
        <w:ind w:firstLine="640" w:firstLineChars="200"/>
        <w:jc w:val="both"/>
        <w:textAlignment w:val="auto"/>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pP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（四）项目绩效目标设置。</w:t>
      </w:r>
      <w:r>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t>为市本级已参保且符合补助标准的企业军转干部</w:t>
      </w:r>
      <w:r>
        <w:rPr>
          <w:rFonts w:hint="eastAsia" w:ascii="仿宋_GB2312" w:hAnsi="宋体" w:eastAsia="仿宋_GB2312" w:cs="Times New Roman"/>
          <w:b w:val="0"/>
          <w:bCs w:val="0"/>
          <w:color w:val="000000" w:themeColor="text1"/>
          <w:kern w:val="0"/>
          <w:position w:val="3"/>
          <w:sz w:val="32"/>
          <w:szCs w:val="32"/>
          <w:lang w:val="en-US" w:eastAsia="zh-CN" w:bidi="ar-SA"/>
          <w14:textFill>
            <w14:solidFill>
              <w14:schemeClr w14:val="tx1"/>
            </w14:solidFill>
          </w14:textFill>
        </w:rPr>
        <w:t>划转</w:t>
      </w:r>
      <w:r>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t>门诊补助</w:t>
      </w:r>
      <w:r>
        <w:rPr>
          <w:rFonts w:hint="eastAsia" w:ascii="仿宋_GB2312" w:hAnsi="宋体" w:eastAsia="仿宋_GB2312" w:cs="Times New Roman"/>
          <w:b w:val="0"/>
          <w:bCs w:val="0"/>
          <w:color w:val="000000" w:themeColor="text1"/>
          <w:kern w:val="0"/>
          <w:position w:val="3"/>
          <w:sz w:val="32"/>
          <w:szCs w:val="32"/>
          <w:lang w:val="en-US" w:eastAsia="zh-CN" w:bidi="ar-SA"/>
          <w14:textFill>
            <w14:solidFill>
              <w14:schemeClr w14:val="tx1"/>
            </w14:solidFill>
          </w14:textFill>
        </w:rPr>
        <w:t>，确保</w:t>
      </w:r>
      <w:r>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t>参保人员能及时享受医疗待遇</w:t>
      </w:r>
      <w:r>
        <w:rPr>
          <w:rFonts w:hint="eastAsia" w:ascii="仿宋_GB2312" w:hAnsi="宋体" w:eastAsia="黑体" w:cs="Times New Roman"/>
          <w:b w:val="0"/>
          <w:bCs w:val="0"/>
          <w:color w:val="000000" w:themeColor="text1"/>
          <w:kern w:val="0"/>
          <w:position w:val="3"/>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0"/>
          <w:position w:val="3"/>
          <w:sz w:val="32"/>
          <w:szCs w:val="32"/>
          <w:lang w:val="zh-CN" w:eastAsia="zh-CN" w:bidi="ar-SA"/>
          <w14:textFill>
            <w14:solidFill>
              <w14:schemeClr w14:val="tx1"/>
            </w14:solidFill>
          </w14:textFill>
        </w:rPr>
        <w:t>医疗保障资金使用安全、规范、高效</w:t>
      </w:r>
      <w:r>
        <w:rPr>
          <w:rFonts w:hint="eastAsia" w:ascii="仿宋_GB2312" w:hAnsi="宋体" w:eastAsia="仿宋_GB2312" w:cs="Times New Roman"/>
          <w:b w:val="0"/>
          <w:bCs w:val="0"/>
          <w:color w:val="000000" w:themeColor="text1"/>
          <w:kern w:val="0"/>
          <w:position w:val="3"/>
          <w:sz w:val="32"/>
          <w:szCs w:val="32"/>
          <w:lang w:val="en-US" w:eastAsia="en-U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宋体" w:eastAsia="黑体" w:cs="Times New Roman"/>
          <w:b w:val="0"/>
          <w:bCs w:val="0"/>
          <w:color w:val="000000" w:themeColor="text1"/>
          <w:sz w:val="32"/>
          <w:szCs w:val="32"/>
          <w:highlight w:val="none"/>
          <w:lang w:eastAsia="zh-CN"/>
          <w14:textFill>
            <w14:solidFill>
              <w14:schemeClr w14:val="tx1"/>
            </w14:solidFill>
          </w14:textFill>
        </w:rPr>
      </w:pPr>
      <w:r>
        <w:rPr>
          <w:rFonts w:hint="eastAsia" w:ascii="黑体" w:hAnsi="宋体" w:eastAsia="黑体" w:cs="Times New Roman"/>
          <w:b w:val="0"/>
          <w:bCs w:val="0"/>
          <w:color w:val="000000" w:themeColor="text1"/>
          <w:sz w:val="32"/>
          <w:szCs w:val="32"/>
          <w:highlight w:val="none"/>
          <w14:textFill>
            <w14:solidFill>
              <w14:schemeClr w14:val="tx1"/>
            </w14:solidFill>
          </w14:textFill>
        </w:rPr>
        <w:t>二、</w:t>
      </w:r>
      <w:r>
        <w:rPr>
          <w:rFonts w:hint="eastAsia" w:ascii="黑体" w:hAnsi="宋体" w:eastAsia="黑体" w:cs="Times New Roman"/>
          <w:b w:val="0"/>
          <w:bCs w:val="0"/>
          <w:color w:val="000000" w:themeColor="text1"/>
          <w:sz w:val="32"/>
          <w:szCs w:val="32"/>
          <w:highlight w:val="none"/>
          <w:lang w:eastAsia="zh-CN"/>
          <w14:textFill>
            <w14:solidFill>
              <w14:schemeClr w14:val="tx1"/>
            </w14:solidFill>
          </w14:textFill>
        </w:rPr>
        <w:t>评价实施</w:t>
      </w:r>
    </w:p>
    <w:p>
      <w:pPr>
        <w:keepNext w:val="0"/>
        <w:keepLines w:val="0"/>
        <w:pageBreakBefore w:val="0"/>
        <w:widowControl w:val="0"/>
        <w:numPr>
          <w:ilvl w:val="0"/>
          <w:numId w:val="0"/>
        </w:numPr>
        <w:kinsoku/>
        <w:wordWrap/>
        <w:overflowPunct/>
        <w:topLinePunct w:val="0"/>
        <w:autoSpaceDE w:val="0"/>
        <w:autoSpaceDN/>
        <w:bidi w:val="0"/>
        <w:adjustRightInd w:val="0"/>
        <w:snapToGrid w:val="0"/>
        <w:spacing w:line="576" w:lineRule="exact"/>
        <w:ind w:leftChars="0" w:firstLine="640" w:firstLineChars="200"/>
        <w:textAlignment w:val="auto"/>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（一）评价目的。</w:t>
      </w:r>
      <w:r>
        <w:rPr>
          <w:rFonts w:hint="eastAsia" w:ascii="Times New Roman" w:hAnsi="Times New Roman" w:eastAsia="仿宋_GB2312" w:cs="Times New Roman"/>
          <w:b w:val="0"/>
          <w:bCs w:val="0"/>
          <w:color w:val="000000" w:themeColor="text1"/>
          <w:sz w:val="32"/>
          <w:szCs w:val="32"/>
          <w:lang w:val="en-US" w:eastAsia="zh-CN"/>
          <w14:textFill>
            <w14:solidFill>
              <w14:schemeClr w14:val="tx1"/>
            </w14:solidFill>
          </w14:textFill>
        </w:rPr>
        <w:t>提高财政资金使用效益，确保</w:t>
      </w:r>
      <w:r>
        <w:rPr>
          <w:rFonts w:hint="eastAsia" w:ascii="仿宋_GB2312" w:hAnsi="宋体" w:eastAsia="仿宋_GB2312" w:cs="Times New Roman"/>
          <w:b w:val="0"/>
          <w:bCs w:val="0"/>
          <w:color w:val="000000" w:themeColor="text1"/>
          <w:sz w:val="32"/>
          <w:szCs w:val="32"/>
          <w14:textFill>
            <w14:solidFill>
              <w14:schemeClr w14:val="tx1"/>
            </w14:solidFill>
          </w14:textFill>
        </w:rPr>
        <w:t>为市本级已参保且符合补助标准的企业军转干部拨付门诊补助。</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val="0"/>
        <w:autoSpaceDN/>
        <w:bidi w:val="0"/>
        <w:adjustRightInd w:val="0"/>
        <w:snapToGrid w:val="0"/>
        <w:spacing w:line="576" w:lineRule="exact"/>
        <w:ind w:leftChars="0" w:firstLine="640" w:firstLineChars="200"/>
        <w:textAlignment w:val="auto"/>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（二）预设问题及评价重点。</w:t>
      </w:r>
      <w:r>
        <w:rPr>
          <w:rFonts w:hint="eastAsia" w:ascii="仿宋_GB2312" w:hAnsi="宋体" w:eastAsia="仿宋_GB2312" w:cs="Times New Roman"/>
          <w:b w:val="0"/>
          <w:bCs w:val="0"/>
          <w:color w:val="000000" w:themeColor="text1"/>
          <w:sz w:val="32"/>
          <w:szCs w:val="32"/>
          <w14:textFill>
            <w14:solidFill>
              <w14:schemeClr w14:val="tx1"/>
            </w14:solidFill>
          </w14:textFill>
        </w:rPr>
        <w:t>确保符合条件人员能及</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时</w:t>
      </w:r>
      <w:r>
        <w:rPr>
          <w:rFonts w:hint="eastAsia" w:ascii="仿宋_GB2312" w:hAnsi="宋体" w:eastAsia="仿宋_GB2312" w:cs="Times New Roman"/>
          <w:b w:val="0"/>
          <w:bCs w:val="0"/>
          <w:color w:val="000000" w:themeColor="text1"/>
          <w:sz w:val="32"/>
          <w:szCs w:val="32"/>
          <w14:textFill>
            <w14:solidFill>
              <w14:schemeClr w14:val="tx1"/>
            </w14:solidFill>
          </w14:textFill>
        </w:rPr>
        <w:t>享受医疗待遇。</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Times New Roman"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（三）评价选点。</w:t>
      </w:r>
      <w:r>
        <w:rPr>
          <w:rFonts w:hint="eastAsia" w:ascii="Times New Roman" w:hAnsi="Times New Roman" w:eastAsia="仿宋_GB2312" w:cs="Times New Roman"/>
          <w:b w:val="0"/>
          <w:bCs w:val="0"/>
          <w:color w:val="000000" w:themeColor="text1"/>
          <w:sz w:val="32"/>
          <w:szCs w:val="32"/>
          <w:lang w:val="zh-CN" w:eastAsia="zh-CN"/>
          <w14:textFill>
            <w14:solidFill>
              <w14:schemeClr w14:val="tx1"/>
            </w14:solidFill>
          </w14:textFill>
        </w:rPr>
        <w:t>以整体作为评价。</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宋体" w:eastAsia="仿宋_GB2312" w:cs="Times New Roman"/>
          <w:b w:val="0"/>
          <w:bCs w:val="0"/>
          <w:color w:val="000000" w:themeColor="text1"/>
          <w:sz w:val="32"/>
          <w:szCs w:val="32"/>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（四）评价方法。</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项目绩效自评按市财政局要求，部门决算后在规定时间内按规定内容进行自评。</w:t>
      </w:r>
    </w:p>
    <w:p>
      <w:pPr>
        <w:keepNext w:val="0"/>
        <w:keepLines w:val="0"/>
        <w:pageBreakBefore w:val="0"/>
        <w:kinsoku/>
        <w:wordWrap/>
        <w:overflowPunct/>
        <w:topLinePunct w:val="0"/>
        <w:autoSpaceDN/>
        <w:bidi w:val="0"/>
        <w:spacing w:line="576" w:lineRule="exact"/>
        <w:ind w:firstLine="640" w:firstLineChars="200"/>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（五）评价组织。</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我单位</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高度重视</w:t>
      </w:r>
      <w:r>
        <w:rPr>
          <w:rFonts w:hint="eastAsia" w:ascii="仿宋_GB2312" w:hAnsi="Times New Roman" w:eastAsia="仿宋_GB2312" w:cs="Times New Roman"/>
          <w:b w:val="0"/>
          <w:bCs w:val="0"/>
          <w:color w:val="000000" w:themeColor="text1"/>
          <w:sz w:val="32"/>
          <w:szCs w:val="32"/>
          <w14:textFill>
            <w14:solidFill>
              <w14:schemeClr w14:val="tx1"/>
            </w14:solidFill>
          </w14:textFill>
        </w:rPr>
        <w:t>绩效评价工作，</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落实专人负责，全面对标评价指标，逐项分析，确保评价客观、科学、准确，为今后的项目实施提供参考，</w:t>
      </w:r>
      <w:r>
        <w:rPr>
          <w:rFonts w:hint="eastAsia" w:ascii="仿宋_GB2312" w:hAnsi="Times New Roman" w:eastAsia="仿宋_GB2312" w:cs="Times New Roman"/>
          <w:b w:val="0"/>
          <w:bCs w:val="0"/>
          <w:color w:val="000000" w:themeColor="text1"/>
          <w:sz w:val="32"/>
          <w:szCs w:val="32"/>
          <w14:textFill>
            <w14:solidFill>
              <w14:schemeClr w14:val="tx1"/>
            </w14:solidFill>
          </w14:textFill>
        </w:rPr>
        <w:t>提高财政资金使用效率</w:t>
      </w:r>
      <w:r>
        <w:rPr>
          <w:rFonts w:hint="eastAsia" w:ascii="仿宋_GB2312" w:hAnsi="Times New Roman" w:eastAsia="仿宋_GB2312" w:cs="Times New Roman"/>
          <w:b w:val="0"/>
          <w:bCs w:val="0"/>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ascii="仿宋_GB2312" w:hAnsi="宋体" w:eastAsia="仿宋_GB2312" w:cs="Times New Roman"/>
          <w:b w:val="0"/>
          <w:bCs w:val="0"/>
          <w:color w:val="000000" w:themeColor="text1"/>
          <w:sz w:val="32"/>
          <w:szCs w:val="32"/>
          <w:highlight w:val="none"/>
          <w:u w:val="none"/>
          <w:lang w:val="zh-CN"/>
          <w14:textFill>
            <w14:solidFill>
              <w14:schemeClr w14:val="tx1"/>
            </w14:solidFill>
          </w14:textFill>
        </w:rPr>
      </w:pPr>
      <w:r>
        <w:rPr>
          <w:rFonts w:hint="eastAsia" w:ascii="黑体" w:hAnsi="宋体" w:eastAsia="黑体" w:cs="Times New Roman"/>
          <w:b w:val="0"/>
          <w:bCs w:val="0"/>
          <w:color w:val="000000" w:themeColor="text1"/>
          <w:sz w:val="32"/>
          <w:szCs w:val="32"/>
          <w:highlight w:val="none"/>
          <w:u w:val="none"/>
          <w14:textFill>
            <w14:solidFill>
              <w14:schemeClr w14:val="tx1"/>
            </w14:solidFill>
          </w14:textFill>
        </w:rPr>
        <w:t>三、</w:t>
      </w:r>
      <w:r>
        <w:rPr>
          <w:rFonts w:hint="eastAsia" w:ascii="黑体" w:hAnsi="宋体" w:eastAsia="黑体" w:cs="Times New Roman"/>
          <w:b w:val="0"/>
          <w:bCs w:val="0"/>
          <w:color w:val="000000" w:themeColor="text1"/>
          <w:sz w:val="32"/>
          <w:szCs w:val="32"/>
          <w:highlight w:val="none"/>
          <w:u w:val="none"/>
          <w:lang w:eastAsia="zh-CN"/>
          <w14:textFill>
            <w14:solidFill>
              <w14:schemeClr w14:val="tx1"/>
            </w14:solidFill>
          </w14:textFill>
        </w:rPr>
        <w:t>绩效分析</w:t>
      </w:r>
      <w:r>
        <w:rPr>
          <w:rFonts w:hint="eastAsia" w:ascii="仿宋_GB2312" w:hAnsi="宋体" w:eastAsia="仿宋_GB2312" w:cs="Times New Roman"/>
          <w:b w:val="0"/>
          <w:bCs w:val="0"/>
          <w:color w:val="000000" w:themeColor="text1"/>
          <w:sz w:val="32"/>
          <w:szCs w:val="32"/>
          <w:highlight w:val="none"/>
          <w:u w:val="none"/>
          <w:lang w:val="zh-CN"/>
          <w14:textFill>
            <w14:solidFill>
              <w14:schemeClr w14:val="tx1"/>
            </w14:solidFill>
          </w14:textFill>
        </w:rPr>
        <w:tab/>
      </w:r>
    </w:p>
    <w:p>
      <w:pPr>
        <w:keepNext w:val="0"/>
        <w:keepLines w:val="0"/>
        <w:pageBreakBefore w:val="0"/>
        <w:kinsoku/>
        <w:wordWrap/>
        <w:overflowPunct/>
        <w:topLinePunct w:val="0"/>
        <w:autoSpaceDN/>
        <w:bidi w:val="0"/>
        <w:adjustRightInd w:val="0"/>
        <w:snapToGrid w:val="0"/>
        <w:spacing w:line="576" w:lineRule="exact"/>
        <w:ind w:firstLine="640" w:firstLineChars="200"/>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一</w:t>
      </w: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通用指标</w:t>
      </w:r>
      <w:r>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绩效分析</w:t>
      </w:r>
    </w:p>
    <w:p>
      <w:pPr>
        <w:keepNext w:val="0"/>
        <w:keepLines w:val="0"/>
        <w:pageBreakBefore w:val="0"/>
        <w:kinsoku/>
        <w:wordWrap/>
        <w:overflowPunct/>
        <w:topLinePunct w:val="0"/>
        <w:autoSpaceDN/>
        <w:bidi w:val="0"/>
        <w:spacing w:line="576" w:lineRule="exact"/>
        <w:ind w:firstLine="640" w:firstLineChars="200"/>
        <w:rPr>
          <w:rFonts w:hint="default" w:ascii="仿宋_GB2312"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1.</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决策（自评得18分）。该项目的设立符合资金管理基本规范和决策程序要求，项目决策程序严密。项目资金属于政府支持范围，且符合财政事权支出责任划分规定，资金投向与项目总体规划、相关行业事业发展相匹配，聚焦重大任务、重点领域、重点环节和重点项目，未与其他同类项目或部门内部相关项目交叉重复。</w:t>
      </w:r>
    </w:p>
    <w:p>
      <w:pPr>
        <w:keepNext w:val="0"/>
        <w:keepLines w:val="0"/>
        <w:pageBreakBefore w:val="0"/>
        <w:kinsoku/>
        <w:wordWrap/>
        <w:overflowPunct/>
        <w:topLinePunct w:val="0"/>
        <w:autoSpaceDN/>
        <w:bidi w:val="0"/>
        <w:spacing w:line="576" w:lineRule="exact"/>
        <w:ind w:firstLine="640" w:firstLineChars="200"/>
        <w:rPr>
          <w:rFonts w:hint="default" w:ascii="仿宋_GB2312" w:hAnsi="Times New Roman" w:eastAsia="仿宋_GB2312" w:cs="Times New Roman"/>
          <w:b w:val="0"/>
          <w:bCs w:val="0"/>
          <w:color w:val="000000" w:themeColor="text1"/>
          <w:sz w:val="32"/>
          <w:szCs w:val="32"/>
          <w:lang w:val="zh-CN"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2.</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项目管理（自评得18分）。我单位资金管理体系完善，财务制度健全，财务管理规范，会计核算真实完整，不存在管理制度缺失、管理办法过期情况，</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对</w:t>
      </w:r>
      <w:r>
        <w:rPr>
          <w:rFonts w:hint="eastAsia" w:ascii="仿宋_GB2312" w:hAnsi="宋体" w:eastAsia="仿宋_GB2312" w:cs="Times New Roman"/>
          <w:b w:val="0"/>
          <w:bCs w:val="0"/>
          <w:color w:val="000000" w:themeColor="text1"/>
          <w:sz w:val="32"/>
          <w:szCs w:val="32"/>
          <w14:textFill>
            <w14:solidFill>
              <w14:schemeClr w14:val="tx1"/>
            </w14:solidFill>
          </w14:textFill>
        </w:rPr>
        <w:t>企业军转干部</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的</w:t>
      </w:r>
      <w:r>
        <w:rPr>
          <w:rFonts w:hint="eastAsia" w:ascii="仿宋_GB2312" w:hAnsi="宋体" w:eastAsia="仿宋_GB2312" w:cs="Times New Roman"/>
          <w:b w:val="0"/>
          <w:bCs w:val="0"/>
          <w:color w:val="000000" w:themeColor="text1"/>
          <w:sz w:val="32"/>
          <w:szCs w:val="32"/>
          <w14:textFill>
            <w14:solidFill>
              <w14:schemeClr w14:val="tx1"/>
            </w14:solidFill>
          </w14:textFill>
        </w:rPr>
        <w:t>门诊补助</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实行专款专用，科学合理设置可量化、可考核的绩效评价指标体系，全面开展绩效评价工作。</w:t>
      </w:r>
    </w:p>
    <w:p>
      <w:pPr>
        <w:keepNext w:val="0"/>
        <w:keepLines w:val="0"/>
        <w:pageBreakBefore w:val="0"/>
        <w:kinsoku/>
        <w:wordWrap/>
        <w:overflowPunct/>
        <w:topLinePunct w:val="0"/>
        <w:autoSpaceDN/>
        <w:bidi w:val="0"/>
        <w:spacing w:line="576" w:lineRule="exact"/>
        <w:ind w:firstLine="640" w:firstLineChars="200"/>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3.</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w:t>
      </w:r>
      <w:r>
        <w:rPr>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目实施（自评得9分）。我单位</w:t>
      </w:r>
      <w:r>
        <w:rPr>
          <w:rFonts w:hint="eastAsia" w:ascii="仿宋_GB2312" w:hAnsi="Times New Roman" w:eastAsia="仿宋_GB2312" w:cs="Times New Roman"/>
          <w:b w:val="0"/>
          <w:bCs w:val="0"/>
          <w:color w:val="000000" w:themeColor="text1"/>
          <w:spacing w:val="-6"/>
          <w:sz w:val="32"/>
          <w:szCs w:val="32"/>
          <w:lang w:val="zh-CN" w:eastAsia="zh-CN"/>
          <w14:textFill>
            <w14:solidFill>
              <w14:schemeClr w14:val="tx1"/>
            </w14:solidFill>
          </w14:textFill>
        </w:rPr>
        <w:t>财务管理制度健全，制度执行严格，账务处理及时，</w:t>
      </w:r>
      <w:r>
        <w:rPr>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严</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格</w:t>
      </w:r>
      <w:r>
        <w:rPr>
          <w:rFonts w:hint="eastAsia" w:ascii="仿宋_GB2312" w:hAnsi="宋体" w:eastAsia="仿宋_GB2312" w:cs="Times New Roman"/>
          <w:b w:val="0"/>
          <w:bCs w:val="0"/>
          <w:color w:val="000000" w:themeColor="text1"/>
          <w:spacing w:val="-6"/>
          <w:sz w:val="32"/>
          <w:szCs w:val="32"/>
          <w:lang w:val="zh-CN"/>
          <w14:textFill>
            <w14:solidFill>
              <w14:schemeClr w14:val="tx1"/>
            </w14:solidFill>
          </w14:textFill>
        </w:rPr>
        <w:t>按</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照</w:t>
      </w:r>
      <w:r>
        <w:rPr>
          <w:rFonts w:hint="eastAsia" w:ascii="仿宋_GB2312" w:hAnsi="宋体" w:eastAsia="仿宋_GB2312" w:cs="Times New Roman"/>
          <w:b w:val="0"/>
          <w:bCs w:val="0"/>
          <w:color w:val="000000" w:themeColor="text1"/>
          <w:spacing w:val="-6"/>
          <w:sz w:val="32"/>
          <w:szCs w:val="32"/>
          <w:lang w:val="zh-CN"/>
          <w14:textFill>
            <w14:solidFill>
              <w14:schemeClr w14:val="tx1"/>
            </w14:solidFill>
          </w14:textFill>
        </w:rPr>
        <w:t>《社保基金财务制度》《社保基金会计制度》管理和核算基金。</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在业务流程方面，</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中心严格按照</w:t>
      </w:r>
      <w:r>
        <w:rPr>
          <w:rFonts w:hint="eastAsia" w:ascii="仿宋_GB2312" w:hAnsi="仿宋_GB2312" w:eastAsia="仿宋_GB2312" w:cs="仿宋_GB2312"/>
          <w:b w:val="0"/>
          <w:bCs w:val="0"/>
          <w:color w:val="000000" w:themeColor="text1"/>
          <w:spacing w:val="-6"/>
          <w:sz w:val="32"/>
          <w:szCs w:val="32"/>
          <w14:textFill>
            <w14:solidFill>
              <w14:schemeClr w14:val="tx1"/>
            </w14:solidFill>
          </w14:textFill>
        </w:rPr>
        <w:t>《广元市</w:t>
      </w:r>
      <w:r>
        <w:rPr>
          <w:rFonts w:hint="eastAsia" w:ascii="仿宋_GB2312" w:hAnsi="仿宋_GB2312" w:eastAsia="仿宋_GB2312" w:cs="仿宋_GB2312"/>
          <w:b w:val="0"/>
          <w:bCs w:val="0"/>
          <w:color w:val="000000" w:themeColor="text1"/>
          <w:spacing w:val="-6"/>
          <w:sz w:val="32"/>
          <w:szCs w:val="32"/>
          <w:lang w:val="en-US" w:eastAsia="zh-CN"/>
          <w14:textFill>
            <w14:solidFill>
              <w14:schemeClr w14:val="tx1"/>
            </w14:solidFill>
          </w14:textFill>
        </w:rPr>
        <w:t>医保经办机构医疗保障</w:t>
      </w:r>
      <w:r>
        <w:rPr>
          <w:rFonts w:hint="eastAsia" w:ascii="仿宋_GB2312" w:hAnsi="仿宋_GB2312" w:eastAsia="仿宋_GB2312" w:cs="仿宋_GB2312"/>
          <w:b w:val="0"/>
          <w:bCs w:val="0"/>
          <w:color w:val="000000" w:themeColor="text1"/>
          <w:spacing w:val="-6"/>
          <w:sz w:val="32"/>
          <w:szCs w:val="32"/>
          <w14:textFill>
            <w14:solidFill>
              <w14:schemeClr w14:val="tx1"/>
            </w14:solidFill>
          </w14:textFill>
        </w:rPr>
        <w:t>主要业务经办流程（试行）》</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，由业务经办人员对有关资料进行初审，业务组长复核，业务分管领导审核</w:t>
      </w:r>
      <w:r>
        <w:rPr>
          <w:rFonts w:hint="eastAsia" w:ascii="仿宋_GB2312" w:hAnsi="宋体" w:eastAsia="仿宋_GB2312" w:cs="Times New Roman"/>
          <w:b w:val="0"/>
          <w:bCs w:val="0"/>
          <w:color w:val="000000" w:themeColor="text1"/>
          <w:spacing w:val="-6"/>
          <w:sz w:val="32"/>
          <w:szCs w:val="32"/>
          <w:lang w:eastAsia="zh-CN"/>
          <w14:textFill>
            <w14:solidFill>
              <w14:schemeClr w14:val="tx1"/>
            </w14:solidFill>
          </w14:textFill>
        </w:rPr>
        <w:t>，</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再</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由</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出纳复核、</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财务</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分管</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领导审批，中心主任签字审批拨付。</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在财务流程方面，该笔</w:t>
      </w:r>
      <w:r>
        <w:rPr>
          <w:rFonts w:hint="eastAsia" w:ascii="仿宋_GB2312" w:hAnsi="宋体" w:eastAsia="仿宋_GB2312" w:cs="Times New Roman"/>
          <w:b w:val="0"/>
          <w:bCs w:val="0"/>
          <w:color w:val="000000" w:themeColor="text1"/>
          <w:spacing w:val="-6"/>
          <w:sz w:val="32"/>
          <w:szCs w:val="32"/>
          <w:lang w:val="zh-CN"/>
          <w14:textFill>
            <w14:solidFill>
              <w14:schemeClr w14:val="tx1"/>
            </w14:solidFill>
          </w14:textFill>
        </w:rPr>
        <w:t>经费按财政集中支付管理流程</w:t>
      </w:r>
      <w:r>
        <w:rPr>
          <w:rFonts w:hint="eastAsia" w:ascii="仿宋_GB2312" w:hAnsi="宋体" w:eastAsia="仿宋_GB2312" w:cs="Times New Roman"/>
          <w:b w:val="0"/>
          <w:bCs w:val="0"/>
          <w:color w:val="000000" w:themeColor="text1"/>
          <w:spacing w:val="-6"/>
          <w:sz w:val="32"/>
          <w:szCs w:val="32"/>
          <w:lang w:val="en-US" w:eastAsia="zh-CN"/>
          <w14:textFill>
            <w14:solidFill>
              <w14:schemeClr w14:val="tx1"/>
            </w14:solidFill>
          </w14:textFill>
        </w:rPr>
        <w:t>申请</w:t>
      </w:r>
      <w:r>
        <w:rPr>
          <w:rFonts w:hint="eastAsia" w:ascii="仿宋_GB2312" w:hAnsi="宋体" w:eastAsia="仿宋_GB2312" w:cs="Times New Roman"/>
          <w:b w:val="0"/>
          <w:bCs w:val="0"/>
          <w:color w:val="000000" w:themeColor="text1"/>
          <w:spacing w:val="-6"/>
          <w:sz w:val="32"/>
          <w:szCs w:val="32"/>
          <w14:textFill>
            <w14:solidFill>
              <w14:schemeClr w14:val="tx1"/>
            </w14:solidFill>
          </w14:textFill>
        </w:rPr>
        <w:t>拨付至广元市医疗保障事</w:t>
      </w:r>
      <w:r>
        <w:rPr>
          <w:rFonts w:hint="eastAsia" w:ascii="仿宋_GB2312" w:hAnsi="Times New Roman" w:eastAsia="仿宋_GB2312" w:cs="Times New Roman"/>
          <w:b w:val="0"/>
          <w:bCs w:val="0"/>
          <w:color w:val="000000" w:themeColor="text1"/>
          <w:spacing w:val="-6"/>
          <w:sz w:val="32"/>
          <w:szCs w:val="32"/>
          <w:lang w:val="en-US" w:eastAsia="zh-CN"/>
          <w14:textFill>
            <w14:solidFill>
              <w14:schemeClr w14:val="tx1"/>
            </w14:solidFill>
          </w14:textFill>
        </w:rPr>
        <w:t>务中心医疗保险基金支出户</w:t>
      </w:r>
      <w:r>
        <w:rPr>
          <w:rFonts w:hint="eastAsia" w:ascii="仿宋_GB2312" w:hAnsi="Times New Roman" w:eastAsia="仿宋_GB2312" w:cs="Times New Roman"/>
          <w:b w:val="0"/>
          <w:bCs w:val="0"/>
          <w:color w:val="000000" w:themeColor="text1"/>
          <w:spacing w:val="-6"/>
          <w:sz w:val="32"/>
          <w:szCs w:val="32"/>
          <w:lang w:val="zh-CN" w:eastAsia="zh-CN"/>
          <w14:textFill>
            <w14:solidFill>
              <w14:schemeClr w14:val="tx1"/>
            </w14:solidFill>
          </w14:textFill>
        </w:rPr>
        <w:t>。</w:t>
      </w:r>
    </w:p>
    <w:p>
      <w:pPr>
        <w:keepNext w:val="0"/>
        <w:keepLines w:val="0"/>
        <w:pageBreakBefore w:val="0"/>
        <w:kinsoku/>
        <w:wordWrap/>
        <w:overflowPunct/>
        <w:topLinePunct w:val="0"/>
        <w:autoSpaceDN/>
        <w:bidi w:val="0"/>
        <w:spacing w:line="576" w:lineRule="exact"/>
        <w:ind w:firstLine="640" w:firstLineChars="200"/>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4.</w:t>
      </w:r>
      <w:r>
        <w:rPr>
          <w:rFonts w:hint="default" w:ascii="仿宋_GB2312" w:eastAsia="仿宋_GB2312" w:cs="Times New Roman"/>
          <w:b w:val="0"/>
          <w:bCs w:val="0"/>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项目结果（自评得9分）。</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本项目资金全年共支出</w:t>
      </w:r>
      <w:r>
        <w:rPr>
          <w:rFonts w:hint="eastAsia" w:ascii="仿宋_GB2312" w:hAnsi="Times New Roman" w:eastAsia="仿宋_GB2312" w:cs="Times New Roman"/>
          <w:b w:val="0"/>
          <w:bCs w:val="0"/>
          <w:color w:val="000000" w:themeColor="text1"/>
          <w:sz w:val="32"/>
          <w:szCs w:val="32"/>
          <w:lang w:val="en-US" w:eastAsia="zh-CN"/>
          <w14:textFill>
            <w14:solidFill>
              <w14:schemeClr w14:val="tx1"/>
            </w14:solidFill>
          </w14:textFill>
        </w:rPr>
        <w:t>48.15万</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元，支出进度为100%，</w:t>
      </w:r>
      <w:r>
        <w:rPr>
          <w:rFonts w:hint="eastAsia" w:ascii="仿宋_GB2312" w:hAnsi="宋体" w:eastAsia="仿宋_GB2312" w:cs="Times New Roman"/>
          <w:b w:val="0"/>
          <w:bCs w:val="0"/>
          <w:color w:val="000000" w:themeColor="text1"/>
          <w:sz w:val="32"/>
          <w:szCs w:val="32"/>
          <w14:textFill>
            <w14:solidFill>
              <w14:schemeClr w14:val="tx1"/>
            </w14:solidFill>
          </w14:textFill>
        </w:rPr>
        <w:t>主要用于</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划转</w:t>
      </w:r>
      <w:r>
        <w:rPr>
          <w:rFonts w:hint="eastAsia" w:ascii="仿宋_GB2312" w:hAnsi="宋体" w:eastAsia="仿宋_GB2312" w:cs="Times New Roman"/>
          <w:b w:val="0"/>
          <w:bCs w:val="0"/>
          <w:color w:val="000000" w:themeColor="text1"/>
          <w:sz w:val="32"/>
          <w:szCs w:val="32"/>
          <w14:textFill>
            <w14:solidFill>
              <w14:schemeClr w14:val="tx1"/>
            </w14:solidFill>
          </w14:textFill>
        </w:rPr>
        <w:t>市本级已参保且符合补助标准的企业军转干部门诊补助</w:t>
      </w:r>
      <w:r>
        <w:rPr>
          <w:rFonts w:hint="eastAsia" w:ascii="仿宋_GB2312" w:hAnsi="宋体" w:eastAsia="仿宋_GB2312" w:cs="Times New Roman"/>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确保符合条件的人员能及时享受医疗待遇</w:t>
      </w:r>
      <w:r>
        <w:rPr>
          <w:rFonts w:hint="eastAsia" w:ascii="仿宋_GB2312" w:hAnsi="Times New Roman" w:eastAsia="仿宋_GB2312" w:cs="Times New Roman"/>
          <w:b w:val="0"/>
          <w:bCs w:val="0"/>
          <w:color w:val="000000" w:themeColor="text1"/>
          <w:sz w:val="32"/>
          <w:szCs w:val="32"/>
          <w:lang w:val="zh-CN" w:eastAsia="zh-CN"/>
          <w14:textFill>
            <w14:solidFill>
              <w14:schemeClr w14:val="tx1"/>
            </w14:solidFill>
          </w14:textFill>
        </w:rPr>
        <w:t>。在项目执行过程中，严格按照预算批复项目资金支付范围、支付标准执行</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，严控预算执行进度和经费支出情况，资金使用安全、规范、高效</w:t>
      </w:r>
      <w:r>
        <w:rPr>
          <w:rFonts w:hint="eastAsia" w:ascii="仿宋_GB2312" w:hAnsi="宋体" w:eastAsia="仿宋_GB2312" w:cs="Times New Roman"/>
          <w:b w:val="0"/>
          <w:bCs w:val="0"/>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both"/>
        <w:textAlignment w:val="baseline"/>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pP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w:t>
      </w:r>
      <w:r>
        <w:rPr>
          <w:rFonts w:hint="eastAsia" w:ascii="楷体_GB2312" w:hAnsi="宋体" w:eastAsia="楷体_GB2312" w:cs="Times New Roman"/>
          <w:b w:val="0"/>
          <w:bCs w:val="0"/>
          <w:color w:val="000000" w:themeColor="text1"/>
          <w:kern w:val="2"/>
          <w:sz w:val="32"/>
          <w:szCs w:val="32"/>
          <w:highlight w:val="none"/>
          <w:u w:val="none"/>
          <w:lang w:val="en-US" w:eastAsia="zh-CN" w:bidi="ar-SA"/>
          <w14:textFill>
            <w14:solidFill>
              <w14:schemeClr w14:val="tx1"/>
            </w14:solidFill>
          </w14:textFill>
        </w:rPr>
        <w:t>二</w:t>
      </w:r>
      <w:r>
        <w:rPr>
          <w:rFonts w:hint="eastAsia"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w:t>
      </w:r>
      <w:r>
        <w:rPr>
          <w:rFonts w:hint="eastAsia" w:ascii="楷体_GB2312" w:hAnsi="宋体" w:eastAsia="楷体_GB2312" w:cs="Times New Roman"/>
          <w:b w:val="0"/>
          <w:bCs w:val="0"/>
          <w:color w:val="000000" w:themeColor="text1"/>
          <w:kern w:val="2"/>
          <w:sz w:val="32"/>
          <w:szCs w:val="32"/>
          <w:highlight w:val="none"/>
          <w:u w:val="none"/>
          <w:lang w:val="en-US" w:eastAsia="zh-CN" w:bidi="ar-SA"/>
          <w14:textFill>
            <w14:solidFill>
              <w14:schemeClr w14:val="tx1"/>
            </w14:solidFill>
          </w14:textFill>
        </w:rPr>
        <w:t>专用指标</w:t>
      </w:r>
      <w:r>
        <w:rPr>
          <w:rFonts w:hint="default" w:ascii="楷体_GB2312" w:hAnsi="宋体" w:eastAsia="楷体_GB2312" w:cs="Times New Roman"/>
          <w:b w:val="0"/>
          <w:bCs w:val="0"/>
          <w:color w:val="000000" w:themeColor="text1"/>
          <w:kern w:val="2"/>
          <w:sz w:val="32"/>
          <w:szCs w:val="32"/>
          <w:highlight w:val="none"/>
          <w:u w:val="none"/>
          <w:lang w:val="zh-CN" w:eastAsia="zh-CN" w:bidi="ar-SA"/>
          <w14:textFill>
            <w14:solidFill>
              <w14:schemeClr w14:val="tx1"/>
            </w14:solidFill>
          </w14:textFill>
        </w:rPr>
        <w:t>绩效分析。</w:t>
      </w:r>
      <w:r>
        <w:rPr>
          <w:rFonts w:hint="eastAsia" w:ascii="Times New Roman" w:hAnsi="Times New Roman" w:eastAsia="仿宋_GB2312" w:cs="Times New Roman"/>
          <w:b w:val="0"/>
          <w:bCs w:val="0"/>
          <w:color w:val="000000" w:themeColor="text1"/>
          <w:kern w:val="2"/>
          <w:sz w:val="32"/>
          <w:szCs w:val="32"/>
          <w:lang w:val="zh-CN" w:eastAsia="zh-CN" w:bidi="ar-SA"/>
          <w14:textFill>
            <w14:solidFill>
              <w14:schemeClr w14:val="tx1"/>
            </w14:solidFill>
          </w14:textFill>
        </w:rPr>
        <w:t>民生保</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障</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方面（自评得29.75分）</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。政策内各项目资金分配均衡公平，项目支持方向全面覆盖政策应支持</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的</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范围和对象，有效衔接</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了</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政策内各项目间支持标准，</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不</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存在标准差异较大</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的</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情况，</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医疗</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照顾对象满意度</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在9</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5%</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以上</w:t>
      </w:r>
      <w:r>
        <w:rPr>
          <w:rFonts w:hint="eastAsia" w:ascii="仿宋_GB2312" w:hAnsi="Times New Roman" w:eastAsia="仿宋_GB2312" w:cs="Times New Roman"/>
          <w:b w:val="0"/>
          <w:bCs w:val="0"/>
          <w:color w:val="000000" w:themeColor="text1"/>
          <w:kern w:val="2"/>
          <w:sz w:val="32"/>
          <w:szCs w:val="32"/>
          <w:lang w:val="zh-CN" w:eastAsia="zh-CN" w:bidi="ar-SA"/>
          <w14:textFill>
            <w14:solidFill>
              <w14:schemeClr w14:val="tx1"/>
            </w14:solidFill>
          </w14:textFill>
        </w:rPr>
        <w:t>。</w:t>
      </w:r>
    </w:p>
    <w:p>
      <w:pPr>
        <w:keepNext w:val="0"/>
        <w:keepLines w:val="0"/>
        <w:pageBreakBefore w:val="0"/>
        <w:kinsoku/>
        <w:wordWrap/>
        <w:overflowPunct/>
        <w:topLinePunct w:val="0"/>
        <w:autoSpaceDN/>
        <w:bidi w:val="0"/>
        <w:adjustRightInd w:val="0"/>
        <w:snapToGrid w:val="0"/>
        <w:spacing w:line="576" w:lineRule="exact"/>
        <w:ind w:firstLine="640" w:firstLineChars="200"/>
        <w:rPr>
          <w:rFonts w:hint="eastAsia"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三</w:t>
      </w:r>
      <w:r>
        <w:rPr>
          <w:rFonts w:hint="eastAsia"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个性指标</w:t>
      </w:r>
      <w:r>
        <w:rPr>
          <w:rFonts w:hint="default" w:ascii="楷体_GB2312" w:hAnsi="宋体" w:eastAsia="楷体_GB2312" w:cs="Times New Roman"/>
          <w:b w:val="0"/>
          <w:bCs w:val="0"/>
          <w:color w:val="000000" w:themeColor="text1"/>
          <w:sz w:val="32"/>
          <w:szCs w:val="32"/>
          <w:highlight w:val="none"/>
          <w:u w:val="none"/>
          <w:lang w:val="zh-CN"/>
          <w14:textFill>
            <w14:solidFill>
              <w14:schemeClr w14:val="tx1"/>
            </w14:solidFill>
          </w14:textFill>
        </w:rPr>
        <w:t>绩效分析</w:t>
      </w:r>
      <w:r>
        <w:rPr>
          <w:rFonts w:hint="eastAsia" w:ascii="楷体_GB2312" w:hAnsi="宋体" w:eastAsia="楷体_GB2312" w:cs="Times New Roman"/>
          <w:b w:val="0"/>
          <w:bCs w:val="0"/>
          <w:color w:val="000000" w:themeColor="text1"/>
          <w:sz w:val="32"/>
          <w:szCs w:val="32"/>
          <w:highlight w:val="none"/>
          <w:u w:val="none"/>
          <w:lang w:val="en-US" w:eastAsia="zh-CN"/>
          <w14:textFill>
            <w14:solidFill>
              <w14:schemeClr w14:val="tx1"/>
            </w14:solidFill>
          </w14:textFill>
        </w:rPr>
        <w:t>（</w:t>
      </w: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自评得16分）</w:t>
      </w:r>
      <w:r>
        <w:rPr>
          <w:rFonts w:hint="default" w:ascii="Times New Roman" w:hAnsi="Times New Roman" w:eastAsia="楷体_GB2312" w:cs="Times New Roman"/>
          <w:b w:val="0"/>
          <w:bCs w:val="0"/>
          <w:color w:val="000000" w:themeColor="text1"/>
          <w:kern w:val="0"/>
          <w:sz w:val="32"/>
          <w:szCs w:val="32"/>
          <w:highlight w:val="none"/>
          <w:shd w:val="clear" w:color="auto" w:fill="FFFFFF"/>
          <w:lang w:val="zh-CN"/>
          <w14:textFill>
            <w14:solidFill>
              <w14:schemeClr w14:val="tx1"/>
            </w14:solidFill>
          </w14:textFill>
        </w:rPr>
        <w:t>。</w:t>
      </w:r>
      <w:r>
        <w:rPr>
          <w:rFonts w:hint="eastAsia" w:ascii="仿宋_GB2312" w:hAnsi="宋体" w:eastAsia="仿宋_GB2312" w:cs="Times New Roman"/>
          <w:b w:val="0"/>
          <w:bCs w:val="0"/>
          <w:color w:val="000000" w:themeColor="text1"/>
          <w:sz w:val="32"/>
          <w:szCs w:val="32"/>
          <w14:textFill>
            <w14:solidFill>
              <w14:schemeClr w14:val="tx1"/>
            </w14:solidFill>
          </w14:textFill>
        </w:rPr>
        <w:t>我</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单位严格</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依据广元市劳动和社会保障局、广元市财政局</w:t>
      </w:r>
      <w:r>
        <w:rPr>
          <w:rFonts w:ascii="仿宋_GB2312" w:hAnsi="仿宋_GB2312" w:eastAsia="仿宋_GB2312" w:cs="仿宋_GB2312"/>
          <w:b w:val="0"/>
          <w:bCs w:val="0"/>
          <w:color w:val="000000" w:themeColor="text1"/>
          <w:sz w:val="31"/>
          <w:szCs w:val="31"/>
          <w14:textFill>
            <w14:solidFill>
              <w14:schemeClr w14:val="tx1"/>
            </w14:solidFill>
          </w14:textFill>
        </w:rPr>
        <w:t>《广元市企业军转干部问题工作小组关于调整企业军转干部门诊医疗补助的请示》(广企军〔2017〕2号)精神</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符合条件的</w:t>
      </w:r>
      <w:r>
        <w:rPr>
          <w:rFonts w:ascii="仿宋_GB2312" w:hAnsi="仿宋_GB2312" w:eastAsia="仿宋_GB2312" w:cs="仿宋_GB2312"/>
          <w:b w:val="0"/>
          <w:bCs w:val="0"/>
          <w:color w:val="000000" w:themeColor="text1"/>
          <w:sz w:val="31"/>
          <w:szCs w:val="31"/>
          <w14:textFill>
            <w14:solidFill>
              <w14:schemeClr w14:val="tx1"/>
            </w14:solidFill>
          </w14:textFill>
        </w:rPr>
        <w:t>企业军转干部门诊医疗补助</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金额大于60元/月，</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对于</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医疗照顾费用审核准确率</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在</w:t>
      </w:r>
      <w:r>
        <w:rPr>
          <w:rFonts w:hint="eastAsia" w:ascii="仿宋_GB2312" w:hAnsi="仿宋_GB2312" w:eastAsia="仿宋_GB2312" w:cs="仿宋_GB2312"/>
          <w:b w:val="0"/>
          <w:bCs w:val="0"/>
          <w:color w:val="000000" w:themeColor="text1"/>
          <w:sz w:val="32"/>
          <w:szCs w:val="32"/>
          <w:lang w:val="zh-CN"/>
          <w14:textFill>
            <w14:solidFill>
              <w14:schemeClr w14:val="tx1"/>
            </w14:solidFill>
          </w14:textFill>
        </w:rPr>
        <w:t>98%</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以上。</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en-US" w:eastAsia="en-US"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t>四</w:t>
      </w:r>
      <w:r>
        <w:rPr>
          <w:rFonts w:hint="eastAsia" w:ascii="黑体" w:hAnsi="宋体" w:eastAsia="黑体" w:cs="Times New Roman"/>
          <w:b w:val="0"/>
          <w:bCs w:val="0"/>
          <w:color w:val="000000" w:themeColor="text1"/>
          <w:kern w:val="0"/>
          <w:position w:val="3"/>
          <w:sz w:val="32"/>
          <w:szCs w:val="32"/>
          <w:highlight w:val="none"/>
          <w:u w:val="none"/>
          <w:lang w:val="en-US" w:eastAsia="en-US" w:bidi="ar-SA"/>
          <w14:textFill>
            <w14:solidFill>
              <w14:schemeClr w14:val="tx1"/>
            </w14:solidFill>
          </w14:textFill>
        </w:rPr>
        <w:t>、评价结论</w:t>
      </w:r>
    </w:p>
    <w:p>
      <w:pPr>
        <w:keepNext w:val="0"/>
        <w:keepLines w:val="0"/>
        <w:pageBreakBefore w:val="0"/>
        <w:kinsoku/>
        <w:wordWrap/>
        <w:overflowPunct/>
        <w:topLinePunct w:val="0"/>
        <w:autoSpaceDN/>
        <w:bidi w:val="0"/>
        <w:adjustRightInd w:val="0"/>
        <w:spacing w:line="576" w:lineRule="exact"/>
        <w:ind w:firstLine="640" w:firstLineChars="200"/>
        <w:rPr>
          <w:rFonts w:ascii="仿宋_GB2312" w:hAnsi="宋体" w:eastAsia="仿宋_GB2312" w:cs="Times New Roman"/>
          <w:b w:val="0"/>
          <w:bCs w:val="0"/>
          <w:color w:val="000000" w:themeColor="text1"/>
          <w:sz w:val="32"/>
          <w:szCs w:val="32"/>
          <w14:textFill>
            <w14:solidFill>
              <w14:schemeClr w14:val="tx1"/>
            </w14:solidFill>
          </w14:textFill>
        </w:rPr>
      </w:pPr>
      <w:r>
        <w:rPr>
          <w:rFonts w:hint="eastAsia" w:ascii="仿宋_GB2312" w:hAnsi="宋体" w:eastAsia="仿宋_GB2312" w:cs="Times New Roman"/>
          <w:b w:val="0"/>
          <w:bCs w:val="0"/>
          <w:color w:val="000000" w:themeColor="text1"/>
          <w:sz w:val="32"/>
          <w:szCs w:val="32"/>
          <w14:textFill>
            <w14:solidFill>
              <w14:schemeClr w14:val="tx1"/>
            </w14:solidFill>
          </w14:textFill>
        </w:rPr>
        <w:t>通过项目实施，保障了企业军转干部医疗及时享受待遇，减轻了企业军转干部的经济压力和生活压力，既是对企业军转干部贡献价值的肯定，更是时代背景下的现实需求的满足。该项目得</w:t>
      </w:r>
      <w:r>
        <w:rPr>
          <w:rFonts w:hint="eastAsia" w:ascii="仿宋_GB2312" w:hAnsi="宋体" w:eastAsia="仿宋_GB2312" w:cs="Times New Roman"/>
          <w:b w:val="0"/>
          <w:bCs w:val="0"/>
          <w:color w:val="000000" w:themeColor="text1"/>
          <w:sz w:val="32"/>
          <w:szCs w:val="32"/>
          <w:lang w:val="en-US" w:eastAsia="zh-CN"/>
          <w14:textFill>
            <w14:solidFill>
              <w14:schemeClr w14:val="tx1"/>
            </w14:solidFill>
          </w14:textFill>
        </w:rPr>
        <w:t>99.75</w:t>
      </w:r>
      <w:r>
        <w:rPr>
          <w:rFonts w:hint="eastAsia" w:ascii="仿宋_GB2312" w:hAnsi="宋体" w:eastAsia="仿宋_GB2312" w:cs="Times New Roman"/>
          <w:b w:val="0"/>
          <w:bCs w:val="0"/>
          <w:color w:val="000000" w:themeColor="text1"/>
          <w:sz w:val="32"/>
          <w:szCs w:val="32"/>
          <w14:textFill>
            <w14:solidFill>
              <w14:schemeClr w14:val="tx1"/>
            </w14:solidFill>
          </w14:textFill>
        </w:rPr>
        <w:t>分。</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en-US" w:eastAsia="zh-CN" w:bidi="ar-SA"/>
          <w14:textFill>
            <w14:solidFill>
              <w14:schemeClr w14:val="tx1"/>
            </w14:solidFill>
          </w14:textFill>
        </w:rPr>
        <w:t>五、存在主要问题</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黑体" w:hAnsi="宋体" w:eastAsia="黑体" w:cs="Times New Roman"/>
          <w:b w:val="0"/>
          <w:bCs w:val="0"/>
          <w:color w:val="000000" w:themeColor="text1"/>
          <w:kern w:val="0"/>
          <w:position w:val="3"/>
          <w:sz w:val="32"/>
          <w:szCs w:val="32"/>
          <w:highlight w:val="none"/>
          <w:u w:val="none"/>
          <w:lang w:val="zh-CN" w:eastAsia="zh-CN" w:bidi="ar-SA"/>
          <w14:textFill>
            <w14:solidFill>
              <w14:schemeClr w14:val="tx1"/>
            </w14:solidFill>
          </w14:textFill>
        </w:rPr>
      </w:pPr>
      <w:r>
        <w:rPr>
          <w:rFonts w:hint="eastAsia" w:ascii="黑体" w:hAnsi="宋体" w:eastAsia="黑体" w:cs="Times New Roman"/>
          <w:b w:val="0"/>
          <w:bCs w:val="0"/>
          <w:color w:val="000000" w:themeColor="text1"/>
          <w:kern w:val="0"/>
          <w:position w:val="3"/>
          <w:sz w:val="32"/>
          <w:szCs w:val="32"/>
          <w:highlight w:val="none"/>
          <w:u w:val="none"/>
          <w:lang w:val="zh-CN" w:eastAsia="zh-CN" w:bidi="ar-SA"/>
          <w14:textFill>
            <w14:solidFill>
              <w14:schemeClr w14:val="tx1"/>
            </w14:solidFill>
          </w14:textFill>
        </w:rPr>
        <w:t>六、改进建议</w:t>
      </w:r>
    </w:p>
    <w:p>
      <w:pPr>
        <w:keepNext w:val="0"/>
        <w:keepLines w:val="0"/>
        <w:pageBreakBefore w:val="0"/>
        <w:widowControl/>
        <w:numPr>
          <w:ilvl w:val="0"/>
          <w:numId w:val="0"/>
        </w:numPr>
        <w:kinsoku/>
        <w:wordWrap/>
        <w:overflowPunct/>
        <w:topLinePunct w:val="0"/>
        <w:autoSpaceDE/>
        <w:autoSpaceDN/>
        <w:bidi w:val="0"/>
        <w:adjustRightInd/>
        <w:spacing w:after="0" w:line="576" w:lineRule="exact"/>
        <w:ind w:firstLine="640" w:firstLineChars="200"/>
        <w:jc w:val="left"/>
        <w:textAlignment w:val="auto"/>
        <w:rPr>
          <w:rFonts w:hint="eastAsia" w:ascii="仿宋_GB2312" w:hAnsi="仿宋_GB2312" w:eastAsia="仿宋_GB2312" w:cs="仿宋_GB2312"/>
          <w:b w:val="0"/>
          <w:bCs w:val="0"/>
          <w:color w:val="000000" w:themeColor="text1"/>
          <w:kern w:val="0"/>
          <w:position w:val="0"/>
          <w:sz w:val="32"/>
          <w:szCs w:val="32"/>
          <w:highlight w:val="none"/>
          <w:lang w:val="en"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t>无</w:t>
      </w:r>
      <w:r>
        <w:rPr>
          <w:rFonts w:hint="eastAsia" w:ascii="仿宋_GB2312" w:hAnsi="仿宋_GB2312" w:eastAsia="黑体" w:cs="仿宋_GB2312"/>
          <w:b w:val="0"/>
          <w:bCs w:val="0"/>
          <w:color w:val="000000" w:themeColor="text1"/>
          <w:kern w:val="0"/>
          <w:position w:val="0"/>
          <w:sz w:val="32"/>
          <w:szCs w:val="32"/>
          <w:highlight w:val="none"/>
          <w:lang w:val="en-US" w:eastAsia="zh-CN" w:bidi="ar-SA"/>
          <w14:textFill>
            <w14:solidFill>
              <w14:schemeClr w14:val="tx1"/>
            </w14:solidFill>
          </w14:textFill>
        </w:rPr>
        <w:t>。</w:t>
      </w: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pStyle w:val="2"/>
        <w:rPr>
          <w:rFonts w:hint="eastAsia" w:ascii="黑体" w:hAnsi="黑体" w:eastAsia="黑体" w:cs="黑体"/>
          <w:color w:val="000000" w:themeColor="text1"/>
          <w:sz w:val="32"/>
          <w:szCs w:val="32"/>
          <w14:textFill>
            <w14:solidFill>
              <w14:schemeClr w14:val="tx1"/>
            </w14:solidFill>
          </w14:textFill>
        </w:rPr>
      </w:pPr>
    </w:p>
    <w:p>
      <w:pPr>
        <w:rPr>
          <w:rFonts w:hint="eastAsia" w:ascii="黑体" w:hAnsi="黑体" w:eastAsia="黑体" w:cs="黑体"/>
          <w:color w:val="000000" w:themeColor="text1"/>
          <w:sz w:val="32"/>
          <w:szCs w:val="32"/>
          <w14:textFill>
            <w14:solidFill>
              <w14:schemeClr w14:val="tx1"/>
            </w14:solidFill>
          </w14:textFill>
        </w:rPr>
      </w:pPr>
    </w:p>
    <w:p>
      <w:pPr>
        <w:pStyle w:val="2"/>
        <w:rPr>
          <w:rFonts w:hint="eastAsia"/>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r>
        <w:rPr>
          <w:rFonts w:ascii="黑体" w:hAnsi="黑体" w:eastAsia="黑体" w:cs="黑体"/>
          <w:color w:val="000000" w:themeColor="text1"/>
          <w:sz w:val="32"/>
          <w:szCs w:val="32"/>
          <w14:textFill>
            <w14:solidFill>
              <w14:schemeClr w14:val="tx1"/>
            </w14:solidFill>
          </w14:textFill>
        </w:rPr>
        <w:t>2-5</w:t>
      </w:r>
    </w:p>
    <w:p>
      <w:pPr>
        <w:pStyle w:val="42"/>
        <w:spacing w:line="578" w:lineRule="exact"/>
        <w:ind w:firstLine="440" w:firstLineChars="100"/>
        <w:jc w:val="center"/>
        <w:rPr>
          <w:rFonts w:ascii="方正小标宋简体" w:hAnsi="方正小标宋简体" w:eastAsia="方正小标宋简体" w:cs="方正小标宋简体"/>
          <w:color w:val="000000" w:themeColor="text1"/>
          <w:kern w:val="2"/>
          <w:sz w:val="44"/>
          <w:szCs w:val="44"/>
          <w:lang w:val="en-US"/>
          <w14:textFill>
            <w14:solidFill>
              <w14:schemeClr w14:val="tx1"/>
            </w14:solidFill>
          </w14:textFill>
        </w:rPr>
      </w:pPr>
    </w:p>
    <w:p>
      <w:pPr>
        <w:pStyle w:val="42"/>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t>专项预算项目绩效评价报告</w:t>
      </w:r>
    </w:p>
    <w:p>
      <w:pPr>
        <w:pStyle w:val="42"/>
        <w:keepNext w:val="0"/>
        <w:keepLines w:val="0"/>
        <w:pageBreakBefore w:val="0"/>
        <w:widowControl w:val="0"/>
        <w:kinsoku/>
        <w:wordWrap/>
        <w:overflowPunct/>
        <w:topLinePunct w:val="0"/>
        <w:autoSpaceDE/>
        <w:autoSpaceDN/>
        <w:bidi w:val="0"/>
        <w:spacing w:line="578" w:lineRule="exact"/>
        <w:jc w:val="both"/>
        <w:textAlignment w:val="auto"/>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2"/>
          <w:sz w:val="44"/>
          <w:szCs w:val="44"/>
          <w:highlight w:val="none"/>
          <w:lang w:val="en-US" w:eastAsia="zh-CN"/>
          <w14:textFill>
            <w14:solidFill>
              <w14:schemeClr w14:val="tx1"/>
            </w14:solidFill>
          </w14:textFill>
        </w:rPr>
        <w:t>（公开引进高层次人才安家补助和工作补助）</w:t>
      </w:r>
    </w:p>
    <w:p>
      <w:pPr>
        <w:keepNext w:val="0"/>
        <w:keepLines w:val="0"/>
        <w:pageBreakBefore w:val="0"/>
        <w:widowControl w:val="0"/>
        <w:kinsoku/>
        <w:wordWrap/>
        <w:overflowPunct/>
        <w:topLinePunct w:val="0"/>
        <w:autoSpaceDE/>
        <w:autoSpaceDN/>
        <w:bidi w:val="0"/>
        <w:adjustRightInd w:val="0"/>
        <w:snapToGrid w:val="0"/>
        <w:spacing w:line="576" w:lineRule="exact"/>
        <w:ind w:firstLine="420" w:firstLineChars="200"/>
        <w:textAlignment w:val="auto"/>
        <w:rPr>
          <w:rFonts w:hint="default" w:ascii="Times New Roman" w:hAnsi="Times New Roman" w:eastAsia="黑体" w:cs="Times New Roman"/>
          <w:b w:val="0"/>
          <w:bCs w:val="0"/>
          <w:color w:val="000000" w:themeColor="text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pacing w:val="0"/>
          <w:sz w:val="32"/>
          <w:szCs w:val="32"/>
          <w:highlight w:val="none"/>
          <w:lang w:val="zh-CN"/>
          <w14:textFill>
            <w14:solidFill>
              <w14:schemeClr w14:val="tx1"/>
            </w14:solidFill>
          </w14:textFill>
        </w:rPr>
      </w:pPr>
      <w:r>
        <w:rPr>
          <w:rFonts w:hint="eastAsia" w:ascii="黑体" w:hAnsi="黑体" w:eastAsia="黑体" w:cs="黑体"/>
          <w:b w:val="0"/>
          <w:bCs w:val="0"/>
          <w:color w:val="000000" w:themeColor="text1"/>
          <w:spacing w:val="0"/>
          <w:sz w:val="32"/>
          <w:szCs w:val="32"/>
          <w:highlight w:val="none"/>
          <w14:textFill>
            <w14:solidFill>
              <w14:schemeClr w14:val="tx1"/>
            </w14:solidFill>
          </w14:textFill>
        </w:rPr>
        <w:t>一、</w:t>
      </w:r>
      <w:r>
        <w:rPr>
          <w:rFonts w:hint="eastAsia" w:ascii="黑体" w:hAnsi="黑体" w:eastAsia="黑体" w:cs="黑体"/>
          <w:b w:val="0"/>
          <w:bCs w:val="0"/>
          <w:color w:val="000000" w:themeColor="text1"/>
          <w:spacing w:val="0"/>
          <w:sz w:val="32"/>
          <w:szCs w:val="32"/>
          <w:highlight w:val="none"/>
          <w:lang w:val="zh-CN"/>
          <w14:textFill>
            <w14:solidFill>
              <w14:schemeClr w14:val="tx1"/>
            </w14:solidFill>
          </w14:textFill>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pacing w:val="0"/>
          <w:sz w:val="32"/>
          <w:szCs w:val="32"/>
          <w:highlight w:val="none"/>
          <w:u w:val="none"/>
          <w:lang w:val="zh-CN"/>
          <w14:textFill>
            <w14:solidFill>
              <w14:schemeClr w14:val="tx1"/>
            </w14:solidFill>
          </w14:textFill>
        </w:rPr>
        <w:t>（一）设立背景及基本情况。</w:t>
      </w:r>
      <w:r>
        <w:rPr>
          <w:rFonts w:hint="eastAsia" w:ascii="仿宋_GB2312" w:hAnsi="仿宋_GB2312" w:eastAsia="仿宋_GB2312" w:cs="仿宋_GB2312"/>
          <w:b w:val="0"/>
          <w:bCs w:val="0"/>
          <w:i w:val="0"/>
          <w:iCs w:val="0"/>
          <w:caps w:val="0"/>
          <w:color w:val="000000" w:themeColor="text1"/>
          <w:spacing w:val="0"/>
          <w:kern w:val="0"/>
          <w:sz w:val="32"/>
          <w:szCs w:val="32"/>
          <w:shd w:val="clear" w:color="auto" w:fill="FFFFFF"/>
          <w:lang w:val="en-US" w:eastAsia="zh-CN" w:bidi="ar"/>
          <w14:textFill>
            <w14:solidFill>
              <w14:schemeClr w14:val="tx1"/>
            </w14:solidFill>
          </w14:textFill>
        </w:rPr>
        <w:t>为深入实施人才强市战略,优化人才队伍结构,加快建设川陕甘结合部绿色产业人才集聚地，助推经济社会高质量发展，广元市开展公开引进高层次人才工作。市医保局积极响应政策，截至2024年底，有高层次和急需紧缺人才2名（其中：2024年新引进1名）。人才引进工作由市委组织部（市委人才办）、市人力资源社会保障局组织实施，市医保局负责本单位人才引进相关事宜。本项目资金主要用于发放引进人才的安家补助和工作补助。</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14:textFill>
            <w14:solidFill>
              <w14:schemeClr w14:val="tx1"/>
            </w14:solidFill>
          </w14:textFill>
        </w:rPr>
        <w:t>市医保局主要职能是完善统一的城乡居民基本医疗保险制度和大病保险制度，不断提高医疗保障水平，建立健全覆盖全民、城乡统筹的多层次医疗保障体系，确保医保资金合理使用、安全可控，推进医疗、医保、医药“三医联动”改革，更好保障人民群众就医需求、减轻医药费用负担。</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spacing w:val="0"/>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val="0"/>
          <w:bCs w:val="0"/>
          <w:color w:val="000000" w:themeColor="text1"/>
          <w:spacing w:val="0"/>
          <w:sz w:val="32"/>
          <w:szCs w:val="32"/>
          <w:highlight w:val="none"/>
          <w:u w:val="none"/>
          <w:lang w:val="zh-CN"/>
          <w14:textFill>
            <w14:solidFill>
              <w14:schemeClr w14:val="tx1"/>
            </w14:solidFill>
          </w14:textFill>
        </w:rPr>
        <w:t>（二）</w:t>
      </w:r>
      <w:r>
        <w:rPr>
          <w:rFonts w:hint="eastAsia" w:ascii="楷体_GB2312" w:hAnsi="楷体_GB2312" w:eastAsia="楷体_GB2312" w:cs="楷体_GB2312"/>
          <w:b w:val="0"/>
          <w:bCs w:val="0"/>
          <w:color w:val="000000" w:themeColor="text1"/>
          <w:spacing w:val="0"/>
          <w:sz w:val="32"/>
          <w:szCs w:val="32"/>
          <w:highlight w:val="none"/>
          <w:u w:val="none"/>
          <w:lang w:val="en-US" w:eastAsia="zh-CN"/>
          <w14:textFill>
            <w14:solidFill>
              <w14:schemeClr w14:val="tx1"/>
            </w14:solidFill>
          </w14:textFill>
        </w:rPr>
        <w:t>实施目的及支持方向。</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14:textFill>
            <w14:solidFill>
              <w14:schemeClr w14:val="tx1"/>
            </w14:solidFill>
          </w14:textFill>
        </w:rPr>
        <w:t>为吸引和留住高层次人才，为医保事业发展提供人才支撑。严格执行《广元市急需紧缺人才引进实施办法》《广元市市级人才专项资金管理办法》等文件精神，按规定为引进的高层次人才及时、准确发放安家补助和工作补助。</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pacing w:val="0"/>
          <w:sz w:val="32"/>
          <w:szCs w:val="32"/>
          <w:highlight w:val="none"/>
          <w:u w:val="none"/>
          <w:lang w:val="zh-CN" w:eastAsia="zh-CN"/>
          <w14:textFill>
            <w14:solidFill>
              <w14:schemeClr w14:val="tx1"/>
            </w14:solidFill>
          </w14:textFill>
        </w:rPr>
        <w:t>（三）</w:t>
      </w:r>
      <w:r>
        <w:rPr>
          <w:rFonts w:hint="eastAsia" w:ascii="楷体_GB2312" w:hAnsi="楷体_GB2312" w:eastAsia="楷体_GB2312" w:cs="楷体_GB2312"/>
          <w:b w:val="0"/>
          <w:bCs w:val="0"/>
          <w:color w:val="000000" w:themeColor="text1"/>
          <w:spacing w:val="0"/>
          <w:sz w:val="32"/>
          <w:szCs w:val="32"/>
          <w:highlight w:val="none"/>
          <w:u w:val="none"/>
          <w:lang w:val="en-US" w:eastAsia="zh-CN"/>
          <w14:textFill>
            <w14:solidFill>
              <w14:schemeClr w14:val="tx1"/>
            </w14:solidFill>
          </w14:textFill>
        </w:rPr>
        <w:t>预算安排及分配管理</w:t>
      </w:r>
      <w:r>
        <w:rPr>
          <w:rFonts w:hint="eastAsia" w:ascii="楷体_GB2312" w:hAnsi="楷体_GB2312" w:eastAsia="楷体_GB2312" w:cs="楷体_GB2312"/>
          <w:b w:val="0"/>
          <w:bCs w:val="0"/>
          <w:color w:val="000000" w:themeColor="text1"/>
          <w:spacing w:val="0"/>
          <w:sz w:val="32"/>
          <w:szCs w:val="32"/>
          <w:highlight w:val="none"/>
          <w:u w:val="none"/>
          <w:lang w:val="zh-CN" w:eastAsia="zh-CN"/>
          <w14:textFill>
            <w14:solidFill>
              <w14:schemeClr w14:val="tx1"/>
            </w14:solidFill>
          </w14:textFill>
        </w:rPr>
        <w:t>。</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14:textFill>
            <w14:solidFill>
              <w14:schemeClr w14:val="tx1"/>
            </w14:solidFill>
          </w14:textFill>
        </w:rPr>
        <w:t>本项目预算安排根据引进人才的数量、层次及相关政策标准确定。预算金额</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14:textFill>
            <w14:solidFill>
              <w14:schemeClr w14:val="tx1"/>
            </w14:solidFill>
          </w14:textFill>
        </w:rPr>
        <w:t>9.5</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14:textFill>
            <w14:solidFill>
              <w14:schemeClr w14:val="tx1"/>
            </w14:solidFill>
          </w14:textFill>
        </w:rPr>
        <w:t>万元，其中安家补助</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14:textFill>
            <w14:solidFill>
              <w14:schemeClr w14:val="tx1"/>
            </w14:solidFill>
          </w14:textFill>
        </w:rPr>
        <w:t>8</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14:textFill>
            <w14:solidFill>
              <w14:schemeClr w14:val="tx1"/>
            </w14:solidFill>
          </w14:textFill>
        </w:rPr>
        <w:t>万元，工作补助</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14:textFill>
            <w14:solidFill>
              <w14:schemeClr w14:val="tx1"/>
            </w14:solidFill>
          </w14:textFill>
        </w:rPr>
        <w:t>1.5</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14:textFill>
            <w14:solidFill>
              <w14:schemeClr w14:val="tx1"/>
            </w14:solidFill>
          </w14:textFill>
        </w:rPr>
        <w:t>万元。资金分配原则是根据政策规定、人才学历等方面确定补助标准，考虑因素为人才层次对医保工作的潜在贡献。</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14:textFill>
            <w14:solidFill>
              <w14:schemeClr w14:val="tx1"/>
            </w14:solidFill>
          </w14:textFill>
        </w:rPr>
        <w:t>2名引进人才中，1名为往年引进人才，工作补助标准为每月500元，2023-2024年共计发放1.2万元；1名为2024年新引进人才，安家补助为8万元，工作补助标准为每月500元，共计发放0.3万元。</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（四）项目绩效目标设置。</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成功引进符合岗位要求的高层次人才，按时足额发放安家补助和工作补助，提升人才满意度，促进医保业务高质量发展。引进人才对补助发放满意度</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100%</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pacing w:val="0"/>
          <w:sz w:val="32"/>
          <w:szCs w:val="32"/>
          <w:highlight w:val="none"/>
          <w:lang w:eastAsia="zh-CN"/>
          <w14:textFill>
            <w14:solidFill>
              <w14:schemeClr w14:val="tx1"/>
            </w14:solidFill>
          </w14:textFill>
        </w:rPr>
      </w:pPr>
      <w:r>
        <w:rPr>
          <w:rFonts w:hint="eastAsia" w:ascii="黑体" w:hAnsi="黑体" w:eastAsia="黑体" w:cs="黑体"/>
          <w:b w:val="0"/>
          <w:bCs w:val="0"/>
          <w:color w:val="000000" w:themeColor="text1"/>
          <w:spacing w:val="0"/>
          <w:sz w:val="32"/>
          <w:szCs w:val="32"/>
          <w:highlight w:val="none"/>
          <w14:textFill>
            <w14:solidFill>
              <w14:schemeClr w14:val="tx1"/>
            </w14:solidFill>
          </w14:textFill>
        </w:rPr>
        <w:t>二、</w:t>
      </w:r>
      <w:r>
        <w:rPr>
          <w:rFonts w:hint="eastAsia" w:ascii="黑体" w:hAnsi="黑体" w:eastAsia="黑体" w:cs="黑体"/>
          <w:b w:val="0"/>
          <w:bCs w:val="0"/>
          <w:color w:val="000000" w:themeColor="text1"/>
          <w:spacing w:val="0"/>
          <w:sz w:val="32"/>
          <w:szCs w:val="32"/>
          <w:highlight w:val="none"/>
          <w:lang w:eastAsia="zh-CN"/>
          <w14:textFill>
            <w14:solidFill>
              <w14:schemeClr w14:val="tx1"/>
            </w14:solidFill>
          </w14:textFill>
        </w:rPr>
        <w:t>评价实施</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（一）评价目的。</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了解安家补助和工作补助资金使用的合规性、有效性，提高资金使用效益和人才引进质量。</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（二）预设问题及评价重点。</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预设问题为资金是否及时足额发放、引进人才是否符合岗位需求、补助标准是否合理等。评价重点为资金支出使用全过程及其实施效果。</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（三）评价选点。</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以整体作为评价。</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（四）评价方法。</w:t>
      </w:r>
      <w:r>
        <w:rPr>
          <w:rFonts w:hint="eastAsia" w:ascii="仿宋_GB2312" w:hAnsi="仿宋_GB2312" w:eastAsia="仿宋_GB2312" w:cs="仿宋_GB2312"/>
          <w:b w:val="0"/>
          <w:bCs w:val="0"/>
          <w:color w:val="000000" w:themeColor="text1"/>
          <w:spacing w:val="0"/>
          <w:sz w:val="32"/>
          <w:szCs w:val="32"/>
          <w:lang w:val="zh-CN"/>
          <w14:textFill>
            <w14:solidFill>
              <w14:schemeClr w14:val="tx1"/>
            </w14:solidFill>
          </w14:textFill>
        </w:rPr>
        <w:t>项目绩效自评按市财政局要求，部门决算后在规定时间内按规定内容进行自评。</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sz w:val="32"/>
          <w:szCs w:val="32"/>
          <w:lang w:val="zh-CN" w:eastAsia="zh-CN"/>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（五）评价组织。</w:t>
      </w:r>
      <w:r>
        <w:rPr>
          <w:rFonts w:hint="eastAsia" w:ascii="仿宋_GB2312" w:hAnsi="仿宋_GB2312" w:eastAsia="仿宋_GB2312" w:cs="仿宋_GB2312"/>
          <w:b w:val="0"/>
          <w:bCs w:val="0"/>
          <w:color w:val="000000" w:themeColor="text1"/>
          <w:spacing w:val="0"/>
          <w:sz w:val="32"/>
          <w:szCs w:val="32"/>
          <w:lang w:val="en-US" w:eastAsia="zh-CN"/>
          <w14:textFill>
            <w14:solidFill>
              <w14:schemeClr w14:val="tx1"/>
            </w14:solidFill>
          </w14:textFill>
        </w:rPr>
        <w:t>我单位</w:t>
      </w:r>
      <w:r>
        <w:rPr>
          <w:rFonts w:hint="eastAsia" w:ascii="仿宋_GB2312" w:hAnsi="仿宋_GB2312" w:eastAsia="仿宋_GB2312" w:cs="仿宋_GB2312"/>
          <w:b w:val="0"/>
          <w:bCs w:val="0"/>
          <w:color w:val="000000" w:themeColor="text1"/>
          <w:spacing w:val="0"/>
          <w:sz w:val="32"/>
          <w:szCs w:val="32"/>
          <w:lang w:val="zh-CN" w:eastAsia="zh-CN"/>
          <w14:textFill>
            <w14:solidFill>
              <w14:schemeClr w14:val="tx1"/>
            </w14:solidFill>
          </w14:textFill>
        </w:rPr>
        <w:t>高度重视</w:t>
      </w:r>
      <w:r>
        <w:rPr>
          <w:rFonts w:hint="eastAsia" w:ascii="仿宋_GB2312" w:hAnsi="仿宋_GB2312" w:eastAsia="仿宋_GB2312" w:cs="仿宋_GB2312"/>
          <w:b w:val="0"/>
          <w:bCs w:val="0"/>
          <w:color w:val="000000" w:themeColor="text1"/>
          <w:spacing w:val="0"/>
          <w:sz w:val="32"/>
          <w:szCs w:val="32"/>
          <w:lang w:val="zh-CN"/>
          <w14:textFill>
            <w14:solidFill>
              <w14:schemeClr w14:val="tx1"/>
            </w14:solidFill>
          </w14:textFill>
        </w:rPr>
        <w:t>绩效评价工作，</w:t>
      </w:r>
      <w:r>
        <w:rPr>
          <w:rFonts w:hint="eastAsia" w:ascii="仿宋_GB2312" w:hAnsi="仿宋_GB2312" w:eastAsia="仿宋_GB2312" w:cs="仿宋_GB2312"/>
          <w:b w:val="0"/>
          <w:bCs w:val="0"/>
          <w:color w:val="000000" w:themeColor="text1"/>
          <w:spacing w:val="0"/>
          <w:sz w:val="32"/>
          <w:szCs w:val="32"/>
          <w:lang w:val="zh-CN" w:eastAsia="zh-CN"/>
          <w14:textFill>
            <w14:solidFill>
              <w14:schemeClr w14:val="tx1"/>
            </w14:solidFill>
          </w14:textFill>
        </w:rPr>
        <w:t>落实专人负责，全面对标评价指标，逐项分析，确保评价客观、科学、准确，为今后的项目实施提供参考，</w:t>
      </w:r>
      <w:r>
        <w:rPr>
          <w:rFonts w:hint="eastAsia" w:ascii="仿宋_GB2312" w:hAnsi="仿宋_GB2312" w:eastAsia="仿宋_GB2312" w:cs="仿宋_GB2312"/>
          <w:b w:val="0"/>
          <w:bCs w:val="0"/>
          <w:color w:val="000000" w:themeColor="text1"/>
          <w:spacing w:val="0"/>
          <w:sz w:val="32"/>
          <w:szCs w:val="32"/>
          <w:lang w:val="zh-CN"/>
          <w14:textFill>
            <w14:solidFill>
              <w14:schemeClr w14:val="tx1"/>
            </w14:solidFill>
          </w14:textFill>
        </w:rPr>
        <w:t>提高财政资金使用效率</w:t>
      </w:r>
      <w:r>
        <w:rPr>
          <w:rFonts w:hint="eastAsia" w:ascii="仿宋_GB2312" w:hAnsi="仿宋_GB2312" w:eastAsia="仿宋_GB2312" w:cs="仿宋_GB2312"/>
          <w:b w:val="0"/>
          <w:bCs w:val="0"/>
          <w:color w:val="000000" w:themeColor="text1"/>
          <w:spacing w:val="0"/>
          <w:sz w:val="32"/>
          <w:szCs w:val="32"/>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pacing w:val="0"/>
          <w:sz w:val="32"/>
          <w:szCs w:val="32"/>
          <w:highlight w:val="none"/>
          <w:lang w:val="zh-CN" w:eastAsia="zh-CN"/>
          <w14:textFill>
            <w14:solidFill>
              <w14:schemeClr w14:val="tx1"/>
            </w14:solidFill>
          </w14:textFill>
        </w:rPr>
      </w:pPr>
      <w:r>
        <w:rPr>
          <w:rFonts w:hint="eastAsia" w:ascii="黑体" w:hAnsi="黑体" w:eastAsia="黑体" w:cs="黑体"/>
          <w:b w:val="0"/>
          <w:bCs w:val="0"/>
          <w:color w:val="000000" w:themeColor="text1"/>
          <w:spacing w:val="0"/>
          <w:sz w:val="32"/>
          <w:szCs w:val="32"/>
          <w:highlight w:val="none"/>
          <w:lang w:val="zh-CN" w:eastAsia="zh-CN"/>
          <w14:textFill>
            <w14:solidFill>
              <w14:schemeClr w14:val="tx1"/>
            </w14:solidFill>
          </w14:textFill>
        </w:rPr>
        <w:t>三、绩效分析</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（一）通用指标绩效分析</w:t>
      </w:r>
    </w:p>
    <w:p>
      <w:pPr>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1.</w:t>
      </w:r>
      <w:r>
        <w:rPr>
          <w:rFonts w:hint="default"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 xml:space="preserve"> </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项目决策</w:t>
      </w:r>
      <w:r>
        <w:rPr>
          <w:rFonts w:hint="eastAsia" w:ascii="仿宋_GB2312" w:hAnsi="仿宋_GB2312" w:eastAsia="仿宋_GB2312" w:cs="仿宋_GB2312"/>
          <w:b w:val="0"/>
          <w:bCs w:val="0"/>
          <w:color w:val="000000" w:themeColor="text1"/>
          <w:spacing w:val="0"/>
          <w:sz w:val="32"/>
          <w:szCs w:val="32"/>
          <w:lang w:val="en-US" w:eastAsia="zh-CN"/>
          <w14:textFill>
            <w14:solidFill>
              <w14:schemeClr w14:val="tx1"/>
            </w14:solidFill>
          </w14:textFill>
        </w:rPr>
        <w:t>（自评得18分）</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：决策程序规范，根据全市人才引进政策和市医保局岗位需求制定引进计划。规划论证充分，对所需人才的专业、技能等进行详细分析。资金投向明确，用于引进人才的安家补助和工作补助。</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2.</w:t>
      </w:r>
      <w:r>
        <w:rPr>
          <w:rFonts w:hint="default"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 xml:space="preserve"> </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项目管理</w:t>
      </w:r>
      <w:r>
        <w:rPr>
          <w:rFonts w:hint="eastAsia" w:ascii="仿宋_GB2312" w:hAnsi="仿宋_GB2312" w:eastAsia="仿宋_GB2312" w:cs="仿宋_GB2312"/>
          <w:b w:val="0"/>
          <w:bCs w:val="0"/>
          <w:color w:val="000000" w:themeColor="text1"/>
          <w:spacing w:val="0"/>
          <w:sz w:val="32"/>
          <w:szCs w:val="32"/>
          <w:lang w:val="en-US" w:eastAsia="zh-CN"/>
          <w14:textFill>
            <w14:solidFill>
              <w14:schemeClr w14:val="tx1"/>
            </w14:solidFill>
          </w14:textFill>
        </w:rPr>
        <w:t>（自评得18分）</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我单位</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资金管</w:t>
      </w:r>
      <w:r>
        <w:rPr>
          <w:rFonts w:hint="eastAsia" w:ascii="仿宋_GB2312" w:hAnsi="仿宋_GB2312" w:eastAsia="仿宋_GB2312" w:cs="仿宋_GB2312"/>
          <w:b w:val="0"/>
          <w:bCs w:val="0"/>
          <w:color w:val="000000" w:themeColor="text1"/>
          <w:spacing w:val="0"/>
          <w:sz w:val="32"/>
          <w:szCs w:val="32"/>
          <w:lang w:eastAsia="zh-CN"/>
          <w14:textFill>
            <w14:solidFill>
              <w14:schemeClr w14:val="tx1"/>
            </w14:solidFill>
          </w14:textFill>
        </w:rPr>
        <w:t>理体系完善，不存在管理制度缺失、管理办法过期情况，</w:t>
      </w:r>
      <w:r>
        <w:rPr>
          <w:rFonts w:hint="eastAsia" w:ascii="仿宋_GB2312" w:hAnsi="仿宋_GB2312" w:eastAsia="仿宋_GB2312" w:cs="仿宋_GB2312"/>
          <w:b w:val="0"/>
          <w:bCs w:val="0"/>
          <w:color w:val="000000" w:themeColor="text1"/>
          <w:spacing w:val="0"/>
          <w:sz w:val="32"/>
          <w:szCs w:val="32"/>
          <w:lang w:val="zh-CN"/>
          <w14:textFill>
            <w14:solidFill>
              <w14:schemeClr w14:val="tx1"/>
            </w14:solidFill>
          </w14:textFill>
        </w:rPr>
        <w:t>对引进人才安家补助和工作补助，</w:t>
      </w:r>
      <w:r>
        <w:rPr>
          <w:rFonts w:hint="eastAsia" w:ascii="仿宋_GB2312" w:hAnsi="仿宋_GB2312" w:eastAsia="仿宋_GB2312" w:cs="仿宋_GB2312"/>
          <w:b w:val="0"/>
          <w:bCs w:val="0"/>
          <w:color w:val="000000" w:themeColor="text1"/>
          <w:spacing w:val="0"/>
          <w:sz w:val="32"/>
          <w:szCs w:val="32"/>
          <w:lang w:val="en-US" w:eastAsia="zh-CN"/>
          <w14:textFill>
            <w14:solidFill>
              <w14:schemeClr w14:val="tx1"/>
            </w14:solidFill>
          </w14:textFill>
        </w:rPr>
        <w:t>实行</w:t>
      </w:r>
      <w:r>
        <w:rPr>
          <w:rFonts w:hint="eastAsia" w:ascii="仿宋_GB2312" w:hAnsi="仿宋_GB2312" w:eastAsia="仿宋_GB2312" w:cs="仿宋_GB2312"/>
          <w:b w:val="0"/>
          <w:bCs w:val="0"/>
          <w:color w:val="000000" w:themeColor="text1"/>
          <w:spacing w:val="0"/>
          <w:sz w:val="32"/>
          <w:szCs w:val="32"/>
          <w:lang w:val="zh-CN"/>
          <w14:textFill>
            <w14:solidFill>
              <w14:schemeClr w14:val="tx1"/>
            </w14:solidFill>
          </w14:textFill>
        </w:rPr>
        <w:t>专款专用</w:t>
      </w:r>
      <w:r>
        <w:rPr>
          <w:rFonts w:hint="eastAsia" w:ascii="仿宋_GB2312" w:hAnsi="仿宋_GB2312" w:eastAsia="仿宋_GB2312" w:cs="仿宋_GB2312"/>
          <w:b w:val="0"/>
          <w:bCs w:val="0"/>
          <w:color w:val="000000" w:themeColor="text1"/>
          <w:spacing w:val="0"/>
          <w:sz w:val="32"/>
          <w:szCs w:val="32"/>
          <w:lang w:val="zh-CN" w:eastAsia="zh-CN"/>
          <w14:textFill>
            <w14:solidFill>
              <w14:schemeClr w14:val="tx1"/>
            </w14:solidFill>
          </w14:textFill>
        </w:rPr>
        <w:t>，</w:t>
      </w:r>
      <w:r>
        <w:rPr>
          <w:rFonts w:hint="eastAsia" w:ascii="仿宋_GB2312" w:hAnsi="仿宋_GB2312" w:eastAsia="仿宋_GB2312" w:cs="仿宋_GB2312"/>
          <w:b w:val="0"/>
          <w:bCs w:val="0"/>
          <w:color w:val="000000" w:themeColor="text1"/>
          <w:spacing w:val="0"/>
          <w:sz w:val="32"/>
          <w:szCs w:val="32"/>
          <w:lang w:val="en-US" w:eastAsia="zh-CN"/>
          <w14:textFill>
            <w14:solidFill>
              <w14:schemeClr w14:val="tx1"/>
            </w14:solidFill>
          </w14:textFill>
        </w:rPr>
        <w:t>科学合理</w:t>
      </w:r>
      <w:r>
        <w:rPr>
          <w:rFonts w:hint="eastAsia" w:ascii="仿宋_GB2312" w:hAnsi="仿宋_GB2312" w:eastAsia="仿宋_GB2312" w:cs="仿宋_GB2312"/>
          <w:b w:val="0"/>
          <w:bCs w:val="0"/>
          <w:color w:val="000000" w:themeColor="text1"/>
          <w:spacing w:val="0"/>
          <w:sz w:val="32"/>
          <w:szCs w:val="32"/>
          <w:lang w:val="zh-CN"/>
          <w14:textFill>
            <w14:solidFill>
              <w14:schemeClr w14:val="tx1"/>
            </w14:solidFill>
          </w14:textFill>
        </w:rPr>
        <w:t>设置可量化、可考核的绩效评价指标体系</w:t>
      </w:r>
      <w:r>
        <w:rPr>
          <w:rFonts w:hint="eastAsia" w:ascii="仿宋_GB2312" w:hAnsi="仿宋_GB2312" w:eastAsia="仿宋_GB2312" w:cs="仿宋_GB2312"/>
          <w:b w:val="0"/>
          <w:bCs w:val="0"/>
          <w:color w:val="000000" w:themeColor="text1"/>
          <w:spacing w:val="0"/>
          <w:sz w:val="32"/>
          <w:szCs w:val="32"/>
          <w:lang w:val="zh-CN" w:eastAsia="zh-CN"/>
          <w14:textFill>
            <w14:solidFill>
              <w14:schemeClr w14:val="tx1"/>
            </w14:solidFill>
          </w14:textFill>
        </w:rPr>
        <w:t>，</w:t>
      </w:r>
      <w:r>
        <w:rPr>
          <w:rFonts w:hint="eastAsia" w:ascii="仿宋_GB2312" w:hAnsi="仿宋_GB2312" w:eastAsia="仿宋_GB2312" w:cs="仿宋_GB2312"/>
          <w:b w:val="0"/>
          <w:bCs w:val="0"/>
          <w:color w:val="000000" w:themeColor="text1"/>
          <w:spacing w:val="0"/>
          <w:sz w:val="32"/>
          <w:szCs w:val="32"/>
          <w:lang w:val="zh-CN"/>
          <w14:textFill>
            <w14:solidFill>
              <w14:schemeClr w14:val="tx1"/>
            </w14:solidFill>
          </w14:textFill>
        </w:rPr>
        <w:t>全面开展绩效评价工作</w:t>
      </w:r>
      <w:r>
        <w:rPr>
          <w:rFonts w:hint="eastAsia" w:ascii="仿宋_GB2312" w:hAnsi="仿宋_GB2312" w:eastAsia="仿宋_GB2312" w:cs="仿宋_GB2312"/>
          <w:b w:val="0"/>
          <w:bCs w:val="0"/>
          <w:color w:val="000000" w:themeColor="text1"/>
          <w:spacing w:val="0"/>
          <w:sz w:val="32"/>
          <w:szCs w:val="32"/>
          <w:lang w:val="zh-CN" w:eastAsia="zh-CN"/>
          <w14:textFill>
            <w14:solidFill>
              <w14:schemeClr w14:val="tx1"/>
            </w14:solidFill>
          </w14:textFill>
        </w:rPr>
        <w:t>。</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3.</w:t>
      </w:r>
      <w:r>
        <w:rPr>
          <w:rFonts w:hint="default"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 xml:space="preserve"> </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项目实施</w:t>
      </w:r>
      <w:r>
        <w:rPr>
          <w:rFonts w:hint="eastAsia" w:ascii="仿宋_GB2312" w:hAnsi="仿宋_GB2312" w:eastAsia="仿宋_GB2312" w:cs="仿宋_GB2312"/>
          <w:b w:val="0"/>
          <w:bCs w:val="0"/>
          <w:color w:val="000000" w:themeColor="text1"/>
          <w:spacing w:val="0"/>
          <w:sz w:val="32"/>
          <w:szCs w:val="32"/>
          <w:lang w:val="en-US" w:eastAsia="zh-CN"/>
          <w14:textFill>
            <w14:solidFill>
              <w14:schemeClr w14:val="tx1"/>
            </w14:solidFill>
          </w14:textFill>
        </w:rPr>
        <w:t>（自评得9分）</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：预算执行率达到100%，按照规定时间和标准发放补助。资金使用合规，无截留、挪用等情况。</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4.</w:t>
      </w:r>
      <w:r>
        <w:rPr>
          <w:rFonts w:hint="default"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 xml:space="preserve"> </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项目结果</w:t>
      </w:r>
      <w:r>
        <w:rPr>
          <w:rFonts w:hint="eastAsia" w:ascii="仿宋_GB2312" w:hAnsi="仿宋_GB2312" w:eastAsia="仿宋_GB2312" w:cs="仿宋_GB2312"/>
          <w:b w:val="0"/>
          <w:bCs w:val="0"/>
          <w:color w:val="000000" w:themeColor="text1"/>
          <w:spacing w:val="0"/>
          <w:sz w:val="32"/>
          <w:szCs w:val="32"/>
          <w:lang w:val="en-US" w:eastAsia="zh-CN"/>
          <w14:textFill>
            <w14:solidFill>
              <w14:schemeClr w14:val="tx1"/>
            </w14:solidFill>
          </w14:textFill>
        </w:rPr>
        <w:t>（自评得9分）</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：本项目资金全年共支出</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9.5万</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元，支出进度为100%，主要用于支付引进人才的安家补助和工作补助。在项目执行过程中，严格按照政策标准执行，资金使用安全、规范、高效。</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（二）专用指标绩效分析。</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本项目属于行政运转类（自评得</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30</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分）。围绕用途合规性、程序合规性、标准合规性进行绩效分析。用途合规性方面，资金用于人才引进补助，符合项目用途；程序合规性方面，人才引进和补助发放程序符合相关政策和制度要求；标准合规性方面，补助标准按照政策规定执行。</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楷体_GB2312" w:hAnsi="楷体_GB2312" w:eastAsia="楷体_GB2312" w:cs="楷体_GB2312"/>
          <w:b w:val="0"/>
          <w:bCs w:val="0"/>
          <w:color w:val="000000" w:themeColor="text1"/>
          <w:spacing w:val="0"/>
          <w:kern w:val="2"/>
          <w:sz w:val="32"/>
          <w:szCs w:val="32"/>
          <w:highlight w:val="none"/>
          <w:u w:val="none"/>
          <w:lang w:val="zh-CN" w:eastAsia="zh-CN" w:bidi="ar-SA"/>
          <w14:textFill>
            <w14:solidFill>
              <w14:schemeClr w14:val="tx1"/>
            </w14:solidFill>
          </w14:textFill>
        </w:rPr>
        <w:t>（三）个性指标绩效分析。</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设置个性指标为“引进人才对医保业务创新的贡献”</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（自评得16分）</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，目前引进人才已在医保信息化建设等方面提出了建设性意见，开通医保线上购药服务，全市11家三级医疗机构上线医保移动支付，我市医保码推广经验在中国医疗保险杂志刊载，推动了业务创新。</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pacing w:val="0"/>
          <w:sz w:val="32"/>
          <w:szCs w:val="32"/>
          <w:highlight w:val="none"/>
          <w:lang w:val="zh-CN" w:eastAsia="zh-CN"/>
          <w14:textFill>
            <w14:solidFill>
              <w14:schemeClr w14:val="tx1"/>
            </w14:solidFill>
          </w14:textFill>
        </w:rPr>
      </w:pPr>
      <w:r>
        <w:rPr>
          <w:rFonts w:hint="eastAsia" w:ascii="黑体" w:hAnsi="黑体" w:eastAsia="黑体" w:cs="黑体"/>
          <w:b w:val="0"/>
          <w:bCs w:val="0"/>
          <w:color w:val="000000" w:themeColor="text1"/>
          <w:spacing w:val="0"/>
          <w:sz w:val="32"/>
          <w:szCs w:val="32"/>
          <w:highlight w:val="none"/>
          <w:lang w:val="zh-CN" w:eastAsia="zh-CN"/>
          <w14:textFill>
            <w14:solidFill>
              <w14:schemeClr w14:val="tx1"/>
            </w14:solidFill>
          </w14:textFill>
        </w:rPr>
        <w:t>四、评价结论</w:t>
      </w:r>
    </w:p>
    <w:p>
      <w:pPr>
        <w:pStyle w:val="42"/>
        <w:keepNext w:val="0"/>
        <w:keepLines w:val="0"/>
        <w:pageBreakBefore w:val="0"/>
        <w:widowControl w:val="0"/>
        <w:kinsoku/>
        <w:wordWrap/>
        <w:overflowPunct/>
        <w:topLinePunct w:val="0"/>
        <w:autoSpaceDE/>
        <w:autoSpaceDN/>
        <w:bidi w:val="0"/>
        <w:spacing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pP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本项目绩效自评总体结论为优秀，评价总分</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en-US" w:eastAsia="zh-CN" w:bidi="ar-SA"/>
          <w14:textFill>
            <w14:solidFill>
              <w14:schemeClr w14:val="tx1"/>
            </w14:solidFill>
          </w14:textFill>
        </w:rPr>
        <w:t>100</w:t>
      </w:r>
      <w:r>
        <w:rPr>
          <w:rFonts w:hint="eastAsia" w:ascii="仿宋_GB2312" w:hAnsi="仿宋_GB2312" w:eastAsia="仿宋_GB2312" w:cs="仿宋_GB2312"/>
          <w:b w:val="0"/>
          <w:bCs w:val="0"/>
          <w:color w:val="000000" w:themeColor="text1"/>
          <w:spacing w:val="0"/>
          <w:kern w:val="0"/>
          <w:sz w:val="32"/>
          <w:szCs w:val="32"/>
          <w:highlight w:val="none"/>
          <w:u w:val="none"/>
          <w:shd w:val="clear" w:color="auto" w:fill="FFFFFF"/>
          <w:lang w:val="zh-CN" w:eastAsia="zh-CN" w:bidi="ar-SA"/>
          <w14:textFill>
            <w14:solidFill>
              <w14:schemeClr w14:val="tx1"/>
            </w14:solidFill>
          </w14:textFill>
        </w:rPr>
        <w:t>分。项目实施过程规范，按时足额发放安家补助和工作补助，人才满意度高，对医保业务发展起到积极促进作用。</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pacing w:val="0"/>
          <w:sz w:val="32"/>
          <w:szCs w:val="32"/>
          <w:highlight w:val="none"/>
          <w:lang w:val="zh-CN" w:eastAsia="zh-CN"/>
          <w14:textFill>
            <w14:solidFill>
              <w14:schemeClr w14:val="tx1"/>
            </w14:solidFill>
          </w14:textFill>
        </w:rPr>
      </w:pPr>
      <w:r>
        <w:rPr>
          <w:rFonts w:hint="eastAsia" w:ascii="黑体" w:hAnsi="黑体" w:eastAsia="黑体" w:cs="黑体"/>
          <w:b w:val="0"/>
          <w:bCs w:val="0"/>
          <w:color w:val="000000" w:themeColor="text1"/>
          <w:spacing w:val="0"/>
          <w:sz w:val="32"/>
          <w:szCs w:val="32"/>
          <w:highlight w:val="none"/>
          <w:lang w:val="zh-CN" w:eastAsia="zh-CN"/>
          <w14:textFill>
            <w14:solidFill>
              <w14:schemeClr w14:val="tx1"/>
            </w14:solidFill>
          </w14:textFill>
        </w:rPr>
        <w:t>五、存在主要问题</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pacing w:beforeLines="0" w:after="0"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pacing w:val="0"/>
          <w:kern w:val="0"/>
          <w:position w:val="0"/>
          <w:sz w:val="32"/>
          <w:szCs w:val="32"/>
          <w:highlight w:val="none"/>
          <w:lang w:val="en-US" w:eastAsia="zh-CN" w:bidi="ar-SA"/>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黑体" w:hAnsi="黑体" w:eastAsia="黑体" w:cs="黑体"/>
          <w:b w:val="0"/>
          <w:bCs w:val="0"/>
          <w:color w:val="000000" w:themeColor="text1"/>
          <w:spacing w:val="0"/>
          <w:sz w:val="32"/>
          <w:szCs w:val="32"/>
          <w:highlight w:val="none"/>
          <w:lang w:val="zh-CN" w:eastAsia="zh-CN"/>
          <w14:textFill>
            <w14:solidFill>
              <w14:schemeClr w14:val="tx1"/>
            </w14:solidFill>
          </w14:textFill>
        </w:rPr>
      </w:pPr>
      <w:r>
        <w:rPr>
          <w:rFonts w:hint="eastAsia" w:ascii="黑体" w:hAnsi="黑体" w:eastAsia="黑体" w:cs="黑体"/>
          <w:b w:val="0"/>
          <w:bCs w:val="0"/>
          <w:color w:val="000000" w:themeColor="text1"/>
          <w:spacing w:val="0"/>
          <w:sz w:val="32"/>
          <w:szCs w:val="32"/>
          <w:highlight w:val="none"/>
          <w:lang w:val="zh-CN" w:eastAsia="zh-CN"/>
          <w14:textFill>
            <w14:solidFill>
              <w14:schemeClr w14:val="tx1"/>
            </w14:solidFill>
          </w14:textFill>
        </w:rPr>
        <w:t>六、改进建议</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pacing w:beforeLines="0" w:after="0" w:line="576" w:lineRule="exact"/>
        <w:ind w:firstLine="640" w:firstLineChars="200"/>
        <w:jc w:val="both"/>
        <w:textAlignment w:val="auto"/>
        <w:rPr>
          <w:rFonts w:hint="eastAsia" w:ascii="仿宋_GB2312" w:hAnsi="仿宋_GB2312" w:eastAsia="仿宋_GB2312" w:cs="仿宋_GB2312"/>
          <w:b w:val="0"/>
          <w:bCs w:val="0"/>
          <w:color w:val="000000" w:themeColor="text1"/>
          <w:spacing w:val="0"/>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pacing w:val="0"/>
          <w:kern w:val="0"/>
          <w:position w:val="0"/>
          <w:sz w:val="32"/>
          <w:szCs w:val="32"/>
          <w:highlight w:val="none"/>
          <w:lang w:val="en-US" w:eastAsia="zh-CN" w:bidi="ar-SA"/>
          <w14:textFill>
            <w14:solidFill>
              <w14:schemeClr w14:val="tx1"/>
            </w14:solidFill>
          </w14:textFill>
        </w:rPr>
        <w:t>无。</w:t>
      </w: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spacing w:line="500" w:lineRule="exact"/>
        <w:rPr>
          <w:rFonts w:hint="eastAsia" w:ascii="黑体" w:hAnsi="黑体" w:eastAsia="黑体" w:cs="黑体"/>
          <w:color w:val="000000" w:themeColor="text1"/>
          <w:sz w:val="32"/>
          <w:szCs w:val="32"/>
          <w14:textFill>
            <w14:solidFill>
              <w14:schemeClr w14:val="tx1"/>
            </w14:solidFill>
          </w14:textFill>
        </w:rPr>
      </w:pPr>
    </w:p>
    <w:p>
      <w:pPr>
        <w:pStyle w:val="2"/>
        <w:rPr>
          <w:rFonts w:hint="eastAsia"/>
        </w:rPr>
      </w:pPr>
    </w:p>
    <w:p>
      <w:pPr>
        <w:keepNext w:val="0"/>
        <w:keepLines w:val="0"/>
        <w:pageBreakBefore w:val="0"/>
        <w:widowControl w:val="0"/>
        <w:kinsoku/>
        <w:wordWrap/>
        <w:overflowPunct/>
        <w:topLinePunct/>
        <w:autoSpaceDE/>
        <w:autoSpaceDN/>
        <w:bidi w:val="0"/>
        <w:adjustRightInd w:val="0"/>
        <w:snapToGrid w:val="0"/>
        <w:spacing w:line="576" w:lineRule="exact"/>
        <w:ind w:firstLine="640" w:firstLineChars="200"/>
        <w:textAlignment w:val="auto"/>
        <w:rPr>
          <w:rFonts w:ascii="方正楷体简体" w:hAnsi="宋体" w:eastAsia="方正楷体简体" w:cs="宋体"/>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br w:type="page"/>
      </w:r>
    </w:p>
    <w:p>
      <w:pPr>
        <w:spacing w:line="40" w:lineRule="exact"/>
        <w:rPr>
          <w:rFonts w:ascii="方正楷体简体" w:hAnsi="宋体" w:eastAsia="方正楷体简体" w:cs="宋体"/>
          <w:color w:val="000000" w:themeColor="text1"/>
          <w:sz w:val="32"/>
          <w:szCs w:val="32"/>
          <w14:textFill>
            <w14:solidFill>
              <w14:schemeClr w14:val="tx1"/>
            </w14:solidFill>
          </w14:textFill>
        </w:rPr>
      </w:pPr>
    </w:p>
    <w:p>
      <w:pPr>
        <w:spacing w:line="40" w:lineRule="exact"/>
        <w:rPr>
          <w:rFonts w:ascii="方正楷体简体" w:hAnsi="宋体" w:eastAsia="方正楷体简体" w:cs="宋体"/>
          <w:color w:val="000000" w:themeColor="text1"/>
          <w:sz w:val="32"/>
          <w:szCs w:val="32"/>
          <w14:textFill>
            <w14:solidFill>
              <w14:schemeClr w14:val="tx1"/>
            </w14:solidFill>
          </w14:textFill>
        </w:rPr>
      </w:pPr>
    </w:p>
    <w:p>
      <w:pPr>
        <w:spacing w:line="40" w:lineRule="exact"/>
        <w:rPr>
          <w:rFonts w:ascii="方正楷体简体" w:hAnsi="宋体" w:eastAsia="方正楷体简体" w:cs="宋体"/>
          <w:color w:val="000000" w:themeColor="text1"/>
          <w:sz w:val="32"/>
          <w:szCs w:val="32"/>
          <w14:textFill>
            <w14:solidFill>
              <w14:schemeClr w14:val="tx1"/>
            </w14:solidFill>
          </w14:textFill>
        </w:rPr>
      </w:pPr>
    </w:p>
    <w:p>
      <w:pPr>
        <w:spacing w:line="600" w:lineRule="exact"/>
        <w:jc w:val="center"/>
        <w:outlineLvl w:val="0"/>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bookmarkStart w:id="78" w:name="_Toc10319"/>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第</w:t>
      </w:r>
      <w:r>
        <w:rPr>
          <w:rStyle w:val="26"/>
          <w:rFonts w:hint="eastAsia" w:ascii="方正小标宋简体" w:hAnsi="方正小标宋简体" w:eastAsia="方正小标宋简体" w:cs="方正小标宋简体"/>
          <w:b w:val="0"/>
          <w:color w:val="000000" w:themeColor="text1"/>
          <w:sz w:val="44"/>
          <w:szCs w:val="44"/>
          <w14:textFill>
            <w14:solidFill>
              <w14:schemeClr w14:val="tx1"/>
            </w14:solidFill>
          </w14:textFill>
        </w:rPr>
        <w:t>五部分  附  表</w:t>
      </w:r>
      <w:bookmarkEnd w:id="73"/>
      <w:bookmarkEnd w:id="75"/>
      <w:bookmarkEnd w:id="78"/>
      <w:bookmarkStart w:id="79" w:name="_Toc15396619"/>
    </w:p>
    <w:p>
      <w:pPr>
        <w:pStyle w:val="4"/>
        <w:keepNext w:val="0"/>
        <w:keepLines w:val="0"/>
        <w:spacing w:before="0" w:after="0" w:line="576" w:lineRule="exact"/>
        <w:ind w:firstLine="640" w:firstLineChars="200"/>
        <w:rPr>
          <w:rFonts w:ascii="仿宋_GB2312" w:hAnsi="仿宋_GB2312" w:eastAsia="仿宋_GB2312" w:cs="仿宋_GB2312"/>
          <w:b w:val="0"/>
          <w:color w:val="000000" w:themeColor="text1"/>
          <w14:textFill>
            <w14:solidFill>
              <w14:schemeClr w14:val="tx1"/>
            </w14:solidFill>
          </w14:textFill>
        </w:rPr>
      </w:pPr>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80" w:name="_Toc5919"/>
      <w:r>
        <w:rPr>
          <w:rFonts w:hint="eastAsia" w:ascii="仿宋_GB2312" w:hAnsi="仿宋_GB2312" w:eastAsia="仿宋_GB2312" w:cs="仿宋_GB2312"/>
          <w:b w:val="0"/>
          <w:color w:val="000000" w:themeColor="text1"/>
          <w14:textFill>
            <w14:solidFill>
              <w14:schemeClr w14:val="tx1"/>
            </w14:solidFill>
          </w14:textFill>
        </w:rPr>
        <w:t>一、收</w:t>
      </w:r>
      <w:r>
        <w:rPr>
          <w:rStyle w:val="27"/>
          <w:rFonts w:hint="eastAsia" w:ascii="仿宋_GB2312" w:hAnsi="仿宋_GB2312" w:eastAsia="仿宋_GB2312" w:cs="仿宋_GB2312"/>
          <w:b w:val="0"/>
          <w:bCs w:val="0"/>
          <w:color w:val="000000" w:themeColor="text1"/>
          <w14:textFill>
            <w14:solidFill>
              <w14:schemeClr w14:val="tx1"/>
            </w14:solidFill>
          </w14:textFill>
        </w:rPr>
        <w:t>入支出决算总表</w:t>
      </w:r>
      <w:bookmarkEnd w:id="79"/>
      <w:bookmarkEnd w:id="80"/>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81" w:name="_Toc15396620"/>
      <w:bookmarkStart w:id="82" w:name="_Toc6773"/>
      <w:r>
        <w:rPr>
          <w:rFonts w:hint="eastAsia" w:ascii="仿宋_GB2312" w:hAnsi="仿宋_GB2312" w:eastAsia="仿宋_GB2312" w:cs="仿宋_GB2312"/>
          <w:b w:val="0"/>
          <w:color w:val="000000" w:themeColor="text1"/>
          <w14:textFill>
            <w14:solidFill>
              <w14:schemeClr w14:val="tx1"/>
            </w14:solidFill>
          </w14:textFill>
        </w:rPr>
        <w:t>二、收</w:t>
      </w:r>
      <w:r>
        <w:rPr>
          <w:rStyle w:val="27"/>
          <w:rFonts w:hint="eastAsia" w:ascii="仿宋_GB2312" w:hAnsi="仿宋_GB2312" w:eastAsia="仿宋_GB2312" w:cs="仿宋_GB2312"/>
          <w:b w:val="0"/>
          <w:bCs w:val="0"/>
          <w:color w:val="000000" w:themeColor="text1"/>
          <w14:textFill>
            <w14:solidFill>
              <w14:schemeClr w14:val="tx1"/>
            </w14:solidFill>
          </w14:textFill>
        </w:rPr>
        <w:t>入决算表</w:t>
      </w:r>
      <w:bookmarkEnd w:id="81"/>
      <w:bookmarkEnd w:id="82"/>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83" w:name="_Toc1934"/>
      <w:bookmarkStart w:id="84" w:name="_Toc15396621"/>
      <w:r>
        <w:rPr>
          <w:rStyle w:val="27"/>
          <w:rFonts w:hint="eastAsia" w:ascii="仿宋_GB2312" w:hAnsi="仿宋_GB2312" w:eastAsia="仿宋_GB2312" w:cs="仿宋_GB2312"/>
          <w:b w:val="0"/>
          <w:bCs w:val="0"/>
          <w:color w:val="000000" w:themeColor="text1"/>
          <w14:textFill>
            <w14:solidFill>
              <w14:schemeClr w14:val="tx1"/>
            </w14:solidFill>
          </w14:textFill>
        </w:rPr>
        <w:t>三、</w:t>
      </w:r>
      <w:r>
        <w:rPr>
          <w:rFonts w:hint="eastAsia" w:ascii="仿宋_GB2312" w:hAnsi="仿宋_GB2312" w:eastAsia="仿宋_GB2312" w:cs="仿宋_GB2312"/>
          <w:b w:val="0"/>
          <w:color w:val="000000" w:themeColor="text1"/>
          <w14:textFill>
            <w14:solidFill>
              <w14:schemeClr w14:val="tx1"/>
            </w14:solidFill>
          </w14:textFill>
        </w:rPr>
        <w:t>支</w:t>
      </w:r>
      <w:r>
        <w:rPr>
          <w:rStyle w:val="27"/>
          <w:rFonts w:hint="eastAsia" w:ascii="仿宋_GB2312" w:hAnsi="仿宋_GB2312" w:eastAsia="仿宋_GB2312" w:cs="仿宋_GB2312"/>
          <w:b w:val="0"/>
          <w:bCs w:val="0"/>
          <w:color w:val="000000" w:themeColor="text1"/>
          <w14:textFill>
            <w14:solidFill>
              <w14:schemeClr w14:val="tx1"/>
            </w14:solidFill>
          </w14:textFill>
        </w:rPr>
        <w:t>出决算表</w:t>
      </w:r>
      <w:bookmarkEnd w:id="83"/>
      <w:bookmarkEnd w:id="84"/>
    </w:p>
    <w:p>
      <w:pPr>
        <w:pStyle w:val="4"/>
        <w:keepNext w:val="0"/>
        <w:keepLines w:val="0"/>
        <w:spacing w:before="0" w:after="0" w:line="576" w:lineRule="exact"/>
        <w:ind w:firstLine="640" w:firstLineChars="200"/>
        <w:rPr>
          <w:rFonts w:ascii="仿宋_GB2312" w:hAnsi="仿宋_GB2312" w:eastAsia="仿宋_GB2312" w:cs="仿宋_GB2312"/>
          <w:b w:val="0"/>
          <w:color w:val="000000" w:themeColor="text1"/>
          <w14:textFill>
            <w14:solidFill>
              <w14:schemeClr w14:val="tx1"/>
            </w14:solidFill>
          </w14:textFill>
        </w:rPr>
      </w:pPr>
      <w:bookmarkStart w:id="85" w:name="_Toc26530"/>
      <w:bookmarkStart w:id="86" w:name="_Toc15396622"/>
      <w:r>
        <w:rPr>
          <w:rStyle w:val="27"/>
          <w:rFonts w:hint="eastAsia" w:ascii="仿宋_GB2312" w:hAnsi="仿宋_GB2312" w:eastAsia="仿宋_GB2312" w:cs="仿宋_GB2312"/>
          <w:b w:val="0"/>
          <w:bCs w:val="0"/>
          <w:color w:val="000000" w:themeColor="text1"/>
          <w14:textFill>
            <w14:solidFill>
              <w14:schemeClr w14:val="tx1"/>
            </w14:solidFill>
          </w14:textFill>
        </w:rPr>
        <w:t>四、</w:t>
      </w:r>
      <w:r>
        <w:rPr>
          <w:rFonts w:hint="eastAsia" w:ascii="仿宋_GB2312" w:hAnsi="仿宋_GB2312" w:eastAsia="仿宋_GB2312" w:cs="仿宋_GB2312"/>
          <w:b w:val="0"/>
          <w:color w:val="000000" w:themeColor="text1"/>
          <w14:textFill>
            <w14:solidFill>
              <w14:schemeClr w14:val="tx1"/>
            </w14:solidFill>
          </w14:textFill>
        </w:rPr>
        <w:t>财</w:t>
      </w:r>
      <w:r>
        <w:rPr>
          <w:rStyle w:val="27"/>
          <w:rFonts w:hint="eastAsia" w:ascii="仿宋_GB2312" w:hAnsi="仿宋_GB2312" w:eastAsia="仿宋_GB2312" w:cs="仿宋_GB2312"/>
          <w:b w:val="0"/>
          <w:bCs w:val="0"/>
          <w:color w:val="000000" w:themeColor="text1"/>
          <w14:textFill>
            <w14:solidFill>
              <w14:schemeClr w14:val="tx1"/>
            </w14:solidFill>
          </w14:textFill>
        </w:rPr>
        <w:t>政拨款收入支出决算总表</w:t>
      </w:r>
      <w:bookmarkEnd w:id="85"/>
      <w:bookmarkEnd w:id="86"/>
    </w:p>
    <w:p>
      <w:pPr>
        <w:pStyle w:val="4"/>
        <w:keepNext w:val="0"/>
        <w:keepLines w:val="0"/>
        <w:spacing w:before="0" w:after="0" w:line="576" w:lineRule="exact"/>
        <w:ind w:firstLine="640" w:firstLineChars="200"/>
        <w:rPr>
          <w:rStyle w:val="27"/>
          <w:rFonts w:ascii="仿宋_GB2312" w:hAnsi="仿宋_GB2312" w:eastAsia="仿宋_GB2312" w:cs="仿宋_GB2312"/>
          <w:b w:val="0"/>
          <w:bCs w:val="0"/>
          <w:color w:val="000000" w:themeColor="text1"/>
          <w14:textFill>
            <w14:solidFill>
              <w14:schemeClr w14:val="tx1"/>
            </w14:solidFill>
          </w14:textFill>
        </w:rPr>
      </w:pPr>
      <w:bookmarkStart w:id="87" w:name="_Toc15396623"/>
      <w:bookmarkStart w:id="88" w:name="_Toc27452"/>
      <w:r>
        <w:rPr>
          <w:rStyle w:val="27"/>
          <w:rFonts w:hint="eastAsia" w:ascii="仿宋_GB2312" w:hAnsi="仿宋_GB2312" w:eastAsia="仿宋_GB2312" w:cs="仿宋_GB2312"/>
          <w:b w:val="0"/>
          <w:bCs w:val="0"/>
          <w:color w:val="000000" w:themeColor="text1"/>
          <w14:textFill>
            <w14:solidFill>
              <w14:schemeClr w14:val="tx1"/>
            </w14:solidFill>
          </w14:textFill>
        </w:rPr>
        <w:t>五、</w:t>
      </w:r>
      <w:r>
        <w:rPr>
          <w:rFonts w:hint="eastAsia" w:ascii="仿宋_GB2312" w:hAnsi="仿宋_GB2312" w:eastAsia="仿宋_GB2312" w:cs="仿宋_GB2312"/>
          <w:b w:val="0"/>
          <w:color w:val="000000" w:themeColor="text1"/>
          <w14:textFill>
            <w14:solidFill>
              <w14:schemeClr w14:val="tx1"/>
            </w14:solidFill>
          </w14:textFill>
        </w:rPr>
        <w:t>财</w:t>
      </w:r>
      <w:r>
        <w:rPr>
          <w:rStyle w:val="27"/>
          <w:rFonts w:hint="eastAsia" w:ascii="仿宋_GB2312" w:hAnsi="仿宋_GB2312" w:eastAsia="仿宋_GB2312" w:cs="仿宋_GB2312"/>
          <w:b w:val="0"/>
          <w:bCs w:val="0"/>
          <w:color w:val="000000" w:themeColor="text1"/>
          <w14:textFill>
            <w14:solidFill>
              <w14:schemeClr w14:val="tx1"/>
            </w14:solidFill>
          </w14:textFill>
        </w:rPr>
        <w:t>政拨款支出决算明细表</w:t>
      </w:r>
      <w:bookmarkEnd w:id="87"/>
      <w:bookmarkEnd w:id="88"/>
      <w:bookmarkStart w:id="89" w:name="_Toc15396624"/>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0" w:name="_Toc26396"/>
      <w:r>
        <w:rPr>
          <w:rStyle w:val="27"/>
          <w:rFonts w:hint="eastAsia" w:ascii="仿宋_GB2312" w:hAnsi="仿宋_GB2312" w:eastAsia="仿宋_GB2312" w:cs="仿宋_GB2312"/>
          <w:b w:val="0"/>
          <w:bCs w:val="0"/>
          <w:color w:val="000000" w:themeColor="text1"/>
          <w14:textFill>
            <w14:solidFill>
              <w14:schemeClr w14:val="tx1"/>
            </w14:solidFill>
          </w14:textFill>
        </w:rPr>
        <w:t>六、</w:t>
      </w:r>
      <w:r>
        <w:rPr>
          <w:rFonts w:hint="eastAsia" w:ascii="仿宋_GB2312" w:hAnsi="仿宋_GB2312" w:eastAsia="仿宋_GB2312" w:cs="仿宋_GB2312"/>
          <w:b w:val="0"/>
          <w:color w:val="000000" w:themeColor="text1"/>
          <w14:textFill>
            <w14:solidFill>
              <w14:schemeClr w14:val="tx1"/>
            </w14:solidFill>
          </w14:textFill>
        </w:rPr>
        <w:t>一</w:t>
      </w:r>
      <w:r>
        <w:rPr>
          <w:rStyle w:val="27"/>
          <w:rFonts w:hint="eastAsia" w:ascii="仿宋_GB2312" w:hAnsi="仿宋_GB2312" w:eastAsia="仿宋_GB2312" w:cs="仿宋_GB2312"/>
          <w:b w:val="0"/>
          <w:bCs w:val="0"/>
          <w:color w:val="000000" w:themeColor="text1"/>
          <w14:textFill>
            <w14:solidFill>
              <w14:schemeClr w14:val="tx1"/>
            </w14:solidFill>
          </w14:textFill>
        </w:rPr>
        <w:t>般公共预算财政拨款支出决算表</w:t>
      </w:r>
      <w:bookmarkEnd w:id="89"/>
      <w:bookmarkEnd w:id="90"/>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1" w:name="_Toc15396625"/>
      <w:bookmarkStart w:id="92" w:name="_Toc18664"/>
      <w:r>
        <w:rPr>
          <w:rStyle w:val="27"/>
          <w:rFonts w:hint="eastAsia" w:ascii="仿宋_GB2312" w:hAnsi="仿宋_GB2312" w:eastAsia="仿宋_GB2312" w:cs="仿宋_GB2312"/>
          <w:b w:val="0"/>
          <w:bCs w:val="0"/>
          <w:color w:val="000000" w:themeColor="text1"/>
          <w14:textFill>
            <w14:solidFill>
              <w14:schemeClr w14:val="tx1"/>
            </w14:solidFill>
          </w14:textFill>
        </w:rPr>
        <w:t>七、</w:t>
      </w:r>
      <w:r>
        <w:rPr>
          <w:rFonts w:hint="eastAsia" w:ascii="仿宋_GB2312" w:hAnsi="仿宋_GB2312" w:eastAsia="仿宋_GB2312" w:cs="仿宋_GB2312"/>
          <w:b w:val="0"/>
          <w:color w:val="000000" w:themeColor="text1"/>
          <w14:textFill>
            <w14:solidFill>
              <w14:schemeClr w14:val="tx1"/>
            </w14:solidFill>
          </w14:textFill>
        </w:rPr>
        <w:t>一</w:t>
      </w:r>
      <w:r>
        <w:rPr>
          <w:rStyle w:val="27"/>
          <w:rFonts w:hint="eastAsia" w:ascii="仿宋_GB2312" w:hAnsi="仿宋_GB2312" w:eastAsia="仿宋_GB2312" w:cs="仿宋_GB2312"/>
          <w:b w:val="0"/>
          <w:bCs w:val="0"/>
          <w:color w:val="000000" w:themeColor="text1"/>
          <w14:textFill>
            <w14:solidFill>
              <w14:schemeClr w14:val="tx1"/>
            </w14:solidFill>
          </w14:textFill>
        </w:rPr>
        <w:t>般公共预算财政拨款支出决算明细表</w:t>
      </w:r>
      <w:bookmarkEnd w:id="91"/>
      <w:bookmarkEnd w:id="92"/>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3" w:name="_Toc9963"/>
      <w:bookmarkStart w:id="94" w:name="_Toc15396626"/>
      <w:r>
        <w:rPr>
          <w:rStyle w:val="27"/>
          <w:rFonts w:hint="eastAsia" w:ascii="仿宋_GB2312" w:hAnsi="仿宋_GB2312" w:eastAsia="仿宋_GB2312" w:cs="仿宋_GB2312"/>
          <w:b w:val="0"/>
          <w:bCs w:val="0"/>
          <w:color w:val="000000" w:themeColor="text1"/>
          <w14:textFill>
            <w14:solidFill>
              <w14:schemeClr w14:val="tx1"/>
            </w14:solidFill>
          </w14:textFill>
        </w:rPr>
        <w:t>八、</w:t>
      </w:r>
      <w:r>
        <w:rPr>
          <w:rFonts w:hint="eastAsia" w:ascii="仿宋_GB2312" w:hAnsi="仿宋_GB2312" w:eastAsia="仿宋_GB2312" w:cs="仿宋_GB2312"/>
          <w:b w:val="0"/>
          <w:color w:val="000000" w:themeColor="text1"/>
          <w14:textFill>
            <w14:solidFill>
              <w14:schemeClr w14:val="tx1"/>
            </w14:solidFill>
          </w14:textFill>
        </w:rPr>
        <w:t>一</w:t>
      </w:r>
      <w:r>
        <w:rPr>
          <w:rStyle w:val="27"/>
          <w:rFonts w:hint="eastAsia" w:ascii="仿宋_GB2312" w:hAnsi="仿宋_GB2312" w:eastAsia="仿宋_GB2312" w:cs="仿宋_GB2312"/>
          <w:b w:val="0"/>
          <w:bCs w:val="0"/>
          <w:color w:val="000000" w:themeColor="text1"/>
          <w14:textFill>
            <w14:solidFill>
              <w14:schemeClr w14:val="tx1"/>
            </w14:solidFill>
          </w14:textFill>
        </w:rPr>
        <w:t>般公共预算财政拨款基本支出决算表</w:t>
      </w:r>
      <w:bookmarkEnd w:id="93"/>
      <w:bookmarkEnd w:id="94"/>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5" w:name="_Toc14232"/>
      <w:bookmarkStart w:id="96" w:name="_Toc15396627"/>
      <w:r>
        <w:rPr>
          <w:rStyle w:val="27"/>
          <w:rFonts w:hint="eastAsia" w:ascii="仿宋_GB2312" w:hAnsi="仿宋_GB2312" w:eastAsia="仿宋_GB2312" w:cs="仿宋_GB2312"/>
          <w:b w:val="0"/>
          <w:bCs w:val="0"/>
          <w:color w:val="000000" w:themeColor="text1"/>
          <w14:textFill>
            <w14:solidFill>
              <w14:schemeClr w14:val="tx1"/>
            </w14:solidFill>
          </w14:textFill>
        </w:rPr>
        <w:t>九、</w:t>
      </w:r>
      <w:r>
        <w:rPr>
          <w:rFonts w:hint="eastAsia" w:ascii="仿宋_GB2312" w:hAnsi="仿宋_GB2312" w:eastAsia="仿宋_GB2312" w:cs="仿宋_GB2312"/>
          <w:b w:val="0"/>
          <w:color w:val="000000" w:themeColor="text1"/>
          <w14:textFill>
            <w14:solidFill>
              <w14:schemeClr w14:val="tx1"/>
            </w14:solidFill>
          </w14:textFill>
        </w:rPr>
        <w:t>一</w:t>
      </w:r>
      <w:r>
        <w:rPr>
          <w:rStyle w:val="27"/>
          <w:rFonts w:hint="eastAsia" w:ascii="仿宋_GB2312" w:hAnsi="仿宋_GB2312" w:eastAsia="仿宋_GB2312" w:cs="仿宋_GB2312"/>
          <w:b w:val="0"/>
          <w:bCs w:val="0"/>
          <w:color w:val="000000" w:themeColor="text1"/>
          <w14:textFill>
            <w14:solidFill>
              <w14:schemeClr w14:val="tx1"/>
            </w14:solidFill>
          </w14:textFill>
        </w:rPr>
        <w:t>般公共预算财政拨款项目支出决算表</w:t>
      </w:r>
      <w:bookmarkEnd w:id="95"/>
      <w:bookmarkEnd w:id="96"/>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7" w:name="_Toc15396628"/>
      <w:bookmarkStart w:id="98" w:name="_Toc9886"/>
      <w:r>
        <w:rPr>
          <w:rStyle w:val="27"/>
          <w:rFonts w:hint="eastAsia" w:ascii="仿宋_GB2312" w:hAnsi="仿宋_GB2312" w:eastAsia="仿宋_GB2312" w:cs="仿宋_GB2312"/>
          <w:b w:val="0"/>
          <w:bCs w:val="0"/>
          <w:color w:val="000000" w:themeColor="text1"/>
          <w14:textFill>
            <w14:solidFill>
              <w14:schemeClr w14:val="tx1"/>
            </w14:solidFill>
          </w14:textFill>
        </w:rPr>
        <w:t>十、</w:t>
      </w:r>
      <w:bookmarkEnd w:id="97"/>
      <w:r>
        <w:rPr>
          <w:rFonts w:hint="eastAsia" w:ascii="仿宋_GB2312" w:hAnsi="仿宋_GB2312" w:eastAsia="仿宋_GB2312" w:cs="仿宋_GB2312"/>
          <w:b w:val="0"/>
          <w:color w:val="000000" w:themeColor="text1"/>
          <w14:textFill>
            <w14:solidFill>
              <w14:schemeClr w14:val="tx1"/>
            </w14:solidFill>
          </w14:textFill>
        </w:rPr>
        <w:t>政</w:t>
      </w:r>
      <w:r>
        <w:rPr>
          <w:rStyle w:val="27"/>
          <w:rFonts w:hint="eastAsia" w:ascii="仿宋_GB2312" w:hAnsi="仿宋_GB2312" w:eastAsia="仿宋_GB2312" w:cs="仿宋_GB2312"/>
          <w:b w:val="0"/>
          <w:bCs w:val="0"/>
          <w:color w:val="000000" w:themeColor="text1"/>
          <w14:textFill>
            <w14:solidFill>
              <w14:schemeClr w14:val="tx1"/>
            </w14:solidFill>
          </w14:textFill>
        </w:rPr>
        <w:t>府性基金预算财政拨款收入支出决算表</w:t>
      </w:r>
      <w:bookmarkEnd w:id="98"/>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9" w:name="_Toc15396629"/>
      <w:bookmarkStart w:id="100" w:name="_Toc21207"/>
      <w:r>
        <w:rPr>
          <w:rStyle w:val="27"/>
          <w:rFonts w:hint="eastAsia" w:ascii="仿宋_GB2312" w:hAnsi="仿宋_GB2312" w:eastAsia="仿宋_GB2312" w:cs="仿宋_GB2312"/>
          <w:b w:val="0"/>
          <w:bCs w:val="0"/>
          <w:color w:val="000000" w:themeColor="text1"/>
          <w14:textFill>
            <w14:solidFill>
              <w14:schemeClr w14:val="tx1"/>
            </w14:solidFill>
          </w14:textFill>
        </w:rPr>
        <w:t>十一、</w:t>
      </w:r>
      <w:bookmarkEnd w:id="99"/>
      <w:r>
        <w:rPr>
          <w:rFonts w:hint="eastAsia" w:ascii="仿宋_GB2312" w:hAnsi="仿宋_GB2312" w:eastAsia="仿宋_GB2312" w:cs="仿宋_GB2312"/>
          <w:b w:val="0"/>
          <w:color w:val="000000" w:themeColor="text1"/>
          <w14:textFill>
            <w14:solidFill>
              <w14:schemeClr w14:val="tx1"/>
            </w14:solidFill>
          </w14:textFill>
        </w:rPr>
        <w:t>国</w:t>
      </w:r>
      <w:r>
        <w:rPr>
          <w:rStyle w:val="27"/>
          <w:rFonts w:hint="eastAsia" w:ascii="仿宋_GB2312" w:hAnsi="仿宋_GB2312" w:eastAsia="仿宋_GB2312" w:cs="仿宋_GB2312"/>
          <w:b w:val="0"/>
          <w:bCs w:val="0"/>
          <w:color w:val="000000" w:themeColor="text1"/>
          <w14:textFill>
            <w14:solidFill>
              <w14:schemeClr w14:val="tx1"/>
            </w14:solidFill>
          </w14:textFill>
        </w:rPr>
        <w:t>有资本经营预算财政拨款收入支出决算表</w:t>
      </w:r>
      <w:bookmarkEnd w:id="100"/>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101" w:name="_Toc15396630"/>
      <w:bookmarkStart w:id="102" w:name="_Toc3324"/>
      <w:r>
        <w:rPr>
          <w:rStyle w:val="27"/>
          <w:rFonts w:hint="eastAsia" w:ascii="仿宋_GB2312" w:hAnsi="仿宋_GB2312" w:eastAsia="仿宋_GB2312" w:cs="仿宋_GB2312"/>
          <w:b w:val="0"/>
          <w:bCs w:val="0"/>
          <w:color w:val="000000" w:themeColor="text1"/>
          <w14:textFill>
            <w14:solidFill>
              <w14:schemeClr w14:val="tx1"/>
            </w14:solidFill>
          </w14:textFill>
        </w:rPr>
        <w:t>十二、</w:t>
      </w:r>
      <w:bookmarkEnd w:id="101"/>
      <w:r>
        <w:rPr>
          <w:rStyle w:val="27"/>
          <w:rFonts w:hint="eastAsia" w:ascii="仿宋_GB2312" w:hAnsi="仿宋_GB2312" w:eastAsia="仿宋_GB2312" w:cs="仿宋_GB2312"/>
          <w:b w:val="0"/>
          <w:bCs w:val="0"/>
          <w:color w:val="000000" w:themeColor="text1"/>
          <w14:textFill>
            <w14:solidFill>
              <w14:schemeClr w14:val="tx1"/>
            </w14:solidFill>
          </w14:textFill>
        </w:rPr>
        <w:t>国有资本经营预算财政拨款支出决算表</w:t>
      </w:r>
      <w:bookmarkEnd w:id="102"/>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103" w:name="_Toc15396631"/>
      <w:bookmarkStart w:id="104" w:name="_Toc25102"/>
      <w:r>
        <w:rPr>
          <w:rStyle w:val="27"/>
          <w:rFonts w:hint="eastAsia" w:ascii="仿宋_GB2312" w:hAnsi="仿宋_GB2312" w:eastAsia="仿宋_GB2312" w:cs="仿宋_GB2312"/>
          <w:b w:val="0"/>
          <w:bCs w:val="0"/>
          <w:color w:val="000000" w:themeColor="text1"/>
          <w14:textFill>
            <w14:solidFill>
              <w14:schemeClr w14:val="tx1"/>
            </w14:solidFill>
          </w14:textFill>
        </w:rPr>
        <w:t>十三、</w:t>
      </w:r>
      <w:bookmarkEnd w:id="103"/>
      <w:r>
        <w:rPr>
          <w:rStyle w:val="27"/>
          <w:rFonts w:hint="eastAsia" w:ascii="仿宋_GB2312" w:hAnsi="仿宋_GB2312" w:eastAsia="仿宋_GB2312" w:cs="仿宋_GB2312"/>
          <w:b w:val="0"/>
          <w:bCs w:val="0"/>
          <w:color w:val="000000" w:themeColor="text1"/>
          <w14:textFill>
            <w14:solidFill>
              <w14:schemeClr w14:val="tx1"/>
            </w14:solidFill>
          </w14:textFill>
        </w:rPr>
        <w:t>财政拨款“三公”经费支出决算表</w:t>
      </w:r>
      <w:bookmarkEnd w:id="104"/>
    </w:p>
    <w:sectPr>
      <w:headerReference r:id="rId9" w:type="first"/>
      <w:footerReference r:id="rId11" w:type="first"/>
      <w:headerReference r:id="rId8" w:type="default"/>
      <w:footerReference r:id="rId10" w:type="default"/>
      <w:pgSz w:w="11906" w:h="16838"/>
      <w:pgMar w:top="2098" w:right="1474" w:bottom="1984" w:left="1587" w:header="851" w:footer="1417"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9872B8-5971-403B-8C17-3BCE92BD7B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D92EA117-81F4-4BAB-B744-A3CB3DD80FC4}"/>
  </w:font>
  <w:font w:name="仿宋">
    <w:panose1 w:val="02010609060101010101"/>
    <w:charset w:val="86"/>
    <w:family w:val="auto"/>
    <w:pitch w:val="default"/>
    <w:sig w:usb0="800002BF" w:usb1="38CF7CFA" w:usb2="00000016" w:usb3="00000000" w:csb0="00040001" w:csb1="00000000"/>
    <w:embedRegular r:id="rId3" w:fontKey="{9EC390E0-68B2-494F-9680-F41B77D61987}"/>
  </w:font>
  <w:font w:name="??">
    <w:altName w:val="Times New Roman"/>
    <w:panose1 w:val="00000000000000000000"/>
    <w:charset w:val="00"/>
    <w:family w:val="roman"/>
    <w:pitch w:val="default"/>
    <w:sig w:usb0="00000000" w:usb1="00000000" w:usb2="00000000" w:usb3="00000000" w:csb0="00000000" w:csb1="00000000"/>
  </w:font>
  <w:font w:name="Liberation Sans">
    <w:altName w:val="Arial"/>
    <w:panose1 w:val="00000000000000000000"/>
    <w:charset w:val="01"/>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embedRegular r:id="rId4" w:fontKey="{4D2E5C0F-D2F8-4DEF-9892-FA15D2A65F7F}"/>
  </w:font>
  <w:font w:name="楷体_GB2312">
    <w:panose1 w:val="02010609030101010101"/>
    <w:charset w:val="86"/>
    <w:family w:val="auto"/>
    <w:pitch w:val="default"/>
    <w:sig w:usb0="00000001" w:usb1="080E0000" w:usb2="00000000" w:usb3="00000000" w:csb0="00040000" w:csb1="00000000"/>
    <w:embedRegular r:id="rId5" w:fontKey="{CE501AE4-D48B-494F-9AB9-E984261AEB76}"/>
  </w:font>
  <w:font w:name="CESI楷体-GB2312">
    <w:altName w:val="宋体"/>
    <w:panose1 w:val="02000500000000000000"/>
    <w:charset w:val="86"/>
    <w:family w:val="auto"/>
    <w:pitch w:val="default"/>
    <w:sig w:usb0="00000000" w:usb1="00000000" w:usb2="00000012" w:usb3="00000000" w:csb0="0004000F" w:csb1="00000000"/>
    <w:embedRegular r:id="rId6" w:fontKey="{60D40627-44C0-4474-9774-417AA2DAD200}"/>
  </w:font>
  <w:font w:name="方正楷体简体">
    <w:panose1 w:val="02010601030101010101"/>
    <w:charset w:val="86"/>
    <w:family w:val="auto"/>
    <w:pitch w:val="default"/>
    <w:sig w:usb0="00000001" w:usb1="080E0000" w:usb2="00000000" w:usb3="00000000" w:csb0="00040000" w:csb1="00000000"/>
    <w:embedRegular r:id="rId7" w:fontKey="{D6370835-3903-4133-A5A8-9440A6BFE1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Style w:val="24"/>
                              <w:rFonts w:ascii="宋体" w:hAnsi="宋体"/>
                              <w:sz w:val="28"/>
                              <w:szCs w:val="28"/>
                            </w:rPr>
                          </w:pPr>
                          <w:r>
                            <w:rPr>
                              <w:rStyle w:val="24"/>
                              <w:rFonts w:ascii="宋体" w:hAnsi="宋体" w:cs="宋体"/>
                              <w:sz w:val="28"/>
                              <w:szCs w:val="28"/>
                            </w:rPr>
                            <w:t xml:space="preserve">— </w:t>
                          </w:r>
                          <w:r>
                            <w:rPr>
                              <w:rStyle w:val="24"/>
                              <w:rFonts w:ascii="宋体" w:hAnsi="宋体" w:cs="宋体"/>
                              <w:sz w:val="28"/>
                              <w:szCs w:val="28"/>
                            </w:rPr>
                            <w:fldChar w:fldCharType="begin"/>
                          </w:r>
                          <w:r>
                            <w:rPr>
                              <w:rStyle w:val="24"/>
                              <w:rFonts w:ascii="宋体" w:hAnsi="宋体" w:cs="宋体"/>
                              <w:sz w:val="28"/>
                              <w:szCs w:val="28"/>
                            </w:rPr>
                            <w:instrText xml:space="preserve">PAGE  </w:instrText>
                          </w:r>
                          <w:r>
                            <w:rPr>
                              <w:rStyle w:val="24"/>
                              <w:rFonts w:ascii="宋体" w:hAnsi="宋体" w:cs="宋体"/>
                              <w:sz w:val="28"/>
                              <w:szCs w:val="28"/>
                            </w:rPr>
                            <w:fldChar w:fldCharType="separate"/>
                          </w:r>
                          <w:r>
                            <w:rPr>
                              <w:rStyle w:val="24"/>
                              <w:rFonts w:ascii="宋体" w:hAnsi="宋体" w:cs="宋体"/>
                              <w:sz w:val="28"/>
                              <w:szCs w:val="28"/>
                            </w:rPr>
                            <w:t>116</w:t>
                          </w:r>
                          <w:r>
                            <w:rPr>
                              <w:rStyle w:val="24"/>
                              <w:rFonts w:ascii="宋体" w:hAnsi="宋体" w:cs="宋体"/>
                              <w:sz w:val="28"/>
                              <w:szCs w:val="28"/>
                            </w:rPr>
                            <w:fldChar w:fldCharType="end"/>
                          </w:r>
                          <w:r>
                            <w:rPr>
                              <w:rStyle w:val="24"/>
                              <w:rFonts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3"/>
                      <w:rPr>
                        <w:rStyle w:val="24"/>
                        <w:rFonts w:ascii="宋体" w:hAnsi="宋体"/>
                        <w:sz w:val="28"/>
                        <w:szCs w:val="28"/>
                      </w:rPr>
                    </w:pPr>
                    <w:r>
                      <w:rPr>
                        <w:rStyle w:val="24"/>
                        <w:rFonts w:ascii="宋体" w:hAnsi="宋体" w:cs="宋体"/>
                        <w:sz w:val="28"/>
                        <w:szCs w:val="28"/>
                      </w:rPr>
                      <w:t xml:space="preserve">— </w:t>
                    </w:r>
                    <w:r>
                      <w:rPr>
                        <w:rStyle w:val="24"/>
                        <w:rFonts w:ascii="宋体" w:hAnsi="宋体" w:cs="宋体"/>
                        <w:sz w:val="28"/>
                        <w:szCs w:val="28"/>
                      </w:rPr>
                      <w:fldChar w:fldCharType="begin"/>
                    </w:r>
                    <w:r>
                      <w:rPr>
                        <w:rStyle w:val="24"/>
                        <w:rFonts w:ascii="宋体" w:hAnsi="宋体" w:cs="宋体"/>
                        <w:sz w:val="28"/>
                        <w:szCs w:val="28"/>
                      </w:rPr>
                      <w:instrText xml:space="preserve">PAGE  </w:instrText>
                    </w:r>
                    <w:r>
                      <w:rPr>
                        <w:rStyle w:val="24"/>
                        <w:rFonts w:ascii="宋体" w:hAnsi="宋体" w:cs="宋体"/>
                        <w:sz w:val="28"/>
                        <w:szCs w:val="28"/>
                      </w:rPr>
                      <w:fldChar w:fldCharType="separate"/>
                    </w:r>
                    <w:r>
                      <w:rPr>
                        <w:rStyle w:val="24"/>
                        <w:rFonts w:ascii="宋体" w:hAnsi="宋体" w:cs="宋体"/>
                        <w:sz w:val="28"/>
                        <w:szCs w:val="28"/>
                      </w:rPr>
                      <w:t>116</w:t>
                    </w:r>
                    <w:r>
                      <w:rPr>
                        <w:rStyle w:val="24"/>
                        <w:rFonts w:ascii="宋体" w:hAnsi="宋体" w:cs="宋体"/>
                        <w:sz w:val="28"/>
                        <w:szCs w:val="28"/>
                      </w:rPr>
                      <w:fldChar w:fldCharType="end"/>
                    </w:r>
                    <w:r>
                      <w:rPr>
                        <w:rStyle w:val="24"/>
                        <w:rFonts w:ascii="宋体" w:hAnsi="宋体" w:cs="宋体"/>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ind w:left="0" w:leftChars="0" w:firstLine="0" w:firstLineChars="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125</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0"/>
                      <w:ind w:left="0" w:leftChars="0" w:firstLine="0" w:firstLineChars="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125</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152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152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00DDAC"/>
    <w:multiLevelType w:val="singleLevel"/>
    <w:tmpl w:val="9700DDAC"/>
    <w:lvl w:ilvl="0" w:tentative="0">
      <w:start w:val="1"/>
      <w:numFmt w:val="decimal"/>
      <w:suff w:val="space"/>
      <w:lvlText w:val="%1."/>
      <w:lvlJc w:val="left"/>
    </w:lvl>
  </w:abstractNum>
  <w:abstractNum w:abstractNumId="1">
    <w:nsid w:val="B02573E6"/>
    <w:multiLevelType w:val="singleLevel"/>
    <w:tmpl w:val="B02573E6"/>
    <w:lvl w:ilvl="0" w:tentative="0">
      <w:start w:val="3"/>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EF7E4F2F"/>
    <w:multiLevelType w:val="singleLevel"/>
    <w:tmpl w:val="EF7E4F2F"/>
    <w:lvl w:ilvl="0" w:tentative="0">
      <w:start w:val="1"/>
      <w:numFmt w:val="decimal"/>
      <w:suff w:val="nothing"/>
      <w:lvlText w:val="（%1）"/>
      <w:lvlJc w:val="left"/>
    </w:lvl>
  </w:abstractNum>
  <w:abstractNum w:abstractNumId="5">
    <w:nsid w:val="3AABFD8C"/>
    <w:multiLevelType w:val="singleLevel"/>
    <w:tmpl w:val="3AABFD8C"/>
    <w:lvl w:ilvl="0" w:tentative="0">
      <w:start w:val="1"/>
      <w:numFmt w:val="decimal"/>
      <w:suff w:val="space"/>
      <w:lvlText w:val="%1."/>
      <w:lvlJc w:val="left"/>
    </w:lvl>
  </w:abstractNum>
  <w:abstractNum w:abstractNumId="6">
    <w:nsid w:val="5DC70B7F"/>
    <w:multiLevelType w:val="singleLevel"/>
    <w:tmpl w:val="5DC70B7F"/>
    <w:lvl w:ilvl="0" w:tentative="0">
      <w:start w:val="2"/>
      <w:numFmt w:val="chineseCounting"/>
      <w:suff w:val="nothing"/>
      <w:lvlText w:val="（%1）"/>
      <w:lvlJc w:val="left"/>
      <w:rPr>
        <w:rFonts w:hint="eastAsia"/>
      </w:rPr>
    </w:lvl>
  </w:abstractNum>
  <w:num w:numId="1">
    <w:abstractNumId w:val="5"/>
  </w:num>
  <w:num w:numId="2">
    <w:abstractNumId w:val="0"/>
  </w:num>
  <w:num w:numId="3">
    <w:abstractNumId w:val="2"/>
  </w:num>
  <w:num w:numId="4">
    <w:abstractNumId w:val="3"/>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2"/>
  <w:embedTrueTypeFonts/>
  <w:saveSubsetFonts/>
  <w:hideSpellingErrors/>
  <w:documentProtection w:enforcement="0"/>
  <w:defaultTabStop w:val="420"/>
  <w:drawingGridHorizontalSpacing w:val="105"/>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NDU1YzljNjkwMDc2Y2Q3MmZiYjExZmUxNjM2NGIifQ=="/>
  </w:docVars>
  <w:rsids>
    <w:rsidRoot w:val="00F1361C"/>
    <w:rsid w:val="000222C6"/>
    <w:rsid w:val="0002549F"/>
    <w:rsid w:val="00042B81"/>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56181"/>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2AF9"/>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41569"/>
    <w:rsid w:val="00D51276"/>
    <w:rsid w:val="00D7035F"/>
    <w:rsid w:val="00D97E43"/>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105B3"/>
    <w:rsid w:val="015975B8"/>
    <w:rsid w:val="02143E91"/>
    <w:rsid w:val="066E0107"/>
    <w:rsid w:val="07996F6E"/>
    <w:rsid w:val="0A2032A3"/>
    <w:rsid w:val="0A8C0C42"/>
    <w:rsid w:val="0AE85570"/>
    <w:rsid w:val="0C841217"/>
    <w:rsid w:val="0D376F80"/>
    <w:rsid w:val="0EF56552"/>
    <w:rsid w:val="0F98263C"/>
    <w:rsid w:val="0FF938D1"/>
    <w:rsid w:val="101860EC"/>
    <w:rsid w:val="108F5D13"/>
    <w:rsid w:val="10C055FF"/>
    <w:rsid w:val="11661D21"/>
    <w:rsid w:val="118107EC"/>
    <w:rsid w:val="12274B45"/>
    <w:rsid w:val="127A0B46"/>
    <w:rsid w:val="13066EC4"/>
    <w:rsid w:val="137B0AA6"/>
    <w:rsid w:val="138C2CC1"/>
    <w:rsid w:val="13D50BC4"/>
    <w:rsid w:val="1448764C"/>
    <w:rsid w:val="14532F0C"/>
    <w:rsid w:val="15046C6E"/>
    <w:rsid w:val="16BB723D"/>
    <w:rsid w:val="1A893F2B"/>
    <w:rsid w:val="1AD71B4C"/>
    <w:rsid w:val="1ADE13F6"/>
    <w:rsid w:val="1BE8440E"/>
    <w:rsid w:val="1BEB0537"/>
    <w:rsid w:val="1D155CEE"/>
    <w:rsid w:val="1DFE1FA0"/>
    <w:rsid w:val="1E270837"/>
    <w:rsid w:val="1EC361A4"/>
    <w:rsid w:val="1FF35744"/>
    <w:rsid w:val="21CC5486"/>
    <w:rsid w:val="22307384"/>
    <w:rsid w:val="23860B96"/>
    <w:rsid w:val="240371BF"/>
    <w:rsid w:val="240E5CC6"/>
    <w:rsid w:val="2538775C"/>
    <w:rsid w:val="26C26CF7"/>
    <w:rsid w:val="28397CDC"/>
    <w:rsid w:val="29813F30"/>
    <w:rsid w:val="29FD04D3"/>
    <w:rsid w:val="2A1262DA"/>
    <w:rsid w:val="2C8A61B5"/>
    <w:rsid w:val="2DF04E50"/>
    <w:rsid w:val="2E5A3799"/>
    <w:rsid w:val="2ECB74BA"/>
    <w:rsid w:val="2F040D46"/>
    <w:rsid w:val="2FAE5402"/>
    <w:rsid w:val="2FE30054"/>
    <w:rsid w:val="306D4B10"/>
    <w:rsid w:val="319F7F4E"/>
    <w:rsid w:val="31A54284"/>
    <w:rsid w:val="323D70D2"/>
    <w:rsid w:val="325D030E"/>
    <w:rsid w:val="32A9493D"/>
    <w:rsid w:val="3304709D"/>
    <w:rsid w:val="330B1E75"/>
    <w:rsid w:val="33A66308"/>
    <w:rsid w:val="34B777B3"/>
    <w:rsid w:val="34EC77A1"/>
    <w:rsid w:val="35375618"/>
    <w:rsid w:val="36AA5135"/>
    <w:rsid w:val="37306987"/>
    <w:rsid w:val="376D39B2"/>
    <w:rsid w:val="37E16F03"/>
    <w:rsid w:val="37FF41CE"/>
    <w:rsid w:val="38A13EE3"/>
    <w:rsid w:val="38D469F0"/>
    <w:rsid w:val="3A265085"/>
    <w:rsid w:val="3A9B4763"/>
    <w:rsid w:val="3D98207C"/>
    <w:rsid w:val="3E2C61DB"/>
    <w:rsid w:val="3E78745D"/>
    <w:rsid w:val="3F82710F"/>
    <w:rsid w:val="42056761"/>
    <w:rsid w:val="43550906"/>
    <w:rsid w:val="43BC62B5"/>
    <w:rsid w:val="44E268DA"/>
    <w:rsid w:val="451B2DF5"/>
    <w:rsid w:val="4583699D"/>
    <w:rsid w:val="45B2087F"/>
    <w:rsid w:val="467B618C"/>
    <w:rsid w:val="488D7D82"/>
    <w:rsid w:val="4A627F82"/>
    <w:rsid w:val="4ABE2AF3"/>
    <w:rsid w:val="4B0E749A"/>
    <w:rsid w:val="4B4F25DA"/>
    <w:rsid w:val="4BE068DB"/>
    <w:rsid w:val="4C351649"/>
    <w:rsid w:val="4D577224"/>
    <w:rsid w:val="4DA07F9C"/>
    <w:rsid w:val="4EAB630A"/>
    <w:rsid w:val="4ECE2238"/>
    <w:rsid w:val="4EEA6C06"/>
    <w:rsid w:val="4F992E4A"/>
    <w:rsid w:val="527A4985"/>
    <w:rsid w:val="52885D6E"/>
    <w:rsid w:val="537E6D0A"/>
    <w:rsid w:val="539B0015"/>
    <w:rsid w:val="576956F6"/>
    <w:rsid w:val="589C4322"/>
    <w:rsid w:val="58AC0BF6"/>
    <w:rsid w:val="58EE582A"/>
    <w:rsid w:val="59096793"/>
    <w:rsid w:val="5AF92295"/>
    <w:rsid w:val="5BA466A3"/>
    <w:rsid w:val="5C3A23F1"/>
    <w:rsid w:val="5CD71FC4"/>
    <w:rsid w:val="5CF175E5"/>
    <w:rsid w:val="5D504F6B"/>
    <w:rsid w:val="5DB37829"/>
    <w:rsid w:val="5E3BD9D7"/>
    <w:rsid w:val="5E7B17AF"/>
    <w:rsid w:val="5EF03B48"/>
    <w:rsid w:val="5FFE692D"/>
    <w:rsid w:val="610832EF"/>
    <w:rsid w:val="613958E9"/>
    <w:rsid w:val="619F2CB5"/>
    <w:rsid w:val="63487723"/>
    <w:rsid w:val="666E37D5"/>
    <w:rsid w:val="6697005E"/>
    <w:rsid w:val="679A2115"/>
    <w:rsid w:val="67C61CAF"/>
    <w:rsid w:val="687A1573"/>
    <w:rsid w:val="68EF365D"/>
    <w:rsid w:val="68F37AAA"/>
    <w:rsid w:val="6AD434B1"/>
    <w:rsid w:val="6ADF69B9"/>
    <w:rsid w:val="6C4A05C8"/>
    <w:rsid w:val="6CC80F39"/>
    <w:rsid w:val="6E5E34F1"/>
    <w:rsid w:val="6E7E3605"/>
    <w:rsid w:val="6E8864BA"/>
    <w:rsid w:val="6EEA64F9"/>
    <w:rsid w:val="6FF5CC65"/>
    <w:rsid w:val="71302AFD"/>
    <w:rsid w:val="715C0E4B"/>
    <w:rsid w:val="72734D90"/>
    <w:rsid w:val="72C232B3"/>
    <w:rsid w:val="72CFEC3E"/>
    <w:rsid w:val="731E3085"/>
    <w:rsid w:val="73AD73D5"/>
    <w:rsid w:val="73B6EB34"/>
    <w:rsid w:val="744731E5"/>
    <w:rsid w:val="74EB60AD"/>
    <w:rsid w:val="767E397C"/>
    <w:rsid w:val="76B822CB"/>
    <w:rsid w:val="76E3355F"/>
    <w:rsid w:val="778769C8"/>
    <w:rsid w:val="792E27DA"/>
    <w:rsid w:val="79EE5BA4"/>
    <w:rsid w:val="7A894339"/>
    <w:rsid w:val="7ABC159E"/>
    <w:rsid w:val="7BAFB79F"/>
    <w:rsid w:val="7BEB053E"/>
    <w:rsid w:val="7BF97831"/>
    <w:rsid w:val="7BFE6AF1"/>
    <w:rsid w:val="7CD750DF"/>
    <w:rsid w:val="7D0211AE"/>
    <w:rsid w:val="7DBC785F"/>
    <w:rsid w:val="7E52017D"/>
    <w:rsid w:val="7EBD0EA6"/>
    <w:rsid w:val="7EDE4CA2"/>
    <w:rsid w:val="7EEF11D3"/>
    <w:rsid w:val="7F2B555A"/>
    <w:rsid w:val="7FA30C79"/>
    <w:rsid w:val="7FB7269E"/>
    <w:rsid w:val="7FC96657"/>
    <w:rsid w:val="7FD3250E"/>
    <w:rsid w:val="B4CFAE34"/>
    <w:rsid w:val="D8D6DB89"/>
    <w:rsid w:val="DB6F4CAB"/>
    <w:rsid w:val="DDEF9212"/>
    <w:rsid w:val="DF6F9789"/>
    <w:rsid w:val="E87FDFFA"/>
    <w:rsid w:val="E9FFD2FB"/>
    <w:rsid w:val="EB2DB28E"/>
    <w:rsid w:val="F3CF1C9A"/>
    <w:rsid w:val="FDFCF998"/>
    <w:rsid w:val="FE3A5065"/>
    <w:rsid w:val="FE7DB5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widowControl w:val="0"/>
      <w:suppressAutoHyphens/>
      <w:spacing w:before="280" w:beforeAutospacing="0" w:after="290" w:afterAutospacing="0" w:line="372" w:lineRule="auto"/>
      <w:outlineLvl w:val="3"/>
    </w:pPr>
    <w:rPr>
      <w:rFonts w:ascii="Arial" w:hAnsi="Arial" w:eastAsia="黑体"/>
      <w:b/>
      <w:sz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6"/>
    <w:qFormat/>
    <w:uiPriority w:val="99"/>
    <w:pPr>
      <w:spacing w:beforeLines="30"/>
    </w:pPr>
    <w:rPr>
      <w:rFonts w:ascii="仿宋_GB2312" w:eastAsia="仿宋_GB2312"/>
      <w:kern w:val="0"/>
      <w:sz w:val="30"/>
    </w:rPr>
  </w:style>
  <w:style w:type="paragraph" w:styleId="7">
    <w:name w:val="annotation text"/>
    <w:basedOn w:val="1"/>
    <w:qFormat/>
    <w:uiPriority w:val="0"/>
    <w:pPr>
      <w:jc w:val="left"/>
    </w:pPr>
    <w:rPr>
      <w:rFonts w:ascii="Calibri" w:hAnsi="Calibri" w:cs="Calibri"/>
      <w:szCs w:val="21"/>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Plain Text"/>
    <w:next w:val="1"/>
    <w:qFormat/>
    <w:uiPriority w:val="0"/>
    <w:pPr>
      <w:widowControl w:val="0"/>
      <w:suppressAutoHyphens/>
      <w:jc w:val="both"/>
    </w:pPr>
    <w:rPr>
      <w:rFonts w:ascii="宋体" w:hAnsi="Times New Roman" w:eastAsia="宋体" w:cs="Courier New"/>
      <w:kern w:val="2"/>
      <w:sz w:val="21"/>
      <w:szCs w:val="21"/>
      <w:lang w:val="en-US" w:eastAsia="zh-CN" w:bidi="ar-SA"/>
    </w:rPr>
  </w:style>
  <w:style w:type="paragraph" w:styleId="11">
    <w:name w:val="Body Text Indent 2"/>
    <w:basedOn w:val="1"/>
    <w:qFormat/>
    <w:uiPriority w:val="99"/>
    <w:pPr>
      <w:spacing w:after="120" w:line="480" w:lineRule="auto"/>
      <w:ind w:left="420"/>
    </w:pPr>
  </w:style>
  <w:style w:type="paragraph" w:styleId="12">
    <w:name w:val="Balloon Text"/>
    <w:basedOn w:val="1"/>
    <w:link w:val="40"/>
    <w:semiHidden/>
    <w:unhideWhenUsed/>
    <w:qFormat/>
    <w:uiPriority w:val="99"/>
    <w:rPr>
      <w:sz w:val="18"/>
      <w:szCs w:val="18"/>
    </w:rPr>
  </w:style>
  <w:style w:type="paragraph" w:styleId="13">
    <w:name w:val="footer"/>
    <w:basedOn w:val="1"/>
    <w:link w:val="34"/>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3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able of figures"/>
    <w:basedOn w:val="1"/>
    <w:next w:val="1"/>
    <w:qFormat/>
    <w:uiPriority w:val="0"/>
    <w:pPr>
      <w:ind w:left="400" w:leftChars="200" w:hanging="200" w:hangingChars="200"/>
    </w:pPr>
    <w:rPr>
      <w:rFonts w:ascii="Calibri" w:hAnsi="Calibri" w:cs="Calibri"/>
      <w:szCs w:val="21"/>
    </w:rPr>
  </w:style>
  <w:style w:type="paragraph" w:styleId="17">
    <w:name w:val="toc 2"/>
    <w:basedOn w:val="1"/>
    <w:next w:val="1"/>
    <w:unhideWhenUsed/>
    <w:qFormat/>
    <w:uiPriority w:val="39"/>
    <w:pPr>
      <w:tabs>
        <w:tab w:val="right" w:leader="dot" w:pos="8296"/>
      </w:tabs>
      <w:ind w:left="420" w:leftChars="200"/>
    </w:pPr>
  </w:style>
  <w:style w:type="paragraph" w:styleId="18">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9">
    <w:name w:val="annotation subject"/>
    <w:basedOn w:val="7"/>
    <w:next w:val="7"/>
    <w:qFormat/>
    <w:uiPriority w:val="0"/>
    <w:rPr>
      <w:b/>
      <w:bCs/>
    </w:rPr>
  </w:style>
  <w:style w:type="paragraph" w:styleId="20">
    <w:name w:val="Body Text First Indent 2"/>
    <w:basedOn w:val="8"/>
    <w:unhideWhenUsed/>
    <w:qFormat/>
    <w:uiPriority w:val="99"/>
    <w:pPr>
      <w:ind w:firstLine="420" w:firstLineChars="200"/>
    </w:pPr>
  </w:style>
  <w:style w:type="character" w:styleId="23">
    <w:name w:val="Strong"/>
    <w:basedOn w:val="22"/>
    <w:qFormat/>
    <w:uiPriority w:val="99"/>
    <w:rPr>
      <w:b/>
    </w:rPr>
  </w:style>
  <w:style w:type="character" w:styleId="24">
    <w:name w:val="page number"/>
    <w:basedOn w:val="22"/>
    <w:qFormat/>
    <w:uiPriority w:val="99"/>
  </w:style>
  <w:style w:type="character" w:styleId="25">
    <w:name w:val="Hyperlink"/>
    <w:basedOn w:val="22"/>
    <w:unhideWhenUsed/>
    <w:qFormat/>
    <w:uiPriority w:val="99"/>
    <w:rPr>
      <w:color w:val="0000FF" w:themeColor="hyperlink"/>
      <w:u w:val="single"/>
      <w14:textFill>
        <w14:solidFill>
          <w14:schemeClr w14:val="hlink"/>
        </w14:solidFill>
      </w14:textFill>
    </w:rPr>
  </w:style>
  <w:style w:type="character" w:customStyle="1" w:styleId="26">
    <w:name w:val="标题 1 Char"/>
    <w:basedOn w:val="22"/>
    <w:link w:val="3"/>
    <w:qFormat/>
    <w:uiPriority w:val="9"/>
    <w:rPr>
      <w:rFonts w:ascii="Times New Roman" w:hAnsi="Times New Roman"/>
      <w:b/>
      <w:bCs/>
      <w:kern w:val="44"/>
      <w:sz w:val="44"/>
      <w:szCs w:val="44"/>
    </w:rPr>
  </w:style>
  <w:style w:type="character" w:customStyle="1" w:styleId="27">
    <w:name w:val="标题 2 Char"/>
    <w:basedOn w:val="22"/>
    <w:link w:val="4"/>
    <w:qFormat/>
    <w:uiPriority w:val="9"/>
    <w:rPr>
      <w:rFonts w:asciiTheme="majorHAnsi" w:hAnsiTheme="majorHAnsi" w:eastAsiaTheme="majorEastAsia" w:cstheme="majorBidi"/>
      <w:b/>
      <w:bCs/>
      <w:kern w:val="2"/>
      <w:sz w:val="32"/>
      <w:szCs w:val="32"/>
    </w:rPr>
  </w:style>
  <w:style w:type="character" w:customStyle="1" w:styleId="28">
    <w:name w:val="标题 3 Char"/>
    <w:basedOn w:val="22"/>
    <w:link w:val="5"/>
    <w:qFormat/>
    <w:uiPriority w:val="9"/>
    <w:rPr>
      <w:rFonts w:ascii="Times New Roman" w:hAnsi="Times New Roman"/>
      <w:b/>
      <w:bCs/>
      <w:kern w:val="2"/>
      <w:sz w:val="32"/>
      <w:szCs w:val="32"/>
    </w:rPr>
  </w:style>
  <w:style w:type="paragraph" w:customStyle="1" w:styleId="29">
    <w:name w:val="BodyTextIndent2"/>
    <w:basedOn w:val="1"/>
    <w:qFormat/>
    <w:uiPriority w:val="0"/>
    <w:pPr>
      <w:spacing w:after="120" w:line="480" w:lineRule="auto"/>
      <w:ind w:left="420"/>
      <w:textAlignment w:val="baseline"/>
    </w:pPr>
  </w:style>
  <w:style w:type="paragraph" w:customStyle="1" w:styleId="3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31">
    <w:name w:val="Header Char"/>
    <w:basedOn w:val="22"/>
    <w:semiHidden/>
    <w:qFormat/>
    <w:uiPriority w:val="99"/>
    <w:rPr>
      <w:rFonts w:ascii="Times New Roman" w:hAnsi="Times New Roman"/>
      <w:sz w:val="18"/>
      <w:szCs w:val="18"/>
    </w:rPr>
  </w:style>
  <w:style w:type="character" w:customStyle="1" w:styleId="32">
    <w:name w:val="页眉 Char"/>
    <w:link w:val="14"/>
    <w:semiHidden/>
    <w:qFormat/>
    <w:locked/>
    <w:uiPriority w:val="99"/>
    <w:rPr>
      <w:sz w:val="18"/>
    </w:rPr>
  </w:style>
  <w:style w:type="character" w:customStyle="1" w:styleId="33">
    <w:name w:val="Footer Char"/>
    <w:basedOn w:val="22"/>
    <w:semiHidden/>
    <w:qFormat/>
    <w:uiPriority w:val="99"/>
    <w:rPr>
      <w:rFonts w:ascii="Times New Roman" w:hAnsi="Times New Roman"/>
      <w:sz w:val="18"/>
      <w:szCs w:val="18"/>
    </w:rPr>
  </w:style>
  <w:style w:type="character" w:customStyle="1" w:styleId="34">
    <w:name w:val="页脚 Char"/>
    <w:link w:val="13"/>
    <w:qFormat/>
    <w:locked/>
    <w:uiPriority w:val="99"/>
    <w:rPr>
      <w:sz w:val="18"/>
    </w:rPr>
  </w:style>
  <w:style w:type="character" w:customStyle="1" w:styleId="35">
    <w:name w:val="Body Text Char"/>
    <w:basedOn w:val="22"/>
    <w:semiHidden/>
    <w:qFormat/>
    <w:uiPriority w:val="99"/>
    <w:rPr>
      <w:rFonts w:ascii="Times New Roman" w:hAnsi="Times New Roman"/>
      <w:szCs w:val="24"/>
    </w:rPr>
  </w:style>
  <w:style w:type="character" w:customStyle="1" w:styleId="36">
    <w:name w:val="正文文本 Char"/>
    <w:link w:val="2"/>
    <w:qFormat/>
    <w:locked/>
    <w:uiPriority w:val="99"/>
    <w:rPr>
      <w:rFonts w:ascii="仿宋_GB2312" w:hAnsi="Times New Roman" w:eastAsia="仿宋_GB2312"/>
      <w:sz w:val="24"/>
    </w:rPr>
  </w:style>
  <w:style w:type="paragraph" w:customStyle="1" w:styleId="3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8">
    <w:name w:val="List Paragraph"/>
    <w:basedOn w:val="1"/>
    <w:qFormat/>
    <w:uiPriority w:val="34"/>
    <w:pPr>
      <w:ind w:firstLine="420" w:firstLineChars="200"/>
    </w:pPr>
  </w:style>
  <w:style w:type="paragraph" w:customStyle="1" w:styleId="3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0">
    <w:name w:val="批注框文本 Char"/>
    <w:basedOn w:val="22"/>
    <w:link w:val="12"/>
    <w:semiHidden/>
    <w:qFormat/>
    <w:uiPriority w:val="99"/>
    <w:rPr>
      <w:rFonts w:ascii="Times New Roman" w:hAnsi="Times New Roman"/>
      <w:kern w:val="2"/>
      <w:sz w:val="18"/>
      <w:szCs w:val="18"/>
    </w:rPr>
  </w:style>
  <w:style w:type="paragraph" w:customStyle="1" w:styleId="41">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42">
    <w:name w:val="四号正文"/>
    <w:basedOn w:val="1"/>
    <w:qFormat/>
    <w:uiPriority w:val="0"/>
    <w:pPr>
      <w:spacing w:line="360" w:lineRule="auto"/>
    </w:pPr>
    <w:rPr>
      <w:rFonts w:ascii="??" w:hAnsi="??"/>
      <w:color w:val="000000"/>
      <w:kern w:val="0"/>
      <w:sz w:val="28"/>
      <w:szCs w:val="21"/>
      <w:lang w:val="zh-CN"/>
    </w:rPr>
  </w:style>
  <w:style w:type="character" w:customStyle="1" w:styleId="43">
    <w:name w:val="NormalCharacter"/>
    <w:qFormat/>
    <w:uiPriority w:val="0"/>
    <w:rPr>
      <w:kern w:val="2"/>
      <w:sz w:val="21"/>
      <w:szCs w:val="24"/>
      <w:lang w:val="en-US" w:eastAsia="zh-CN" w:bidi="ar-SA"/>
    </w:rPr>
  </w:style>
  <w:style w:type="paragraph" w:customStyle="1" w:styleId="44">
    <w:name w:val="样式 行距: 固定值 28.9 磅"/>
    <w:basedOn w:val="1"/>
    <w:next w:val="45"/>
    <w:qFormat/>
    <w:uiPriority w:val="0"/>
    <w:pPr>
      <w:spacing w:line="578" w:lineRule="exact"/>
    </w:pPr>
    <w:rPr>
      <w:rFonts w:cs="宋体"/>
      <w:szCs w:val="20"/>
    </w:rPr>
  </w:style>
  <w:style w:type="paragraph" w:customStyle="1" w:styleId="45">
    <w:name w:val="Heading"/>
    <w:basedOn w:val="1"/>
    <w:next w:val="2"/>
    <w:qFormat/>
    <w:uiPriority w:val="0"/>
    <w:pPr>
      <w:keepNext/>
      <w:suppressAutoHyphens/>
      <w:spacing w:before="240" w:after="120"/>
    </w:pPr>
    <w:rPr>
      <w:rFonts w:ascii="Liberation Sans" w:hAnsi="Liberation Sans" w:eastAsia="Noto Sans CJK SC Regular" w:cs="Noto Sans CJK SC Regular"/>
      <w:sz w:val="28"/>
      <w:szCs w:val="28"/>
    </w:rPr>
  </w:style>
  <w:style w:type="character" w:customStyle="1" w:styleId="46">
    <w:name w:val="font61"/>
    <w:basedOn w:val="22"/>
    <w:qFormat/>
    <w:uiPriority w:val="0"/>
    <w:rPr>
      <w:rFonts w:hint="eastAsia" w:ascii="宋体" w:hAnsi="宋体" w:eastAsia="宋体" w:cs="宋体"/>
      <w:color w:val="000000"/>
      <w:sz w:val="18"/>
      <w:szCs w:val="18"/>
      <w:u w:val="none"/>
    </w:rPr>
  </w:style>
  <w:style w:type="character" w:customStyle="1" w:styleId="47">
    <w:name w:val="font51"/>
    <w:basedOn w:val="22"/>
    <w:qFormat/>
    <w:uiPriority w:val="0"/>
    <w:rPr>
      <w:rFonts w:hint="eastAsia" w:ascii="宋体" w:hAnsi="宋体" w:eastAsia="宋体" w:cs="宋体"/>
      <w:color w:val="000000"/>
      <w:sz w:val="18"/>
      <w:szCs w:val="18"/>
      <w:u w:val="none"/>
    </w:rPr>
  </w:style>
  <w:style w:type="character" w:customStyle="1" w:styleId="48">
    <w:name w:val="font71"/>
    <w:basedOn w:val="22"/>
    <w:qFormat/>
    <w:uiPriority w:val="0"/>
    <w:rPr>
      <w:rFonts w:hint="eastAsia" w:ascii="宋体" w:hAnsi="宋体" w:eastAsia="宋体" w:cs="宋体"/>
      <w:color w:val="000000"/>
      <w:sz w:val="18"/>
      <w:szCs w:val="18"/>
      <w:u w:val="none"/>
    </w:rPr>
  </w:style>
  <w:style w:type="paragraph" w:customStyle="1" w:styleId="49">
    <w:name w:val="Char"/>
    <w:basedOn w:val="1"/>
    <w:qFormat/>
    <w:uiPriority w:val="99"/>
    <w:pPr>
      <w:widowControl/>
      <w:spacing w:after="160" w:line="240" w:lineRule="exact"/>
      <w:jc w:val="left"/>
    </w:pPr>
  </w:style>
  <w:style w:type="character" w:customStyle="1" w:styleId="50">
    <w:name w:val="font11"/>
    <w:basedOn w:val="22"/>
    <w:qFormat/>
    <w:uiPriority w:val="0"/>
    <w:rPr>
      <w:rFonts w:hint="eastAsia" w:ascii="宋体" w:hAnsi="宋体" w:eastAsia="宋体" w:cs="宋体"/>
      <w:b/>
      <w:bCs/>
      <w:color w:val="000000"/>
      <w:sz w:val="32"/>
      <w:szCs w:val="32"/>
      <w:u w:val="none"/>
    </w:rPr>
  </w:style>
  <w:style w:type="character" w:customStyle="1" w:styleId="51">
    <w:name w:val="font21"/>
    <w:basedOn w:val="22"/>
    <w:qFormat/>
    <w:uiPriority w:val="0"/>
    <w:rPr>
      <w:rFonts w:hint="eastAsia" w:ascii="宋体" w:hAnsi="宋体" w:eastAsia="宋体" w:cs="宋体"/>
      <w:color w:val="000000"/>
      <w:sz w:val="20"/>
      <w:szCs w:val="20"/>
      <w:u w:val="none"/>
    </w:rPr>
  </w:style>
  <w:style w:type="paragraph" w:customStyle="1" w:styleId="52">
    <w:name w:val="正文 A"/>
    <w:qFormat/>
    <w:uiPriority w:val="0"/>
    <w:pPr>
      <w:framePr w:wrap="around" w:vAnchor="margin" w:hAnchor="text" w:y="1"/>
      <w:widowControl w:val="0"/>
      <w:jc w:val="both"/>
    </w:pPr>
    <w:rPr>
      <w:rFonts w:ascii="Times New Roman" w:hAnsi="Times New Roman" w:eastAsia="宋体" w:cs="Arial Unicode MS"/>
      <w:color w:val="000000"/>
      <w:kern w:val="2"/>
      <w:sz w:val="21"/>
      <w:szCs w:val="21"/>
      <w:u w:color="000000"/>
      <w:lang w:val="en-US" w:eastAsia="zh-CN" w:bidi="ar-SA"/>
    </w:rPr>
  </w:style>
  <w:style w:type="character" w:customStyle="1" w:styleId="53">
    <w:name w:val="font81"/>
    <w:basedOn w:val="22"/>
    <w:qFormat/>
    <w:uiPriority w:val="0"/>
    <w:rPr>
      <w:rFonts w:hint="eastAsia" w:ascii="方正小标宋简体" w:hAnsi="方正小标宋简体" w:eastAsia="方正小标宋简体" w:cs="方正小标宋简体"/>
      <w:color w:val="000000"/>
      <w:sz w:val="32"/>
      <w:szCs w:val="32"/>
      <w:u w:val="none"/>
    </w:rPr>
  </w:style>
  <w:style w:type="character" w:customStyle="1" w:styleId="54">
    <w:name w:val="font01"/>
    <w:basedOn w:val="22"/>
    <w:qFormat/>
    <w:uiPriority w:val="0"/>
    <w:rPr>
      <w:rFonts w:hint="eastAsia" w:ascii="宋体" w:hAnsi="宋体" w:eastAsia="宋体" w:cs="宋体"/>
      <w:color w:val="000000"/>
      <w:sz w:val="22"/>
      <w:szCs w:val="22"/>
      <w:u w:val="none"/>
    </w:rPr>
  </w:style>
  <w:style w:type="character" w:customStyle="1" w:styleId="55">
    <w:name w:val="font91"/>
    <w:basedOn w:val="22"/>
    <w:qFormat/>
    <w:uiPriority w:val="0"/>
    <w:rPr>
      <w:rFonts w:ascii="Arial" w:hAnsi="Arial" w:cs="Arial"/>
      <w:color w:val="000000"/>
      <w:sz w:val="20"/>
      <w:szCs w:val="20"/>
      <w:u w:val="none"/>
    </w:rPr>
  </w:style>
  <w:style w:type="character" w:customStyle="1" w:styleId="56">
    <w:name w:val="font171"/>
    <w:basedOn w:val="22"/>
    <w:qFormat/>
    <w:uiPriority w:val="0"/>
    <w:rPr>
      <w:rFonts w:hint="eastAsia" w:ascii="宋体" w:hAnsi="宋体" w:eastAsia="宋体" w:cs="宋体"/>
      <w:color w:val="000000"/>
      <w:sz w:val="20"/>
      <w:szCs w:val="20"/>
      <w:u w:val="none"/>
    </w:rPr>
  </w:style>
  <w:style w:type="character" w:customStyle="1" w:styleId="57">
    <w:name w:val="font181"/>
    <w:basedOn w:val="22"/>
    <w:qFormat/>
    <w:uiPriority w:val="0"/>
    <w:rPr>
      <w:rFonts w:hint="eastAsia" w:ascii="宋体" w:hAnsi="宋体" w:eastAsia="宋体" w:cs="宋体"/>
      <w:color w:val="000000"/>
      <w:sz w:val="20"/>
      <w:szCs w:val="20"/>
      <w:u w:val="none"/>
    </w:rPr>
  </w:style>
  <w:style w:type="character" w:customStyle="1" w:styleId="58">
    <w:name w:val="font41"/>
    <w:basedOn w:val="22"/>
    <w:qFormat/>
    <w:uiPriority w:val="0"/>
    <w:rPr>
      <w:rFonts w:hint="eastAsia" w:ascii="黑体" w:hAnsi="黑体" w:eastAsia="黑体" w:cs="黑体"/>
      <w:color w:val="000000"/>
      <w:sz w:val="18"/>
      <w:szCs w:val="18"/>
      <w:u w:val="none"/>
    </w:rPr>
  </w:style>
  <w:style w:type="character" w:customStyle="1" w:styleId="59">
    <w:name w:val="font111"/>
    <w:basedOn w:val="22"/>
    <w:qFormat/>
    <w:uiPriority w:val="0"/>
    <w:rPr>
      <w:rFonts w:hint="eastAsia" w:ascii="黑体" w:hAnsi="黑体" w:eastAsia="黑体" w:cs="黑体"/>
      <w:color w:val="000000"/>
      <w:sz w:val="18"/>
      <w:szCs w:val="18"/>
      <w:u w:val="none"/>
    </w:rPr>
  </w:style>
  <w:style w:type="paragraph" w:customStyle="1" w:styleId="60">
    <w:name w:val="Body Text First Indent 21"/>
    <w:next w:val="1"/>
    <w:qFormat/>
    <w:uiPriority w:val="0"/>
    <w:pPr>
      <w:widowControl w:val="0"/>
      <w:spacing w:line="600" w:lineRule="atLeast"/>
      <w:ind w:firstLine="420"/>
      <w:jc w:val="both"/>
    </w:pPr>
    <w:rPr>
      <w:rFonts w:ascii="Times New Roman" w:hAnsi="Times New Roman" w:eastAsia="宋体" w:cs="Times New Roman"/>
      <w:b/>
      <w:bCs/>
      <w:kern w:val="2"/>
      <w:sz w:val="30"/>
      <w:szCs w:val="3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7.xml"/><Relationship Id="rId18" Type="http://schemas.openxmlformats.org/officeDocument/2006/relationships/chart" Target="charts/chart6.xml"/><Relationship Id="rId17" Type="http://schemas.openxmlformats.org/officeDocument/2006/relationships/chart" Target="charts/chart5.xml"/><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036524413687"/>
          <c:y val="0.106910039113429"/>
          <c:w val="0.891118800461361"/>
          <c:h val="0.816531942633638"/>
        </c:manualLayout>
      </c:layout>
      <c:barChart>
        <c:barDir val="col"/>
        <c:grouping val="stacked"/>
        <c:varyColors val="0"/>
        <c:ser>
          <c:idx val="0"/>
          <c:order val="0"/>
          <c:tx>
            <c:strRef>
              <c:f>Sheet1!$B$1</c:f>
              <c:strCache>
                <c:ptCount val="1"/>
                <c:pt idx="0">
                  <c:v>收、支决算总计</c:v>
                </c:pt>
              </c:strCache>
            </c:strRef>
          </c:tx>
          <c:spPr>
            <a:solidFill>
              <a:schemeClr val="accent1"/>
            </a:solidFill>
            <a:ln>
              <a:noFill/>
            </a:ln>
            <a:effectLst/>
          </c:spPr>
          <c:invertIfNegative val="0"/>
          <c:dLbls>
            <c:dLbl>
              <c:idx val="0"/>
              <c:layout>
                <c:manualLayout>
                  <c:x val="0.438036652569524"/>
                  <c:y val="0.0114483370273799"/>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2280.29</a:t>
                    </a:r>
                    <a:r>
                      <a:rPr lang="zh-CN" altLang="en-US"/>
                      <a:t>万元</a:t>
                    </a:r>
                    <a:endParaRPr lang="zh-CN" altLang="en-US"/>
                  </a:p>
                </c:rich>
              </c:tx>
              <c:dLblPos val="ctr"/>
              <c:showLegendKey val="0"/>
              <c:showVal val="1"/>
              <c:showCatName val="0"/>
              <c:showSerName val="0"/>
              <c:showPercent val="0"/>
              <c:showBubbleSize val="0"/>
              <c:extLst>
                <c:ext xmlns:c15="http://schemas.microsoft.com/office/drawing/2012/chart" uri="{CE6537A1-D6FC-4f65-9D91-7224C49458BB}">
                  <c15:layout>
                    <c:manualLayout>
                      <c:w val="0.142765602973215"/>
                      <c:h val="0.13142112125163"/>
                    </c:manualLayout>
                  </c15:layout>
                </c:ext>
              </c:extLst>
            </c:dLbl>
            <c:dLbl>
              <c:idx val="1"/>
              <c:layout>
                <c:manualLayout>
                  <c:x val="-0.445213379469435"/>
                  <c:y val="-0.61851368970013"/>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2499.57</a:t>
                    </a:r>
                    <a:r>
                      <a:rPr lang="zh-CN" altLang="en-US"/>
                      <a:t>万元</a:t>
                    </a:r>
                    <a:endParaRPr lang="zh-CN" altLang="en-US"/>
                  </a:p>
                </c:rich>
              </c:tx>
              <c:dLblPos val="ctr"/>
              <c:showLegendKey val="0"/>
              <c:showVal val="1"/>
              <c:showCatName val="0"/>
              <c:showSerName val="0"/>
              <c:showPercent val="0"/>
              <c:showBubbleSize val="0"/>
              <c:extLst>
                <c:ext xmlns:c15="http://schemas.microsoft.com/office/drawing/2012/chart" uri="{CE6537A1-D6FC-4f65-9D91-7224C49458BB}">
                  <c15:layout>
                    <c:manualLayout>
                      <c:w val="0.141355888760733"/>
                      <c:h val="0.156975228161669"/>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2499.57</c:v>
                </c:pt>
                <c:pt idx="1">
                  <c:v>2280.29</c:v>
                </c:pt>
              </c:numCache>
            </c:numRef>
          </c:val>
        </c:ser>
        <c:dLbls>
          <c:showLegendKey val="0"/>
          <c:showVal val="1"/>
          <c:showCatName val="0"/>
          <c:showSerName val="0"/>
          <c:showPercent val="0"/>
          <c:showBubbleSize val="0"/>
        </c:dLbls>
        <c:gapWidth val="150"/>
        <c:overlap val="100"/>
        <c:axId val="102998016"/>
        <c:axId val="103000704"/>
      </c:barChart>
      <c:catAx>
        <c:axId val="1029980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3000704"/>
        <c:crosses val="autoZero"/>
        <c:auto val="1"/>
        <c:lblAlgn val="ctr"/>
        <c:lblOffset val="100"/>
        <c:noMultiLvlLbl val="0"/>
      </c:catAx>
      <c:valAx>
        <c:axId val="1030007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2998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manualLayout>
          <c:layoutTarget val="inner"/>
          <c:xMode val="edge"/>
          <c:yMode val="edge"/>
          <c:x val="0.286516103167179"/>
          <c:y val="0.198483496877788"/>
          <c:w val="0.412935988240011"/>
          <c:h val="0.689116859946476"/>
        </c:manualLayout>
      </c:layout>
      <c:pieChart>
        <c:varyColors val="1"/>
        <c:ser>
          <c:idx val="0"/>
          <c:order val="0"/>
          <c:tx>
            <c:strRef>
              <c:f>Sheet1!$A$2</c:f>
              <c:strCache>
                <c:ptCount val="1"/>
                <c:pt idx="0">
                  <c:v>一般公共预算财政拨款收入</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c:spPr>
          </c:dPt>
          <c:dLbls>
            <c:dLbl>
              <c:idx val="0"/>
              <c:layout>
                <c:manualLayout>
                  <c:x val="0.0116802300654441"/>
                  <c:y val="-0.366284573114473"/>
                </c:manualLayout>
              </c:layout>
              <c:tx>
                <c:rich>
                  <a:bodyPr rot="0" spcFirstLastPara="0" vertOverflow="ellipsis" vert="horz" wrap="square" lIns="38100" tIns="19050" rIns="38100" bIns="19050" anchor="ctr" anchorCtr="1"/>
                  <a:lstStyle/>
                  <a:p>
                    <a:pPr defTabSz="914400">
                      <a:defRPr lang="zh-CN" sz="1000" b="1" i="0" u="none" strike="noStrike" kern="1200" spc="0" baseline="0">
                        <a:solidFill>
                          <a:schemeClr val="accent1"/>
                        </a:solidFill>
                        <a:latin typeface="+mn-lt"/>
                        <a:ea typeface="+mn-ea"/>
                        <a:cs typeface="+mn-cs"/>
                      </a:defRPr>
                    </a:pPr>
                  </a:p>
                  <a:p>
                    <a:pPr defTabSz="914400">
                      <a:defRPr lang="zh-CN" sz="1000" b="1" i="0" u="none" strike="noStrike" kern="1200" spc="0" baseline="0">
                        <a:solidFill>
                          <a:schemeClr val="accent1"/>
                        </a:solidFill>
                        <a:latin typeface="+mn-lt"/>
                        <a:ea typeface="+mn-ea"/>
                        <a:cs typeface="+mn-cs"/>
                      </a:defRPr>
                    </a:pPr>
                    <a:r>
                      <a:rPr sz="1600">
                        <a:solidFill>
                          <a:sysClr val="windowText" lastClr="000000"/>
                        </a:solidFill>
                        <a:uFillTx/>
                      </a:rPr>
                      <a:t>100%</a:t>
                    </a:r>
                    <a:endParaRPr sz="1600">
                      <a:solidFill>
                        <a:sysClr val="windowText" lastClr="000000"/>
                      </a:solidFill>
                      <a:uFillTx/>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2568093385214"/>
                      <c:h val="0.174561580326547"/>
                    </c:manualLayout>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c:f>
              <c:strCache>
                <c:ptCount val="1"/>
                <c:pt idx="0">
                  <c:v>销售额</c:v>
                </c:pt>
              </c:strCache>
            </c:strRef>
          </c:cat>
          <c:val>
            <c:numRef>
              <c:f>Sheet1!$B$2</c:f>
              <c:numCache>
                <c:formatCode>General</c:formatCode>
                <c:ptCount val="1"/>
                <c:pt idx="0">
                  <c:v>2252.3</c:v>
                </c:pt>
              </c:numCache>
            </c:numRef>
          </c:val>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金额</c:v>
                </c:pt>
              </c:strCache>
            </c:strRef>
          </c:tx>
          <c:spPr/>
          <c:explosion val="0"/>
          <c:dPt>
            <c:idx val="0"/>
            <c:bubble3D val="0"/>
            <c:spPr>
              <a:solidFill>
                <a:schemeClr val="accent1"/>
              </a:solidFill>
              <a:ln>
                <a:solidFill>
                  <a:schemeClr val="bg1"/>
                </a:solidFill>
              </a:ln>
              <a:effectLst/>
            </c:spPr>
          </c:dPt>
          <c:dPt>
            <c:idx val="1"/>
            <c:bubble3D val="0"/>
            <c:spPr>
              <a:solidFill>
                <a:schemeClr val="accent3"/>
              </a:solidFill>
              <a:ln>
                <a:solidFill>
                  <a:schemeClr val="bg1"/>
                </a:solidFill>
              </a:ln>
              <a:effectLst/>
            </c:spPr>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t>816.48万元</a:t>
                    </a:r>
                  </a:p>
                  <a:p>
                    <a:pPr>
                      <a:defRPr lang="zh-CN" sz="1000" b="0" i="0" u="none" strike="noStrike" kern="1200" baseline="0">
                        <a:solidFill>
                          <a:schemeClr val="tx1">
                            <a:lumMod val="75000"/>
                            <a:lumOff val="25000"/>
                          </a:schemeClr>
                        </a:solidFill>
                        <a:latin typeface="+mn-lt"/>
                        <a:ea typeface="+mn-ea"/>
                        <a:cs typeface="+mn-cs"/>
                      </a:defRPr>
                    </a:pPr>
                    <a:r>
                      <a:t>占35.81%</a:t>
                    </a:r>
                  </a:p>
                </c:rich>
              </c:tx>
              <c:dLblPos val="inEnd"/>
              <c:showLegendKey val="0"/>
              <c:showVal val="1"/>
              <c:showCatName val="1"/>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t>1463.8万元</a:t>
                    </a:r>
                  </a:p>
                  <a:p>
                    <a:pPr>
                      <a:defRPr lang="zh-CN" sz="1000" b="0" i="0" u="none" strike="noStrike" kern="1200" baseline="0">
                        <a:solidFill>
                          <a:schemeClr val="tx1">
                            <a:lumMod val="75000"/>
                            <a:lumOff val="25000"/>
                          </a:schemeClr>
                        </a:solidFill>
                        <a:latin typeface="+mn-lt"/>
                        <a:ea typeface="+mn-ea"/>
                        <a:cs typeface="+mn-cs"/>
                      </a:defRPr>
                    </a:pPr>
                    <a:r>
                      <a:t>占64.19%</a:t>
                    </a:r>
                  </a:p>
                </c:rich>
              </c:tx>
              <c:dLblPos val="inEnd"/>
              <c:showLegendKey val="0"/>
              <c:showVal val="1"/>
              <c:showCatName val="1"/>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816.48</c:v>
                </c:pt>
                <c:pt idx="1">
                  <c:v>1463.8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367757544887"/>
          <c:y val="0.0351720647773279"/>
          <c:w val="0.891812046351713"/>
          <c:h val="0.789524291497976"/>
        </c:manualLayout>
      </c:layout>
      <c:barChart>
        <c:barDir val="col"/>
        <c:grouping val="stacked"/>
        <c:varyColors val="0"/>
        <c:ser>
          <c:idx val="0"/>
          <c:order val="0"/>
          <c:tx>
            <c:strRef>
              <c:f>Sheet1!$B$1</c:f>
              <c:strCache>
                <c:ptCount val="1"/>
                <c:pt idx="0">
                  <c:v>收、支决算总计</c:v>
                </c:pt>
              </c:strCache>
            </c:strRef>
          </c:tx>
          <c:spPr>
            <a:solidFill>
              <a:schemeClr val="accent1"/>
            </a:solidFill>
            <a:ln>
              <a:noFill/>
            </a:ln>
            <a:effectLst/>
          </c:spPr>
          <c:invertIfNegative val="0"/>
          <c:dLbls>
            <c:dLbl>
              <c:idx val="0"/>
              <c:layout>
                <c:manualLayout>
                  <c:x val="0.00420221571373997"/>
                  <c:y val="-0.374493927125507"/>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2499.4</a:t>
                    </a:r>
                    <a:r>
                      <a:t>万元</a:t>
                    </a:r>
                  </a:p>
                </c:rich>
              </c:tx>
              <c:dLblPos val="ctr"/>
              <c:showLegendKey val="0"/>
              <c:showVal val="1"/>
              <c:showCatName val="0"/>
              <c:showSerName val="0"/>
              <c:showPercent val="0"/>
              <c:showBubbleSize val="0"/>
              <c:extLst>
                <c:ext xmlns:c15="http://schemas.microsoft.com/office/drawing/2012/chart" uri="{CE6537A1-D6FC-4f65-9D91-7224C49458BB}">
                  <c15:layout>
                    <c:manualLayout>
                      <c:w val="0.152553164395772"/>
                      <c:h val="0.0594635627530364"/>
                    </c:manualLayout>
                  </c15:layout>
                </c:ext>
              </c:extLst>
            </c:dLbl>
            <c:dLbl>
              <c:idx val="1"/>
              <c:layout>
                <c:manualLayout>
                  <c:x val="-0.00496625493441997"/>
                  <c:y val="-0.178896761133604"/>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2280.29</a:t>
                    </a:r>
                    <a:r>
                      <a:t>万元</a:t>
                    </a:r>
                  </a:p>
                </c:rich>
              </c:tx>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2499.4</c:v>
                </c:pt>
                <c:pt idx="1">
                  <c:v>2280.29</c:v>
                </c:pt>
              </c:numCache>
            </c:numRef>
          </c:val>
        </c:ser>
        <c:dLbls>
          <c:showLegendKey val="0"/>
          <c:showVal val="1"/>
          <c:showCatName val="0"/>
          <c:showSerName val="0"/>
          <c:showPercent val="0"/>
          <c:showBubbleSize val="0"/>
        </c:dLbls>
        <c:gapWidth val="150"/>
        <c:overlap val="100"/>
        <c:axId val="405210624"/>
        <c:axId val="405221760"/>
      </c:barChart>
      <c:catAx>
        <c:axId val="405210624"/>
        <c:scaling>
          <c:orientation val="minMax"/>
        </c:scaling>
        <c:delete val="0"/>
        <c:axPos val="b"/>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12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mn-ea"/>
                <a:cs typeface="+mn-cs"/>
              </a:defRPr>
            </a:pPr>
          </a:p>
        </c:txPr>
        <c:crossAx val="405221760"/>
        <c:crosses val="autoZero"/>
        <c:auto val="1"/>
        <c:lblAlgn val="ctr"/>
        <c:lblOffset val="100"/>
        <c:noMultiLvlLbl val="0"/>
      </c:catAx>
      <c:valAx>
        <c:axId val="4052217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52106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036524413687"/>
          <c:y val="0.106910039113429"/>
          <c:w val="0.891118800461361"/>
          <c:h val="0.816531942633638"/>
        </c:manualLayout>
      </c:layout>
      <c:barChart>
        <c:barDir val="col"/>
        <c:grouping val="stacked"/>
        <c:varyColors val="0"/>
        <c:ser>
          <c:idx val="0"/>
          <c:order val="0"/>
          <c:tx>
            <c:strRef>
              <c:f>Sheet1!$B$1</c:f>
              <c:strCache>
                <c:ptCount val="1"/>
                <c:pt idx="0">
                  <c:v>收、支决算总计</c:v>
                </c:pt>
              </c:strCache>
            </c:strRef>
          </c:tx>
          <c:spPr>
            <a:solidFill>
              <a:schemeClr val="accent1"/>
            </a:solidFill>
            <a:ln>
              <a:noFill/>
            </a:ln>
            <a:effectLst/>
          </c:spPr>
          <c:invertIfNegative val="0"/>
          <c:dLbls>
            <c:dLbl>
              <c:idx val="0"/>
              <c:layout>
                <c:manualLayout>
                  <c:x val="0.459503696414733"/>
                  <c:y val="0.0315337001701187"/>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2280.29</a:t>
                    </a:r>
                    <a:r>
                      <a:t>万元</a:t>
                    </a:r>
                  </a:p>
                </c:rich>
              </c:tx>
              <c:dLblPos val="ctr"/>
              <c:showLegendKey val="0"/>
              <c:showVal val="1"/>
              <c:showCatName val="0"/>
              <c:showSerName val="0"/>
              <c:showPercent val="0"/>
              <c:showBubbleSize val="0"/>
              <c:extLst>
                <c:ext xmlns:c15="http://schemas.microsoft.com/office/drawing/2012/chart" uri="{CE6537A1-D6FC-4f65-9D91-7224C49458BB}">
                  <c15:layout>
                    <c:manualLayout>
                      <c:w val="0.178104138851802"/>
                      <c:h val="0.131301289566237"/>
                    </c:manualLayout>
                  </c15:layout>
                </c:ext>
              </c:extLst>
            </c:dLbl>
            <c:dLbl>
              <c:idx val="1"/>
              <c:layout>
                <c:manualLayout>
                  <c:x val="-0.447135717031911"/>
                  <c:y val="-0.603000148261141"/>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2499.4</a:t>
                    </a:r>
                    <a:r>
                      <a:t>万元</a:t>
                    </a:r>
                  </a:p>
                </c:rich>
              </c:tx>
              <c:dLblPos val="ctr"/>
              <c:showLegendKey val="0"/>
              <c:showVal val="1"/>
              <c:showCatName val="0"/>
              <c:showSerName val="0"/>
              <c:showPercent val="0"/>
              <c:showBubbleSize val="0"/>
              <c:extLst>
                <c:ext xmlns:c15="http://schemas.microsoft.com/office/drawing/2012/chart" uri="{CE6537A1-D6FC-4f65-9D91-7224C49458BB}">
                  <c15:layout>
                    <c:manualLayout>
                      <c:w val="0.141355888760733"/>
                      <c:h val="0.156975228161669"/>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2499.4</c:v>
                </c:pt>
                <c:pt idx="1">
                  <c:v>2280.29</c:v>
                </c:pt>
              </c:numCache>
            </c:numRef>
          </c:val>
        </c:ser>
        <c:dLbls>
          <c:showLegendKey val="0"/>
          <c:showVal val="1"/>
          <c:showCatName val="0"/>
          <c:showSerName val="0"/>
          <c:showPercent val="0"/>
          <c:showBubbleSize val="0"/>
        </c:dLbls>
        <c:gapWidth val="150"/>
        <c:overlap val="100"/>
        <c:axId val="405232256"/>
        <c:axId val="405235200"/>
      </c:barChart>
      <c:catAx>
        <c:axId val="40523225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5235200"/>
        <c:crosses val="autoZero"/>
        <c:auto val="1"/>
        <c:lblAlgn val="ctr"/>
        <c:lblOffset val="100"/>
        <c:noMultiLvlLbl val="0"/>
      </c:catAx>
      <c:valAx>
        <c:axId val="40523520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5232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3010809385711"/>
          <c:y val="0.00810153929246557"/>
          <c:w val="0.430134458212497"/>
          <c:h val="0.881177423710505"/>
        </c:manualLayout>
      </c:layout>
      <c:pieChart>
        <c:varyColors val="1"/>
        <c:ser>
          <c:idx val="0"/>
          <c:order val="0"/>
          <c:tx>
            <c:strRef>
              <c:f>Sheet1!$B$1</c:f>
              <c:strCache>
                <c:ptCount val="1"/>
                <c:pt idx="0">
                  <c:v>销售额</c:v>
                </c:pt>
              </c:strCache>
            </c:strRef>
          </c:tx>
          <c:explosion val="0"/>
          <c:dPt>
            <c:idx val="0"/>
            <c:bubble3D val="0"/>
            <c:spPr>
              <a:solidFill>
                <a:schemeClr val="accent6"/>
              </a:solidFill>
              <a:ln w="19050">
                <a:solidFill>
                  <a:schemeClr val="lt1"/>
                </a:solidFill>
              </a:ln>
              <a:effectLst/>
            </c:spPr>
          </c:dPt>
          <c:dPt>
            <c:idx val="1"/>
            <c:bubble3D val="0"/>
            <c:spPr>
              <a:solidFill>
                <a:schemeClr val="accent5"/>
              </a:solidFill>
              <a:ln w="19050">
                <a:solidFill>
                  <a:schemeClr val="lt1"/>
                </a:solidFill>
              </a:ln>
              <a:effectLst/>
            </c:spPr>
          </c:dPt>
          <c:dPt>
            <c:idx val="2"/>
            <c:bubble3D val="0"/>
            <c:spPr>
              <a:solidFill>
                <a:schemeClr val="accent4"/>
              </a:solidFill>
              <a:ln w="19050">
                <a:solidFill>
                  <a:schemeClr val="lt1"/>
                </a:solidFill>
              </a:ln>
              <a:effectLst/>
            </c:spPr>
          </c:dPt>
          <c:dLbls>
            <c:dLbl>
              <c:idx val="0"/>
              <c:layout>
                <c:manualLayout>
                  <c:x val="0.111031617924398"/>
                  <c:y val="0.12233060901661"/>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103.3</a:t>
                    </a:r>
                    <a:r>
                      <a:t>万元,占</a:t>
                    </a:r>
                    <a:r>
                      <a:rPr lang="en-US" altLang="zh-CN"/>
                      <a:t>4.53</a:t>
                    </a:r>
                    <a:r>
                      <a:t>%</a:t>
                    </a:r>
                  </a:p>
                </c:rich>
              </c:tx>
              <c:dLblPos val="bestFit"/>
              <c:showLegendKey val="0"/>
              <c:showVal val="1"/>
              <c:showCatName val="0"/>
              <c:showSerName val="0"/>
              <c:showPercent val="1"/>
              <c:showBubbleSize val="0"/>
              <c:extLst>
                <c:ext xmlns:c15="http://schemas.microsoft.com/office/drawing/2012/chart" uri="{CE6537A1-D6FC-4f65-9D91-7224C49458BB}">
                  <c15:layout>
                    <c:manualLayout>
                      <c:w val="0.249060804229859"/>
                      <c:h val="0.0738201950962299"/>
                    </c:manualLayout>
                  </c15:layout>
                </c:ext>
              </c:extLst>
            </c:dLbl>
            <c:dLbl>
              <c:idx val="1"/>
              <c:layout>
                <c:manualLayout>
                  <c:x val="0.00292979462639836"/>
                  <c:y val="-0.27274345326375"/>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2123.73</a:t>
                    </a:r>
                    <a:r>
                      <a:t>万元,        </a:t>
                    </a:r>
                  </a:p>
                  <a:p>
                    <a:pPr>
                      <a:defRPr lang="zh-CN" sz="900" b="0" i="0" u="none" strike="noStrike" kern="1200" baseline="0">
                        <a:solidFill>
                          <a:schemeClr val="tx1">
                            <a:lumMod val="75000"/>
                            <a:lumOff val="25000"/>
                          </a:schemeClr>
                        </a:solidFill>
                        <a:latin typeface="+mn-lt"/>
                        <a:ea typeface="+mn-ea"/>
                        <a:cs typeface="+mn-cs"/>
                      </a:defRPr>
                    </a:pPr>
                    <a:r>
                      <a:t> 占</a:t>
                    </a:r>
                    <a:r>
                      <a:rPr lang="en-US" altLang="zh-CN"/>
                      <a:t>93.13</a:t>
                    </a:r>
                    <a:r>
                      <a:t>%</a:t>
                    </a:r>
                  </a:p>
                </c:rich>
              </c:tx>
              <c:numFmt formatCode="General" sourceLinked="1"/>
              <c:spPr>
                <a:solidFill>
                  <a:schemeClr val="accent5"/>
                </a:solid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manualLayout>
                      <c:w val="0.211492973424238"/>
                      <c:h val="0.211969417347746"/>
                    </c:manualLayout>
                  </c15:layout>
                </c:ext>
              </c:extLst>
            </c:dLbl>
            <c:dLbl>
              <c:idx val="2"/>
              <c:layout>
                <c:manualLayout>
                  <c:x val="-0.105441577587693"/>
                  <c:y val="0.152649617716847"/>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53.26</a:t>
                    </a:r>
                    <a:r>
                      <a:t>万元, 占</a:t>
                    </a:r>
                    <a:r>
                      <a:rPr lang="en-US" altLang="zh-CN"/>
                      <a:t>2.34</a:t>
                    </a:r>
                    <a:r>
                      <a:t>%</a:t>
                    </a:r>
                  </a:p>
                </c:rich>
              </c:tx>
              <c:numFmt formatCode="General" sourceLinked="1"/>
              <c:spPr>
                <a:solidFill>
                  <a:schemeClr val="accent4"/>
                </a:solid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manualLayout>
                      <c:w val="0.243912620008348"/>
                      <c:h val="0.0904297389928816"/>
                    </c:manualLayout>
                  </c15:layout>
                </c:ext>
              </c:extLst>
            </c:dLbl>
            <c:spPr>
              <a:solidFill>
                <a:schemeClr val="accent6"/>
              </a:solid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社会保障和就业（类）支出</c:v>
                </c:pt>
                <c:pt idx="1">
                  <c:v>卫生健康支出</c:v>
                </c:pt>
                <c:pt idx="2">
                  <c:v>住房保障支出</c:v>
                </c:pt>
              </c:strCache>
            </c:strRef>
          </c:cat>
          <c:val>
            <c:numRef>
              <c:f>Sheet1!$B$2:$B$4</c:f>
              <c:numCache>
                <c:formatCode>General</c:formatCode>
                <c:ptCount val="3"/>
                <c:pt idx="0">
                  <c:v>103.3</c:v>
                </c:pt>
                <c:pt idx="1">
                  <c:v>2123.73</c:v>
                </c:pt>
                <c:pt idx="2">
                  <c:v>53.26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c:v>
                </c:pt>
              </c:strCache>
            </c:strRef>
          </c:tx>
          <c:spPr/>
          <c:explosion val="0"/>
          <c:dPt>
            <c:idx val="0"/>
            <c:bubble3D val="0"/>
            <c:spPr>
              <a:solidFill>
                <a:schemeClr val="accent1"/>
              </a:solidFill>
              <a:ln>
                <a:noFill/>
              </a:ln>
              <a:effectLst/>
            </c:spPr>
          </c:dPt>
          <c:dLbls>
            <c:delete val="1"/>
          </c:dLbls>
          <c:cat>
            <c:strRef>
              <c:f>Sheet1!$A$2</c:f>
              <c:strCache>
                <c:ptCount val="1"/>
                <c:pt idx="0">
                  <c:v>公务接待支出</c:v>
                </c:pt>
              </c:strCache>
            </c:strRef>
          </c:cat>
          <c:val>
            <c:numRef>
              <c:f>Sheet1!$B$2</c:f>
              <c:numCache>
                <c:formatCode>General</c:formatCode>
                <c:ptCount val="1"/>
                <c:pt idx="0">
                  <c:v>2.75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410886541111621"/>
          <c:y val="0.18828229027962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51</Pages>
  <Words>17731</Words>
  <Characters>18872</Characters>
  <Lines>523</Lines>
  <Paragraphs>147</Paragraphs>
  <TotalTime>2</TotalTime>
  <ScaleCrop>false</ScaleCrop>
  <LinksUpToDate>false</LinksUpToDate>
  <CharactersWithSpaces>19097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2013-01-01T09:39:00Z</dcterms:created>
  <dc:creator>曹颖</dc:creator>
  <cp:lastModifiedBy>&amp; 双儿 &amp;</cp:lastModifiedBy>
  <cp:lastPrinted>2025-09-10T15:17:00Z</cp:lastPrinted>
  <dcterms:modified xsi:type="dcterms:W3CDTF">2025-09-28T04:43:42Z</dcterms:modified>
  <dc:title>四川省***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0F532125DE504EFFB961133D8E76301A</vt:lpwstr>
  </property>
  <property fmtid="{D5CDD505-2E9C-101B-9397-08002B2CF9AE}" pid="4" name="KSOTemplateDocerSaveRecord">
    <vt:lpwstr>eyJoZGlkIjoiZjBiNWE5YTAxMGZlNDhhNmRlNGUwZGQ1YjM0NzI3NmIifQ==</vt:lpwstr>
  </property>
</Properties>
</file>