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6" w:lineRule="exact"/>
        <w:ind w:left="0"/>
        <w:textAlignment w:val="auto"/>
        <w:rPr>
          <w:rFonts w:hint="eastAsia" w:ascii="黑体" w:eastAsia="黑体" w:cs="黑体"/>
          <w:color w:val="auto"/>
          <w:highlight w:val="none"/>
          <w:lang w:val="en-US" w:eastAsia="zh-CN"/>
        </w:rPr>
      </w:pPr>
      <w:r>
        <w:rPr>
          <w:rFonts w:hint="eastAsia" w:ascii="黑体" w:eastAsia="黑体" w:cs="黑体"/>
          <w:color w:val="auto"/>
          <w:highlight w:val="none"/>
        </w:rPr>
        <w:t>附件</w:t>
      </w:r>
      <w:r>
        <w:rPr>
          <w:rFonts w:hint="eastAsia" w:ascii="黑体" w:eastAsia="黑体" w:cs="黑体"/>
          <w:color w:val="auto"/>
          <w:highlight w:val="none"/>
          <w:lang w:val="en-US" w:eastAsia="zh-CN"/>
        </w:rPr>
        <w:t>2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6" w:lineRule="exact"/>
        <w:ind w:left="0"/>
        <w:jc w:val="both"/>
        <w:textAlignment w:val="auto"/>
        <w:rPr>
          <w:rFonts w:ascii="Times New Roman" w:hAnsi="Times New Roman" w:eastAsia="方正小标宋简体" w:cs="Times New Roman"/>
          <w:color w:val="auto"/>
          <w:kern w:val="2"/>
          <w:sz w:val="44"/>
          <w:szCs w:val="44"/>
          <w:highlight w:val="none"/>
          <w:lang w:val="en-US" w:eastAsia="zh-CN"/>
        </w:rPr>
      </w:pP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6" w:lineRule="exact"/>
        <w:ind w:left="0"/>
        <w:jc w:val="center"/>
        <w:textAlignment w:val="auto"/>
        <w:rPr>
          <w:rFonts w:ascii="Times New Roman" w:hAnsi="Times New Roman" w:eastAsia="方正小标宋简体" w:cs="Times New Roman"/>
          <w:color w:val="auto"/>
          <w:kern w:val="2"/>
          <w:sz w:val="44"/>
          <w:szCs w:val="44"/>
          <w:highlight w:val="none"/>
          <w:lang w:val="en-US" w:eastAsia="zh-CN"/>
        </w:rPr>
      </w:pPr>
      <w:r>
        <w:rPr>
          <w:rFonts w:ascii="Times New Roman" w:hAnsi="Times New Roman" w:eastAsia="方正小标宋简体" w:cs="Times New Roman"/>
          <w:color w:val="auto"/>
          <w:kern w:val="2"/>
          <w:sz w:val="44"/>
          <w:szCs w:val="44"/>
          <w:highlight w:val="none"/>
          <w:lang w:val="en-US" w:eastAsia="zh-CN"/>
        </w:rPr>
        <w:t>专项预算绩效自评报告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6" w:lineRule="exact"/>
        <w:ind w:left="0" w:firstLine="640"/>
        <w:jc w:val="center"/>
        <w:textAlignment w:val="auto"/>
        <w:rPr>
          <w:rFonts w:ascii="Times New Roman" w:hAnsi="Times New Roman" w:cs="Times New Roman"/>
          <w:color w:val="auto"/>
          <w:kern w:val="2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ascii="Times New Roman" w:hAnsi="Times New Roman" w:eastAsia="黑体" w:cs="Times New Roman"/>
          <w:b w:val="0"/>
          <w:bCs w:val="0"/>
          <w:color w:val="auto"/>
          <w:highlight w:val="none"/>
          <w:lang w:val="zh-CN"/>
        </w:rPr>
      </w:pPr>
      <w:r>
        <w:rPr>
          <w:rFonts w:ascii="Times New Roman" w:hAnsi="Times New Roman" w:eastAsia="黑体" w:cs="Times New Roman"/>
          <w:b w:val="0"/>
          <w:bCs w:val="0"/>
          <w:color w:val="auto"/>
          <w:highlight w:val="none"/>
        </w:rPr>
        <w:t>一、</w:t>
      </w:r>
      <w:r>
        <w:rPr>
          <w:rFonts w:ascii="Times New Roman" w:hAnsi="Times New Roman" w:eastAsia="黑体" w:cs="Times New Roman"/>
          <w:b w:val="0"/>
          <w:bCs w:val="0"/>
          <w:color w:val="auto"/>
          <w:highlight w:val="none"/>
          <w:lang w:val="zh-CN"/>
        </w:rPr>
        <w:t>项目概况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adjustRightInd w:val="0"/>
        <w:snapToGrid w:val="0"/>
        <w:spacing w:line="576" w:lineRule="exact"/>
        <w:ind w:left="0" w:firstLine="640" w:firstLineChars="200"/>
        <w:contextualSpacing/>
        <w:jc w:val="left"/>
        <w:rPr>
          <w:rFonts w:ascii="仿宋_GB2312" w:cs="仿宋_GB2312"/>
          <w:lang w:val="zh-CN"/>
        </w:rPr>
      </w:pPr>
      <w:r>
        <w:rPr>
          <w:rFonts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u w:val="none"/>
          <w:lang w:val="zh-CN"/>
        </w:rPr>
        <w:t>（一）设立背景及基本情况。</w:t>
      </w:r>
      <w:r>
        <w:rPr>
          <w:rFonts w:hint="eastAsia" w:ascii="仿宋_GB2312" w:cs="仿宋_GB2312"/>
          <w:sz w:val="32"/>
          <w:szCs w:val="32"/>
          <w:lang w:val="zh-CN" w:eastAsia="zh-CN"/>
        </w:rPr>
        <w:t>根据广元市委组织部、广元市财政局、广元市国家税务局、广元市地方税务联合印发的《关于进一步加强“两新”组织党建工作经费保障的通知》</w:t>
      </w:r>
      <w:r>
        <w:rPr>
          <w:rFonts w:hint="eastAsia" w:ascii="仿宋_GB2312" w:cs="仿宋_GB2312"/>
          <w:sz w:val="32"/>
          <w:szCs w:val="32"/>
          <w:lang w:eastAsia="zh-CN"/>
        </w:rPr>
        <w:t>（广组通〔20</w:t>
      </w:r>
      <w:r>
        <w:rPr>
          <w:rFonts w:hint="eastAsia" w:ascii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cs="仿宋_GB2312"/>
          <w:sz w:val="32"/>
          <w:szCs w:val="32"/>
          <w:lang w:eastAsia="zh-CN"/>
        </w:rPr>
        <w:t>〕</w:t>
      </w:r>
      <w:r>
        <w:rPr>
          <w:rFonts w:hint="eastAsia" w:ascii="仿宋_GB2312" w:cs="仿宋_GB2312"/>
          <w:sz w:val="32"/>
          <w:szCs w:val="32"/>
          <w:lang w:val="en-US" w:eastAsia="zh-CN"/>
        </w:rPr>
        <w:t>41号</w:t>
      </w:r>
      <w:r>
        <w:rPr>
          <w:rFonts w:hint="eastAsia" w:ascii="仿宋_GB2312" w:cs="仿宋_GB2312"/>
          <w:sz w:val="32"/>
          <w:szCs w:val="32"/>
          <w:lang w:eastAsia="zh-CN"/>
        </w:rPr>
        <w:t>）相关要求，为进一步建立健全非公有制企业和社会组织（以下简称“两新”组织）党组织稳定的工作经费保障机制，特设立此项目。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firstLine="640" w:firstLineChars="200"/>
        <w:textAlignment w:val="auto"/>
        <w:rPr>
          <w:rFonts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u w:val="none"/>
          <w:lang w:val="zh-CN"/>
        </w:rPr>
      </w:pPr>
      <w:r>
        <w:rPr>
          <w:rFonts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u w:val="none"/>
          <w:lang w:val="zh-CN"/>
        </w:rPr>
        <w:t>（二）</w:t>
      </w:r>
      <w:r>
        <w:rPr>
          <w:rFonts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实施目的及支持方向。</w:t>
      </w:r>
      <w:r>
        <w:rPr>
          <w:rFonts w:hint="eastAsia" w:ascii="仿宋_GB2312" w:cs="仿宋_GB2312"/>
          <w:bCs/>
          <w:sz w:val="32"/>
          <w:szCs w:val="32"/>
          <w:lang w:val="en-US" w:eastAsia="zh-CN"/>
        </w:rPr>
        <w:t>加强</w:t>
      </w:r>
      <w:r>
        <w:rPr>
          <w:rFonts w:ascii="仿宋_GB2312" w:cs="仿宋_GB2312"/>
          <w:bCs/>
          <w:sz w:val="32"/>
          <w:szCs w:val="32"/>
          <w:lang w:val="en-US" w:eastAsia="zh-CN"/>
        </w:rPr>
        <w:t>卫生健康</w:t>
      </w:r>
      <w:r>
        <w:rPr>
          <w:rFonts w:hint="eastAsia" w:ascii="仿宋_GB2312" w:cs="仿宋_GB2312"/>
          <w:bCs/>
          <w:sz w:val="32"/>
          <w:szCs w:val="32"/>
          <w:lang w:val="en-US" w:eastAsia="zh-CN"/>
        </w:rPr>
        <w:t>行业党委建设，强化</w:t>
      </w:r>
      <w:r>
        <w:rPr>
          <w:rFonts w:ascii="仿宋_GB2312" w:cs="仿宋_GB2312"/>
          <w:bCs/>
          <w:sz w:val="32"/>
          <w:szCs w:val="32"/>
          <w:lang w:val="en-US" w:eastAsia="zh-CN"/>
        </w:rPr>
        <w:t>卫生健康</w:t>
      </w:r>
      <w:r>
        <w:rPr>
          <w:rFonts w:hint="eastAsia" w:ascii="仿宋_GB2312" w:cs="仿宋_GB2312"/>
          <w:bCs/>
          <w:sz w:val="32"/>
          <w:szCs w:val="32"/>
          <w:lang w:val="en-US" w:eastAsia="zh-CN"/>
        </w:rPr>
        <w:t>行业两新组织党组织培养建设。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76" w:lineRule="exact"/>
        <w:ind w:firstLine="640" w:firstLineChars="200"/>
        <w:rPr>
          <w:rFonts w:ascii="仿宋_GB2312" w:cs="仿宋_GB2312"/>
        </w:rPr>
      </w:pPr>
      <w:r>
        <w:rPr>
          <w:rFonts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u w:val="none"/>
          <w:lang w:val="zh-CN" w:eastAsia="zh-CN"/>
        </w:rPr>
        <w:t>（三）</w:t>
      </w:r>
      <w:r>
        <w:rPr>
          <w:rFonts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预算安排及分配管理</w:t>
      </w:r>
      <w:r>
        <w:rPr>
          <w:rFonts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u w:val="none"/>
          <w:lang w:val="zh-CN" w:eastAsia="zh-CN"/>
        </w:rPr>
        <w:t>。</w:t>
      </w:r>
      <w:r>
        <w:rPr>
          <w:rFonts w:hint="eastAsia" w:ascii="仿宋_GB2312" w:cs="仿宋_GB2312"/>
          <w:sz w:val="32"/>
          <w:szCs w:val="32"/>
          <w:lang w:val="en-US" w:eastAsia="zh-CN"/>
        </w:rPr>
        <w:t>总计安排金额</w:t>
      </w:r>
      <w:r>
        <w:rPr>
          <w:rFonts w:ascii="仿宋_GB2312" w:cs="仿宋_GB2312"/>
          <w:sz w:val="32"/>
          <w:szCs w:val="32"/>
          <w:lang w:val="en-US" w:eastAsia="zh-CN"/>
        </w:rPr>
        <w:t>5.62</w:t>
      </w:r>
      <w:r>
        <w:rPr>
          <w:rFonts w:hint="eastAsia" w:ascii="仿宋_GB2312" w:cs="仿宋_GB2312"/>
          <w:sz w:val="32"/>
          <w:szCs w:val="32"/>
          <w:lang w:val="en-US" w:eastAsia="zh-CN"/>
        </w:rPr>
        <w:t>万元，其中市</w:t>
      </w:r>
      <w:r>
        <w:rPr>
          <w:rFonts w:ascii="仿宋_GB2312" w:cs="仿宋_GB2312"/>
          <w:sz w:val="32"/>
          <w:szCs w:val="32"/>
          <w:lang w:val="en-US" w:eastAsia="zh-CN"/>
        </w:rPr>
        <w:t>卫生健康</w:t>
      </w:r>
      <w:r>
        <w:rPr>
          <w:rFonts w:hint="eastAsia" w:ascii="仿宋_GB2312" w:cs="仿宋_GB2312"/>
          <w:sz w:val="32"/>
          <w:szCs w:val="32"/>
          <w:lang w:val="en-US" w:eastAsia="zh-CN"/>
        </w:rPr>
        <w:t>行业党委党建工作经费1万元，</w:t>
      </w:r>
      <w:r>
        <w:rPr>
          <w:rFonts w:ascii="仿宋_GB2312" w:cs="仿宋_GB2312"/>
          <w:sz w:val="32"/>
          <w:szCs w:val="32"/>
          <w:lang w:val="en-US" w:eastAsia="zh-CN"/>
        </w:rPr>
        <w:t>11个两新组织共计发放4.62万元。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firstLine="640" w:firstLineChars="200"/>
        <w:textAlignment w:val="auto"/>
        <w:rPr>
          <w:rFonts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u w:val="none"/>
          <w:lang w:val="zh-CN" w:eastAsia="zh-CN"/>
        </w:rPr>
      </w:pPr>
      <w:r>
        <w:rPr>
          <w:rFonts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u w:val="none"/>
          <w:lang w:val="zh-CN" w:eastAsia="zh-CN"/>
        </w:rPr>
        <w:t>（四）项目绩效目标设置。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firstLine="640" w:firstLineChars="200"/>
        <w:textAlignment w:val="auto"/>
        <w:rPr>
          <w:rFonts w:ascii="Times New Roman" w:hAnsi="Times New Roman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</w:pPr>
      <w:r>
        <w:rPr>
          <w:rFonts w:hint="eastAsia" w:ascii="Times New Roman" w:hAnsi="Times New Roman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项目按照</w:t>
      </w:r>
      <w:r>
        <w:rPr>
          <w:rFonts w:hint="default" w:ascii="Times New Roman" w:hAnsi="Times New Roman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产出指标</w:t>
      </w:r>
      <w:r>
        <w:rPr>
          <w:rFonts w:hint="eastAsia" w:ascii="Times New Roman" w:hAnsi="Times New Roman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、</w:t>
      </w:r>
      <w:r>
        <w:rPr>
          <w:rFonts w:hint="default" w:ascii="Times New Roman" w:hAnsi="Times New Roman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成本指标</w:t>
      </w:r>
      <w:r>
        <w:rPr>
          <w:rFonts w:hint="eastAsia" w:ascii="Times New Roman" w:hAnsi="Times New Roman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、</w:t>
      </w:r>
      <w:r>
        <w:rPr>
          <w:rFonts w:hint="default" w:ascii="Times New Roman" w:hAnsi="Times New Roman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效益指标</w:t>
      </w:r>
      <w:r>
        <w:rPr>
          <w:rFonts w:hint="eastAsia" w:ascii="Times New Roman" w:hAnsi="Times New Roman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、</w:t>
      </w:r>
      <w:r>
        <w:rPr>
          <w:rFonts w:hint="default" w:ascii="Times New Roman" w:hAnsi="Times New Roman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满意度指标设置</w:t>
      </w:r>
      <w:r>
        <w:rPr>
          <w:rFonts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u w:val="none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outlineLvl w:val="9"/>
        <w:rPr>
          <w:rFonts w:ascii="Times New Roman" w:hAnsi="Times New Roman" w:eastAsia="黑体" w:cs="Times New Roman"/>
          <w:b w:val="0"/>
          <w:bCs w:val="0"/>
          <w:color w:val="auto"/>
          <w:highlight w:val="none"/>
          <w:lang w:eastAsia="zh-CN"/>
        </w:rPr>
      </w:pPr>
      <w:r>
        <w:rPr>
          <w:rFonts w:ascii="Times New Roman" w:hAnsi="Times New Roman" w:eastAsia="黑体" w:cs="Times New Roman"/>
          <w:b w:val="0"/>
          <w:bCs w:val="0"/>
          <w:color w:val="auto"/>
          <w:highlight w:val="none"/>
        </w:rPr>
        <w:t>二、</w:t>
      </w:r>
      <w:r>
        <w:rPr>
          <w:rFonts w:ascii="Times New Roman" w:hAnsi="Times New Roman" w:eastAsia="黑体" w:cs="Times New Roman"/>
          <w:b w:val="0"/>
          <w:bCs w:val="0"/>
          <w:color w:val="auto"/>
          <w:highlight w:val="none"/>
          <w:lang w:eastAsia="zh-CN"/>
        </w:rPr>
        <w:t>评价实施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spacing w:line="576" w:lineRule="exact"/>
        <w:ind w:firstLine="640"/>
        <w:rPr>
          <w:rFonts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u w:val="none"/>
          <w:lang w:val="zh-CN"/>
        </w:rPr>
      </w:pPr>
      <w:r>
        <w:rPr>
          <w:rFonts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u w:val="none"/>
          <w:lang w:val="zh-CN"/>
        </w:rPr>
        <w:t>（一）评价目的。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spacing w:line="576" w:lineRule="exact"/>
        <w:ind w:firstLine="640"/>
        <w:rPr>
          <w:rFonts w:ascii="Times New Roman" w:hAnsi="Times New Roman" w:eastAsia="仿宋_GB2312" w:cs="Times New Roman"/>
          <w:b w:val="0"/>
          <w:bCs w:val="0"/>
          <w:color w:val="auto"/>
          <w:szCs w:val="32"/>
        </w:rPr>
      </w:pPr>
      <w:r>
        <w:rPr>
          <w:rFonts w:hint="eastAsia" w:ascii="仿宋_GB2312" w:hAnsi="仿宋" w:cs="仿宋_GB2312"/>
          <w:kern w:val="0"/>
          <w:shd w:val="clear" w:color="auto" w:fill="FFFFFF"/>
          <w:lang w:val="en-US" w:eastAsia="zh-CN"/>
        </w:rPr>
        <w:t>依据相关绩效考核文件要求，考核资金支出效率及综合效果，及时总结经验，分析存在的问题和原因，切实采取有效措施进一步改进和加强财政资金管理，不断提高资金使用效率，为后续财政资金预算及使用提供依据。通过绩效评价，树立绩效管理理念，做好预算绩效管理，提高财政资金效益，</w:t>
      </w:r>
      <w:r>
        <w:rPr>
          <w:rFonts w:hint="eastAsia" w:cs="Times New Roman"/>
          <w:b w:val="0"/>
          <w:bCs w:val="0"/>
          <w:color w:val="auto"/>
          <w:szCs w:val="32"/>
          <w:lang w:eastAsia="zh-CN"/>
        </w:rPr>
        <w:t>加强对</w:t>
      </w:r>
      <w:r>
        <w:rPr>
          <w:rFonts w:cs="Times New Roman"/>
          <w:b w:val="0"/>
          <w:bCs w:val="0"/>
          <w:color w:val="auto"/>
          <w:szCs w:val="32"/>
          <w:lang w:eastAsia="zh-CN"/>
        </w:rPr>
        <w:t>卫生健康</w:t>
      </w:r>
      <w:r>
        <w:rPr>
          <w:rFonts w:hint="eastAsia" w:cs="Times New Roman"/>
          <w:b w:val="0"/>
          <w:bCs w:val="0"/>
          <w:color w:val="auto"/>
          <w:szCs w:val="32"/>
          <w:lang w:eastAsia="zh-CN"/>
        </w:rPr>
        <w:t>行业两新组织党组织工作的指导和支持力度</w:t>
      </w:r>
      <w:r>
        <w:rPr>
          <w:rFonts w:ascii="Times New Roman" w:hAnsi="Times New Roman" w:cs="Times New Roman"/>
          <w:b w:val="0"/>
          <w:bCs w:val="0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firstLine="640" w:firstLineChars="200"/>
        <w:textAlignment w:val="auto"/>
        <w:outlineLvl w:val="9"/>
        <w:rPr>
          <w:rFonts w:hint="eastAsia" w:cs="Times New Roman"/>
          <w:b w:val="0"/>
          <w:bCs w:val="0"/>
          <w:color w:val="auto"/>
          <w:szCs w:val="32"/>
          <w:lang w:eastAsia="zh-CN"/>
        </w:rPr>
      </w:pPr>
      <w:r>
        <w:rPr>
          <w:rFonts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u w:val="none"/>
          <w:lang w:val="zh-CN"/>
        </w:rPr>
        <w:t>（二）预设问题及评价重点。</w:t>
      </w:r>
      <w:r>
        <w:rPr>
          <w:rFonts w:hint="eastAsia" w:cs="Times New Roman"/>
          <w:b w:val="0"/>
          <w:bCs w:val="0"/>
          <w:color w:val="auto"/>
          <w:szCs w:val="32"/>
          <w:lang w:eastAsia="zh-CN"/>
        </w:rPr>
        <w:t>一是项目经费是否用于</w:t>
      </w:r>
      <w:r>
        <w:rPr>
          <w:rFonts w:cs="Times New Roman"/>
          <w:b w:val="0"/>
          <w:bCs w:val="0"/>
          <w:color w:val="auto"/>
          <w:szCs w:val="32"/>
          <w:lang w:eastAsia="zh-CN"/>
        </w:rPr>
        <w:t>卫生健康</w:t>
      </w:r>
      <w:r>
        <w:rPr>
          <w:rFonts w:hint="eastAsia" w:cs="Times New Roman"/>
          <w:b w:val="0"/>
          <w:bCs w:val="0"/>
          <w:color w:val="auto"/>
          <w:szCs w:val="32"/>
          <w:lang w:eastAsia="zh-CN"/>
        </w:rPr>
        <w:t>行业党委和两新组织党组织的工作开展；二是两新组织党组织工作成效。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left="0" w:firstLine="640" w:firstLineChars="200"/>
        <w:textAlignment w:val="auto"/>
        <w:outlineLvl w:val="9"/>
        <w:rPr>
          <w:rFonts w:ascii="Times New Roman" w:hAnsi="Times New Roman" w:cs="Times New Roman"/>
          <w:b w:val="0"/>
          <w:bCs w:val="0"/>
          <w:color w:val="auto"/>
          <w:szCs w:val="32"/>
          <w:lang w:val="zh-CN" w:eastAsia="zh-CN"/>
        </w:rPr>
      </w:pPr>
      <w:r>
        <w:rPr>
          <w:rFonts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u w:val="none"/>
          <w:lang w:val="zh-CN"/>
        </w:rPr>
        <w:t>（三）评价选点。</w:t>
      </w:r>
      <w:r>
        <w:rPr>
          <w:rFonts w:hint="eastAsia" w:ascii="仿宋_GB2312" w:cs="仿宋_GB2312"/>
          <w:color w:val="000000"/>
          <w:spacing w:val="16"/>
        </w:rPr>
        <w:t>选取具有代表性的</w:t>
      </w:r>
      <w:r>
        <w:rPr>
          <w:rFonts w:hint="eastAsia" w:ascii="仿宋_GB2312" w:cs="仿宋_GB2312"/>
          <w:color w:val="000000"/>
          <w:spacing w:val="16"/>
          <w:lang w:eastAsia="zh-CN"/>
        </w:rPr>
        <w:t>两新组织党组织</w:t>
      </w:r>
      <w:r>
        <w:rPr>
          <w:rFonts w:hint="eastAsia" w:ascii="仿宋_GB2312" w:cs="仿宋_GB2312"/>
          <w:color w:val="000000"/>
          <w:spacing w:val="16"/>
        </w:rPr>
        <w:t>作为评价选点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6" w:lineRule="exact"/>
        <w:ind w:firstLine="640"/>
        <w:textAlignment w:val="auto"/>
        <w:outlineLvl w:val="9"/>
        <w:rPr>
          <w:rFonts w:ascii="仿宋_GB2312" w:cs="仿宋_GB2312"/>
          <w:color w:val="000000"/>
          <w:spacing w:val="16"/>
        </w:rPr>
      </w:pPr>
      <w:r>
        <w:rPr>
          <w:rFonts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u w:val="none"/>
          <w:lang w:val="zh-CN"/>
        </w:rPr>
        <w:t>（四）评价方法。</w:t>
      </w:r>
      <w:r>
        <w:rPr>
          <w:rFonts w:hint="eastAsia" w:ascii="仿宋_GB2312" w:cs="仿宋_GB2312"/>
          <w:color w:val="000000"/>
          <w:spacing w:val="16"/>
          <w:lang w:val="zh-CN"/>
        </w:rPr>
        <w:t>采用</w:t>
      </w:r>
      <w:r>
        <w:rPr>
          <w:rFonts w:hint="eastAsia" w:ascii="仿宋_GB2312" w:cs="仿宋_GB2312"/>
          <w:color w:val="000000"/>
          <w:spacing w:val="16"/>
          <w:lang w:val="en-US" w:eastAsia="zh-CN"/>
        </w:rPr>
        <w:t>单位自评法</w:t>
      </w:r>
      <w:r>
        <w:rPr>
          <w:rFonts w:hint="eastAsia" w:ascii="仿宋_GB2312" w:cs="仿宋_GB2312"/>
          <w:color w:val="000000"/>
          <w:spacing w:val="16"/>
        </w:rPr>
        <w:t>。</w:t>
      </w:r>
    </w:p>
    <w:p>
      <w:pPr>
        <w:spacing w:line="578" w:lineRule="exact"/>
        <w:ind w:firstLine="640"/>
        <w:rPr>
          <w:rFonts w:ascii="Times New Roman" w:hAnsi="Times New Roman" w:eastAsia="仿宋_GB2312" w:cs="Times New Roman"/>
          <w:b w:val="0"/>
          <w:bCs w:val="0"/>
          <w:color w:val="auto"/>
          <w:lang w:eastAsia="zh-CN"/>
        </w:rPr>
      </w:pPr>
      <w:r>
        <w:rPr>
          <w:rFonts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u w:val="none"/>
          <w:lang w:val="zh-CN"/>
        </w:rPr>
        <w:t>（五）评价组织。</w:t>
      </w:r>
      <w:r>
        <w:rPr>
          <w:rFonts w:hint="eastAsia" w:ascii="仿宋_GB2312" w:cs="仿宋_GB2312"/>
          <w:color w:val="000000"/>
          <w:spacing w:val="16"/>
          <w:lang w:val="zh-CN"/>
        </w:rPr>
        <w:t>市</w:t>
      </w:r>
      <w:r>
        <w:rPr>
          <w:rFonts w:ascii="仿宋_GB2312" w:cs="仿宋_GB2312"/>
          <w:color w:val="000000"/>
          <w:spacing w:val="16"/>
          <w:lang w:val="zh-CN"/>
        </w:rPr>
        <w:t>卫生健康委员会直属</w:t>
      </w:r>
      <w:r>
        <w:rPr>
          <w:rFonts w:hint="eastAsia" w:ascii="仿宋_GB2312" w:cs="仿宋_GB2312"/>
          <w:color w:val="000000"/>
          <w:spacing w:val="16"/>
          <w:lang w:val="zh-CN"/>
        </w:rPr>
        <w:t>机关党委、内部监督与审计科相关人员组成评价小组，对项目实施进行评价</w:t>
      </w:r>
      <w:r>
        <w:rPr>
          <w:rFonts w:ascii="Times New Roman" w:hAnsi="Times New Roman" w:cs="Times New Roman"/>
          <w:b w:val="0"/>
          <w:bCs w:val="0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6" w:lineRule="exact"/>
        <w:ind w:firstLine="640" w:firstLineChars="200"/>
        <w:textAlignment w:val="auto"/>
        <w:rPr>
          <w:rFonts w:ascii="Times New Roman" w:hAnsi="Times New Roman" w:cs="Times New Roman"/>
          <w:b w:val="0"/>
          <w:bCs w:val="0"/>
          <w:color w:val="auto"/>
          <w:sz w:val="32"/>
          <w:szCs w:val="32"/>
          <w:highlight w:val="none"/>
          <w:u w:val="none"/>
          <w:lang w:val="zh-CN"/>
        </w:rPr>
      </w:pPr>
      <w:r>
        <w:rPr>
          <w:rFonts w:ascii="Times New Roman" w:hAnsi="Times New Roman" w:eastAsia="黑体" w:cs="Times New Roman"/>
          <w:b w:val="0"/>
          <w:bCs w:val="0"/>
          <w:color w:val="auto"/>
          <w:sz w:val="32"/>
          <w:szCs w:val="32"/>
          <w:highlight w:val="none"/>
          <w:u w:val="none"/>
        </w:rPr>
        <w:t>三、</w:t>
      </w:r>
      <w:r>
        <w:rPr>
          <w:rFonts w:ascii="Times New Roman" w:hAnsi="Times New Roman" w:eastAsia="黑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绩效分析</w:t>
      </w:r>
      <w:r>
        <w:rPr>
          <w:rFonts w:ascii="Times New Roman" w:hAnsi="Times New Roman" w:cs="Times New Roman"/>
          <w:b w:val="0"/>
          <w:bCs w:val="0"/>
          <w:color w:val="auto"/>
          <w:sz w:val="32"/>
          <w:szCs w:val="32"/>
          <w:highlight w:val="none"/>
          <w:u w:val="none"/>
          <w:lang w:val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/>
        <w:textAlignment w:val="auto"/>
        <w:outlineLvl w:val="9"/>
        <w:rPr>
          <w:rFonts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u w:val="none"/>
          <w:lang w:val="zh-CN"/>
        </w:rPr>
        <w:t>（一）</w:t>
      </w:r>
      <w:r>
        <w:rPr>
          <w:rFonts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通用指标</w:t>
      </w:r>
      <w:r>
        <w:rPr>
          <w:rFonts w:ascii="Times New Roman" w:hAnsi="Times New Roman" w:eastAsia="楷体_GB2312" w:cs="Times New Roman"/>
          <w:b w:val="0"/>
          <w:bCs w:val="0"/>
          <w:color w:val="auto"/>
          <w:kern w:val="0"/>
          <w:szCs w:val="32"/>
          <w:highlight w:val="none"/>
          <w:shd w:val="clear" w:color="auto" w:fill="FFFFFF"/>
          <w:lang w:val="zh-CN"/>
        </w:rPr>
        <w:t>绩效分析。</w:t>
      </w:r>
    </w:p>
    <w:p>
      <w:pPr>
        <w:spacing w:line="576" w:lineRule="exact"/>
        <w:ind w:firstLine="640" w:firstLineChars="200"/>
        <w:rPr>
          <w:rFonts w:hint="eastAsia" w:ascii="楷体_GB2312" w:hAnsi="楷体_GB2312" w:cs="楷体_GB2312"/>
        </w:rPr>
      </w:pPr>
      <w:r>
        <w:rPr>
          <w:rFonts w:hint="eastAsia" w:ascii="仿宋_GB2312" w:eastAsia="仿宋_GB2312" w:cs="仿宋_GB2312"/>
          <w:b w:val="0"/>
          <w:bCs w:val="0"/>
          <w:color w:val="auto"/>
          <w:szCs w:val="32"/>
          <w:lang w:val="en-US" w:eastAsia="zh-CN"/>
        </w:rPr>
        <w:t>1.</w:t>
      </w:r>
      <w:r>
        <w:rPr>
          <w:rFonts w:hint="eastAsia" w:ascii="仿宋_GB2312" w:eastAsia="仿宋_GB2312" w:cs="仿宋_GB2312"/>
          <w:b w:val="0"/>
          <w:bCs w:val="0"/>
          <w:color w:val="auto"/>
          <w:szCs w:val="32"/>
          <w:lang w:eastAsia="zh-CN"/>
        </w:rPr>
        <w:t>项目决策。</w:t>
      </w:r>
      <w:r>
        <w:rPr>
          <w:rFonts w:hint="eastAsia" w:ascii="仿宋_GB2312" w:cs="仿宋_GB2312"/>
          <w:color w:val="000000"/>
          <w:spacing w:val="16"/>
          <w:lang w:val="zh-CN"/>
        </w:rPr>
        <w:t>根据</w:t>
      </w:r>
      <w:r>
        <w:rPr>
          <w:rFonts w:ascii="仿宋_GB2312" w:cs="仿宋_GB2312"/>
          <w:color w:val="000000"/>
          <w:spacing w:val="16"/>
          <w:lang w:val="zh-CN"/>
        </w:rPr>
        <w:t>市卫健委</w:t>
      </w:r>
      <w:r>
        <w:rPr>
          <w:rFonts w:hint="eastAsia" w:ascii="仿宋_GB2312" w:cs="仿宋_GB2312"/>
          <w:color w:val="000000"/>
          <w:spacing w:val="16"/>
          <w:lang w:val="zh-CN"/>
        </w:rPr>
        <w:t>相关制度，项目实施经分管领导和</w:t>
      </w:r>
      <w:r>
        <w:rPr>
          <w:rFonts w:ascii="仿宋_GB2312" w:cs="仿宋_GB2312"/>
          <w:color w:val="000000"/>
          <w:spacing w:val="16"/>
          <w:lang w:val="zh-CN"/>
        </w:rPr>
        <w:t>委</w:t>
      </w:r>
      <w:r>
        <w:rPr>
          <w:rFonts w:hint="eastAsia" w:ascii="仿宋_GB2312" w:cs="仿宋_GB2312"/>
          <w:color w:val="000000"/>
          <w:spacing w:val="16"/>
          <w:lang w:val="zh-CN"/>
        </w:rPr>
        <w:t>主要领导研究决策，符合相关规定和程序要求。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/>
        <w:textAlignment w:val="auto"/>
        <w:outlineLvl w:val="9"/>
        <w:rPr>
          <w:rFonts w:hint="eastAsia" w:ascii="仿宋_GB2312" w:eastAsia="仿宋_GB2312" w:cs="仿宋_GB2312"/>
          <w:b w:val="0"/>
          <w:bCs w:val="0"/>
          <w:color w:val="auto"/>
          <w:szCs w:val="32"/>
          <w:lang w:eastAsia="zh-CN"/>
        </w:rPr>
      </w:pPr>
      <w:r>
        <w:rPr>
          <w:rFonts w:hint="eastAsia" w:ascii="仿宋_GB2312" w:eastAsia="仿宋_GB2312" w:cs="仿宋_GB2312"/>
          <w:b w:val="0"/>
          <w:bCs w:val="0"/>
          <w:color w:val="auto"/>
          <w:szCs w:val="32"/>
          <w:lang w:val="en-US" w:eastAsia="zh-CN"/>
        </w:rPr>
        <w:t>2.</w:t>
      </w:r>
      <w:r>
        <w:rPr>
          <w:rFonts w:hint="eastAsia" w:ascii="仿宋_GB2312" w:eastAsia="仿宋_GB2312" w:cs="仿宋_GB2312"/>
          <w:b w:val="0"/>
          <w:bCs w:val="0"/>
          <w:color w:val="auto"/>
          <w:szCs w:val="32"/>
          <w:lang w:eastAsia="zh-CN"/>
        </w:rPr>
        <w:t>项目管理。</w:t>
      </w:r>
      <w:r>
        <w:rPr>
          <w:rFonts w:hint="eastAsia"/>
        </w:rPr>
        <w:t>制定了详细的项目实施方案和管理制度，确保项目按计划有序推进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640" w:leftChars="200" w:firstLine="0"/>
        <w:textAlignment w:val="auto"/>
        <w:outlineLvl w:val="9"/>
        <w:rPr>
          <w:rFonts w:hint="eastAsia" w:ascii="仿宋_GB2312" w:eastAsia="仿宋_GB2312" w:cs="仿宋_GB2312"/>
          <w:b w:val="0"/>
          <w:bCs w:val="0"/>
          <w:color w:val="auto"/>
          <w:szCs w:val="32"/>
          <w:lang w:eastAsia="zh-CN"/>
        </w:rPr>
      </w:pPr>
      <w:r>
        <w:rPr>
          <w:rFonts w:hint="eastAsia" w:ascii="仿宋_GB2312" w:eastAsia="仿宋_GB2312" w:cs="仿宋_GB2312"/>
          <w:b w:val="0"/>
          <w:bCs w:val="0"/>
          <w:color w:val="auto"/>
          <w:szCs w:val="32"/>
          <w:lang w:val="en-US" w:eastAsia="zh-CN"/>
        </w:rPr>
        <w:t>3.项目实施。</w:t>
      </w:r>
      <w:r>
        <w:rPr>
          <w:rFonts w:hint="eastAsia" w:ascii="仿宋_GB2312" w:cs="仿宋_GB2312"/>
          <w:b w:val="0"/>
          <w:bCs w:val="0"/>
          <w:color w:val="auto"/>
          <w:szCs w:val="32"/>
          <w:lang w:val="en-US" w:eastAsia="zh-CN"/>
        </w:rPr>
        <w:t>项目实施顺利，</w:t>
      </w:r>
      <w:r>
        <w:rPr>
          <w:rFonts w:hint="eastAsia" w:ascii="仿宋_GB2312" w:cs="仿宋_GB2312"/>
        </w:rPr>
        <w:t>未出现重大失误或延误</w:t>
      </w:r>
      <w:r>
        <w:rPr>
          <w:rFonts w:hint="eastAsia" w:ascii="仿宋_GB2312" w:eastAsia="仿宋_GB2312" w:cs="仿宋_GB2312"/>
          <w:b w:val="0"/>
          <w:bCs w:val="0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76" w:lineRule="exact"/>
        <w:ind w:firstLine="640" w:firstLineChars="200"/>
        <w:rPr>
          <w:rFonts w:hint="eastAsia" w:ascii="仿宋_GB2312" w:cs="仿宋_GB2312"/>
        </w:rPr>
      </w:pPr>
      <w:r>
        <w:rPr>
          <w:rFonts w:ascii="仿宋_GB2312" w:eastAsia="仿宋_GB2312" w:cs="仿宋_GB2312"/>
          <w:b w:val="0"/>
          <w:bCs w:val="0"/>
          <w:color w:val="auto"/>
          <w:szCs w:val="32"/>
          <w:lang w:val="en-US" w:eastAsia="zh-CN"/>
        </w:rPr>
        <w:t>4.</w:t>
      </w:r>
      <w:r>
        <w:rPr>
          <w:rFonts w:hint="eastAsia" w:ascii="仿宋_GB2312" w:eastAsia="仿宋_GB2312" w:cs="仿宋_GB2312"/>
          <w:b w:val="0"/>
          <w:bCs w:val="0"/>
          <w:color w:val="auto"/>
          <w:szCs w:val="32"/>
          <w:lang w:val="en-US" w:eastAsia="zh-CN"/>
        </w:rPr>
        <w:t>项目结果。</w:t>
      </w:r>
      <w:r>
        <w:rPr>
          <w:rFonts w:hint="eastAsia" w:ascii="仿宋_GB2312" w:cs="仿宋_GB2312"/>
          <w:b w:val="0"/>
          <w:bCs w:val="0"/>
          <w:color w:val="auto"/>
          <w:szCs w:val="32"/>
          <w:lang w:val="en-US" w:eastAsia="zh-CN"/>
        </w:rPr>
        <w:t>有力地保障了市</w:t>
      </w:r>
      <w:r>
        <w:rPr>
          <w:rFonts w:ascii="仿宋_GB2312" w:cs="仿宋_GB2312"/>
          <w:b w:val="0"/>
          <w:bCs w:val="0"/>
          <w:color w:val="auto"/>
          <w:szCs w:val="32"/>
          <w:lang w:val="en-US" w:eastAsia="zh-CN"/>
        </w:rPr>
        <w:t>卫生健康</w:t>
      </w:r>
      <w:r>
        <w:rPr>
          <w:rFonts w:hint="eastAsia" w:ascii="仿宋_GB2312" w:cs="仿宋_GB2312"/>
          <w:b w:val="0"/>
          <w:bCs w:val="0"/>
          <w:color w:val="auto"/>
          <w:szCs w:val="32"/>
          <w:lang w:val="en-US" w:eastAsia="zh-CN"/>
        </w:rPr>
        <w:t>行业党委和两新</w:t>
      </w:r>
      <w:r>
        <w:rPr>
          <w:rFonts w:ascii="仿宋_GB2312" w:cs="仿宋_GB2312"/>
          <w:b w:val="0"/>
          <w:bCs w:val="0"/>
          <w:color w:val="auto"/>
          <w:szCs w:val="32"/>
          <w:lang w:val="en-US" w:eastAsia="zh-CN"/>
        </w:rPr>
        <w:t>组织</w:t>
      </w:r>
      <w:r>
        <w:rPr>
          <w:rFonts w:hint="eastAsia" w:ascii="仿宋_GB2312" w:cs="仿宋_GB2312"/>
          <w:b w:val="0"/>
          <w:bCs w:val="0"/>
          <w:color w:val="auto"/>
          <w:szCs w:val="32"/>
          <w:lang w:val="en-US" w:eastAsia="zh-CN"/>
        </w:rPr>
        <w:t>党组织工作顺利开展</w:t>
      </w:r>
      <w:r>
        <w:rPr>
          <w:rFonts w:hint="eastAsia" w:ascii="仿宋_GB2312" w:eastAsia="仿宋_GB2312" w:cs="仿宋_GB2312"/>
          <w:b w:val="0"/>
          <w:bCs w:val="0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640" w:leftChars="200" w:firstLine="0"/>
        <w:textAlignment w:val="auto"/>
        <w:outlineLvl w:val="9"/>
        <w:rPr>
          <w:rFonts w:hint="eastAsia" w:ascii="仿宋_GB2312" w:cs="仿宋_GB2312"/>
          <w:lang w:eastAsia="zh-CN"/>
        </w:rPr>
      </w:pPr>
      <w:r>
        <w:rPr>
          <w:rFonts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u w:val="none"/>
          <w:lang w:val="zh-CN"/>
        </w:rPr>
        <w:t>（二）</w:t>
      </w:r>
      <w:r>
        <w:rPr>
          <w:rFonts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专用指标</w:t>
      </w:r>
      <w:r>
        <w:rPr>
          <w:rFonts w:ascii="Times New Roman" w:hAnsi="Times New Roman" w:eastAsia="楷体_GB2312" w:cs="Times New Roman"/>
          <w:b w:val="0"/>
          <w:bCs w:val="0"/>
          <w:color w:val="auto"/>
          <w:kern w:val="0"/>
          <w:szCs w:val="32"/>
          <w:highlight w:val="none"/>
          <w:shd w:val="clear" w:color="auto" w:fill="FFFFFF"/>
          <w:lang w:val="zh-CN"/>
        </w:rPr>
        <w:t>绩效分析。</w:t>
      </w:r>
      <w:r>
        <w:rPr>
          <w:rFonts w:hint="eastAsia" w:ascii="仿宋_GB2312" w:cs="仿宋_GB2312"/>
        </w:rPr>
        <w:t>项目实施与市委市政府</w:t>
      </w:r>
      <w:r>
        <w:rPr>
          <w:rFonts w:hint="eastAsia" w:ascii="仿宋_GB2312" w:cs="仿宋_GB2312"/>
          <w:lang w:eastAsia="zh-CN"/>
        </w:rPr>
        <w:t>加强两新</w:t>
      </w:r>
    </w:p>
    <w:p>
      <w:pPr>
        <w:widowControl/>
        <w:spacing w:line="576" w:lineRule="exact"/>
        <w:jc w:val="left"/>
        <w:rPr>
          <w:rFonts w:hint="eastAsia" w:ascii="仿宋_GB2312" w:cs="仿宋_GB2312"/>
          <w:color w:val="222222"/>
          <w:kern w:val="0"/>
          <w:shd w:val="clear" w:color="auto" w:fill="FFFFFF"/>
          <w:lang w:bidi="ar-SA"/>
        </w:rPr>
      </w:pPr>
      <w:r>
        <w:rPr>
          <w:rFonts w:hint="eastAsia" w:ascii="仿宋_GB2312" w:cs="仿宋_GB2312"/>
          <w:lang w:eastAsia="zh-CN"/>
        </w:rPr>
        <w:t>组织党组织建设的安排部署</w:t>
      </w:r>
      <w:r>
        <w:rPr>
          <w:rFonts w:hint="eastAsia" w:ascii="仿宋_GB2312" w:cs="仿宋_GB2312"/>
        </w:rPr>
        <w:t>高度契合，</w:t>
      </w:r>
      <w:r>
        <w:rPr>
          <w:rFonts w:hint="eastAsia" w:ascii="仿宋_GB2312" w:cs="仿宋_GB2312"/>
          <w:b w:val="0"/>
          <w:bCs w:val="0"/>
          <w:color w:val="auto"/>
          <w:szCs w:val="32"/>
          <w:lang w:val="en-US" w:eastAsia="zh-CN"/>
        </w:rPr>
        <w:t>有力地保障了市</w:t>
      </w:r>
      <w:r>
        <w:rPr>
          <w:rFonts w:ascii="仿宋_GB2312" w:cs="仿宋_GB2312"/>
          <w:b w:val="0"/>
          <w:bCs w:val="0"/>
          <w:color w:val="auto"/>
          <w:szCs w:val="32"/>
          <w:lang w:val="en-US" w:eastAsia="zh-CN"/>
        </w:rPr>
        <w:t>卫生健康</w:t>
      </w:r>
      <w:r>
        <w:rPr>
          <w:rFonts w:hint="eastAsia" w:ascii="仿宋_GB2312" w:cs="仿宋_GB2312"/>
          <w:b w:val="0"/>
          <w:bCs w:val="0"/>
          <w:color w:val="auto"/>
          <w:szCs w:val="32"/>
          <w:lang w:val="en-US" w:eastAsia="zh-CN"/>
        </w:rPr>
        <w:t>行业党委和两新组织党组织工作顺利开展</w:t>
      </w:r>
      <w:r>
        <w:rPr>
          <w:rFonts w:hint="eastAsia" w:ascii="仿宋_GB2312" w:cs="仿宋_GB2312"/>
          <w:b w:val="0"/>
          <w:bCs w:val="0"/>
          <w:color w:val="auto"/>
          <w:szCs w:val="32"/>
          <w:lang w:eastAsia="zh-CN"/>
        </w:rPr>
        <w:t>，对加快全市</w:t>
      </w:r>
      <w:r>
        <w:rPr>
          <w:rFonts w:ascii="仿宋_GB2312" w:cs="仿宋_GB2312"/>
          <w:b w:val="0"/>
          <w:bCs w:val="0"/>
          <w:color w:val="auto"/>
          <w:szCs w:val="32"/>
          <w:lang w:eastAsia="zh-CN"/>
        </w:rPr>
        <w:t>卫生健康</w:t>
      </w:r>
      <w:r>
        <w:rPr>
          <w:rFonts w:hint="eastAsia" w:ascii="仿宋_GB2312" w:cs="仿宋_GB2312"/>
          <w:b w:val="0"/>
          <w:bCs w:val="0"/>
          <w:color w:val="auto"/>
          <w:szCs w:val="32"/>
          <w:lang w:eastAsia="zh-CN"/>
        </w:rPr>
        <w:t>事业高质量发展有极大地促进作用</w:t>
      </w:r>
      <w:r>
        <w:rPr>
          <w:rFonts w:ascii="仿宋_GB2312" w:cs="仿宋_GB2312"/>
          <w:b w:val="0"/>
          <w:bCs w:val="0"/>
          <w:color w:val="auto"/>
          <w:szCs w:val="32"/>
          <w:lang w:eastAsia="zh-CN"/>
        </w:rPr>
        <w:t>。</w:t>
      </w:r>
    </w:p>
    <w:p>
      <w:pPr>
        <w:widowControl/>
        <w:spacing w:line="576" w:lineRule="exact"/>
        <w:ind w:firstLine="640" w:firstLineChars="200"/>
        <w:rPr>
          <w:rFonts w:ascii="仿宋_GB2312" w:cs="黑体"/>
          <w:color w:val="000000"/>
        </w:rPr>
      </w:pPr>
      <w:r>
        <w:rPr>
          <w:rFonts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u w:val="none"/>
          <w:lang w:val="zh-CN"/>
        </w:rPr>
        <w:t>（三）</w:t>
      </w:r>
      <w:r>
        <w:rPr>
          <w:rFonts w:ascii="Times New Roman" w:hAnsi="Times New Roman" w:eastAsia="楷体_GB2312" w:cs="Times New Roman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个性指标</w:t>
      </w:r>
      <w:r>
        <w:rPr>
          <w:rFonts w:ascii="Times New Roman" w:hAnsi="Times New Roman" w:eastAsia="楷体_GB2312" w:cs="Times New Roman"/>
          <w:b w:val="0"/>
          <w:bCs w:val="0"/>
          <w:color w:val="auto"/>
          <w:kern w:val="0"/>
          <w:szCs w:val="32"/>
          <w:highlight w:val="none"/>
          <w:shd w:val="clear" w:color="auto" w:fill="FFFFFF"/>
          <w:lang w:val="zh-CN"/>
        </w:rPr>
        <w:t>绩效分析。</w:t>
      </w:r>
      <w:r>
        <w:rPr>
          <w:rFonts w:hint="eastAsia" w:ascii="仿宋_GB2312" w:eastAsia="仿宋_GB2312" w:cs="仿宋_GB2312"/>
          <w:b w:val="0"/>
          <w:bCs w:val="0"/>
          <w:color w:val="auto"/>
          <w:kern w:val="2"/>
          <w:position w:val="0"/>
          <w:sz w:val="32"/>
          <w:szCs w:val="32"/>
          <w:lang w:val="zh-CN" w:eastAsia="zh-CN" w:bidi="ar-SA"/>
        </w:rPr>
        <w:t>该项目的顺利实施，保障了工作的正常开展，有利于两新组织党组织的培育，</w:t>
      </w:r>
      <w:r>
        <w:rPr>
          <w:rFonts w:hint="eastAsia" w:ascii="仿宋_GB2312" w:eastAsia="仿宋_GB2312" w:cs="黑体"/>
          <w:color w:val="000000"/>
          <w:sz w:val="32"/>
          <w:szCs w:val="32"/>
        </w:rPr>
        <w:t>摸清</w:t>
      </w:r>
      <w:r>
        <w:rPr>
          <w:rFonts w:ascii="仿宋_GB2312" w:cs="黑体"/>
          <w:color w:val="000000"/>
          <w:sz w:val="32"/>
          <w:szCs w:val="32"/>
          <w:lang w:eastAsia="zh-CN"/>
        </w:rPr>
        <w:t>卫生健康</w:t>
      </w:r>
      <w:r>
        <w:rPr>
          <w:rFonts w:hint="eastAsia" w:ascii="仿宋_GB2312" w:cs="黑体"/>
          <w:color w:val="000000"/>
          <w:sz w:val="32"/>
          <w:szCs w:val="32"/>
          <w:lang w:eastAsia="zh-CN"/>
        </w:rPr>
        <w:t>行业</w:t>
      </w:r>
      <w:r>
        <w:rPr>
          <w:rFonts w:hint="eastAsia" w:ascii="仿宋_GB2312" w:eastAsia="仿宋_GB2312" w:cs="黑体"/>
          <w:color w:val="000000"/>
          <w:sz w:val="32"/>
          <w:szCs w:val="32"/>
        </w:rPr>
        <w:t>“两新”组织情况，确保实现“两个覆盖”，</w:t>
      </w:r>
      <w:r>
        <w:rPr>
          <w:rFonts w:ascii="仿宋_GB2312" w:eastAsia="仿宋_GB2312" w:cs="黑体"/>
          <w:color w:val="000000"/>
          <w:sz w:val="32"/>
          <w:szCs w:val="32"/>
        </w:rPr>
        <w:t>促进全市两新医院党务工作者政治能力和履职能力，推动提升全市两新医院党建工作水平。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left="0" w:firstLine="640" w:firstLineChars="200"/>
        <w:textAlignment w:val="auto"/>
        <w:rPr>
          <w:rFonts w:ascii="Times New Roman" w:hAnsi="Times New Roman" w:eastAsia="黑体" w:cs="Times New Roman"/>
          <w:b w:val="0"/>
          <w:bCs w:val="0"/>
          <w:color w:val="auto"/>
          <w:sz w:val="32"/>
          <w:szCs w:val="32"/>
          <w:highlight w:val="none"/>
          <w:u w:val="none"/>
        </w:rPr>
      </w:pPr>
      <w:r>
        <w:rPr>
          <w:rFonts w:ascii="Times New Roman" w:hAnsi="Times New Roman" w:eastAsia="黑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四</w:t>
      </w:r>
      <w:r>
        <w:rPr>
          <w:rFonts w:ascii="Times New Roman" w:hAnsi="Times New Roman" w:eastAsia="黑体" w:cs="Times New Roman"/>
          <w:b w:val="0"/>
          <w:bCs w:val="0"/>
          <w:color w:val="auto"/>
          <w:sz w:val="32"/>
          <w:szCs w:val="32"/>
          <w:highlight w:val="none"/>
          <w:u w:val="none"/>
        </w:rPr>
        <w:t>、评价结论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left="0" w:firstLine="640" w:firstLineChars="200"/>
        <w:textAlignment w:val="auto"/>
        <w:rPr>
          <w:rFonts w:ascii="仿宋_GB2312" w:eastAsia="仿宋_GB2312" w:cs="仿宋_GB2312"/>
          <w:b w:val="0"/>
          <w:bCs w:val="0"/>
          <w:kern w:val="2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b w:val="0"/>
          <w:bCs w:val="0"/>
          <w:kern w:val="2"/>
          <w:sz w:val="32"/>
          <w:szCs w:val="32"/>
          <w:lang w:val="en-US" w:eastAsia="zh-CN"/>
        </w:rPr>
        <w:t>2024年度，我</w:t>
      </w:r>
      <w:r>
        <w:rPr>
          <w:rFonts w:ascii="仿宋_GB2312" w:eastAsia="仿宋_GB2312" w:cs="仿宋_GB2312"/>
          <w:b w:val="0"/>
          <w:bCs w:val="0"/>
          <w:kern w:val="2"/>
          <w:sz w:val="32"/>
          <w:szCs w:val="32"/>
          <w:lang w:val="en-US" w:eastAsia="zh-CN"/>
        </w:rPr>
        <w:t>委</w:t>
      </w:r>
      <w:r>
        <w:rPr>
          <w:rFonts w:hint="eastAsia" w:ascii="仿宋_GB2312" w:eastAsia="仿宋_GB2312" w:cs="仿宋_GB2312"/>
          <w:b w:val="0"/>
          <w:bCs w:val="0"/>
          <w:kern w:val="2"/>
          <w:sz w:val="32"/>
          <w:szCs w:val="32"/>
          <w:lang w:val="en-US" w:eastAsia="zh-CN"/>
        </w:rPr>
        <w:t>两新组织党建工作经费项目使用支出绩效目标完成良好</w:t>
      </w:r>
      <w:bookmarkStart w:id="1" w:name="_GoBack"/>
      <w:bookmarkEnd w:id="1"/>
      <w:r>
        <w:rPr>
          <w:rFonts w:ascii="仿宋_GB2312" w:eastAsia="仿宋_GB2312" w:cs="仿宋_GB2312"/>
          <w:b w:val="0"/>
          <w:bCs w:val="0"/>
          <w:kern w:val="2"/>
          <w:sz w:val="32"/>
          <w:szCs w:val="32"/>
          <w:lang w:val="en-US" w:eastAsia="zh-CN"/>
        </w:rPr>
        <w:t>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left="0" w:firstLine="640" w:firstLineChars="200"/>
        <w:textAlignment w:val="auto"/>
        <w:rPr>
          <w:rFonts w:ascii="Times New Roman" w:hAnsi="Times New Roman" w:eastAsia="黑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</w:pPr>
      <w:r>
        <w:rPr>
          <w:rFonts w:ascii="Times New Roman" w:hAnsi="Times New Roman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五、</w:t>
      </w:r>
      <w:r>
        <w:rPr>
          <w:rFonts w:ascii="Times New Roman" w:hAnsi="Times New Roman" w:eastAsia="黑体" w:cs="Times New Roman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  <w:t>存在主要问题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left="0" w:firstLine="640" w:firstLineChars="200"/>
        <w:textAlignment w:val="auto"/>
        <w:rPr>
          <w:rFonts w:ascii="Times New Roman" w:hAnsi="Times New Roman" w:cs="Times New Roman"/>
          <w:b w:val="0"/>
          <w:bCs w:val="0"/>
          <w:color w:val="auto"/>
          <w:kern w:val="2"/>
          <w:position w:val="0"/>
          <w:sz w:val="32"/>
          <w:szCs w:val="32"/>
          <w:highlight w:val="none"/>
          <w:lang w:val="en-US" w:eastAsia="zh-CN" w:bidi="ar-SA"/>
        </w:rPr>
      </w:pPr>
      <w:r>
        <w:rPr>
          <w:rFonts w:ascii="Times New Roman" w:hAnsi="Times New Roman" w:eastAsia="仿宋_GB2312" w:cs="Times New Roman"/>
          <w:b w:val="0"/>
          <w:bCs w:val="0"/>
          <w:color w:val="auto"/>
          <w:kern w:val="0"/>
          <w:position w:val="0"/>
          <w:sz w:val="32"/>
          <w:szCs w:val="32"/>
          <w:highlight w:val="none"/>
          <w:lang w:val="en-US" w:eastAsia="zh-CN" w:bidi="ar-SA"/>
        </w:rPr>
        <w:t>无。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left="0" w:firstLine="640" w:firstLineChars="200"/>
        <w:textAlignment w:val="auto"/>
        <w:rPr>
          <w:rFonts w:ascii="Times New Roman" w:hAnsi="Times New Roman" w:eastAsia="黑体" w:cs="Times New Roman"/>
          <w:b w:val="0"/>
          <w:bCs w:val="0"/>
          <w:color w:val="auto"/>
          <w:kern w:val="0"/>
          <w:position w:val="3"/>
          <w:sz w:val="32"/>
          <w:szCs w:val="32"/>
          <w:highlight w:val="none"/>
          <w:u w:val="none"/>
          <w:lang w:val="zh-CN" w:eastAsia="zh-CN" w:bidi="ar-SA"/>
        </w:rPr>
      </w:pPr>
      <w:r>
        <w:rPr>
          <w:rFonts w:ascii="Times New Roman" w:hAnsi="Times New Roman" w:eastAsia="黑体" w:cs="Times New Roman"/>
          <w:b w:val="0"/>
          <w:bCs w:val="0"/>
          <w:color w:val="auto"/>
          <w:kern w:val="0"/>
          <w:position w:val="3"/>
          <w:sz w:val="32"/>
          <w:szCs w:val="32"/>
          <w:highlight w:val="none"/>
          <w:u w:val="none"/>
          <w:lang w:val="zh-CN" w:eastAsia="zh-CN" w:bidi="ar-SA"/>
        </w:rPr>
        <w:t>六、改进建议</w:t>
      </w:r>
    </w:p>
    <w:p>
      <w:pPr>
        <w:keepNext w:val="0"/>
        <w:keepLines w:val="0"/>
        <w:pageBreakBefore w:val="0"/>
        <w:widowControl w:val="0"/>
        <w:tabs>
          <w:tab w:val="left" w:pos="1911"/>
        </w:tabs>
        <w:kinsoku/>
        <w:wordWrap/>
        <w:overflowPunct/>
        <w:topLinePunct w:val="0"/>
        <w:autoSpaceDE/>
        <w:autoSpaceDN/>
        <w:bidi w:val="0"/>
        <w:spacing w:line="576" w:lineRule="exact"/>
        <w:jc w:val="left"/>
        <w:rPr>
          <w:rFonts w:ascii="Times New Roman" w:hAnsi="Times New Roman" w:eastAsia="仿宋_GB2312" w:cs="Times New Roman"/>
          <w:b w:val="0"/>
          <w:bCs w:val="0"/>
          <w:color w:val="auto"/>
          <w:kern w:val="0"/>
          <w:position w:val="0"/>
          <w:sz w:val="32"/>
          <w:szCs w:val="32"/>
          <w:highlight w:val="none"/>
          <w:lang w:val="en-US" w:eastAsia="zh-CN" w:bidi="ar-SA"/>
        </w:rPr>
      </w:pPr>
      <w:r>
        <w:t xml:space="preserve">   </w:t>
      </w:r>
      <w:r>
        <w:rPr>
          <w:rFonts w:ascii="Times New Roman" w:hAnsi="Times New Roman" w:cs="Times New Roman"/>
          <w:b w:val="0"/>
          <w:bCs w:val="0"/>
          <w:color w:val="auto"/>
          <w:kern w:val="0"/>
          <w:position w:val="0"/>
          <w:sz w:val="32"/>
          <w:szCs w:val="32"/>
          <w:highlight w:val="none"/>
          <w:lang w:val="en-US" w:eastAsia="zh-CN" w:bidi="ar-SA"/>
        </w:rPr>
        <w:t xml:space="preserve"> </w:t>
      </w:r>
      <w:bookmarkStart w:id="0" w:name="_Hlk110546638"/>
      <w:r>
        <w:rPr>
          <w:rFonts w:ascii="Times New Roman" w:hAnsi="Times New Roman" w:eastAsia="仿宋_GB2312" w:cs="Times New Roman"/>
          <w:b w:val="0"/>
          <w:bCs w:val="0"/>
          <w:color w:val="auto"/>
          <w:kern w:val="0"/>
          <w:position w:val="0"/>
          <w:sz w:val="32"/>
          <w:szCs w:val="32"/>
          <w:highlight w:val="none"/>
          <w:lang w:val="en-US" w:eastAsia="zh-CN" w:bidi="ar-SA"/>
        </w:rPr>
        <w:t>无</w:t>
      </w:r>
      <w:r>
        <w:rPr>
          <w:rFonts w:ascii="Times New Roman" w:hAnsi="Times New Roman" w:cs="Times New Roman"/>
          <w:b w:val="0"/>
          <w:bCs w:val="0"/>
          <w:color w:val="auto"/>
          <w:kern w:val="0"/>
          <w:position w:val="0"/>
          <w:sz w:val="32"/>
          <w:szCs w:val="32"/>
          <w:highlight w:val="none"/>
          <w:lang w:val="en-US" w:eastAsia="zh-CN" w:bidi="ar-SA"/>
        </w:rPr>
        <w:t>。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firstLine="640" w:firstLineChars="200"/>
        <w:textAlignment w:val="auto"/>
        <w:outlineLvl w:val="9"/>
        <w:rPr>
          <w:rFonts w:ascii="Times New Roman" w:hAnsi="Times New Roman" w:cs="Times New Roman"/>
          <w:b w:val="0"/>
          <w:bCs w:val="0"/>
          <w:color w:val="auto"/>
          <w:kern w:val="0"/>
          <w:szCs w:val="32"/>
          <w:highlight w:val="none"/>
          <w:shd w:val="clear" w:color="auto" w:fill="FFFFFF"/>
          <w:lang w:val="zh-CN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firstLine="640" w:firstLineChars="200"/>
        <w:textAlignment w:val="auto"/>
        <w:outlineLvl w:val="9"/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附表：1.专项预算绩效自评打分表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firstLine="1600" w:firstLineChars="500"/>
        <w:textAlignment w:val="auto"/>
        <w:outlineLvl w:val="9"/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2.专项预算绩效自评实地踏勘点位清单表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left="0" w:firstLine="1600" w:firstLineChars="500"/>
        <w:textAlignment w:val="auto"/>
        <w:outlineLvl w:val="9"/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eastAsia="仿宋_GB2312" w:cs="仿宋_GB2312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/>
        </w:rPr>
        <w:t>3.专项预算项目绩效目标完成情况自评表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76" w:lineRule="exact"/>
        <w:ind w:left="0" w:leftChars="0"/>
        <w:textAlignment w:val="auto"/>
        <w:rPr>
          <w:rFonts w:ascii="Times New Roman" w:hAnsi="Times New Roman" w:eastAsia="黑体" w:cs="Times New Roman"/>
          <w:color w:val="auto"/>
          <w:sz w:val="24"/>
          <w:szCs w:val="24"/>
          <w:highlight w:val="none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559" w:gutter="0"/>
      <w:pgNumType w:start="1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仿宋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3665" distR="113665" simplePos="0" relativeHeight="102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711200" cy="23050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1199" cy="230251"/>
                      </a:xfrm>
                      <a:prstGeom prst="rect">
                        <a:avLst/>
                      </a:prstGeom>
                      <a:noFill/>
                      <a:ln w="6350" cap="flat" cmpd="sng">
                        <a:noFill/>
                        <a:prstDash val="solid"/>
                        <a:miter/>
                      </a:ln>
                    </wps:spPr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8.15pt;width:56pt;mso-position-horizontal:outside;mso-position-horizontal-relative:margin;mso-wrap-style:none;z-index:1024;mso-width-relative:page;mso-height-relative:page;" filled="f" stroked="f" coordsize="21600,21600" o:gfxdata="UEsDBAoAAAAAAIdO4kAAAAAAAAAAAAAAAAAEAAAAZHJzL1BLAwQUAAAACACHTuJAaHmQMdcAAAAE&#10;AQAADwAAAGRycy9kb3ducmV2LnhtbE2PwWrDMBBE74X+g9hCLqGR7EAojuUcEtJAaQ91Q6E3xdpY&#10;JtbKtRQ77ddX6aW9DAyzzLzNVxfbsgF73ziSkMwEMKTK6YZqCfu37f0DMB8UadU6Qglf6GFV3N7k&#10;KtNupFccylCzWEI+UxJMCF3Gua8MWuVnrkOK2dH1VoVo+5rrXo2x3LY8FWLBrWooLhjV4dpgdSrP&#10;VsLz5vHjfWqeRPryPT26sdwPn7uTlJO7RCyBBbyEv2O44kd0KCLTwZ1Je9ZKiI+EX71mSRrtQcJ8&#10;MQde5Pw/fPEDUEsDBBQAAAAIAIdO4kBLCmMXBAIAAPQDAAAOAAAAZHJzL2Uyb0RvYy54bWytU82O&#10;0zAQviPxDpbvNElXu7BR0xWiWoSEYKWFB3AdO7HkP3ncJuUB4A04ceHOc/U5GDtpd7Vc9sDFHseT&#10;b+b75vPqZjSa7EUA5WxDq0VJibDctcp2Df365fbVG0ogMtsy7axo6EEAvVm/fLEafC2Wrne6FYEg&#10;iIV68A3tY/R1UQDvhWGwcF5YvJQuGBbxGLqiDWxAdKOLZVleFYMLrQ+OCwD8upku6YwYngPopFRc&#10;bBzfGWHjhBqEZhEpQa880HXuVkrB42cpQUSiG4pMY16xCMbbtBbrFau7wHyv+NwCe04LTzgZpiwW&#10;PUNtWGRkF9Q/UEbx4MDJuODOFBORrAiyqMon2tz3zIvMBaUGfxYd/h8s/7S/C0S16ARKLDM48OPP&#10;H8dff46/v5MqyTN4qDHr3t+F+QQYJq6jDCbtyIKMWdLDWVIxRsLx4+uqqq6vKeF4tbwol5cZs3j4&#10;2QeI74UzJAUNDTixLCTbf4SIBTH1lJJqWXertM5T05YMDb26uMRZcoZOlOgADI1HNmC7DPMoP8Fs&#10;GPRkz9AM4LRqp/EbFUXihqW0xS0xnjimKI7bcSa+de0B1cLHg532LnyjZEDrNNTiS6FEf7A4meSy&#10;UxBOwfYUMMvxx4Zio1P4Lk5u3Pmguh5xq9w3+Le7iFyzBKmNqfbcHZohtzsbN7nt8TlnPTzW9V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oeZAx1wAAAAQBAAAPAAAAAAAAAAEAIAAAACIAAABkcnMv&#10;ZG93bnJldi54bWxQSwECFAAUAAAACACHTuJASwpjFwQCAAD0AwAADgAAAAAAAAABACAAAAAmAQAA&#10;ZHJzL2Uyb0RvYy54bWxQSwUGAAAAAAYABgBZAQAAnAUAAAAA&#10;">
              <v:fill on="f" focussize="0,0"/>
              <v:stroke on="f" weight="0.5pt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asci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doNotUseIndentAsNumberingTabStop/>
    <w:useAltKinsokuLineBreakRules/>
    <w:splitPgBreakAndParaMark/>
    <w:compatSetting w:name="compatibilityMode" w:uri="http://schemas.microsoft.com/office/word" w:val="11"/>
  </w:compat>
  <w:rsids>
    <w:rsidRoot w:val="00000000"/>
    <w:rsid w:val="04E1410C"/>
    <w:rsid w:val="15497292"/>
    <w:rsid w:val="22922D4E"/>
    <w:rsid w:val="275B1501"/>
    <w:rsid w:val="62BE4087"/>
    <w:rsid w:val="71127550"/>
    <w:rsid w:val="7EC772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3">
    <w:name w:val="heading 1"/>
    <w:basedOn w:val="1"/>
    <w:next w:val="1"/>
    <w:uiPriority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Times New Roman" w:hAnsi="Times New Roman" w:eastAsia="黑体"/>
      <w:b/>
      <w:bCs/>
      <w:sz w:val="32"/>
      <w:szCs w:val="32"/>
    </w:rPr>
  </w:style>
  <w:style w:type="paragraph" w:styleId="5">
    <w:name w:val="heading 3"/>
    <w:basedOn w:val="1"/>
    <w:next w:val="1"/>
    <w:uiPriority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3">
    <w:name w:val="Default Paragraph Font"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next w:val="1"/>
    <w:uiPriority w:val="0"/>
    <w:pPr>
      <w:keepNext/>
      <w:keepLines/>
      <w:widowControl w:val="0"/>
      <w:spacing w:before="280" w:after="156" w:line="377" w:lineRule="auto"/>
      <w:jc w:val="left"/>
      <w:outlineLvl w:val="4"/>
    </w:pPr>
    <w:rPr>
      <w:rFonts w:ascii="Arial" w:hAnsi="Arial" w:eastAsia="黑体" w:cs="Times New Roman"/>
      <w:b/>
      <w:kern w:val="2"/>
      <w:sz w:val="24"/>
      <w:szCs w:val="28"/>
      <w:lang w:val="en-US" w:eastAsia="zh-CN" w:bidi="ar-SA"/>
    </w:rPr>
  </w:style>
  <w:style w:type="paragraph" w:styleId="6">
    <w:name w:val="Body Text"/>
    <w:basedOn w:val="1"/>
    <w:uiPriority w:val="0"/>
    <w:pPr>
      <w:widowControl/>
      <w:tabs>
        <w:tab w:val="left" w:pos="2160"/>
      </w:tabs>
      <w:spacing w:line="480" w:lineRule="auto"/>
      <w:jc w:val="left"/>
    </w:pPr>
    <w:rPr>
      <w:rFonts w:ascii="楷体_GB2312" w:hAnsi="楷体_GB2312" w:eastAsia="黑体"/>
      <w:kern w:val="0"/>
      <w:position w:val="3"/>
      <w:sz w:val="20"/>
      <w:szCs w:val="20"/>
    </w:rPr>
  </w:style>
  <w:style w:type="paragraph" w:styleId="7">
    <w:name w:val="Body Text Indent"/>
    <w:basedOn w:val="1"/>
    <w:qFormat/>
    <w:uiPriority w:val="0"/>
    <w:pPr>
      <w:spacing w:after="120"/>
      <w:ind w:left="200" w:leftChars="200"/>
    </w:pPr>
    <w:rPr>
      <w:rFonts w:ascii="仿宋_GB2312"/>
      <w:szCs w:val="32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 w:eastAsia="zh-CN"/>
    </w:rPr>
  </w:style>
  <w:style w:type="paragraph" w:styleId="10">
    <w:name w:val="toc 1"/>
    <w:basedOn w:val="1"/>
    <w:next w:val="1"/>
    <w:qFormat/>
    <w:uiPriority w:val="0"/>
  </w:style>
  <w:style w:type="paragraph" w:styleId="11">
    <w:name w:val="Body Text First Indent 2"/>
    <w:basedOn w:val="7"/>
    <w:qFormat/>
    <w:uiPriority w:val="0"/>
    <w:pPr>
      <w:ind w:firstLine="200" w:firstLineChars="200"/>
    </w:pPr>
  </w:style>
  <w:style w:type="paragraph" w:customStyle="1" w:styleId="14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3</Pages>
  <Words>1000</Words>
  <Characters>1023</Characters>
  <Lines>59</Lines>
  <Paragraphs>31</Paragraphs>
  <TotalTime>1</TotalTime>
  <ScaleCrop>false</ScaleCrop>
  <LinksUpToDate>false</LinksUpToDate>
  <CharactersWithSpaces>1028</CharactersWithSpaces>
  <Application>WPS Office_11.1.0.10314_F1E327BC-269C-435d-A152-05C5408002CA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2020-07-16T16:13:00Z</dcterms:created>
  <dc:creator>Administrator</dc:creator>
  <cp:lastModifiedBy>财务科:汪钰堙</cp:lastModifiedBy>
  <cp:lastPrinted>2025-03-06T23:34:00Z</cp:lastPrinted>
  <dcterms:modified xsi:type="dcterms:W3CDTF">2025-04-29T09:17:51Z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