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ascii="Times New Roman" w:hAnsi="Times New Roman" w:eastAsia="方正小标宋简体" w:cs="Times New Roman"/>
          <w:color w:val="auto"/>
          <w:kern w:val="2"/>
          <w:sz w:val="72"/>
          <w:szCs w:val="72"/>
          <w:highlight w:val="none"/>
          <w:lang w:val="en-US" w:eastAsia="zh-CN" w:bidi="ar-SA"/>
        </w:rPr>
      </w:pPr>
      <w:bookmarkStart w:id="0" w:name="_Toc15377425"/>
      <w:bookmarkStart w:id="1" w:name="_Toc15396475"/>
      <w:bookmarkStart w:id="2" w:name="_Toc15306267"/>
      <w:bookmarkStart w:id="3" w:name="_Toc15377193"/>
      <w:bookmarkStart w:id="4" w:name="_Toc15396597"/>
      <w:bookmarkStart w:id="5" w:name="_Toc15378441"/>
    </w:p>
    <w:p>
      <w:pPr>
        <w:pStyle w:val="2"/>
        <w:rPr>
          <w:rFonts w:hint="eastAsia" w:ascii="Times New Roman" w:hAnsi="Times New Roman" w:eastAsia="方正小标宋简体" w:cs="Times New Roman"/>
          <w:color w:val="auto"/>
          <w:kern w:val="2"/>
          <w:sz w:val="72"/>
          <w:szCs w:val="72"/>
          <w:highlight w:val="none"/>
          <w:lang w:val="en-US" w:eastAsia="zh-CN" w:bidi="ar-SA"/>
        </w:rPr>
      </w:pPr>
    </w:p>
    <w:p>
      <w:pPr>
        <w:pStyle w:val="2"/>
        <w:jc w:val="center"/>
        <w:outlineLvl w:val="0"/>
        <w:rPr>
          <w:rFonts w:hint="eastAsia" w:ascii="方正小标宋简体" w:hAnsi="方正小标宋简体" w:eastAsia="方正小标宋简体" w:cs="方正小标宋简体"/>
          <w:color w:val="auto"/>
          <w:kern w:val="2"/>
          <w:sz w:val="48"/>
          <w:szCs w:val="48"/>
          <w:highlight w:val="none"/>
          <w:lang w:val="en-US" w:eastAsia="zh-CN" w:bidi="ar-SA"/>
        </w:rPr>
      </w:pPr>
      <w:bookmarkStart w:id="6" w:name="_Toc17982"/>
      <w:r>
        <w:rPr>
          <w:rFonts w:hint="eastAsia" w:ascii="方正小标宋简体" w:hAnsi="方正小标宋简体" w:eastAsia="方正小标宋简体" w:cs="方正小标宋简体"/>
          <w:color w:val="auto"/>
          <w:kern w:val="2"/>
          <w:sz w:val="48"/>
          <w:szCs w:val="48"/>
          <w:highlight w:val="none"/>
          <w:lang w:val="en-US" w:eastAsia="zh-CN" w:bidi="ar-SA"/>
        </w:rPr>
        <w:t>2024年度</w:t>
      </w:r>
      <w:bookmarkEnd w:id="6"/>
    </w:p>
    <w:p>
      <w:pPr>
        <w:pStyle w:val="2"/>
        <w:jc w:val="center"/>
        <w:outlineLvl w:val="0"/>
        <w:rPr>
          <w:rFonts w:hint="eastAsia" w:ascii="方正小标宋简体" w:hAnsi="方正小标宋简体" w:eastAsia="方正小标宋简体" w:cs="方正小标宋简体"/>
          <w:color w:val="auto"/>
          <w:kern w:val="2"/>
          <w:sz w:val="48"/>
          <w:szCs w:val="48"/>
          <w:highlight w:val="none"/>
          <w:lang w:val="en-US" w:eastAsia="zh-CN" w:bidi="ar-SA"/>
        </w:rPr>
      </w:pPr>
      <w:bookmarkStart w:id="7" w:name="_Toc29111"/>
      <w:r>
        <w:rPr>
          <w:rFonts w:hint="eastAsia" w:ascii="方正小标宋简体" w:hAnsi="方正小标宋简体" w:eastAsia="方正小标宋简体" w:cs="方正小标宋简体"/>
          <w:color w:val="auto"/>
          <w:kern w:val="2"/>
          <w:sz w:val="48"/>
          <w:szCs w:val="48"/>
          <w:highlight w:val="none"/>
          <w:lang w:val="en-US" w:eastAsia="zh-CN" w:bidi="ar-SA"/>
        </w:rPr>
        <w:t>川北幼儿师范高等专科学校</w:t>
      </w:r>
      <w:bookmarkEnd w:id="7"/>
    </w:p>
    <w:p>
      <w:pPr>
        <w:pStyle w:val="2"/>
        <w:jc w:val="center"/>
        <w:rPr>
          <w:rFonts w:hint="eastAsia" w:ascii="Times New Roman" w:hAnsi="Times New Roman" w:eastAsia="方正小标宋简体" w:cs="Times New Roman"/>
          <w:color w:val="auto"/>
          <w:kern w:val="2"/>
          <w:sz w:val="48"/>
          <w:szCs w:val="48"/>
          <w:highlight w:val="none"/>
          <w:lang w:val="en-US" w:eastAsia="zh-CN" w:bidi="ar-SA"/>
        </w:rPr>
      </w:pPr>
      <w:r>
        <w:rPr>
          <w:rFonts w:hint="eastAsia" w:ascii="方正小标宋简体" w:hAnsi="方正小标宋简体" w:eastAsia="方正小标宋简体" w:cs="方正小标宋简体"/>
          <w:color w:val="auto"/>
          <w:kern w:val="2"/>
          <w:sz w:val="48"/>
          <w:szCs w:val="48"/>
          <w:highlight w:val="none"/>
          <w:lang w:val="en-US" w:eastAsia="zh-CN" w:bidi="ar-SA"/>
        </w:rPr>
        <w:t>部门决算</w:t>
      </w:r>
    </w:p>
    <w:p>
      <w:pPr>
        <w:pStyle w:val="2"/>
        <w:jc w:val="center"/>
        <w:rPr>
          <w:rFonts w:hint="default" w:ascii="Times New Roman" w:hAnsi="Times New Roman" w:eastAsia="方正小标宋简体" w:cs="Times New Roman"/>
          <w:color w:val="auto"/>
          <w:kern w:val="2"/>
          <w:sz w:val="44"/>
          <w:szCs w:val="44"/>
          <w:highlight w:val="none"/>
          <w:lang w:val="en-US" w:eastAsia="zh-CN" w:bidi="ar-SA"/>
        </w:rPr>
      </w:pPr>
    </w:p>
    <w:p>
      <w:pPr>
        <w:spacing w:line="600" w:lineRule="exact"/>
        <w:jc w:val="center"/>
        <w:outlineLvl w:val="9"/>
        <w:rPr>
          <w:rFonts w:ascii="Times New Roman" w:hAnsi="Times New Roman" w:eastAsia="方正小标宋简体"/>
          <w:color w:val="auto"/>
          <w:sz w:val="72"/>
          <w:szCs w:val="72"/>
          <w:highlight w:val="none"/>
        </w:rPr>
      </w:pPr>
    </w:p>
    <w:p>
      <w:pPr>
        <w:pStyle w:val="24"/>
        <w:outlineLvl w:val="9"/>
        <w:rPr>
          <w:rFonts w:ascii="Times New Roman" w:hAnsi="Times New Roman"/>
        </w:rPr>
        <w:sectPr>
          <w:headerReference r:id="rId3" w:type="default"/>
          <w:footerReference r:id="rId4" w:type="default"/>
          <w:pgSz w:w="11906" w:h="16838"/>
          <w:pgMar w:top="1440" w:right="1800" w:bottom="1440" w:left="1800" w:header="851" w:footer="992" w:gutter="0"/>
          <w:pgNumType w:fmt="decimal"/>
          <w:cols w:space="425" w:num="1"/>
          <w:titlePg/>
          <w:docGrid w:type="lines" w:linePitch="312" w:charSpace="0"/>
        </w:sectPr>
      </w:pPr>
    </w:p>
    <w:bookmarkEnd w:id="0"/>
    <w:bookmarkEnd w:id="1"/>
    <w:bookmarkEnd w:id="2"/>
    <w:bookmarkEnd w:id="3"/>
    <w:bookmarkEnd w:id="4"/>
    <w:bookmarkEnd w:id="5"/>
    <w:p>
      <w:pPr>
        <w:widowControl/>
        <w:jc w:val="center"/>
        <w:rPr>
          <w:rFonts w:ascii="Times New Roman" w:hAnsi="Times New Roman" w:eastAsia="黑体" w:cstheme="minorBidi"/>
          <w:color w:val="auto"/>
          <w:sz w:val="28"/>
          <w:szCs w:val="28"/>
          <w:highlight w:val="none"/>
        </w:rPr>
      </w:pPr>
      <w:r>
        <w:rPr>
          <w:rFonts w:hint="eastAsia" w:ascii="Times New Roman" w:hAnsi="Times New Roman" w:eastAsia="黑体"/>
          <w:color w:val="auto"/>
          <w:sz w:val="48"/>
          <w:szCs w:val="48"/>
          <w:highlight w:val="none"/>
        </w:rPr>
        <w:t>目录</w:t>
      </w:r>
    </w:p>
    <w:p>
      <w:pPr>
        <w:pStyle w:val="13"/>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公开时间：20</w:t>
      </w:r>
      <w:r>
        <w:rPr>
          <w:rFonts w:hint="eastAsia" w:ascii="仿宋" w:hAnsi="仿宋" w:eastAsia="仿宋" w:cs="仿宋"/>
          <w:color w:val="auto"/>
          <w:sz w:val="32"/>
          <w:szCs w:val="32"/>
          <w:highlight w:val="none"/>
          <w:lang w:val="en-US" w:eastAsia="zh-CN"/>
        </w:rPr>
        <w:t>25</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val="en-US" w:eastAsia="zh-CN"/>
        </w:rPr>
        <w:t>10</w:t>
      </w:r>
      <w:r>
        <w:rPr>
          <w:rFonts w:hint="eastAsia" w:ascii="仿宋" w:hAnsi="仿宋" w:eastAsia="仿宋" w:cs="仿宋"/>
          <w:color w:val="auto"/>
          <w:sz w:val="32"/>
          <w:szCs w:val="32"/>
          <w:highlight w:val="none"/>
        </w:rPr>
        <w:t>月</w:t>
      </w: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rPr>
        <w:t>日</w:t>
      </w:r>
    </w:p>
    <w:sdt>
      <w:sdtPr>
        <w:rPr>
          <w:rFonts w:ascii="宋体" w:hAnsi="宋体" w:eastAsia="宋体" w:cs="Times New Roman"/>
          <w:kern w:val="2"/>
          <w:sz w:val="21"/>
          <w:szCs w:val="24"/>
          <w:lang w:val="en-US" w:eastAsia="zh-CN" w:bidi="ar-SA"/>
        </w:rPr>
        <w:id w:val="147459848"/>
        <w15:color w:val="DBDBDB"/>
        <w:docPartObj>
          <w:docPartGallery w:val="Table of Contents"/>
          <w:docPartUnique/>
        </w:docPartObj>
      </w:sdtPr>
      <w:sdtEndPr>
        <w:rPr>
          <w:rFonts w:hint="eastAsia" w:ascii="仿宋_GB2312" w:hAnsi="Times New Roman" w:eastAsia="仿宋_GB2312" w:cs="Times New Roman"/>
          <w:kern w:val="0"/>
          <w:sz w:val="30"/>
          <w:szCs w:val="24"/>
          <w:lang w:val="en-US" w:eastAsia="zh-CN" w:bidi="ar-SA"/>
        </w:rPr>
      </w:sdtEndPr>
      <w:sdtContent>
        <w:p>
          <w:pPr>
            <w:spacing w:before="0" w:beforeLines="0" w:after="0" w:afterLines="0" w:line="240" w:lineRule="auto"/>
            <w:ind w:left="0" w:leftChars="0" w:right="0" w:rightChars="0" w:firstLine="0" w:firstLineChars="0"/>
            <w:jc w:val="center"/>
          </w:pPr>
          <w:r>
            <w:rPr>
              <w:rFonts w:hint="eastAsia"/>
            </w:rPr>
            <w:fldChar w:fldCharType="begin"/>
          </w:r>
          <w:r>
            <w:rPr>
              <w:rFonts w:hint="eastAsia"/>
            </w:rPr>
            <w:instrText xml:space="preserve">TOC \o "1-2" \h \u </w:instrText>
          </w:r>
          <w:r>
            <w:rPr>
              <w:rFonts w:hint="eastAsia"/>
            </w:rPr>
            <w:fldChar w:fldCharType="separate"/>
          </w:r>
        </w:p>
        <w:p>
          <w:pPr>
            <w:pStyle w:val="13"/>
            <w:tabs>
              <w:tab w:val="right" w:leader="dot" w:pos="8306"/>
              <w:tab w:val="clear" w:pos="8296"/>
            </w:tabs>
          </w:pPr>
          <w:r>
            <w:rPr>
              <w:rFonts w:hint="eastAsia"/>
            </w:rPr>
            <w:fldChar w:fldCharType="begin"/>
          </w:r>
          <w:r>
            <w:rPr>
              <w:rFonts w:hint="eastAsia"/>
            </w:rPr>
            <w:instrText xml:space="preserve"> HYPERLINK \l _Toc21453 </w:instrText>
          </w:r>
          <w:r>
            <w:rPr>
              <w:rFonts w:hint="eastAsia"/>
            </w:rPr>
            <w:fldChar w:fldCharType="separate"/>
          </w:r>
          <w:r>
            <w:rPr>
              <w:rFonts w:hint="eastAsia" w:ascii="Times New Roman" w:hAnsi="Times New Roman" w:eastAsia="方正小标宋简体" w:cs="方正小标宋简体"/>
              <w:highlight w:val="none"/>
            </w:rPr>
            <w:t xml:space="preserve">第一部分 </w:t>
          </w:r>
          <w:r>
            <w:rPr>
              <w:rFonts w:hint="eastAsia" w:eastAsia="方正小标宋简体" w:cs="方正小标宋简体"/>
              <w:highlight w:val="none"/>
              <w:lang w:val="en-US" w:eastAsia="zh-CN"/>
            </w:rPr>
            <w:t xml:space="preserve"> </w:t>
          </w:r>
          <w:r>
            <w:rPr>
              <w:rFonts w:hint="eastAsia" w:ascii="Times New Roman" w:hAnsi="Times New Roman" w:eastAsia="方正小标宋简体" w:cs="方正小标宋简体"/>
              <w:bCs w:val="0"/>
              <w:highlight w:val="none"/>
            </w:rPr>
            <w:t>部门概况</w:t>
          </w:r>
          <w:r>
            <w:tab/>
          </w:r>
          <w:r>
            <w:fldChar w:fldCharType="begin"/>
          </w:r>
          <w:r>
            <w:instrText xml:space="preserve"> PAGEREF _Toc21453 \h </w:instrText>
          </w:r>
          <w:r>
            <w:fldChar w:fldCharType="separate"/>
          </w:r>
          <w:r>
            <w:t>1</w:t>
          </w:r>
          <w:r>
            <w:fldChar w:fldCharType="end"/>
          </w:r>
          <w:r>
            <w:rPr>
              <w:rFonts w:hint="eastAsia"/>
            </w:rPr>
            <w:fldChar w:fldCharType="end"/>
          </w:r>
        </w:p>
        <w:p>
          <w:pPr>
            <w:pStyle w:val="15"/>
            <w:tabs>
              <w:tab w:val="right" w:leader="dot" w:pos="8306"/>
              <w:tab w:val="clear" w:pos="8296"/>
            </w:tabs>
          </w:pPr>
          <w:r>
            <w:rPr>
              <w:rFonts w:hint="eastAsia"/>
            </w:rPr>
            <w:fldChar w:fldCharType="begin"/>
          </w:r>
          <w:r>
            <w:rPr>
              <w:rFonts w:hint="eastAsia"/>
            </w:rPr>
            <w:instrText xml:space="preserve"> HYPERLINK \l _Toc3383 </w:instrText>
          </w:r>
          <w:r>
            <w:rPr>
              <w:rFonts w:hint="eastAsia"/>
            </w:rPr>
            <w:fldChar w:fldCharType="separate"/>
          </w:r>
          <w:r>
            <w:rPr>
              <w:rFonts w:hint="eastAsia" w:ascii="黑体" w:hAnsi="黑体" w:eastAsia="黑体"/>
              <w:lang w:eastAsia="zh-CN"/>
            </w:rPr>
            <w:t xml:space="preserve">一、 </w:t>
          </w:r>
          <w:r>
            <w:rPr>
              <w:rFonts w:hint="eastAsia" w:ascii="黑体" w:hAnsi="黑体" w:eastAsia="黑体"/>
              <w:highlight w:val="none"/>
              <w:lang w:eastAsia="zh-CN"/>
            </w:rPr>
            <w:t>部门职责</w:t>
          </w:r>
          <w:r>
            <w:tab/>
          </w:r>
          <w:r>
            <w:fldChar w:fldCharType="begin"/>
          </w:r>
          <w:r>
            <w:instrText xml:space="preserve"> PAGEREF _Toc3383 \h </w:instrText>
          </w:r>
          <w:r>
            <w:fldChar w:fldCharType="separate"/>
          </w:r>
          <w:r>
            <w:t>1</w:t>
          </w:r>
          <w:r>
            <w:fldChar w:fldCharType="end"/>
          </w:r>
          <w:r>
            <w:rPr>
              <w:rFonts w:hint="eastAsia"/>
            </w:rPr>
            <w:fldChar w:fldCharType="end"/>
          </w:r>
        </w:p>
        <w:p>
          <w:pPr>
            <w:pStyle w:val="15"/>
            <w:tabs>
              <w:tab w:val="right" w:leader="dot" w:pos="8306"/>
              <w:tab w:val="clear" w:pos="8296"/>
            </w:tabs>
          </w:pPr>
          <w:r>
            <w:rPr>
              <w:rFonts w:hint="eastAsia"/>
            </w:rPr>
            <w:fldChar w:fldCharType="begin"/>
          </w:r>
          <w:r>
            <w:rPr>
              <w:rFonts w:hint="eastAsia"/>
            </w:rPr>
            <w:instrText xml:space="preserve"> HYPERLINK \l _Toc23143 </w:instrText>
          </w:r>
          <w:r>
            <w:rPr>
              <w:rFonts w:hint="eastAsia"/>
            </w:rPr>
            <w:fldChar w:fldCharType="separate"/>
          </w:r>
          <w:r>
            <w:rPr>
              <w:rFonts w:hint="eastAsia" w:ascii="黑体" w:eastAsia="黑体"/>
              <w:highlight w:val="none"/>
            </w:rPr>
            <w:t>二、</w:t>
          </w:r>
          <w:r>
            <w:rPr>
              <w:rFonts w:hint="eastAsia" w:ascii="黑体" w:hAnsi="黑体" w:eastAsia="黑体"/>
              <w:highlight w:val="none"/>
            </w:rPr>
            <w:t>机</w:t>
          </w:r>
          <w:r>
            <w:rPr>
              <w:rFonts w:hint="eastAsia" w:ascii="黑体" w:hAnsi="黑体" w:eastAsia="黑体"/>
              <w:bCs w:val="0"/>
              <w:highlight w:val="none"/>
            </w:rPr>
            <w:t>构设置</w:t>
          </w:r>
          <w:r>
            <w:tab/>
          </w:r>
          <w:r>
            <w:fldChar w:fldCharType="begin"/>
          </w:r>
          <w:r>
            <w:instrText xml:space="preserve"> PAGEREF _Toc23143 \h </w:instrText>
          </w:r>
          <w:r>
            <w:fldChar w:fldCharType="separate"/>
          </w:r>
          <w:r>
            <w:t>1</w:t>
          </w:r>
          <w:r>
            <w:fldChar w:fldCharType="end"/>
          </w:r>
          <w:r>
            <w:rPr>
              <w:rFonts w:hint="eastAsia"/>
            </w:rPr>
            <w:fldChar w:fldCharType="end"/>
          </w:r>
        </w:p>
        <w:p>
          <w:pPr>
            <w:pStyle w:val="13"/>
            <w:tabs>
              <w:tab w:val="right" w:leader="dot" w:pos="8306"/>
              <w:tab w:val="clear" w:pos="8296"/>
            </w:tabs>
          </w:pPr>
          <w:r>
            <w:rPr>
              <w:rFonts w:hint="eastAsia"/>
            </w:rPr>
            <w:fldChar w:fldCharType="begin"/>
          </w:r>
          <w:r>
            <w:rPr>
              <w:rFonts w:hint="eastAsia"/>
            </w:rPr>
            <w:instrText xml:space="preserve"> HYPERLINK \l _Toc32060 </w:instrText>
          </w:r>
          <w:r>
            <w:rPr>
              <w:rFonts w:hint="eastAsia"/>
            </w:rPr>
            <w:fldChar w:fldCharType="separate"/>
          </w:r>
          <w:r>
            <w:rPr>
              <w:rFonts w:hint="eastAsia" w:ascii="Times New Roman" w:hAnsi="Times New Roman" w:eastAsia="方正小标宋简体" w:cs="方正小标宋简体"/>
              <w:highlight w:val="none"/>
            </w:rPr>
            <w:t>第二部分</w:t>
          </w:r>
          <w:r>
            <w:rPr>
              <w:rFonts w:hint="eastAsia" w:ascii="Times New Roman" w:hAnsi="Times New Roman" w:eastAsia="方正小标宋简体" w:cs="方正小标宋简体"/>
              <w:highlight w:val="none"/>
              <w:lang w:val="en-US" w:eastAsia="zh-CN"/>
            </w:rPr>
            <w:t xml:space="preserve"> </w:t>
          </w:r>
          <w:r>
            <w:rPr>
              <w:rFonts w:hint="eastAsia" w:ascii="Times New Roman" w:hAnsi="Times New Roman" w:eastAsia="方正小标宋简体" w:cs="方正小标宋简体"/>
              <w:highlight w:val="none"/>
            </w:rPr>
            <w:t xml:space="preserve"> </w:t>
          </w:r>
          <w:r>
            <w:rPr>
              <w:rFonts w:hint="eastAsia" w:ascii="Times New Roman" w:hAnsi="Times New Roman" w:eastAsia="方正小标宋简体" w:cs="方正小标宋简体"/>
              <w:highlight w:val="none"/>
              <w:lang w:val="en-US" w:eastAsia="zh-CN"/>
            </w:rPr>
            <w:t>2024年度</w:t>
          </w:r>
          <w:r>
            <w:rPr>
              <w:rFonts w:hint="eastAsia" w:ascii="Times New Roman" w:hAnsi="Times New Roman" w:eastAsia="方正小标宋简体" w:cs="方正小标宋简体"/>
              <w:highlight w:val="none"/>
            </w:rPr>
            <w:t>部门决算情况说明</w:t>
          </w:r>
          <w:r>
            <w:tab/>
          </w:r>
          <w:r>
            <w:fldChar w:fldCharType="begin"/>
          </w:r>
          <w:r>
            <w:instrText xml:space="preserve"> PAGEREF _Toc32060 \h </w:instrText>
          </w:r>
          <w:r>
            <w:fldChar w:fldCharType="separate"/>
          </w:r>
          <w:r>
            <w:t>2</w:t>
          </w:r>
          <w:r>
            <w:fldChar w:fldCharType="end"/>
          </w:r>
          <w:r>
            <w:rPr>
              <w:rFonts w:hint="eastAsia"/>
            </w:rPr>
            <w:fldChar w:fldCharType="end"/>
          </w:r>
        </w:p>
        <w:p>
          <w:pPr>
            <w:pStyle w:val="15"/>
            <w:tabs>
              <w:tab w:val="right" w:leader="dot" w:pos="8306"/>
              <w:tab w:val="clear" w:pos="8296"/>
            </w:tabs>
          </w:pPr>
          <w:r>
            <w:rPr>
              <w:rFonts w:hint="eastAsia"/>
            </w:rPr>
            <w:fldChar w:fldCharType="begin"/>
          </w:r>
          <w:r>
            <w:rPr>
              <w:rFonts w:hint="eastAsia"/>
            </w:rPr>
            <w:instrText xml:space="preserve"> HYPERLINK \l _Toc20860 </w:instrText>
          </w:r>
          <w:r>
            <w:rPr>
              <w:rFonts w:hint="eastAsia"/>
            </w:rPr>
            <w:fldChar w:fldCharType="separate"/>
          </w:r>
          <w:r>
            <w:rPr>
              <w:rFonts w:hint="eastAsia" w:ascii="Times New Roman" w:hAnsi="Times New Roman" w:eastAsia="黑体"/>
              <w:szCs w:val="32"/>
              <w:highlight w:val="none"/>
              <w:lang w:eastAsia="zh-CN"/>
            </w:rPr>
            <w:t>一、</w:t>
          </w:r>
          <w:r>
            <w:rPr>
              <w:rFonts w:hint="eastAsia" w:ascii="Times New Roman" w:hAnsi="Times New Roman" w:eastAsia="黑体"/>
              <w:szCs w:val="32"/>
              <w:highlight w:val="none"/>
            </w:rPr>
            <w:t>收</w:t>
          </w:r>
          <w:r>
            <w:rPr>
              <w:rFonts w:hint="eastAsia" w:ascii="Times New Roman" w:hAnsi="Times New Roman" w:eastAsia="黑体"/>
              <w:highlight w:val="none"/>
            </w:rPr>
            <w:t>入支出决算总体情况说明</w:t>
          </w:r>
          <w:r>
            <w:tab/>
          </w:r>
          <w:r>
            <w:fldChar w:fldCharType="begin"/>
          </w:r>
          <w:r>
            <w:instrText xml:space="preserve"> PAGEREF _Toc20860 \h </w:instrText>
          </w:r>
          <w:r>
            <w:fldChar w:fldCharType="separate"/>
          </w:r>
          <w:r>
            <w:t>2</w:t>
          </w:r>
          <w:r>
            <w:fldChar w:fldCharType="end"/>
          </w:r>
          <w:r>
            <w:rPr>
              <w:rFonts w:hint="eastAsia"/>
            </w:rPr>
            <w:fldChar w:fldCharType="end"/>
          </w:r>
        </w:p>
        <w:p>
          <w:pPr>
            <w:pStyle w:val="15"/>
            <w:tabs>
              <w:tab w:val="right" w:leader="dot" w:pos="8306"/>
              <w:tab w:val="clear" w:pos="8296"/>
            </w:tabs>
          </w:pPr>
          <w:r>
            <w:rPr>
              <w:rFonts w:hint="eastAsia"/>
            </w:rPr>
            <w:fldChar w:fldCharType="begin"/>
          </w:r>
          <w:r>
            <w:rPr>
              <w:rFonts w:hint="eastAsia"/>
            </w:rPr>
            <w:instrText xml:space="preserve"> HYPERLINK \l _Toc14480 </w:instrText>
          </w:r>
          <w:r>
            <w:rPr>
              <w:rFonts w:hint="eastAsia"/>
            </w:rPr>
            <w:fldChar w:fldCharType="separate"/>
          </w:r>
          <w:r>
            <w:rPr>
              <w:rFonts w:hint="eastAsia" w:ascii="Times New Roman" w:hAnsi="Times New Roman" w:eastAsia="黑体"/>
              <w:szCs w:val="32"/>
              <w:highlight w:val="none"/>
              <w:lang w:eastAsia="zh-CN"/>
            </w:rPr>
            <w:t>二、收入决算情况说明</w:t>
          </w:r>
          <w:r>
            <w:tab/>
          </w:r>
          <w:r>
            <w:fldChar w:fldCharType="begin"/>
          </w:r>
          <w:r>
            <w:instrText xml:space="preserve"> PAGEREF _Toc14480 \h </w:instrText>
          </w:r>
          <w:r>
            <w:fldChar w:fldCharType="separate"/>
          </w:r>
          <w:r>
            <w:t>2</w:t>
          </w:r>
          <w:r>
            <w:fldChar w:fldCharType="end"/>
          </w:r>
          <w:r>
            <w:rPr>
              <w:rFonts w:hint="eastAsia"/>
            </w:rPr>
            <w:fldChar w:fldCharType="end"/>
          </w:r>
        </w:p>
        <w:p>
          <w:pPr>
            <w:pStyle w:val="15"/>
            <w:tabs>
              <w:tab w:val="right" w:leader="dot" w:pos="8306"/>
              <w:tab w:val="clear" w:pos="8296"/>
            </w:tabs>
          </w:pPr>
          <w:r>
            <w:rPr>
              <w:rFonts w:hint="eastAsia"/>
            </w:rPr>
            <w:fldChar w:fldCharType="begin"/>
          </w:r>
          <w:r>
            <w:rPr>
              <w:rFonts w:hint="eastAsia"/>
            </w:rPr>
            <w:instrText xml:space="preserve"> HYPERLINK \l _Toc23846 </w:instrText>
          </w:r>
          <w:r>
            <w:rPr>
              <w:rFonts w:hint="eastAsia"/>
            </w:rPr>
            <w:fldChar w:fldCharType="separate"/>
          </w:r>
          <w:r>
            <w:rPr>
              <w:rFonts w:hint="eastAsia" w:ascii="Times New Roman" w:hAnsi="Times New Roman" w:eastAsia="黑体"/>
              <w:szCs w:val="32"/>
              <w:highlight w:val="none"/>
              <w:lang w:eastAsia="zh-CN"/>
            </w:rPr>
            <w:t>三、</w:t>
          </w:r>
          <w:r>
            <w:rPr>
              <w:rFonts w:hint="eastAsia" w:ascii="Times New Roman" w:hAnsi="Times New Roman" w:eastAsia="黑体"/>
              <w:szCs w:val="32"/>
              <w:highlight w:val="none"/>
            </w:rPr>
            <w:t>支</w:t>
          </w:r>
          <w:r>
            <w:rPr>
              <w:rFonts w:hint="eastAsia" w:ascii="Times New Roman" w:hAnsi="Times New Roman" w:eastAsia="黑体"/>
              <w:highlight w:val="none"/>
            </w:rPr>
            <w:t>出决算情况说明</w:t>
          </w:r>
          <w:r>
            <w:tab/>
          </w:r>
          <w:r>
            <w:fldChar w:fldCharType="begin"/>
          </w:r>
          <w:r>
            <w:instrText xml:space="preserve"> PAGEREF _Toc23846 \h </w:instrText>
          </w:r>
          <w:r>
            <w:fldChar w:fldCharType="separate"/>
          </w:r>
          <w:r>
            <w:t>3</w:t>
          </w:r>
          <w:r>
            <w:fldChar w:fldCharType="end"/>
          </w:r>
          <w:r>
            <w:rPr>
              <w:rFonts w:hint="eastAsia"/>
            </w:rPr>
            <w:fldChar w:fldCharType="end"/>
          </w:r>
        </w:p>
        <w:p>
          <w:pPr>
            <w:pStyle w:val="15"/>
            <w:tabs>
              <w:tab w:val="right" w:leader="dot" w:pos="8306"/>
              <w:tab w:val="clear" w:pos="8296"/>
            </w:tabs>
          </w:pPr>
          <w:r>
            <w:rPr>
              <w:rFonts w:hint="eastAsia"/>
            </w:rPr>
            <w:fldChar w:fldCharType="begin"/>
          </w:r>
          <w:r>
            <w:rPr>
              <w:rFonts w:hint="eastAsia"/>
            </w:rPr>
            <w:instrText xml:space="preserve"> HYPERLINK \l _Toc30886 </w:instrText>
          </w:r>
          <w:r>
            <w:rPr>
              <w:rFonts w:hint="eastAsia"/>
            </w:rPr>
            <w:fldChar w:fldCharType="separate"/>
          </w:r>
          <w:r>
            <w:rPr>
              <w:rFonts w:hint="eastAsia" w:ascii="Times New Roman" w:hAnsi="Times New Roman" w:eastAsia="黑体"/>
              <w:szCs w:val="32"/>
              <w:highlight w:val="none"/>
            </w:rPr>
            <w:t>四、财</w:t>
          </w:r>
          <w:r>
            <w:rPr>
              <w:rFonts w:hint="eastAsia" w:ascii="Times New Roman" w:hAnsi="Times New Roman" w:eastAsia="黑体"/>
              <w:highlight w:val="none"/>
            </w:rPr>
            <w:t>政拨款收入支出决算总体情况说明</w:t>
          </w:r>
          <w:r>
            <w:tab/>
          </w:r>
          <w:r>
            <w:fldChar w:fldCharType="begin"/>
          </w:r>
          <w:r>
            <w:instrText xml:space="preserve"> PAGEREF _Toc30886 \h </w:instrText>
          </w:r>
          <w:r>
            <w:fldChar w:fldCharType="separate"/>
          </w:r>
          <w:r>
            <w:t>3</w:t>
          </w:r>
          <w:r>
            <w:fldChar w:fldCharType="end"/>
          </w:r>
          <w:r>
            <w:rPr>
              <w:rFonts w:hint="eastAsia"/>
            </w:rPr>
            <w:fldChar w:fldCharType="end"/>
          </w:r>
        </w:p>
        <w:p>
          <w:pPr>
            <w:pStyle w:val="15"/>
            <w:tabs>
              <w:tab w:val="right" w:leader="dot" w:pos="8306"/>
              <w:tab w:val="clear" w:pos="8296"/>
            </w:tabs>
          </w:pPr>
          <w:r>
            <w:rPr>
              <w:rFonts w:hint="eastAsia"/>
            </w:rPr>
            <w:fldChar w:fldCharType="begin"/>
          </w:r>
          <w:r>
            <w:rPr>
              <w:rFonts w:hint="eastAsia"/>
            </w:rPr>
            <w:instrText xml:space="preserve"> HYPERLINK \l _Toc15635 </w:instrText>
          </w:r>
          <w:r>
            <w:rPr>
              <w:rFonts w:hint="eastAsia"/>
            </w:rPr>
            <w:fldChar w:fldCharType="separate"/>
          </w:r>
          <w:r>
            <w:rPr>
              <w:rFonts w:hint="eastAsia" w:ascii="Times New Roman" w:hAnsi="Times New Roman" w:eastAsia="黑体"/>
              <w:szCs w:val="32"/>
              <w:highlight w:val="none"/>
            </w:rPr>
            <w:t>五、一</w:t>
          </w:r>
          <w:r>
            <w:rPr>
              <w:rFonts w:hint="eastAsia" w:ascii="Times New Roman" w:hAnsi="Times New Roman" w:eastAsia="黑体"/>
              <w:highlight w:val="none"/>
            </w:rPr>
            <w:t>般公共预算财政拨款支出决算情况说明</w:t>
          </w:r>
          <w:r>
            <w:tab/>
          </w:r>
          <w:r>
            <w:fldChar w:fldCharType="begin"/>
          </w:r>
          <w:r>
            <w:instrText xml:space="preserve"> PAGEREF _Toc15635 \h </w:instrText>
          </w:r>
          <w:r>
            <w:fldChar w:fldCharType="separate"/>
          </w:r>
          <w:r>
            <w:t>4</w:t>
          </w:r>
          <w:r>
            <w:fldChar w:fldCharType="end"/>
          </w:r>
          <w:r>
            <w:rPr>
              <w:rFonts w:hint="eastAsia"/>
            </w:rPr>
            <w:fldChar w:fldCharType="end"/>
          </w:r>
        </w:p>
        <w:p>
          <w:pPr>
            <w:pStyle w:val="15"/>
            <w:tabs>
              <w:tab w:val="right" w:leader="dot" w:pos="8306"/>
              <w:tab w:val="clear" w:pos="8296"/>
            </w:tabs>
          </w:pPr>
          <w:r>
            <w:rPr>
              <w:rFonts w:hint="eastAsia"/>
            </w:rPr>
            <w:fldChar w:fldCharType="begin"/>
          </w:r>
          <w:r>
            <w:rPr>
              <w:rFonts w:hint="eastAsia"/>
            </w:rPr>
            <w:instrText xml:space="preserve"> HYPERLINK \l _Toc11973 </w:instrText>
          </w:r>
          <w:r>
            <w:rPr>
              <w:rFonts w:hint="eastAsia"/>
            </w:rPr>
            <w:fldChar w:fldCharType="separate"/>
          </w:r>
          <w:r>
            <w:rPr>
              <w:rFonts w:hint="eastAsia" w:ascii="Times New Roman" w:hAnsi="Times New Roman" w:eastAsia="黑体"/>
              <w:szCs w:val="32"/>
              <w:highlight w:val="none"/>
            </w:rPr>
            <w:t>六、一</w:t>
          </w:r>
          <w:r>
            <w:rPr>
              <w:rFonts w:hint="eastAsia" w:ascii="Times New Roman" w:hAnsi="Times New Roman" w:eastAsia="黑体"/>
              <w:highlight w:val="none"/>
            </w:rPr>
            <w:t>般公共预算财政拨款基本支出决算情况说明</w:t>
          </w:r>
          <w:r>
            <w:tab/>
          </w:r>
          <w:r>
            <w:fldChar w:fldCharType="begin"/>
          </w:r>
          <w:r>
            <w:instrText xml:space="preserve"> PAGEREF _Toc11973 \h </w:instrText>
          </w:r>
          <w:r>
            <w:fldChar w:fldCharType="separate"/>
          </w:r>
          <w:r>
            <w:t>7</w:t>
          </w:r>
          <w:r>
            <w:fldChar w:fldCharType="end"/>
          </w:r>
          <w:r>
            <w:rPr>
              <w:rFonts w:hint="eastAsia"/>
            </w:rPr>
            <w:fldChar w:fldCharType="end"/>
          </w:r>
        </w:p>
        <w:p>
          <w:pPr>
            <w:pStyle w:val="15"/>
            <w:tabs>
              <w:tab w:val="right" w:leader="dot" w:pos="8306"/>
              <w:tab w:val="clear" w:pos="8296"/>
            </w:tabs>
          </w:pPr>
          <w:r>
            <w:rPr>
              <w:rFonts w:hint="eastAsia"/>
            </w:rPr>
            <w:fldChar w:fldCharType="begin"/>
          </w:r>
          <w:r>
            <w:rPr>
              <w:rFonts w:hint="eastAsia"/>
            </w:rPr>
            <w:instrText xml:space="preserve"> HYPERLINK \l _Toc5876 </w:instrText>
          </w:r>
          <w:r>
            <w:rPr>
              <w:rFonts w:hint="eastAsia"/>
            </w:rPr>
            <w:fldChar w:fldCharType="separate"/>
          </w:r>
          <w:r>
            <w:rPr>
              <w:rFonts w:hint="eastAsia" w:ascii="Times New Roman" w:hAnsi="Times New Roman" w:eastAsia="黑体"/>
              <w:szCs w:val="32"/>
              <w:highlight w:val="none"/>
            </w:rPr>
            <w:t>七、</w:t>
          </w:r>
          <w:r>
            <w:rPr>
              <w:rFonts w:hint="eastAsia" w:ascii="Times New Roman" w:hAnsi="Times New Roman" w:eastAsia="黑体"/>
              <w:highlight w:val="none"/>
            </w:rPr>
            <w:t>财政拨款“三公”经费支出决算情况说明</w:t>
          </w:r>
          <w:r>
            <w:tab/>
          </w:r>
          <w:r>
            <w:fldChar w:fldCharType="begin"/>
          </w:r>
          <w:r>
            <w:instrText xml:space="preserve"> PAGEREF _Toc5876 \h </w:instrText>
          </w:r>
          <w:r>
            <w:fldChar w:fldCharType="separate"/>
          </w:r>
          <w:r>
            <w:t>7</w:t>
          </w:r>
          <w:r>
            <w:fldChar w:fldCharType="end"/>
          </w:r>
          <w:r>
            <w:rPr>
              <w:rFonts w:hint="eastAsia"/>
            </w:rPr>
            <w:fldChar w:fldCharType="end"/>
          </w:r>
        </w:p>
        <w:p>
          <w:pPr>
            <w:pStyle w:val="15"/>
            <w:tabs>
              <w:tab w:val="right" w:leader="dot" w:pos="8306"/>
              <w:tab w:val="clear" w:pos="8296"/>
            </w:tabs>
          </w:pPr>
          <w:r>
            <w:rPr>
              <w:rFonts w:hint="eastAsia"/>
            </w:rPr>
            <w:fldChar w:fldCharType="begin"/>
          </w:r>
          <w:r>
            <w:rPr>
              <w:rFonts w:hint="eastAsia"/>
            </w:rPr>
            <w:instrText xml:space="preserve"> HYPERLINK \l _Toc30724 </w:instrText>
          </w:r>
          <w:r>
            <w:rPr>
              <w:rFonts w:hint="eastAsia"/>
            </w:rPr>
            <w:fldChar w:fldCharType="separate"/>
          </w:r>
          <w:r>
            <w:rPr>
              <w:rFonts w:hint="eastAsia" w:ascii="Times New Roman" w:hAnsi="Times New Roman" w:eastAsia="黑体"/>
              <w:szCs w:val="32"/>
              <w:highlight w:val="none"/>
            </w:rPr>
            <w:t>八、</w:t>
          </w:r>
          <w:r>
            <w:rPr>
              <w:rFonts w:hint="eastAsia" w:ascii="Times New Roman" w:hAnsi="Times New Roman" w:eastAsia="黑体"/>
              <w:highlight w:val="none"/>
            </w:rPr>
            <w:t>政府性基金预算支出决算情况说明</w:t>
          </w:r>
          <w:r>
            <w:tab/>
          </w:r>
          <w:r>
            <w:fldChar w:fldCharType="begin"/>
          </w:r>
          <w:r>
            <w:instrText xml:space="preserve"> PAGEREF _Toc30724 \h </w:instrText>
          </w:r>
          <w:r>
            <w:fldChar w:fldCharType="separate"/>
          </w:r>
          <w:r>
            <w:t>8</w:t>
          </w:r>
          <w:r>
            <w:fldChar w:fldCharType="end"/>
          </w:r>
          <w:r>
            <w:rPr>
              <w:rFonts w:hint="eastAsia"/>
            </w:rPr>
            <w:fldChar w:fldCharType="end"/>
          </w:r>
        </w:p>
        <w:p>
          <w:pPr>
            <w:pStyle w:val="15"/>
            <w:tabs>
              <w:tab w:val="right" w:leader="dot" w:pos="8306"/>
              <w:tab w:val="clear" w:pos="8296"/>
            </w:tabs>
          </w:pPr>
          <w:r>
            <w:rPr>
              <w:rFonts w:hint="eastAsia"/>
            </w:rPr>
            <w:fldChar w:fldCharType="begin"/>
          </w:r>
          <w:r>
            <w:rPr>
              <w:rFonts w:hint="eastAsia"/>
            </w:rPr>
            <w:instrText xml:space="preserve"> HYPERLINK \l _Toc8505 </w:instrText>
          </w:r>
          <w:r>
            <w:rPr>
              <w:rFonts w:hint="eastAsia"/>
            </w:rPr>
            <w:fldChar w:fldCharType="separate"/>
          </w:r>
          <w:r>
            <w:rPr>
              <w:rFonts w:hint="eastAsia" w:ascii="Times New Roman" w:hAnsi="Times New Roman" w:eastAsia="黑体"/>
              <w:highlight w:val="none"/>
              <w:lang w:eastAsia="zh-CN"/>
            </w:rPr>
            <w:t>九、</w:t>
          </w:r>
          <w:r>
            <w:rPr>
              <w:rFonts w:hint="eastAsia" w:ascii="Times New Roman" w:hAnsi="Times New Roman" w:eastAsia="黑体"/>
              <w:highlight w:val="none"/>
            </w:rPr>
            <w:t>国有资本经营预算支出决算情况说明</w:t>
          </w:r>
          <w:r>
            <w:tab/>
          </w:r>
          <w:r>
            <w:fldChar w:fldCharType="begin"/>
          </w:r>
          <w:r>
            <w:instrText xml:space="preserve"> PAGEREF _Toc8505 \h </w:instrText>
          </w:r>
          <w:r>
            <w:fldChar w:fldCharType="separate"/>
          </w:r>
          <w:r>
            <w:t>9</w:t>
          </w:r>
          <w:r>
            <w:fldChar w:fldCharType="end"/>
          </w:r>
          <w:r>
            <w:rPr>
              <w:rFonts w:hint="eastAsia"/>
            </w:rPr>
            <w:fldChar w:fldCharType="end"/>
          </w:r>
        </w:p>
        <w:p>
          <w:pPr>
            <w:pStyle w:val="15"/>
            <w:tabs>
              <w:tab w:val="right" w:leader="dot" w:pos="8306"/>
              <w:tab w:val="clear" w:pos="8296"/>
            </w:tabs>
          </w:pPr>
          <w:r>
            <w:rPr>
              <w:rFonts w:hint="eastAsia"/>
            </w:rPr>
            <w:fldChar w:fldCharType="begin"/>
          </w:r>
          <w:r>
            <w:rPr>
              <w:rFonts w:hint="eastAsia"/>
            </w:rPr>
            <w:instrText xml:space="preserve"> HYPERLINK \l _Toc16454 </w:instrText>
          </w:r>
          <w:r>
            <w:rPr>
              <w:rFonts w:hint="eastAsia"/>
            </w:rPr>
            <w:fldChar w:fldCharType="separate"/>
          </w:r>
          <w:r>
            <w:rPr>
              <w:rFonts w:hint="eastAsia" w:ascii="Times New Roman" w:hAnsi="Times New Roman" w:eastAsia="黑体"/>
              <w:highlight w:val="none"/>
              <w:lang w:eastAsia="zh-CN"/>
            </w:rPr>
            <w:t>十、</w:t>
          </w:r>
          <w:r>
            <w:rPr>
              <w:rFonts w:hint="eastAsia" w:ascii="Times New Roman" w:hAnsi="Times New Roman" w:eastAsia="黑体"/>
              <w:highlight w:val="none"/>
            </w:rPr>
            <w:t>其他重要事项的情况说明</w:t>
          </w:r>
          <w:r>
            <w:tab/>
          </w:r>
          <w:r>
            <w:fldChar w:fldCharType="begin"/>
          </w:r>
          <w:r>
            <w:instrText xml:space="preserve"> PAGEREF _Toc16454 \h </w:instrText>
          </w:r>
          <w:r>
            <w:fldChar w:fldCharType="separate"/>
          </w:r>
          <w:r>
            <w:t>9</w:t>
          </w:r>
          <w:r>
            <w:fldChar w:fldCharType="end"/>
          </w:r>
          <w:r>
            <w:rPr>
              <w:rFonts w:hint="eastAsia"/>
            </w:rPr>
            <w:fldChar w:fldCharType="end"/>
          </w:r>
        </w:p>
        <w:p>
          <w:pPr>
            <w:pStyle w:val="13"/>
            <w:tabs>
              <w:tab w:val="right" w:leader="dot" w:pos="8306"/>
              <w:tab w:val="clear" w:pos="8296"/>
            </w:tabs>
          </w:pPr>
          <w:r>
            <w:rPr>
              <w:rFonts w:hint="eastAsia"/>
            </w:rPr>
            <w:fldChar w:fldCharType="begin"/>
          </w:r>
          <w:r>
            <w:rPr>
              <w:rFonts w:hint="eastAsia"/>
            </w:rPr>
            <w:instrText xml:space="preserve"> HYPERLINK \l _Toc4157 </w:instrText>
          </w:r>
          <w:r>
            <w:rPr>
              <w:rFonts w:hint="eastAsia"/>
            </w:rPr>
            <w:fldChar w:fldCharType="separate"/>
          </w:r>
          <w:r>
            <w:rPr>
              <w:rFonts w:hint="eastAsia" w:ascii="Times New Roman" w:hAnsi="Times New Roman" w:eastAsia="黑体"/>
              <w:szCs w:val="44"/>
              <w:highlight w:val="none"/>
            </w:rPr>
            <w:t>第</w:t>
          </w:r>
          <w:r>
            <w:rPr>
              <w:rFonts w:hint="eastAsia" w:eastAsia="黑体"/>
              <w:szCs w:val="44"/>
              <w:highlight w:val="none"/>
              <w:lang w:eastAsia="zh-CN"/>
            </w:rPr>
            <w:t>三</w:t>
          </w:r>
          <w:r>
            <w:rPr>
              <w:rFonts w:hint="eastAsia" w:ascii="Times New Roman" w:hAnsi="Times New Roman" w:eastAsia="黑体"/>
              <w:szCs w:val="44"/>
              <w:highlight w:val="none"/>
            </w:rPr>
            <w:t>部分</w:t>
          </w:r>
          <w:r>
            <w:rPr>
              <w:rFonts w:hint="eastAsia" w:ascii="Times New Roman" w:hAnsi="Times New Roman" w:eastAsia="黑体"/>
              <w:szCs w:val="44"/>
              <w:highlight w:val="none"/>
              <w:lang w:val="en-US" w:eastAsia="zh-CN"/>
            </w:rPr>
            <w:t xml:space="preserve"> </w:t>
          </w:r>
          <w:r>
            <w:rPr>
              <w:rFonts w:hint="eastAsia" w:eastAsia="黑体"/>
              <w:szCs w:val="44"/>
              <w:highlight w:val="none"/>
              <w:lang w:val="en-US" w:eastAsia="zh-CN"/>
            </w:rPr>
            <w:t xml:space="preserve"> </w:t>
          </w:r>
          <w:r>
            <w:rPr>
              <w:rFonts w:hint="eastAsia" w:ascii="Times New Roman" w:hAnsi="Times New Roman" w:eastAsia="黑体"/>
              <w:szCs w:val="44"/>
              <w:highlight w:val="none"/>
            </w:rPr>
            <w:t>名词解释</w:t>
          </w:r>
          <w:r>
            <w:tab/>
          </w:r>
          <w:r>
            <w:fldChar w:fldCharType="begin"/>
          </w:r>
          <w:r>
            <w:instrText xml:space="preserve"> PAGEREF _Toc4157 \h </w:instrText>
          </w:r>
          <w:r>
            <w:fldChar w:fldCharType="separate"/>
          </w:r>
          <w:r>
            <w:t>12</w:t>
          </w:r>
          <w:r>
            <w:fldChar w:fldCharType="end"/>
          </w:r>
          <w:r>
            <w:rPr>
              <w:rFonts w:hint="eastAsia"/>
            </w:rPr>
            <w:fldChar w:fldCharType="end"/>
          </w:r>
        </w:p>
        <w:p>
          <w:pPr>
            <w:pStyle w:val="13"/>
            <w:tabs>
              <w:tab w:val="right" w:leader="dot" w:pos="8306"/>
              <w:tab w:val="clear" w:pos="8296"/>
            </w:tabs>
          </w:pPr>
          <w:r>
            <w:rPr>
              <w:rFonts w:hint="eastAsia"/>
            </w:rPr>
            <w:fldChar w:fldCharType="begin"/>
          </w:r>
          <w:r>
            <w:rPr>
              <w:rFonts w:hint="eastAsia"/>
            </w:rPr>
            <w:instrText xml:space="preserve"> HYPERLINK \l _Toc2995 </w:instrText>
          </w:r>
          <w:r>
            <w:rPr>
              <w:rFonts w:hint="eastAsia"/>
            </w:rPr>
            <w:fldChar w:fldCharType="separate"/>
          </w:r>
          <w:r>
            <w:rPr>
              <w:rFonts w:hint="eastAsia" w:ascii="Times New Roman" w:hAnsi="Times New Roman" w:eastAsia="黑体"/>
              <w:szCs w:val="44"/>
              <w:highlight w:val="none"/>
            </w:rPr>
            <w:t>第四部分</w:t>
          </w:r>
          <w:r>
            <w:rPr>
              <w:rFonts w:hint="eastAsia" w:ascii="Times New Roman" w:hAnsi="Times New Roman" w:eastAsia="黑体"/>
              <w:szCs w:val="44"/>
              <w:highlight w:val="none"/>
              <w:lang w:val="en-US" w:eastAsia="zh-CN"/>
            </w:rPr>
            <w:t xml:space="preserve"> </w:t>
          </w:r>
          <w:r>
            <w:rPr>
              <w:rFonts w:hint="eastAsia" w:ascii="Times New Roman" w:hAnsi="Times New Roman" w:eastAsia="黑体"/>
              <w:szCs w:val="44"/>
              <w:highlight w:val="none"/>
            </w:rPr>
            <w:t xml:space="preserve"> 附件</w:t>
          </w:r>
          <w:r>
            <w:tab/>
          </w:r>
          <w:r>
            <w:fldChar w:fldCharType="begin"/>
          </w:r>
          <w:r>
            <w:instrText xml:space="preserve"> PAGEREF _Toc2995 \h </w:instrText>
          </w:r>
          <w:r>
            <w:fldChar w:fldCharType="separate"/>
          </w:r>
          <w:r>
            <w:t>15</w:t>
          </w:r>
          <w:r>
            <w:fldChar w:fldCharType="end"/>
          </w:r>
          <w:r>
            <w:rPr>
              <w:rFonts w:hint="eastAsia"/>
            </w:rPr>
            <w:fldChar w:fldCharType="end"/>
          </w:r>
        </w:p>
        <w:p>
          <w:pPr>
            <w:pStyle w:val="13"/>
            <w:tabs>
              <w:tab w:val="right" w:leader="dot" w:pos="8306"/>
              <w:tab w:val="clear" w:pos="8296"/>
            </w:tabs>
          </w:pPr>
          <w:r>
            <w:rPr>
              <w:rFonts w:hint="eastAsia"/>
            </w:rPr>
            <w:fldChar w:fldCharType="begin"/>
          </w:r>
          <w:r>
            <w:rPr>
              <w:rFonts w:hint="eastAsia"/>
            </w:rPr>
            <w:instrText xml:space="preserve"> HYPERLINK \l _Toc30371 </w:instrText>
          </w:r>
          <w:r>
            <w:rPr>
              <w:rFonts w:hint="eastAsia"/>
            </w:rPr>
            <w:fldChar w:fldCharType="separate"/>
          </w:r>
          <w:r>
            <w:rPr>
              <w:rFonts w:hint="eastAsia" w:ascii="黑体" w:hAnsi="黑体" w:eastAsia="黑体"/>
              <w:szCs w:val="44"/>
              <w:highlight w:val="none"/>
            </w:rPr>
            <w:t>第</w:t>
          </w:r>
          <w:r>
            <w:rPr>
              <w:rFonts w:hint="eastAsia" w:ascii="黑体" w:hAnsi="黑体" w:eastAsia="黑体"/>
              <w:highlight w:val="none"/>
            </w:rPr>
            <w:t>五部分 附表</w:t>
          </w:r>
          <w:r>
            <w:tab/>
          </w:r>
          <w:r>
            <w:fldChar w:fldCharType="begin"/>
          </w:r>
          <w:r>
            <w:instrText xml:space="preserve"> PAGEREF _Toc30371 \h </w:instrText>
          </w:r>
          <w:r>
            <w:fldChar w:fldCharType="separate"/>
          </w:r>
          <w:r>
            <w:t>11</w:t>
          </w:r>
          <w:r>
            <w:rPr>
              <w:rFonts w:hint="eastAsia"/>
              <w:lang w:val="en-US" w:eastAsia="zh-CN"/>
            </w:rPr>
            <w:t>4</w:t>
          </w:r>
          <w:r>
            <w:fldChar w:fldCharType="end"/>
          </w:r>
          <w:r>
            <w:rPr>
              <w:rFonts w:hint="eastAsia"/>
            </w:rPr>
            <w:fldChar w:fldCharType="end"/>
          </w:r>
        </w:p>
        <w:p>
          <w:pPr>
            <w:pStyle w:val="15"/>
            <w:tabs>
              <w:tab w:val="right" w:leader="dot" w:pos="8306"/>
              <w:tab w:val="clear" w:pos="8296"/>
            </w:tabs>
          </w:pPr>
          <w:r>
            <w:rPr>
              <w:rFonts w:hint="eastAsia"/>
            </w:rPr>
            <w:fldChar w:fldCharType="begin"/>
          </w:r>
          <w:r>
            <w:rPr>
              <w:rFonts w:hint="eastAsia"/>
            </w:rPr>
            <w:instrText xml:space="preserve"> HYPERLINK \l _Toc18361 </w:instrText>
          </w:r>
          <w:r>
            <w:rPr>
              <w:rFonts w:hint="eastAsia"/>
            </w:rPr>
            <w:fldChar w:fldCharType="separate"/>
          </w:r>
          <w:r>
            <w:rPr>
              <w:rFonts w:hint="eastAsia" w:ascii="仿宋_GB2312" w:hAnsi="仿宋_GB2312" w:eastAsia="仿宋_GB2312" w:cs="仿宋_GB2312"/>
              <w:highlight w:val="none"/>
            </w:rPr>
            <w:t>一、收</w:t>
          </w:r>
          <w:r>
            <w:rPr>
              <w:rFonts w:hint="eastAsia" w:ascii="仿宋_GB2312" w:hAnsi="仿宋_GB2312" w:eastAsia="仿宋_GB2312" w:cs="仿宋_GB2312"/>
              <w:bCs w:val="0"/>
              <w:highlight w:val="none"/>
            </w:rPr>
            <w:t>入支出决算总表</w:t>
          </w:r>
          <w:r>
            <w:tab/>
          </w:r>
          <w:r>
            <w:fldChar w:fldCharType="begin"/>
          </w:r>
          <w:r>
            <w:instrText xml:space="preserve"> PAGEREF _Toc18361 \h </w:instrText>
          </w:r>
          <w:r>
            <w:fldChar w:fldCharType="separate"/>
          </w:r>
          <w:r>
            <w:t>11</w:t>
          </w:r>
          <w:r>
            <w:rPr>
              <w:rFonts w:hint="eastAsia"/>
              <w:lang w:val="en-US" w:eastAsia="zh-CN"/>
            </w:rPr>
            <w:t>4</w:t>
          </w:r>
          <w:r>
            <w:fldChar w:fldCharType="end"/>
          </w:r>
          <w:r>
            <w:rPr>
              <w:rFonts w:hint="eastAsia"/>
            </w:rPr>
            <w:fldChar w:fldCharType="end"/>
          </w:r>
        </w:p>
        <w:p>
          <w:pPr>
            <w:pStyle w:val="15"/>
            <w:tabs>
              <w:tab w:val="right" w:leader="dot" w:pos="8306"/>
              <w:tab w:val="clear" w:pos="8296"/>
            </w:tabs>
          </w:pPr>
          <w:r>
            <w:rPr>
              <w:rFonts w:hint="eastAsia"/>
            </w:rPr>
            <w:fldChar w:fldCharType="begin"/>
          </w:r>
          <w:r>
            <w:rPr>
              <w:rFonts w:hint="eastAsia"/>
            </w:rPr>
            <w:instrText xml:space="preserve"> HYPERLINK \l _Toc12933 </w:instrText>
          </w:r>
          <w:r>
            <w:rPr>
              <w:rFonts w:hint="eastAsia"/>
            </w:rPr>
            <w:fldChar w:fldCharType="separate"/>
          </w:r>
          <w:r>
            <w:rPr>
              <w:rFonts w:hint="eastAsia" w:ascii="仿宋_GB2312" w:hAnsi="仿宋_GB2312" w:eastAsia="仿宋_GB2312" w:cs="仿宋_GB2312"/>
              <w:highlight w:val="none"/>
            </w:rPr>
            <w:t>二、收</w:t>
          </w:r>
          <w:r>
            <w:rPr>
              <w:rFonts w:hint="eastAsia" w:ascii="仿宋_GB2312" w:hAnsi="仿宋_GB2312" w:eastAsia="仿宋_GB2312" w:cs="仿宋_GB2312"/>
              <w:bCs w:val="0"/>
              <w:highlight w:val="none"/>
            </w:rPr>
            <w:t>入决算表</w:t>
          </w:r>
          <w:r>
            <w:tab/>
          </w:r>
          <w:r>
            <w:fldChar w:fldCharType="begin"/>
          </w:r>
          <w:r>
            <w:instrText xml:space="preserve"> PAGEREF _Toc12933 \h </w:instrText>
          </w:r>
          <w:r>
            <w:fldChar w:fldCharType="separate"/>
          </w:r>
          <w:r>
            <w:t>11</w:t>
          </w:r>
          <w:r>
            <w:rPr>
              <w:rFonts w:hint="eastAsia"/>
              <w:lang w:val="en-US" w:eastAsia="zh-CN"/>
            </w:rPr>
            <w:t>4</w:t>
          </w:r>
          <w:r>
            <w:fldChar w:fldCharType="end"/>
          </w:r>
          <w:r>
            <w:rPr>
              <w:rFonts w:hint="eastAsia"/>
            </w:rPr>
            <w:fldChar w:fldCharType="end"/>
          </w:r>
        </w:p>
        <w:p>
          <w:pPr>
            <w:pStyle w:val="15"/>
            <w:tabs>
              <w:tab w:val="right" w:leader="dot" w:pos="8306"/>
              <w:tab w:val="clear" w:pos="8296"/>
            </w:tabs>
          </w:pPr>
          <w:r>
            <w:rPr>
              <w:rFonts w:hint="eastAsia"/>
            </w:rPr>
            <w:fldChar w:fldCharType="begin"/>
          </w:r>
          <w:r>
            <w:rPr>
              <w:rFonts w:hint="eastAsia"/>
            </w:rPr>
            <w:instrText xml:space="preserve"> HYPERLINK \l _Toc19435 </w:instrText>
          </w:r>
          <w:r>
            <w:rPr>
              <w:rFonts w:hint="eastAsia"/>
            </w:rPr>
            <w:fldChar w:fldCharType="separate"/>
          </w:r>
          <w:r>
            <w:rPr>
              <w:rFonts w:hint="eastAsia" w:ascii="仿宋_GB2312" w:hAnsi="仿宋_GB2312" w:eastAsia="仿宋_GB2312" w:cs="仿宋_GB2312"/>
              <w:bCs w:val="0"/>
              <w:highlight w:val="none"/>
            </w:rPr>
            <w:t>三、</w:t>
          </w:r>
          <w:r>
            <w:rPr>
              <w:rFonts w:hint="eastAsia" w:ascii="仿宋_GB2312" w:hAnsi="仿宋_GB2312" w:eastAsia="仿宋_GB2312" w:cs="仿宋_GB2312"/>
              <w:highlight w:val="none"/>
            </w:rPr>
            <w:t>支</w:t>
          </w:r>
          <w:r>
            <w:rPr>
              <w:rFonts w:hint="eastAsia" w:ascii="仿宋_GB2312" w:hAnsi="仿宋_GB2312" w:eastAsia="仿宋_GB2312" w:cs="仿宋_GB2312"/>
              <w:bCs w:val="0"/>
              <w:highlight w:val="none"/>
            </w:rPr>
            <w:t>出决算表</w:t>
          </w:r>
          <w:r>
            <w:tab/>
          </w:r>
          <w:r>
            <w:fldChar w:fldCharType="begin"/>
          </w:r>
          <w:r>
            <w:instrText xml:space="preserve"> PAGEREF _Toc19435 \h </w:instrText>
          </w:r>
          <w:r>
            <w:fldChar w:fldCharType="separate"/>
          </w:r>
          <w:r>
            <w:t>11</w:t>
          </w:r>
          <w:r>
            <w:rPr>
              <w:rFonts w:hint="eastAsia"/>
              <w:lang w:val="en-US" w:eastAsia="zh-CN"/>
            </w:rPr>
            <w:t>4</w:t>
          </w:r>
          <w:r>
            <w:fldChar w:fldCharType="end"/>
          </w:r>
          <w:r>
            <w:rPr>
              <w:rFonts w:hint="eastAsia"/>
            </w:rPr>
            <w:fldChar w:fldCharType="end"/>
          </w:r>
        </w:p>
        <w:p>
          <w:pPr>
            <w:pStyle w:val="15"/>
            <w:tabs>
              <w:tab w:val="right" w:leader="dot" w:pos="8306"/>
              <w:tab w:val="clear" w:pos="8296"/>
            </w:tabs>
          </w:pPr>
          <w:r>
            <w:rPr>
              <w:rFonts w:hint="eastAsia"/>
            </w:rPr>
            <w:fldChar w:fldCharType="begin"/>
          </w:r>
          <w:r>
            <w:rPr>
              <w:rFonts w:hint="eastAsia"/>
            </w:rPr>
            <w:instrText xml:space="preserve"> HYPERLINK \l _Toc22152 </w:instrText>
          </w:r>
          <w:r>
            <w:rPr>
              <w:rFonts w:hint="eastAsia"/>
            </w:rPr>
            <w:fldChar w:fldCharType="separate"/>
          </w:r>
          <w:r>
            <w:rPr>
              <w:rFonts w:hint="eastAsia" w:ascii="仿宋_GB2312" w:hAnsi="仿宋_GB2312" w:eastAsia="仿宋_GB2312" w:cs="仿宋_GB2312"/>
              <w:bCs w:val="0"/>
              <w:highlight w:val="none"/>
            </w:rPr>
            <w:t>四、</w:t>
          </w:r>
          <w:r>
            <w:rPr>
              <w:rFonts w:hint="eastAsia" w:ascii="仿宋_GB2312" w:hAnsi="仿宋_GB2312" w:eastAsia="仿宋_GB2312" w:cs="仿宋_GB2312"/>
              <w:highlight w:val="none"/>
            </w:rPr>
            <w:t>财</w:t>
          </w:r>
          <w:r>
            <w:rPr>
              <w:rFonts w:hint="eastAsia" w:ascii="仿宋_GB2312" w:hAnsi="仿宋_GB2312" w:eastAsia="仿宋_GB2312" w:cs="仿宋_GB2312"/>
              <w:bCs w:val="0"/>
              <w:highlight w:val="none"/>
            </w:rPr>
            <w:t>政拨款收入支出决算总表</w:t>
          </w:r>
          <w:r>
            <w:tab/>
          </w:r>
          <w:r>
            <w:fldChar w:fldCharType="begin"/>
          </w:r>
          <w:r>
            <w:instrText xml:space="preserve"> PAGEREF _Toc22152 \h </w:instrText>
          </w:r>
          <w:r>
            <w:fldChar w:fldCharType="separate"/>
          </w:r>
          <w:r>
            <w:t>11</w:t>
          </w:r>
          <w:r>
            <w:rPr>
              <w:rFonts w:hint="eastAsia"/>
              <w:lang w:val="en-US" w:eastAsia="zh-CN"/>
            </w:rPr>
            <w:t>4</w:t>
          </w:r>
          <w:r>
            <w:fldChar w:fldCharType="end"/>
          </w:r>
          <w:r>
            <w:rPr>
              <w:rFonts w:hint="eastAsia"/>
            </w:rPr>
            <w:fldChar w:fldCharType="end"/>
          </w:r>
        </w:p>
        <w:p>
          <w:pPr>
            <w:pStyle w:val="15"/>
            <w:tabs>
              <w:tab w:val="right" w:leader="dot" w:pos="8306"/>
              <w:tab w:val="clear" w:pos="8296"/>
            </w:tabs>
          </w:pPr>
          <w:r>
            <w:rPr>
              <w:rFonts w:hint="eastAsia"/>
            </w:rPr>
            <w:fldChar w:fldCharType="begin"/>
          </w:r>
          <w:r>
            <w:rPr>
              <w:rFonts w:hint="eastAsia"/>
            </w:rPr>
            <w:instrText xml:space="preserve"> HYPERLINK \l _Toc17847 </w:instrText>
          </w:r>
          <w:r>
            <w:rPr>
              <w:rFonts w:hint="eastAsia"/>
            </w:rPr>
            <w:fldChar w:fldCharType="separate"/>
          </w:r>
          <w:r>
            <w:rPr>
              <w:rFonts w:hint="eastAsia" w:ascii="仿宋_GB2312" w:hAnsi="仿宋_GB2312" w:eastAsia="仿宋_GB2312" w:cs="仿宋_GB2312"/>
              <w:bCs w:val="0"/>
              <w:highlight w:val="none"/>
            </w:rPr>
            <w:t>五、</w:t>
          </w:r>
          <w:r>
            <w:rPr>
              <w:rFonts w:hint="eastAsia" w:ascii="仿宋_GB2312" w:hAnsi="仿宋_GB2312" w:eastAsia="仿宋_GB2312" w:cs="仿宋_GB2312"/>
              <w:highlight w:val="none"/>
            </w:rPr>
            <w:t>财</w:t>
          </w:r>
          <w:r>
            <w:rPr>
              <w:rFonts w:hint="eastAsia" w:ascii="仿宋_GB2312" w:hAnsi="仿宋_GB2312" w:eastAsia="仿宋_GB2312" w:cs="仿宋_GB2312"/>
              <w:bCs w:val="0"/>
              <w:highlight w:val="none"/>
            </w:rPr>
            <w:t>政拨款支出决算明细表</w:t>
          </w:r>
          <w:r>
            <w:tab/>
          </w:r>
          <w:r>
            <w:fldChar w:fldCharType="begin"/>
          </w:r>
          <w:r>
            <w:instrText xml:space="preserve"> PAGEREF _Toc17847 \h </w:instrText>
          </w:r>
          <w:r>
            <w:fldChar w:fldCharType="separate"/>
          </w:r>
          <w:r>
            <w:t>11</w:t>
          </w:r>
          <w:r>
            <w:rPr>
              <w:rFonts w:hint="eastAsia"/>
              <w:lang w:val="en-US" w:eastAsia="zh-CN"/>
            </w:rPr>
            <w:t>4</w:t>
          </w:r>
          <w:r>
            <w:fldChar w:fldCharType="end"/>
          </w:r>
          <w:r>
            <w:rPr>
              <w:rFonts w:hint="eastAsia"/>
            </w:rPr>
            <w:fldChar w:fldCharType="end"/>
          </w:r>
        </w:p>
        <w:p>
          <w:pPr>
            <w:pStyle w:val="15"/>
            <w:tabs>
              <w:tab w:val="right" w:leader="dot" w:pos="8306"/>
              <w:tab w:val="clear" w:pos="8296"/>
            </w:tabs>
          </w:pPr>
          <w:r>
            <w:rPr>
              <w:rFonts w:hint="eastAsia"/>
            </w:rPr>
            <w:fldChar w:fldCharType="begin"/>
          </w:r>
          <w:r>
            <w:rPr>
              <w:rFonts w:hint="eastAsia"/>
            </w:rPr>
            <w:instrText xml:space="preserve"> HYPERLINK \l _Toc20680 </w:instrText>
          </w:r>
          <w:r>
            <w:rPr>
              <w:rFonts w:hint="eastAsia"/>
            </w:rPr>
            <w:fldChar w:fldCharType="separate"/>
          </w:r>
          <w:r>
            <w:rPr>
              <w:rFonts w:hint="eastAsia" w:ascii="仿宋_GB2312" w:hAnsi="仿宋_GB2312" w:eastAsia="仿宋_GB2312" w:cs="仿宋_GB2312"/>
              <w:bCs w:val="0"/>
              <w:highlight w:val="none"/>
            </w:rPr>
            <w:t>六、</w:t>
          </w:r>
          <w:r>
            <w:rPr>
              <w:rFonts w:hint="eastAsia" w:ascii="仿宋_GB2312" w:hAnsi="仿宋_GB2312" w:eastAsia="仿宋_GB2312" w:cs="仿宋_GB2312"/>
              <w:highlight w:val="none"/>
            </w:rPr>
            <w:t>一</w:t>
          </w:r>
          <w:r>
            <w:rPr>
              <w:rFonts w:hint="eastAsia" w:ascii="仿宋_GB2312" w:hAnsi="仿宋_GB2312" w:eastAsia="仿宋_GB2312" w:cs="仿宋_GB2312"/>
              <w:bCs w:val="0"/>
              <w:highlight w:val="none"/>
            </w:rPr>
            <w:t>般公共预算财政拨款支出决算表</w:t>
          </w:r>
          <w:r>
            <w:tab/>
          </w:r>
          <w:r>
            <w:fldChar w:fldCharType="begin"/>
          </w:r>
          <w:r>
            <w:instrText xml:space="preserve"> PAGEREF _Toc20680 \h </w:instrText>
          </w:r>
          <w:r>
            <w:fldChar w:fldCharType="separate"/>
          </w:r>
          <w:r>
            <w:t>11</w:t>
          </w:r>
          <w:r>
            <w:rPr>
              <w:rFonts w:hint="eastAsia"/>
              <w:lang w:val="en-US" w:eastAsia="zh-CN"/>
            </w:rPr>
            <w:t>4</w:t>
          </w:r>
          <w:r>
            <w:fldChar w:fldCharType="end"/>
          </w:r>
          <w:r>
            <w:rPr>
              <w:rFonts w:hint="eastAsia"/>
            </w:rPr>
            <w:fldChar w:fldCharType="end"/>
          </w:r>
        </w:p>
        <w:p>
          <w:pPr>
            <w:pStyle w:val="15"/>
            <w:tabs>
              <w:tab w:val="right" w:leader="dot" w:pos="8306"/>
              <w:tab w:val="clear" w:pos="8296"/>
            </w:tabs>
          </w:pPr>
          <w:r>
            <w:rPr>
              <w:rFonts w:hint="eastAsia"/>
            </w:rPr>
            <w:fldChar w:fldCharType="begin"/>
          </w:r>
          <w:r>
            <w:rPr>
              <w:rFonts w:hint="eastAsia"/>
            </w:rPr>
            <w:instrText xml:space="preserve"> HYPERLINK \l _Toc21672 </w:instrText>
          </w:r>
          <w:r>
            <w:rPr>
              <w:rFonts w:hint="eastAsia"/>
            </w:rPr>
            <w:fldChar w:fldCharType="separate"/>
          </w:r>
          <w:r>
            <w:rPr>
              <w:rFonts w:hint="eastAsia" w:ascii="仿宋_GB2312" w:hAnsi="仿宋_GB2312" w:eastAsia="仿宋_GB2312" w:cs="仿宋_GB2312"/>
              <w:bCs w:val="0"/>
              <w:highlight w:val="none"/>
            </w:rPr>
            <w:t>七、</w:t>
          </w:r>
          <w:r>
            <w:rPr>
              <w:rFonts w:hint="eastAsia" w:ascii="仿宋_GB2312" w:hAnsi="仿宋_GB2312" w:eastAsia="仿宋_GB2312" w:cs="仿宋_GB2312"/>
              <w:highlight w:val="none"/>
            </w:rPr>
            <w:t>一</w:t>
          </w:r>
          <w:r>
            <w:rPr>
              <w:rFonts w:hint="eastAsia" w:ascii="仿宋_GB2312" w:hAnsi="仿宋_GB2312" w:eastAsia="仿宋_GB2312" w:cs="仿宋_GB2312"/>
              <w:bCs w:val="0"/>
              <w:highlight w:val="none"/>
            </w:rPr>
            <w:t>般公共预算财政拨款支出决算明细表</w:t>
          </w:r>
          <w:r>
            <w:tab/>
          </w:r>
          <w:r>
            <w:fldChar w:fldCharType="begin"/>
          </w:r>
          <w:r>
            <w:instrText xml:space="preserve"> PAGEREF _Toc21672 \h </w:instrText>
          </w:r>
          <w:r>
            <w:fldChar w:fldCharType="separate"/>
          </w:r>
          <w:r>
            <w:t>11</w:t>
          </w:r>
          <w:r>
            <w:rPr>
              <w:rFonts w:hint="eastAsia"/>
              <w:lang w:val="en-US" w:eastAsia="zh-CN"/>
            </w:rPr>
            <w:t>4</w:t>
          </w:r>
          <w:r>
            <w:fldChar w:fldCharType="end"/>
          </w:r>
          <w:r>
            <w:rPr>
              <w:rFonts w:hint="eastAsia"/>
            </w:rPr>
            <w:fldChar w:fldCharType="end"/>
          </w:r>
        </w:p>
        <w:p>
          <w:pPr>
            <w:pStyle w:val="15"/>
            <w:tabs>
              <w:tab w:val="right" w:leader="dot" w:pos="8306"/>
              <w:tab w:val="clear" w:pos="8296"/>
            </w:tabs>
          </w:pPr>
          <w:r>
            <w:rPr>
              <w:rFonts w:hint="eastAsia"/>
            </w:rPr>
            <w:fldChar w:fldCharType="begin"/>
          </w:r>
          <w:r>
            <w:rPr>
              <w:rFonts w:hint="eastAsia"/>
            </w:rPr>
            <w:instrText xml:space="preserve"> HYPERLINK \l _Toc3328 </w:instrText>
          </w:r>
          <w:r>
            <w:rPr>
              <w:rFonts w:hint="eastAsia"/>
            </w:rPr>
            <w:fldChar w:fldCharType="separate"/>
          </w:r>
          <w:r>
            <w:rPr>
              <w:rFonts w:hint="eastAsia" w:ascii="仿宋_GB2312" w:hAnsi="仿宋_GB2312" w:eastAsia="仿宋_GB2312" w:cs="仿宋_GB2312"/>
              <w:bCs w:val="0"/>
              <w:highlight w:val="none"/>
            </w:rPr>
            <w:t>八、</w:t>
          </w:r>
          <w:r>
            <w:rPr>
              <w:rFonts w:hint="eastAsia" w:ascii="仿宋_GB2312" w:hAnsi="仿宋_GB2312" w:eastAsia="仿宋_GB2312" w:cs="仿宋_GB2312"/>
              <w:highlight w:val="none"/>
            </w:rPr>
            <w:t>一</w:t>
          </w:r>
          <w:r>
            <w:rPr>
              <w:rFonts w:hint="eastAsia" w:ascii="仿宋_GB2312" w:hAnsi="仿宋_GB2312" w:eastAsia="仿宋_GB2312" w:cs="仿宋_GB2312"/>
              <w:bCs w:val="0"/>
              <w:highlight w:val="none"/>
            </w:rPr>
            <w:t>般公共预算财政拨款基本支出决算表</w:t>
          </w:r>
          <w:r>
            <w:tab/>
          </w:r>
          <w:r>
            <w:fldChar w:fldCharType="begin"/>
          </w:r>
          <w:r>
            <w:instrText xml:space="preserve"> PAGEREF _Toc3328 \h </w:instrText>
          </w:r>
          <w:r>
            <w:fldChar w:fldCharType="separate"/>
          </w:r>
          <w:r>
            <w:t>11</w:t>
          </w:r>
          <w:r>
            <w:rPr>
              <w:rFonts w:hint="eastAsia"/>
              <w:lang w:val="en-US" w:eastAsia="zh-CN"/>
            </w:rPr>
            <w:t>4</w:t>
          </w:r>
          <w:r>
            <w:fldChar w:fldCharType="end"/>
          </w:r>
          <w:r>
            <w:rPr>
              <w:rFonts w:hint="eastAsia"/>
            </w:rPr>
            <w:fldChar w:fldCharType="end"/>
          </w:r>
        </w:p>
        <w:p>
          <w:pPr>
            <w:pStyle w:val="15"/>
            <w:tabs>
              <w:tab w:val="right" w:leader="dot" w:pos="8306"/>
              <w:tab w:val="clear" w:pos="8296"/>
            </w:tabs>
          </w:pPr>
          <w:r>
            <w:rPr>
              <w:rFonts w:hint="eastAsia"/>
            </w:rPr>
            <w:fldChar w:fldCharType="begin"/>
          </w:r>
          <w:r>
            <w:rPr>
              <w:rFonts w:hint="eastAsia"/>
            </w:rPr>
            <w:instrText xml:space="preserve"> HYPERLINK \l _Toc16002 </w:instrText>
          </w:r>
          <w:r>
            <w:rPr>
              <w:rFonts w:hint="eastAsia"/>
            </w:rPr>
            <w:fldChar w:fldCharType="separate"/>
          </w:r>
          <w:r>
            <w:rPr>
              <w:rFonts w:hint="eastAsia" w:ascii="仿宋_GB2312" w:hAnsi="仿宋_GB2312" w:eastAsia="仿宋_GB2312" w:cs="仿宋_GB2312"/>
              <w:bCs w:val="0"/>
              <w:highlight w:val="none"/>
            </w:rPr>
            <w:t>九、</w:t>
          </w:r>
          <w:r>
            <w:rPr>
              <w:rFonts w:hint="eastAsia" w:ascii="仿宋_GB2312" w:hAnsi="仿宋_GB2312" w:eastAsia="仿宋_GB2312" w:cs="仿宋_GB2312"/>
              <w:highlight w:val="none"/>
            </w:rPr>
            <w:t>一</w:t>
          </w:r>
          <w:r>
            <w:rPr>
              <w:rFonts w:hint="eastAsia" w:ascii="仿宋_GB2312" w:hAnsi="仿宋_GB2312" w:eastAsia="仿宋_GB2312" w:cs="仿宋_GB2312"/>
              <w:bCs w:val="0"/>
              <w:highlight w:val="none"/>
            </w:rPr>
            <w:t>般公共预算财政拨款项目支出决算表</w:t>
          </w:r>
          <w:r>
            <w:tab/>
          </w:r>
          <w:r>
            <w:fldChar w:fldCharType="begin"/>
          </w:r>
          <w:r>
            <w:instrText xml:space="preserve"> PAGEREF _Toc16002 \h </w:instrText>
          </w:r>
          <w:r>
            <w:fldChar w:fldCharType="separate"/>
          </w:r>
          <w:r>
            <w:t>11</w:t>
          </w:r>
          <w:r>
            <w:rPr>
              <w:rFonts w:hint="eastAsia"/>
              <w:lang w:val="en-US" w:eastAsia="zh-CN"/>
            </w:rPr>
            <w:t>4</w:t>
          </w:r>
          <w:r>
            <w:fldChar w:fldCharType="end"/>
          </w:r>
          <w:r>
            <w:rPr>
              <w:rFonts w:hint="eastAsia"/>
            </w:rPr>
            <w:fldChar w:fldCharType="end"/>
          </w:r>
        </w:p>
        <w:p>
          <w:pPr>
            <w:pStyle w:val="15"/>
            <w:tabs>
              <w:tab w:val="right" w:leader="dot" w:pos="8306"/>
              <w:tab w:val="clear" w:pos="8296"/>
            </w:tabs>
          </w:pPr>
          <w:r>
            <w:rPr>
              <w:rFonts w:hint="eastAsia"/>
            </w:rPr>
            <w:fldChar w:fldCharType="begin"/>
          </w:r>
          <w:r>
            <w:rPr>
              <w:rFonts w:hint="eastAsia"/>
            </w:rPr>
            <w:instrText xml:space="preserve"> HYPERLINK \l _Toc26378 </w:instrText>
          </w:r>
          <w:r>
            <w:rPr>
              <w:rFonts w:hint="eastAsia"/>
            </w:rPr>
            <w:fldChar w:fldCharType="separate"/>
          </w:r>
          <w:r>
            <w:rPr>
              <w:rFonts w:hint="eastAsia" w:ascii="仿宋_GB2312" w:hAnsi="仿宋_GB2312" w:eastAsia="仿宋_GB2312" w:cs="仿宋_GB2312"/>
              <w:bCs w:val="0"/>
              <w:highlight w:val="none"/>
            </w:rPr>
            <w:t>十、</w:t>
          </w:r>
          <w:r>
            <w:rPr>
              <w:rFonts w:hint="eastAsia" w:ascii="仿宋_GB2312" w:hAnsi="仿宋_GB2312" w:eastAsia="仿宋_GB2312" w:cs="仿宋_GB2312"/>
              <w:highlight w:val="none"/>
            </w:rPr>
            <w:t>政</w:t>
          </w:r>
          <w:r>
            <w:rPr>
              <w:rFonts w:hint="eastAsia" w:ascii="仿宋_GB2312" w:hAnsi="仿宋_GB2312" w:eastAsia="仿宋_GB2312" w:cs="仿宋_GB2312"/>
              <w:bCs w:val="0"/>
              <w:highlight w:val="none"/>
            </w:rPr>
            <w:t>府性基金预算财政拨款收入支出决算表</w:t>
          </w:r>
          <w:r>
            <w:tab/>
          </w:r>
          <w:r>
            <w:fldChar w:fldCharType="begin"/>
          </w:r>
          <w:r>
            <w:instrText xml:space="preserve"> PAGEREF _Toc26378 \h </w:instrText>
          </w:r>
          <w:r>
            <w:fldChar w:fldCharType="separate"/>
          </w:r>
          <w:r>
            <w:t>11</w:t>
          </w:r>
          <w:r>
            <w:rPr>
              <w:rFonts w:hint="eastAsia"/>
              <w:lang w:val="en-US" w:eastAsia="zh-CN"/>
            </w:rPr>
            <w:t>4</w:t>
          </w:r>
          <w:r>
            <w:fldChar w:fldCharType="end"/>
          </w:r>
          <w:r>
            <w:rPr>
              <w:rFonts w:hint="eastAsia"/>
            </w:rPr>
            <w:fldChar w:fldCharType="end"/>
          </w:r>
        </w:p>
        <w:p>
          <w:pPr>
            <w:pStyle w:val="15"/>
            <w:tabs>
              <w:tab w:val="right" w:leader="dot" w:pos="8306"/>
              <w:tab w:val="clear" w:pos="8296"/>
            </w:tabs>
          </w:pPr>
          <w:r>
            <w:rPr>
              <w:rFonts w:hint="eastAsia"/>
            </w:rPr>
            <w:fldChar w:fldCharType="begin"/>
          </w:r>
          <w:r>
            <w:rPr>
              <w:rFonts w:hint="eastAsia"/>
            </w:rPr>
            <w:instrText xml:space="preserve"> HYPERLINK \l _Toc4154 </w:instrText>
          </w:r>
          <w:r>
            <w:rPr>
              <w:rFonts w:hint="eastAsia"/>
            </w:rPr>
            <w:fldChar w:fldCharType="separate"/>
          </w:r>
          <w:r>
            <w:rPr>
              <w:rFonts w:hint="eastAsia" w:ascii="仿宋_GB2312" w:hAnsi="仿宋_GB2312" w:eastAsia="仿宋_GB2312" w:cs="仿宋_GB2312"/>
              <w:bCs w:val="0"/>
              <w:highlight w:val="none"/>
            </w:rPr>
            <w:t>十一、</w:t>
          </w:r>
          <w:r>
            <w:rPr>
              <w:rFonts w:hint="eastAsia" w:ascii="仿宋_GB2312" w:hAnsi="仿宋_GB2312" w:eastAsia="仿宋_GB2312" w:cs="仿宋_GB2312"/>
              <w:highlight w:val="none"/>
            </w:rPr>
            <w:t>国</w:t>
          </w:r>
          <w:r>
            <w:rPr>
              <w:rFonts w:hint="eastAsia" w:ascii="仿宋_GB2312" w:hAnsi="仿宋_GB2312" w:eastAsia="仿宋_GB2312" w:cs="仿宋_GB2312"/>
              <w:bCs w:val="0"/>
              <w:highlight w:val="none"/>
            </w:rPr>
            <w:t>有资本经营预算</w:t>
          </w:r>
          <w:r>
            <w:rPr>
              <w:rFonts w:hint="eastAsia" w:ascii="仿宋_GB2312" w:hAnsi="仿宋_GB2312" w:eastAsia="仿宋_GB2312" w:cs="仿宋_GB2312"/>
              <w:bCs w:val="0"/>
              <w:highlight w:val="none"/>
              <w:lang w:eastAsia="zh-CN"/>
            </w:rPr>
            <w:t>财政拨款收入</w:t>
          </w:r>
          <w:r>
            <w:rPr>
              <w:rFonts w:hint="eastAsia" w:ascii="仿宋_GB2312" w:hAnsi="仿宋_GB2312" w:eastAsia="仿宋_GB2312" w:cs="仿宋_GB2312"/>
              <w:bCs w:val="0"/>
              <w:highlight w:val="none"/>
            </w:rPr>
            <w:t>支出决算表</w:t>
          </w:r>
          <w:r>
            <w:tab/>
          </w:r>
          <w:r>
            <w:fldChar w:fldCharType="begin"/>
          </w:r>
          <w:r>
            <w:instrText xml:space="preserve"> PAGEREF _Toc4154 \h </w:instrText>
          </w:r>
          <w:r>
            <w:fldChar w:fldCharType="separate"/>
          </w:r>
          <w:r>
            <w:t>11</w:t>
          </w:r>
          <w:r>
            <w:rPr>
              <w:rFonts w:hint="eastAsia"/>
              <w:lang w:val="en-US" w:eastAsia="zh-CN"/>
            </w:rPr>
            <w:t>4</w:t>
          </w:r>
          <w:r>
            <w:fldChar w:fldCharType="end"/>
          </w:r>
          <w:r>
            <w:rPr>
              <w:rFonts w:hint="eastAsia"/>
            </w:rPr>
            <w:fldChar w:fldCharType="end"/>
          </w:r>
        </w:p>
        <w:p>
          <w:pPr>
            <w:pStyle w:val="15"/>
            <w:tabs>
              <w:tab w:val="right" w:leader="dot" w:pos="8306"/>
              <w:tab w:val="clear" w:pos="8296"/>
            </w:tabs>
          </w:pPr>
          <w:r>
            <w:rPr>
              <w:rFonts w:hint="eastAsia"/>
            </w:rPr>
            <w:fldChar w:fldCharType="begin"/>
          </w:r>
          <w:r>
            <w:rPr>
              <w:rFonts w:hint="eastAsia"/>
            </w:rPr>
            <w:instrText xml:space="preserve"> HYPERLINK \l _Toc24197 </w:instrText>
          </w:r>
          <w:r>
            <w:rPr>
              <w:rFonts w:hint="eastAsia"/>
            </w:rPr>
            <w:fldChar w:fldCharType="separate"/>
          </w:r>
          <w:r>
            <w:rPr>
              <w:rFonts w:hint="eastAsia" w:ascii="仿宋_GB2312" w:hAnsi="仿宋_GB2312" w:eastAsia="仿宋_GB2312" w:cs="仿宋_GB2312"/>
              <w:bCs w:val="0"/>
              <w:highlight w:val="none"/>
            </w:rPr>
            <w:t>十二、</w:t>
          </w:r>
          <w:r>
            <w:rPr>
              <w:rFonts w:hint="eastAsia" w:ascii="仿宋_GB2312" w:hAnsi="仿宋_GB2312" w:eastAsia="仿宋_GB2312" w:cs="仿宋_GB2312"/>
              <w:bCs w:val="0"/>
              <w:highlight w:val="none"/>
              <w:lang w:eastAsia="zh-CN"/>
            </w:rPr>
            <w:t>国有资本经营预算财政拨款支出决算表</w:t>
          </w:r>
          <w:r>
            <w:tab/>
          </w:r>
          <w:r>
            <w:fldChar w:fldCharType="begin"/>
          </w:r>
          <w:r>
            <w:instrText xml:space="preserve"> PAGEREF _Toc24197 \h </w:instrText>
          </w:r>
          <w:r>
            <w:fldChar w:fldCharType="separate"/>
          </w:r>
          <w:r>
            <w:t>11</w:t>
          </w:r>
          <w:r>
            <w:rPr>
              <w:rFonts w:hint="eastAsia"/>
              <w:lang w:val="en-US" w:eastAsia="zh-CN"/>
            </w:rPr>
            <w:t>4</w:t>
          </w:r>
          <w:r>
            <w:fldChar w:fldCharType="end"/>
          </w:r>
          <w:r>
            <w:rPr>
              <w:rFonts w:hint="eastAsia"/>
            </w:rPr>
            <w:fldChar w:fldCharType="end"/>
          </w:r>
        </w:p>
        <w:p>
          <w:pPr>
            <w:pStyle w:val="15"/>
            <w:tabs>
              <w:tab w:val="right" w:leader="dot" w:pos="8306"/>
              <w:tab w:val="clear" w:pos="8296"/>
            </w:tabs>
          </w:pPr>
          <w:r>
            <w:rPr>
              <w:rFonts w:hint="eastAsia"/>
            </w:rPr>
            <w:fldChar w:fldCharType="begin"/>
          </w:r>
          <w:r>
            <w:rPr>
              <w:rFonts w:hint="eastAsia"/>
            </w:rPr>
            <w:instrText xml:space="preserve"> HYPERLINK \l _Toc16257 </w:instrText>
          </w:r>
          <w:r>
            <w:rPr>
              <w:rFonts w:hint="eastAsia"/>
            </w:rPr>
            <w:fldChar w:fldCharType="separate"/>
          </w:r>
          <w:r>
            <w:rPr>
              <w:rFonts w:hint="eastAsia" w:ascii="仿宋_GB2312" w:hAnsi="仿宋_GB2312" w:eastAsia="仿宋_GB2312" w:cs="仿宋_GB2312"/>
              <w:bCs w:val="0"/>
              <w:highlight w:val="none"/>
            </w:rPr>
            <w:t>十三、</w:t>
          </w:r>
          <w:r>
            <w:rPr>
              <w:rFonts w:hint="eastAsia" w:ascii="仿宋_GB2312" w:hAnsi="仿宋_GB2312" w:eastAsia="仿宋_GB2312" w:cs="仿宋_GB2312"/>
              <w:bCs w:val="0"/>
              <w:highlight w:val="none"/>
              <w:lang w:eastAsia="zh-CN"/>
            </w:rPr>
            <w:t>财政拨款“三公”经费支出决算表</w:t>
          </w:r>
          <w:r>
            <w:tab/>
          </w:r>
          <w:r>
            <w:fldChar w:fldCharType="begin"/>
          </w:r>
          <w:r>
            <w:instrText xml:space="preserve"> PAGEREF _Toc16257 \h </w:instrText>
          </w:r>
          <w:r>
            <w:fldChar w:fldCharType="separate"/>
          </w:r>
          <w:r>
            <w:t>11</w:t>
          </w:r>
          <w:r>
            <w:rPr>
              <w:rFonts w:hint="eastAsia"/>
              <w:lang w:val="en-US" w:eastAsia="zh-CN"/>
            </w:rPr>
            <w:t>4</w:t>
          </w:r>
          <w:r>
            <w:fldChar w:fldCharType="end"/>
          </w:r>
          <w:r>
            <w:rPr>
              <w:rFonts w:hint="eastAsia"/>
            </w:rPr>
            <w:fldChar w:fldCharType="end"/>
          </w:r>
        </w:p>
        <w:p>
          <w:pPr>
            <w:pStyle w:val="2"/>
            <w:rPr>
              <w:rFonts w:hint="eastAsia" w:ascii="仿宋_GB2312" w:hAnsi="Times New Roman" w:eastAsia="仿宋_GB2312" w:cs="Times New Roman"/>
              <w:kern w:val="0"/>
              <w:sz w:val="30"/>
              <w:szCs w:val="24"/>
              <w:lang w:val="en-US" w:eastAsia="zh-CN" w:bidi="ar-SA"/>
            </w:rPr>
          </w:pPr>
          <w:r>
            <w:rPr>
              <w:rFonts w:hint="eastAsia"/>
            </w:rPr>
            <w:fldChar w:fldCharType="end"/>
          </w:r>
        </w:p>
      </w:sdtContent>
    </w:sdt>
    <w:p>
      <w:pPr>
        <w:pStyle w:val="2"/>
        <w:rPr>
          <w:rFonts w:hint="eastAsia" w:ascii="仿宋_GB2312" w:hAnsi="Times New Roman" w:eastAsia="仿宋_GB2312" w:cs="Times New Roman"/>
          <w:kern w:val="0"/>
          <w:sz w:val="30"/>
          <w:szCs w:val="24"/>
          <w:lang w:val="en-US" w:eastAsia="zh-CN" w:bidi="ar-SA"/>
        </w:rPr>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pPr>
    </w:p>
    <w:p>
      <w:pPr>
        <w:pStyle w:val="2"/>
        <w:rPr>
          <w:rFonts w:hint="eastAsia"/>
        </w:rPr>
      </w:pPr>
    </w:p>
    <w:p>
      <w:pPr>
        <w:pStyle w:val="3"/>
        <w:jc w:val="center"/>
        <w:rPr>
          <w:rStyle w:val="21"/>
          <w:rFonts w:hint="eastAsia" w:ascii="Times New Roman" w:hAnsi="Times New Roman" w:eastAsia="方正小标宋简体" w:cs="方正小标宋简体"/>
          <w:b/>
          <w:bCs w:val="0"/>
          <w:color w:val="auto"/>
          <w:highlight w:val="none"/>
        </w:rPr>
      </w:pPr>
      <w:bookmarkStart w:id="8" w:name="_Toc32411"/>
      <w:bookmarkStart w:id="9" w:name="_Toc21453"/>
      <w:r>
        <w:rPr>
          <w:rFonts w:hint="eastAsia" w:ascii="Times New Roman" w:hAnsi="Times New Roman" w:eastAsia="方正小标宋简体" w:cs="方正小标宋简体"/>
          <w:b w:val="0"/>
          <w:color w:val="auto"/>
          <w:highlight w:val="none"/>
        </w:rPr>
        <w:t xml:space="preserve">第一部分 </w:t>
      </w:r>
      <w:r>
        <w:rPr>
          <w:rFonts w:hint="eastAsia" w:eastAsia="方正小标宋简体" w:cs="方正小标宋简体"/>
          <w:b w:val="0"/>
          <w:color w:val="auto"/>
          <w:highlight w:val="none"/>
          <w:lang w:val="en-US" w:eastAsia="zh-CN"/>
        </w:rPr>
        <w:t xml:space="preserve"> </w:t>
      </w:r>
      <w:r>
        <w:rPr>
          <w:rStyle w:val="21"/>
          <w:rFonts w:hint="eastAsia" w:ascii="Times New Roman" w:hAnsi="Times New Roman" w:eastAsia="方正小标宋简体" w:cs="方正小标宋简体"/>
          <w:b w:val="0"/>
          <w:bCs w:val="0"/>
          <w:color w:val="auto"/>
          <w:highlight w:val="none"/>
        </w:rPr>
        <w:t>部门概况</w:t>
      </w:r>
      <w:bookmarkEnd w:id="8"/>
      <w:bookmarkEnd w:id="9"/>
    </w:p>
    <w:p>
      <w:pPr>
        <w:widowControl/>
        <w:jc w:val="left"/>
        <w:rPr>
          <w:rFonts w:ascii="Times New Roman" w:hAnsi="Times New Roman" w:eastAsia="黑体"/>
          <w:color w:val="auto"/>
          <w:sz w:val="32"/>
          <w:szCs w:val="32"/>
          <w:highlight w:val="none"/>
        </w:rPr>
      </w:pPr>
    </w:p>
    <w:p>
      <w:pPr>
        <w:pStyle w:val="4"/>
        <w:numPr>
          <w:ilvl w:val="0"/>
          <w:numId w:val="1"/>
        </w:numPr>
        <w:rPr>
          <w:rFonts w:hint="eastAsia" w:ascii="黑体" w:hAnsi="黑体" w:eastAsia="黑体"/>
          <w:b w:val="0"/>
          <w:color w:val="auto"/>
          <w:highlight w:val="none"/>
          <w:lang w:eastAsia="zh-CN"/>
        </w:rPr>
      </w:pPr>
      <w:bookmarkStart w:id="10" w:name="_Toc20179"/>
      <w:bookmarkStart w:id="11" w:name="_Toc6991_WPSOffice_Level2"/>
      <w:bookmarkStart w:id="12" w:name="_Toc3383"/>
      <w:bookmarkStart w:id="13" w:name="_Toc25938"/>
      <w:r>
        <w:rPr>
          <w:rFonts w:hint="eastAsia" w:ascii="黑体" w:hAnsi="黑体" w:eastAsia="黑体"/>
          <w:b w:val="0"/>
          <w:color w:val="auto"/>
          <w:highlight w:val="none"/>
          <w:lang w:eastAsia="zh-CN"/>
        </w:rPr>
        <w:t>部门职责</w:t>
      </w:r>
      <w:bookmarkEnd w:id="10"/>
      <w:bookmarkEnd w:id="11"/>
      <w:bookmarkEnd w:id="12"/>
      <w:bookmarkEnd w:id="13"/>
    </w:p>
    <w:p>
      <w:pPr>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川北幼儿师范高等专科学校是经四川省人民政府批准成立的公办全日制普通高等专科学校，负责培养具有普通高等专科学历的师资人才、医药卫生人才及其他职业技术人才，负责幼儿园教师、中小学教师、基层医护人员的培训工作，负责开展人才培养、科学研究、社会服务、文化传承与创新、国际交流与合作等工作。</w:t>
      </w:r>
    </w:p>
    <w:p>
      <w:pPr>
        <w:pStyle w:val="4"/>
        <w:rPr>
          <w:rStyle w:val="22"/>
          <w:b w:val="0"/>
          <w:bCs w:val="0"/>
          <w:color w:val="auto"/>
          <w:highlight w:val="none"/>
        </w:rPr>
      </w:pPr>
      <w:bookmarkStart w:id="14" w:name="_Toc2954"/>
      <w:bookmarkStart w:id="15" w:name="_Toc15377200"/>
      <w:bookmarkStart w:id="16" w:name="_Toc23143"/>
      <w:bookmarkStart w:id="17" w:name="_Toc31829"/>
      <w:bookmarkStart w:id="18" w:name="_Toc15396601"/>
      <w:bookmarkStart w:id="19" w:name="_Toc24789_WPSOffice_Level2"/>
      <w:r>
        <w:rPr>
          <w:rFonts w:hint="eastAsia" w:ascii="黑体" w:eastAsia="黑体"/>
          <w:b w:val="0"/>
          <w:color w:val="auto"/>
          <w:highlight w:val="none"/>
        </w:rPr>
        <w:t>二、</w:t>
      </w:r>
      <w:r>
        <w:rPr>
          <w:rFonts w:hint="eastAsia" w:ascii="黑体" w:hAnsi="黑体" w:eastAsia="黑体"/>
          <w:b w:val="0"/>
          <w:color w:val="auto"/>
          <w:highlight w:val="none"/>
        </w:rPr>
        <w:t>机</w:t>
      </w:r>
      <w:r>
        <w:rPr>
          <w:rStyle w:val="22"/>
          <w:rFonts w:hint="eastAsia" w:ascii="黑体" w:hAnsi="黑体" w:eastAsia="黑体"/>
          <w:b w:val="0"/>
          <w:bCs w:val="0"/>
          <w:color w:val="auto"/>
          <w:highlight w:val="none"/>
        </w:rPr>
        <w:t>构设置</w:t>
      </w:r>
      <w:bookmarkEnd w:id="14"/>
      <w:bookmarkEnd w:id="15"/>
      <w:bookmarkEnd w:id="16"/>
      <w:bookmarkEnd w:id="17"/>
      <w:bookmarkEnd w:id="18"/>
      <w:bookmarkEnd w:id="19"/>
    </w:p>
    <w:p>
      <w:pPr>
        <w:shd w:val="clear" w:color="auto" w:fill="auto"/>
        <w:ind w:firstLine="640" w:firstLineChars="200"/>
        <w:rPr>
          <w:rFonts w:hint="eastAsia" w:ascii="仿宋_GB2312" w:hAnsi="宋体" w:eastAsia="仿宋_GB2312" w:cs="宋体"/>
          <w:sz w:val="32"/>
          <w:szCs w:val="32"/>
        </w:rPr>
      </w:pPr>
      <w:bookmarkStart w:id="20" w:name="_Toc15377201"/>
      <w:bookmarkStart w:id="21" w:name="_Toc15306275"/>
      <w:bookmarkStart w:id="22" w:name="_Toc15378448"/>
      <w:bookmarkStart w:id="23" w:name="_Toc15377432"/>
      <w:r>
        <w:rPr>
          <w:rFonts w:hint="eastAsia" w:ascii="仿宋_GB2312" w:hAnsi="宋体" w:eastAsia="仿宋_GB2312" w:cs="宋体"/>
          <w:sz w:val="32"/>
          <w:szCs w:val="32"/>
        </w:rPr>
        <w:t>川北幼儿师范高等专科学</w:t>
      </w:r>
      <w:r>
        <w:rPr>
          <w:rFonts w:hint="eastAsia" w:ascii="仿宋_GB2312" w:hAnsi="宋体" w:eastAsia="仿宋_GB2312" w:cs="宋体"/>
          <w:sz w:val="32"/>
          <w:szCs w:val="32"/>
          <w:lang w:eastAsia="zh-CN"/>
        </w:rPr>
        <w:t>校</w:t>
      </w:r>
      <w:r>
        <w:rPr>
          <w:rFonts w:hint="eastAsia" w:ascii="仿宋_GB2312" w:hAnsi="宋体" w:eastAsia="仿宋_GB2312" w:cs="宋体"/>
          <w:sz w:val="32"/>
          <w:szCs w:val="32"/>
        </w:rPr>
        <w:t>下属无独立预算的二级预算单位。</w:t>
      </w:r>
    </w:p>
    <w:p>
      <w:pPr>
        <w:shd w:val="clear" w:color="auto" w:fill="auto"/>
        <w:ind w:firstLine="640" w:firstLineChars="200"/>
        <w:rPr>
          <w:rFonts w:hint="eastAsia" w:ascii="仿宋_GB2312" w:hAnsi="宋体" w:eastAsia="仿宋_GB2312" w:cs="宋体"/>
          <w:sz w:val="32"/>
          <w:szCs w:val="32"/>
          <w:lang w:eastAsia="zh-CN"/>
        </w:rPr>
      </w:pPr>
      <w:r>
        <w:rPr>
          <w:rFonts w:hint="eastAsia" w:ascii="仿宋_GB2312" w:hAnsi="宋体" w:eastAsia="仿宋_GB2312" w:cs="宋体"/>
          <w:sz w:val="32"/>
          <w:szCs w:val="32"/>
        </w:rPr>
        <w:t>纳入</w:t>
      </w:r>
      <w:r>
        <w:rPr>
          <w:rFonts w:hint="eastAsia" w:ascii="仿宋_GB2312" w:hAnsi="宋体" w:eastAsia="仿宋_GB2312" w:cs="宋体"/>
          <w:sz w:val="32"/>
          <w:szCs w:val="32"/>
          <w:lang w:eastAsia="zh-CN"/>
        </w:rPr>
        <w:t>川北幼儿师范高等专科学校</w:t>
      </w:r>
      <w:r>
        <w:rPr>
          <w:rFonts w:hint="eastAsia" w:ascii="仿宋_GB2312" w:hAnsi="宋体" w:eastAsia="仿宋_GB2312" w:cs="宋体"/>
          <w:sz w:val="32"/>
          <w:szCs w:val="32"/>
        </w:rPr>
        <w:t>2024年度部门决算编制范围的预算单位包括：</w:t>
      </w:r>
      <w:bookmarkEnd w:id="20"/>
      <w:bookmarkEnd w:id="21"/>
      <w:bookmarkEnd w:id="22"/>
      <w:bookmarkEnd w:id="23"/>
      <w:r>
        <w:rPr>
          <w:rFonts w:hint="eastAsia" w:ascii="仿宋_GB2312" w:hAnsi="宋体" w:eastAsia="仿宋_GB2312" w:cs="宋体"/>
          <w:sz w:val="32"/>
          <w:szCs w:val="32"/>
        </w:rPr>
        <w:t>川北幼儿师范高等专科学</w:t>
      </w:r>
      <w:r>
        <w:rPr>
          <w:rFonts w:hint="eastAsia" w:ascii="仿宋_GB2312" w:hAnsi="宋体" w:eastAsia="仿宋_GB2312" w:cs="宋体"/>
          <w:sz w:val="32"/>
          <w:szCs w:val="32"/>
          <w:lang w:eastAsia="zh-CN"/>
        </w:rPr>
        <w:t>校</w:t>
      </w:r>
      <w:bookmarkStart w:id="142" w:name="_GoBack"/>
      <w:bookmarkEnd w:id="142"/>
      <w:r>
        <w:rPr>
          <w:rFonts w:hint="eastAsia" w:ascii="仿宋_GB2312" w:hAnsi="宋体" w:eastAsia="仿宋_GB2312" w:cs="宋体"/>
          <w:sz w:val="32"/>
          <w:szCs w:val="32"/>
          <w:lang w:eastAsia="zh-CN"/>
        </w:rPr>
        <w:t>。</w:t>
      </w:r>
    </w:p>
    <w:p>
      <w:pPr>
        <w:widowControl/>
        <w:jc w:val="left"/>
        <w:rPr>
          <w:rFonts w:ascii="Times New Roman" w:hAnsi="Times New Roman" w:eastAsia="仿宋"/>
          <w:color w:val="auto"/>
          <w:kern w:val="0"/>
          <w:sz w:val="32"/>
          <w:szCs w:val="32"/>
          <w:highlight w:val="none"/>
        </w:rPr>
      </w:pPr>
      <w:r>
        <w:rPr>
          <w:rFonts w:ascii="Times New Roman" w:hAnsi="Times New Roman" w:eastAsia="仿宋"/>
          <w:color w:val="auto"/>
          <w:sz w:val="32"/>
          <w:szCs w:val="32"/>
          <w:highlight w:val="none"/>
        </w:rPr>
        <w:br w:type="page"/>
      </w:r>
    </w:p>
    <w:p>
      <w:pPr>
        <w:pStyle w:val="3"/>
        <w:jc w:val="center"/>
        <w:rPr>
          <w:rFonts w:hint="eastAsia" w:ascii="Times New Roman" w:hAnsi="Times New Roman" w:eastAsia="方正小标宋简体" w:cs="方正小标宋简体"/>
          <w:b w:val="0"/>
          <w:color w:val="auto"/>
          <w:highlight w:val="none"/>
        </w:rPr>
      </w:pPr>
      <w:bookmarkStart w:id="24" w:name="_Toc32060"/>
      <w:bookmarkStart w:id="25" w:name="_Toc15396602"/>
      <w:bookmarkStart w:id="26" w:name="_Toc7360"/>
      <w:bookmarkStart w:id="27" w:name="_Toc15377204"/>
      <w:r>
        <w:rPr>
          <w:rFonts w:hint="eastAsia" w:ascii="Times New Roman" w:hAnsi="Times New Roman" w:eastAsia="方正小标宋简体" w:cs="方正小标宋简体"/>
          <w:b w:val="0"/>
          <w:color w:val="auto"/>
          <w:highlight w:val="none"/>
        </w:rPr>
        <w:t>第二部分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Fonts w:hint="eastAsia" w:ascii="Times New Roman" w:hAnsi="Times New Roman" w:eastAsia="方正小标宋简体" w:cs="方正小标宋简体"/>
          <w:b w:val="0"/>
          <w:color w:val="auto"/>
          <w:highlight w:val="none"/>
          <w:lang w:val="en-US" w:eastAsia="zh-CN"/>
        </w:rPr>
        <w:t>2024年度</w:t>
      </w:r>
      <w:r>
        <w:rPr>
          <w:rFonts w:hint="eastAsia" w:ascii="Times New Roman" w:hAnsi="Times New Roman" w:eastAsia="方正小标宋简体" w:cs="方正小标宋简体"/>
          <w:b w:val="0"/>
          <w:color w:val="auto"/>
          <w:highlight w:val="none"/>
        </w:rPr>
        <w:t>部门决算情况说明</w:t>
      </w:r>
      <w:bookmarkEnd w:id="24"/>
      <w:bookmarkEnd w:id="25"/>
      <w:bookmarkEnd w:id="26"/>
      <w:bookmarkEnd w:id="27"/>
    </w:p>
    <w:p>
      <w:pPr>
        <w:rPr>
          <w:rFonts w:ascii="Times New Roman" w:hAnsi="Times New Roman"/>
          <w:color w:val="auto"/>
          <w:highlight w:val="none"/>
        </w:rPr>
      </w:pPr>
    </w:p>
    <w:p>
      <w:pPr>
        <w:pStyle w:val="3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22"/>
          <w:rFonts w:hint="eastAsia" w:ascii="Times New Roman" w:hAnsi="Times New Roman" w:eastAsia="黑体"/>
          <w:b w:val="0"/>
          <w:color w:val="auto"/>
          <w:highlight w:val="none"/>
        </w:rPr>
      </w:pPr>
      <w:bookmarkStart w:id="28" w:name="_Toc15396603"/>
      <w:bookmarkStart w:id="29" w:name="_Toc20860"/>
      <w:bookmarkStart w:id="30" w:name="_Toc15377205"/>
      <w:r>
        <w:rPr>
          <w:rFonts w:hint="eastAsia" w:ascii="Times New Roman" w:hAnsi="Times New Roman" w:eastAsia="黑体"/>
          <w:color w:val="auto"/>
          <w:sz w:val="32"/>
          <w:szCs w:val="32"/>
          <w:highlight w:val="none"/>
          <w:lang w:eastAsia="zh-CN"/>
        </w:rPr>
        <w:t>一、</w:t>
      </w:r>
      <w:r>
        <w:rPr>
          <w:rFonts w:hint="eastAsia" w:ascii="Times New Roman" w:hAnsi="Times New Roman" w:eastAsia="黑体"/>
          <w:color w:val="auto"/>
          <w:sz w:val="32"/>
          <w:szCs w:val="32"/>
          <w:highlight w:val="none"/>
        </w:rPr>
        <w:t>收</w:t>
      </w:r>
      <w:r>
        <w:rPr>
          <w:rStyle w:val="22"/>
          <w:rFonts w:hint="eastAsia" w:ascii="Times New Roman" w:hAnsi="Times New Roman" w:eastAsia="黑体"/>
          <w:b w:val="0"/>
          <w:color w:val="auto"/>
          <w:highlight w:val="none"/>
        </w:rPr>
        <w:t>入支出决算总体情况说明</w:t>
      </w:r>
      <w:bookmarkEnd w:id="28"/>
      <w:bookmarkEnd w:id="29"/>
      <w:bookmarkEnd w:id="30"/>
    </w:p>
    <w:p>
      <w:pPr>
        <w:pStyle w:val="3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default" w:ascii="Times New Roman" w:hAnsi="Times New Roman" w:eastAsia="仿宋_GB2312" w:cs="仿宋_GB2312"/>
          <w:color w:val="auto"/>
          <w:sz w:val="32"/>
          <w:szCs w:val="32"/>
          <w:highlight w:val="none"/>
          <w:lang w:val="en-US" w:eastAsia="zh-CN"/>
        </w:rPr>
      </w:pPr>
      <w:bookmarkStart w:id="31" w:name="_Toc19125"/>
      <w:r>
        <w:rPr>
          <w:rFonts w:hint="eastAsia" w:ascii="仿宋_GB2312" w:hAnsi="仿宋_GB2312" w:eastAsia="仿宋_GB2312" w:cs="仿宋_GB2312"/>
          <w:sz w:val="32"/>
          <w:szCs w:val="32"/>
          <w:lang w:eastAsia="zh-CN"/>
        </w:rPr>
        <w:t>2024年度收入</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支出</w:t>
      </w:r>
      <w:r>
        <w:rPr>
          <w:rFonts w:hint="eastAsia" w:ascii="仿宋_GB2312" w:hAnsi="仿宋_GB2312" w:eastAsia="仿宋_GB2312" w:cs="仿宋_GB2312"/>
          <w:sz w:val="32"/>
          <w:szCs w:val="32"/>
        </w:rPr>
        <w:t>总计</w:t>
      </w:r>
      <w:r>
        <w:rPr>
          <w:rFonts w:hint="eastAsia" w:ascii="仿宋_GB2312" w:hAnsi="仿宋_GB2312" w:eastAsia="仿宋_GB2312" w:cs="仿宋_GB2312"/>
          <w:sz w:val="32"/>
          <w:szCs w:val="32"/>
          <w:lang w:eastAsia="zh-CN"/>
        </w:rPr>
        <w:t>均为</w:t>
      </w:r>
      <w:r>
        <w:rPr>
          <w:rFonts w:hint="eastAsia" w:ascii="仿宋_GB2312" w:hAnsi="仿宋_GB2312" w:eastAsia="仿宋_GB2312" w:cs="仿宋_GB2312"/>
          <w:sz w:val="32"/>
          <w:szCs w:val="32"/>
          <w:lang w:val="en-US" w:eastAsia="zh-CN"/>
        </w:rPr>
        <w:t>22146.16</w:t>
      </w:r>
      <w:r>
        <w:rPr>
          <w:rFonts w:hint="eastAsia" w:ascii="仿宋_GB2312" w:hAnsi="仿宋_GB2312" w:eastAsia="仿宋_GB2312" w:cs="仿宋_GB2312"/>
          <w:sz w:val="32"/>
          <w:szCs w:val="32"/>
        </w:rPr>
        <w:t>万元。与</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度</w:t>
      </w:r>
      <w:r>
        <w:rPr>
          <w:rFonts w:hint="eastAsia" w:ascii="仿宋_GB2312" w:hAnsi="仿宋_GB2312" w:eastAsia="仿宋_GB2312" w:cs="仿宋_GB2312"/>
          <w:sz w:val="32"/>
          <w:szCs w:val="32"/>
        </w:rPr>
        <w:t>相比，</w:t>
      </w:r>
      <w:r>
        <w:rPr>
          <w:rFonts w:hint="eastAsia" w:ascii="仿宋_GB2312" w:hAnsi="仿宋_GB2312" w:eastAsia="仿宋_GB2312" w:cs="仿宋_GB2312"/>
          <w:sz w:val="32"/>
          <w:szCs w:val="32"/>
          <w:lang w:eastAsia="zh-CN"/>
        </w:rPr>
        <w:t>收入</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支出</w:t>
      </w:r>
      <w:r>
        <w:rPr>
          <w:rFonts w:hint="eastAsia" w:ascii="仿宋_GB2312" w:hAnsi="仿宋_GB2312" w:eastAsia="仿宋_GB2312" w:cs="仿宋_GB2312"/>
          <w:sz w:val="32"/>
          <w:szCs w:val="32"/>
        </w:rPr>
        <w:t>总计各减少</w:t>
      </w:r>
      <w:r>
        <w:rPr>
          <w:rFonts w:hint="eastAsia" w:ascii="仿宋_GB2312" w:hAnsi="仿宋_GB2312" w:eastAsia="仿宋_GB2312" w:cs="仿宋_GB2312"/>
          <w:sz w:val="32"/>
          <w:szCs w:val="32"/>
          <w:lang w:val="en-US" w:eastAsia="zh-CN"/>
        </w:rPr>
        <w:t>1375.59</w:t>
      </w:r>
      <w:r>
        <w:rPr>
          <w:rFonts w:hint="eastAsia" w:ascii="仿宋_GB2312" w:hAnsi="仿宋_GB2312" w:eastAsia="仿宋_GB2312" w:cs="仿宋_GB2312"/>
          <w:sz w:val="32"/>
          <w:szCs w:val="32"/>
        </w:rPr>
        <w:t>万元</w:t>
      </w:r>
      <w:r>
        <w:rPr>
          <w:rFonts w:hint="eastAsia" w:ascii="Times New Roman" w:hAnsi="Times New Roman" w:eastAsia="仿宋_GB2312" w:cs="仿宋_GB2312"/>
          <w:color w:val="auto"/>
          <w:sz w:val="32"/>
          <w:szCs w:val="32"/>
          <w:highlight w:val="none"/>
        </w:rPr>
        <w:t>，下降</w:t>
      </w:r>
      <w:r>
        <w:rPr>
          <w:rFonts w:hint="eastAsia" w:ascii="仿宋_GB2312" w:hAnsi="仿宋_GB2312" w:eastAsia="仿宋_GB2312" w:cs="仿宋_GB2312"/>
          <w:sz w:val="32"/>
          <w:szCs w:val="32"/>
          <w:lang w:val="en-US" w:eastAsia="zh-CN"/>
        </w:rPr>
        <w:t>6.2</w:t>
      </w:r>
      <w:r>
        <w:rPr>
          <w:rFonts w:hint="eastAsia" w:ascii="仿宋_GB2312" w:hAnsi="仿宋_GB2312" w:eastAsia="仿宋_GB2312" w:cs="仿宋_GB2312"/>
          <w:sz w:val="32"/>
          <w:szCs w:val="32"/>
          <w:lang w:eastAsia="zh-CN"/>
        </w:rPr>
        <w:t>%。</w:t>
      </w:r>
      <w:r>
        <w:rPr>
          <w:rFonts w:hint="eastAsia" w:ascii="Times New Roman" w:hAnsi="Times New Roman" w:eastAsia="仿宋_GB2312" w:cs="仿宋_GB2312"/>
          <w:color w:val="auto"/>
          <w:sz w:val="32"/>
          <w:szCs w:val="32"/>
          <w:highlight w:val="none"/>
        </w:rPr>
        <w:t>主要变动原因是</w:t>
      </w:r>
      <w:r>
        <w:rPr>
          <w:rFonts w:hint="eastAsia" w:ascii="仿宋_GB2312" w:hAnsi="仿宋_GB2312" w:eastAsia="仿宋_GB2312" w:cs="仿宋_GB2312"/>
          <w:sz w:val="32"/>
          <w:szCs w:val="32"/>
          <w:lang w:val="en-US" w:eastAsia="zh-CN"/>
        </w:rPr>
        <w:t>2024</w:t>
      </w:r>
      <w:r>
        <w:rPr>
          <w:rFonts w:hint="eastAsia" w:eastAsia="仿宋_GB2312" w:cs="仿宋_GB2312"/>
          <w:color w:val="auto"/>
          <w:sz w:val="32"/>
          <w:szCs w:val="32"/>
          <w:highlight w:val="none"/>
          <w:lang w:val="en-US" w:eastAsia="zh-CN"/>
        </w:rPr>
        <w:t>年政府性基金预算财政拨款收入减少。</w:t>
      </w:r>
      <w:bookmarkEnd w:id="31"/>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（图1：</w:t>
      </w:r>
      <w:r>
        <w:rPr>
          <w:rFonts w:hint="eastAsia" w:ascii="Times New Roman" w:hAnsi="Times New Roman" w:eastAsia="仿宋_GB2312" w:cs="仿宋_GB2312"/>
          <w:color w:val="auto"/>
          <w:sz w:val="32"/>
          <w:szCs w:val="32"/>
          <w:highlight w:val="none"/>
          <w:lang w:eastAsia="zh-CN"/>
        </w:rPr>
        <w:t>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决算总计变动情况图）（柱状图）</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imes New Roman" w:hAnsi="Times New Roman" w:eastAsia="黑体"/>
          <w:color w:val="auto"/>
          <w:sz w:val="32"/>
          <w:szCs w:val="32"/>
          <w:highlight w:val="none"/>
          <w:lang w:eastAsia="zh-CN"/>
        </w:rPr>
      </w:pPr>
      <w:r>
        <w:rPr>
          <w:rFonts w:hint="eastAsia"/>
          <w:lang w:val="en-US" w:eastAsia="zh-CN"/>
        </w:rPr>
        <w:t xml:space="preserve">   </w:t>
      </w:r>
      <w:r>
        <w:drawing>
          <wp:inline distT="0" distB="0" distL="114300" distR="114300">
            <wp:extent cx="4502150" cy="1997075"/>
            <wp:effectExtent l="4445" t="5080" r="8255" b="17145"/>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bookmarkStart w:id="32" w:name="_Toc15396604"/>
      <w:bookmarkStart w:id="33" w:name="_Toc15377206"/>
    </w:p>
    <w:p>
      <w:pPr>
        <w:pStyle w:val="3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Times New Roman" w:hAnsi="Times New Roman" w:eastAsia="黑体"/>
          <w:color w:val="auto"/>
          <w:sz w:val="32"/>
          <w:szCs w:val="32"/>
          <w:highlight w:val="none"/>
          <w:lang w:eastAsia="zh-CN"/>
        </w:rPr>
      </w:pPr>
    </w:p>
    <w:p>
      <w:pPr>
        <w:pStyle w:val="3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olor w:val="auto"/>
          <w:sz w:val="32"/>
          <w:szCs w:val="32"/>
          <w:highlight w:val="none"/>
          <w:lang w:eastAsia="zh-CN"/>
        </w:rPr>
      </w:pPr>
      <w:bookmarkStart w:id="34" w:name="_Toc14480"/>
      <w:r>
        <w:rPr>
          <w:rFonts w:hint="eastAsia" w:ascii="Times New Roman" w:hAnsi="Times New Roman" w:eastAsia="黑体"/>
          <w:color w:val="auto"/>
          <w:sz w:val="32"/>
          <w:szCs w:val="32"/>
          <w:highlight w:val="none"/>
          <w:lang w:eastAsia="zh-CN"/>
        </w:rPr>
        <w:t>二、收入决算情况说明</w:t>
      </w:r>
      <w:bookmarkEnd w:id="32"/>
      <w:bookmarkEnd w:id="33"/>
      <w:bookmarkEnd w:id="34"/>
    </w:p>
    <w:p>
      <w:pPr>
        <w:pStyle w:val="3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Times New Roman" w:hAnsi="Times New Roman" w:eastAsia="仿宋_GB2312" w:cs="仿宋_GB2312"/>
          <w:b/>
          <w:bCs/>
          <w:color w:val="auto"/>
          <w:sz w:val="32"/>
          <w:szCs w:val="32"/>
          <w:highlight w:val="none"/>
          <w:lang w:eastAsia="zh-CN"/>
        </w:rPr>
      </w:pPr>
      <w:bookmarkStart w:id="35" w:name="_Toc28696"/>
      <w:r>
        <w:rPr>
          <w:rFonts w:hint="eastAsia" w:ascii="仿宋_GB2312" w:hAnsi="仿宋_GB2312" w:eastAsia="仿宋_GB2312" w:cs="仿宋_GB2312"/>
          <w:color w:val="auto"/>
          <w:sz w:val="32"/>
          <w:szCs w:val="32"/>
          <w:highlight w:val="none"/>
          <w:lang w:eastAsia="zh-CN"/>
        </w:rPr>
        <w:t>2024年度本年收入合计</w:t>
      </w:r>
      <w:r>
        <w:rPr>
          <w:rFonts w:hint="eastAsia" w:ascii="仿宋_GB2312" w:hAnsi="仿宋_GB2312" w:eastAsia="仿宋_GB2312" w:cs="仿宋_GB2312"/>
          <w:sz w:val="32"/>
          <w:szCs w:val="32"/>
        </w:rPr>
        <w:t>21463.61万元，其中：一般公共预算财政拨款收入13376.64</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62.3</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color w:val="auto"/>
          <w:sz w:val="32"/>
          <w:szCs w:val="32"/>
          <w:highlight w:val="none"/>
          <w:lang w:eastAsia="zh-CN"/>
        </w:rPr>
        <w:t>%；事业收入</w:t>
      </w:r>
      <w:r>
        <w:rPr>
          <w:rFonts w:hint="eastAsia" w:ascii="仿宋_GB2312" w:hAnsi="仿宋_GB2312" w:eastAsia="仿宋_GB2312" w:cs="仿宋_GB2312"/>
          <w:sz w:val="32"/>
          <w:szCs w:val="32"/>
        </w:rPr>
        <w:t>8080.6</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37.</w:t>
      </w:r>
      <w:r>
        <w:rPr>
          <w:rFonts w:hint="eastAsia" w:ascii="仿宋_GB2312" w:hAnsi="仿宋_GB2312" w:eastAsia="仿宋_GB2312" w:cs="仿宋_GB2312"/>
          <w:sz w:val="32"/>
          <w:szCs w:val="32"/>
          <w:lang w:val="en-US" w:eastAsia="zh-CN"/>
        </w:rPr>
        <w:t>65</w:t>
      </w:r>
      <w:r>
        <w:rPr>
          <w:rFonts w:hint="eastAsia" w:ascii="仿宋_GB2312" w:hAnsi="仿宋_GB2312" w:eastAsia="仿宋_GB2312" w:cs="仿宋_GB2312"/>
          <w:color w:val="auto"/>
          <w:sz w:val="32"/>
          <w:szCs w:val="32"/>
          <w:highlight w:val="none"/>
          <w:lang w:eastAsia="zh-CN"/>
        </w:rPr>
        <w:t>%；其他收入</w:t>
      </w:r>
      <w:r>
        <w:rPr>
          <w:rFonts w:hint="eastAsia" w:ascii="仿宋_GB2312" w:hAnsi="仿宋_GB2312" w:eastAsia="仿宋_GB2312" w:cs="仿宋_GB2312"/>
          <w:sz w:val="32"/>
          <w:szCs w:val="32"/>
        </w:rPr>
        <w:t>6.38</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sz w:val="32"/>
          <w:szCs w:val="32"/>
          <w:lang w:val="en-US" w:eastAsia="zh-CN"/>
        </w:rPr>
        <w:t>.03</w:t>
      </w:r>
      <w:r>
        <w:rPr>
          <w:rFonts w:hint="eastAsia" w:ascii="仿宋_GB2312" w:hAnsi="仿宋_GB2312" w:eastAsia="仿宋_GB2312" w:cs="仿宋_GB2312"/>
          <w:color w:val="auto"/>
          <w:sz w:val="32"/>
          <w:szCs w:val="32"/>
          <w:highlight w:val="none"/>
          <w:lang w:eastAsia="zh-CN"/>
        </w:rPr>
        <w:t>%。</w:t>
      </w:r>
      <w:bookmarkEnd w:id="35"/>
    </w:p>
    <w:p>
      <w:pPr>
        <w:ind w:firstLine="800" w:firstLineChars="250"/>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（图2：收入决算结构图）（饼状图）</w:t>
      </w:r>
    </w:p>
    <w:p>
      <w:pPr>
        <w:ind w:firstLine="525" w:firstLineChars="250"/>
        <w:rPr>
          <w:rFonts w:hint="eastAsia" w:ascii="Times New Roman" w:hAnsi="Times New Roman" w:eastAsia="黑体"/>
          <w:color w:val="auto"/>
          <w:sz w:val="32"/>
          <w:szCs w:val="32"/>
          <w:highlight w:val="none"/>
          <w:lang w:eastAsia="zh-CN"/>
        </w:rPr>
      </w:pPr>
      <w:r>
        <w:rPr>
          <w:rFonts w:hint="eastAsia"/>
          <w:lang w:val="en-US" w:eastAsia="zh-CN"/>
        </w:rPr>
        <w:t xml:space="preserve">   </w:t>
      </w:r>
      <w:r>
        <w:drawing>
          <wp:inline distT="0" distB="0" distL="114300" distR="114300">
            <wp:extent cx="4460240" cy="2077720"/>
            <wp:effectExtent l="5080" t="4445" r="11430" b="13335"/>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bookmarkStart w:id="36" w:name="_Toc15377207"/>
      <w:bookmarkStart w:id="37" w:name="_Toc15396605"/>
    </w:p>
    <w:p>
      <w:pPr>
        <w:pStyle w:val="3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22"/>
          <w:rFonts w:hint="eastAsia" w:ascii="Times New Roman" w:hAnsi="Times New Roman" w:eastAsia="黑体"/>
          <w:b w:val="0"/>
          <w:color w:val="auto"/>
          <w:highlight w:val="none"/>
        </w:rPr>
      </w:pPr>
      <w:bookmarkStart w:id="38" w:name="_Toc23846"/>
      <w:r>
        <w:rPr>
          <w:rFonts w:hint="eastAsia" w:ascii="Times New Roman" w:hAnsi="Times New Roman" w:eastAsia="黑体"/>
          <w:color w:val="auto"/>
          <w:sz w:val="32"/>
          <w:szCs w:val="32"/>
          <w:highlight w:val="none"/>
          <w:lang w:eastAsia="zh-CN"/>
        </w:rPr>
        <w:t>三、</w:t>
      </w:r>
      <w:r>
        <w:rPr>
          <w:rFonts w:hint="eastAsia" w:ascii="Times New Roman" w:hAnsi="Times New Roman" w:eastAsia="黑体"/>
          <w:color w:val="auto"/>
          <w:sz w:val="32"/>
          <w:szCs w:val="32"/>
          <w:highlight w:val="none"/>
        </w:rPr>
        <w:t>支</w:t>
      </w:r>
      <w:r>
        <w:rPr>
          <w:rStyle w:val="22"/>
          <w:rFonts w:hint="eastAsia" w:ascii="Times New Roman" w:hAnsi="Times New Roman" w:eastAsia="黑体"/>
          <w:b w:val="0"/>
          <w:color w:val="auto"/>
          <w:highlight w:val="none"/>
        </w:rPr>
        <w:t>出决算情况说明</w:t>
      </w:r>
      <w:bookmarkEnd w:id="36"/>
      <w:bookmarkEnd w:id="37"/>
      <w:bookmarkEnd w:id="38"/>
    </w:p>
    <w:p>
      <w:pPr>
        <w:pStyle w:val="3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Times New Roman" w:hAnsi="Times New Roman" w:eastAsia="仿宋_GB2312" w:cs="仿宋_GB2312"/>
          <w:color w:val="auto"/>
          <w:sz w:val="32"/>
          <w:szCs w:val="32"/>
          <w:highlight w:val="none"/>
          <w:lang w:eastAsia="zh-CN"/>
        </w:rPr>
      </w:pPr>
      <w:bookmarkStart w:id="39" w:name="_Toc22077"/>
      <w:r>
        <w:rPr>
          <w:rFonts w:hint="eastAsia" w:ascii="仿宋_GB2312" w:hAnsi="仿宋_GB2312" w:eastAsia="仿宋_GB2312" w:cs="仿宋_GB2312"/>
          <w:color w:val="auto"/>
          <w:sz w:val="32"/>
          <w:szCs w:val="32"/>
          <w:highlight w:val="none"/>
          <w:lang w:eastAsia="zh-CN"/>
        </w:rPr>
        <w:t>2024年度本年支出合计</w:t>
      </w:r>
      <w:r>
        <w:rPr>
          <w:rFonts w:hint="eastAsia" w:ascii="仿宋_GB2312" w:hAnsi="仿宋_GB2312" w:eastAsia="仿宋_GB2312" w:cs="仿宋_GB2312"/>
          <w:sz w:val="32"/>
          <w:szCs w:val="32"/>
        </w:rPr>
        <w:t>21736.54</w:t>
      </w:r>
      <w:r>
        <w:rPr>
          <w:rFonts w:hint="eastAsia" w:ascii="仿宋_GB2312" w:hAnsi="仿宋_GB2312" w:eastAsia="仿宋_GB2312" w:cs="仿宋_GB2312"/>
          <w:color w:val="auto"/>
          <w:sz w:val="32"/>
          <w:szCs w:val="32"/>
          <w:highlight w:val="none"/>
          <w:lang w:eastAsia="zh-CN"/>
        </w:rPr>
        <w:t>万元，其中：基本支出</w:t>
      </w:r>
      <w:r>
        <w:rPr>
          <w:rFonts w:hint="eastAsia" w:ascii="仿宋_GB2312" w:hAnsi="仿宋_GB2312" w:eastAsia="仿宋_GB2312" w:cs="仿宋_GB2312"/>
          <w:sz w:val="32"/>
          <w:szCs w:val="32"/>
        </w:rPr>
        <w:t>13486.39</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62</w:t>
      </w:r>
      <w:r>
        <w:rPr>
          <w:rFonts w:hint="eastAsia" w:ascii="仿宋_GB2312" w:hAnsi="仿宋_GB2312" w:eastAsia="仿宋_GB2312" w:cs="仿宋_GB2312"/>
          <w:color w:val="auto"/>
          <w:sz w:val="32"/>
          <w:szCs w:val="32"/>
          <w:highlight w:val="none"/>
          <w:lang w:eastAsia="zh-CN"/>
        </w:rPr>
        <w:t>%；项目支出</w:t>
      </w:r>
      <w:r>
        <w:rPr>
          <w:rFonts w:hint="eastAsia" w:ascii="仿宋_GB2312" w:hAnsi="仿宋_GB2312" w:eastAsia="仿宋_GB2312" w:cs="仿宋_GB2312"/>
          <w:sz w:val="32"/>
          <w:szCs w:val="32"/>
        </w:rPr>
        <w:t>8250.15</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color w:val="auto"/>
          <w:sz w:val="32"/>
          <w:szCs w:val="32"/>
          <w:highlight w:val="none"/>
          <w:lang w:eastAsia="zh-CN"/>
        </w:rPr>
        <w:t>%。</w:t>
      </w:r>
      <w:bookmarkEnd w:id="39"/>
    </w:p>
    <w:p>
      <w:pPr>
        <w:ind w:firstLine="800" w:firstLineChars="250"/>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（图3：支出决算结构图）（饼状图）</w:t>
      </w:r>
    </w:p>
    <w:p>
      <w:pPr>
        <w:ind w:firstLine="525" w:firstLineChars="250"/>
        <w:rPr>
          <w:rFonts w:hint="eastAsia" w:ascii="Times New Roman" w:hAnsi="Times New Roman" w:eastAsia="黑体"/>
          <w:color w:val="auto"/>
          <w:sz w:val="32"/>
          <w:szCs w:val="32"/>
          <w:highlight w:val="none"/>
        </w:rPr>
      </w:pPr>
      <w:r>
        <w:rPr>
          <w:rFonts w:hint="eastAsia"/>
          <w:lang w:val="en-US" w:eastAsia="zh-CN"/>
        </w:rPr>
        <w:t xml:space="preserve">   </w:t>
      </w:r>
      <w:r>
        <w:drawing>
          <wp:inline distT="0" distB="0" distL="114300" distR="114300">
            <wp:extent cx="4462145" cy="2200275"/>
            <wp:effectExtent l="4445" t="4445" r="10160" b="5080"/>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bookmarkStart w:id="40" w:name="_Toc15377208"/>
      <w:bookmarkStart w:id="41" w:name="_Toc15396606"/>
    </w:p>
    <w:p>
      <w:pPr>
        <w:spacing w:line="600" w:lineRule="exact"/>
        <w:ind w:firstLine="640" w:firstLineChars="200"/>
        <w:outlineLvl w:val="1"/>
        <w:rPr>
          <w:rStyle w:val="22"/>
          <w:rFonts w:ascii="Times New Roman" w:hAnsi="Times New Roman" w:eastAsia="黑体"/>
          <w:b w:val="0"/>
          <w:color w:val="auto"/>
          <w:highlight w:val="none"/>
        </w:rPr>
      </w:pPr>
      <w:bookmarkStart w:id="42" w:name="_Toc30886"/>
      <w:r>
        <w:rPr>
          <w:rFonts w:hint="eastAsia" w:ascii="Times New Roman" w:hAnsi="Times New Roman" w:eastAsia="黑体"/>
          <w:color w:val="auto"/>
          <w:sz w:val="32"/>
          <w:szCs w:val="32"/>
          <w:highlight w:val="none"/>
        </w:rPr>
        <w:t>四、财</w:t>
      </w:r>
      <w:r>
        <w:rPr>
          <w:rStyle w:val="22"/>
          <w:rFonts w:hint="eastAsia" w:ascii="Times New Roman" w:hAnsi="Times New Roman" w:eastAsia="黑体"/>
          <w:b w:val="0"/>
          <w:color w:val="auto"/>
          <w:highlight w:val="none"/>
        </w:rPr>
        <w:t>政拨款收入支出决算总体情况说明</w:t>
      </w:r>
      <w:bookmarkEnd w:id="40"/>
      <w:bookmarkEnd w:id="41"/>
      <w:bookmarkEnd w:id="42"/>
    </w:p>
    <w:p>
      <w:pPr>
        <w:spacing w:line="600" w:lineRule="exact"/>
        <w:ind w:firstLine="640"/>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2024年度财政拨款收入、支出总计均为13419.04万元。与2023年度相比，财政拨款收入总计、支出总计各减少3053.91万元，下降18.5%。主要变动原因是2024年较2023年减少财政专项债券3000万元。</w:t>
      </w:r>
    </w:p>
    <w:p>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（图4：财政拨款收、支决算总计变动情况）（柱状图）</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drawing>
          <wp:anchor distT="0" distB="0" distL="114300" distR="114300" simplePos="0" relativeHeight="251659264" behindDoc="0" locked="0" layoutInCell="1" allowOverlap="1">
            <wp:simplePos x="0" y="0"/>
            <wp:positionH relativeFrom="column">
              <wp:posOffset>625475</wp:posOffset>
            </wp:positionH>
            <wp:positionV relativeFrom="paragraph">
              <wp:posOffset>161290</wp:posOffset>
            </wp:positionV>
            <wp:extent cx="4276090" cy="1969770"/>
            <wp:effectExtent l="5080" t="5080" r="5080" b="6350"/>
            <wp:wrapSquare wrapText="bothSides"/>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p>
    <w:p>
      <w:pPr>
        <w:spacing w:line="600" w:lineRule="exact"/>
        <w:ind w:firstLine="640" w:firstLineChars="200"/>
        <w:outlineLvl w:val="9"/>
        <w:rPr>
          <w:rFonts w:hint="eastAsia" w:ascii="Times New Roman" w:hAnsi="Times New Roman" w:eastAsia="黑体"/>
          <w:color w:val="auto"/>
          <w:sz w:val="32"/>
          <w:szCs w:val="32"/>
          <w:highlight w:val="none"/>
        </w:rPr>
      </w:pPr>
      <w:bookmarkStart w:id="43" w:name="_Toc15377209"/>
      <w:bookmarkStart w:id="44" w:name="_Toc15396607"/>
    </w:p>
    <w:p>
      <w:pPr>
        <w:spacing w:line="600" w:lineRule="exact"/>
        <w:ind w:firstLine="640" w:firstLineChars="200"/>
        <w:outlineLvl w:val="9"/>
        <w:rPr>
          <w:rFonts w:hint="eastAsia" w:ascii="Times New Roman" w:hAnsi="Times New Roman" w:eastAsia="黑体"/>
          <w:color w:val="auto"/>
          <w:sz w:val="32"/>
          <w:szCs w:val="32"/>
          <w:highlight w:val="none"/>
        </w:rPr>
      </w:pPr>
    </w:p>
    <w:p>
      <w:pPr>
        <w:spacing w:line="600" w:lineRule="exact"/>
        <w:ind w:firstLine="640" w:firstLineChars="200"/>
        <w:outlineLvl w:val="9"/>
        <w:rPr>
          <w:rFonts w:hint="eastAsia" w:ascii="Times New Roman" w:hAnsi="Times New Roman" w:eastAsia="黑体"/>
          <w:color w:val="auto"/>
          <w:sz w:val="32"/>
          <w:szCs w:val="32"/>
          <w:highlight w:val="none"/>
        </w:rPr>
      </w:pPr>
    </w:p>
    <w:p>
      <w:pPr>
        <w:spacing w:line="600" w:lineRule="exact"/>
        <w:ind w:firstLine="640" w:firstLineChars="200"/>
        <w:outlineLvl w:val="9"/>
        <w:rPr>
          <w:rFonts w:hint="eastAsia" w:ascii="Times New Roman" w:hAnsi="Times New Roman" w:eastAsia="黑体"/>
          <w:color w:val="auto"/>
          <w:sz w:val="32"/>
          <w:szCs w:val="32"/>
          <w:highlight w:val="none"/>
        </w:rPr>
      </w:pPr>
    </w:p>
    <w:p>
      <w:pPr>
        <w:spacing w:line="600" w:lineRule="exact"/>
        <w:outlineLvl w:val="9"/>
        <w:rPr>
          <w:rFonts w:hint="eastAsia" w:ascii="Times New Roman" w:hAnsi="Times New Roman" w:eastAsia="黑体"/>
          <w:color w:val="auto"/>
          <w:sz w:val="32"/>
          <w:szCs w:val="32"/>
          <w:highlight w:val="none"/>
        </w:rPr>
      </w:pPr>
    </w:p>
    <w:p>
      <w:pPr>
        <w:spacing w:line="600" w:lineRule="exact"/>
        <w:ind w:firstLine="640" w:firstLineChars="200"/>
        <w:outlineLvl w:val="1"/>
        <w:rPr>
          <w:rStyle w:val="22"/>
          <w:rFonts w:ascii="Times New Roman" w:hAnsi="Times New Roman" w:eastAsia="黑体"/>
          <w:b w:val="0"/>
          <w:color w:val="auto"/>
          <w:highlight w:val="none"/>
        </w:rPr>
      </w:pPr>
      <w:bookmarkStart w:id="45" w:name="_Toc15635"/>
      <w:r>
        <w:rPr>
          <w:rFonts w:hint="eastAsia" w:ascii="Times New Roman" w:hAnsi="Times New Roman" w:eastAsia="黑体"/>
          <w:color w:val="auto"/>
          <w:sz w:val="32"/>
          <w:szCs w:val="32"/>
          <w:highlight w:val="none"/>
        </w:rPr>
        <w:t>五、</w:t>
      </w:r>
      <w:r>
        <w:rPr>
          <w:rFonts w:hint="eastAsia" w:ascii="Times New Roman" w:hAnsi="Times New Roman" w:eastAsia="黑体"/>
          <w:b/>
          <w:color w:val="auto"/>
          <w:sz w:val="32"/>
          <w:szCs w:val="32"/>
          <w:highlight w:val="none"/>
        </w:rPr>
        <w:t>一</w:t>
      </w:r>
      <w:r>
        <w:rPr>
          <w:rStyle w:val="22"/>
          <w:rFonts w:hint="eastAsia" w:ascii="Times New Roman" w:hAnsi="Times New Roman" w:eastAsia="黑体"/>
          <w:b w:val="0"/>
          <w:color w:val="auto"/>
          <w:highlight w:val="none"/>
        </w:rPr>
        <w:t>般公共预算财政拨款支出决算情况说明</w:t>
      </w:r>
      <w:bookmarkEnd w:id="43"/>
      <w:bookmarkEnd w:id="44"/>
      <w:bookmarkEnd w:id="45"/>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46" w:name="_Toc15377210"/>
      <w:r>
        <w:rPr>
          <w:rFonts w:hint="eastAsia" w:ascii="Times New Roman" w:hAnsi="Times New Roman" w:eastAsia="楷体_GB2312" w:cs="楷体_GB2312"/>
          <w:b/>
          <w:color w:val="auto"/>
          <w:sz w:val="32"/>
          <w:szCs w:val="32"/>
          <w:highlight w:val="none"/>
        </w:rPr>
        <w:t>（一）一般公共预算财政拨款支出决算总体情况</w:t>
      </w:r>
      <w:bookmarkEnd w:id="46"/>
    </w:p>
    <w:p>
      <w:pPr>
        <w:spacing w:line="600" w:lineRule="exact"/>
        <w:ind w:firstLine="640"/>
        <w:rPr>
          <w:rFonts w:hint="eastAsia" w:ascii="仿宋" w:hAnsi="仿宋" w:eastAsia="仿宋"/>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2024年度一般公共预算财政拨款支出</w:t>
      </w:r>
      <w:r>
        <w:rPr>
          <w:rFonts w:hint="eastAsia" w:ascii="仿宋_GB2312" w:hAnsi="仿宋_GB2312" w:eastAsia="仿宋_GB2312" w:cs="仿宋_GB2312"/>
          <w:sz w:val="32"/>
          <w:szCs w:val="32"/>
        </w:rPr>
        <w:t>13387.54</w:t>
      </w:r>
      <w:r>
        <w:rPr>
          <w:rFonts w:hint="eastAsia" w:ascii="仿宋_GB2312" w:hAnsi="仿宋_GB2312" w:eastAsia="仿宋_GB2312" w:cs="仿宋_GB2312"/>
          <w:color w:val="auto"/>
          <w:kern w:val="2"/>
          <w:sz w:val="32"/>
          <w:szCs w:val="32"/>
          <w:highlight w:val="none"/>
          <w:lang w:val="en-US" w:eastAsia="zh-CN" w:bidi="ar-SA"/>
        </w:rPr>
        <w:t>万元，占本年支出合计的</w:t>
      </w:r>
      <w:r>
        <w:rPr>
          <w:rFonts w:hint="eastAsia" w:ascii="仿宋_GB2312" w:hAnsi="仿宋_GB2312" w:eastAsia="仿宋_GB2312" w:cs="仿宋_GB2312"/>
          <w:sz w:val="32"/>
          <w:szCs w:val="32"/>
        </w:rPr>
        <w:t>61.</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color w:val="auto"/>
          <w:kern w:val="2"/>
          <w:sz w:val="32"/>
          <w:szCs w:val="32"/>
          <w:highlight w:val="none"/>
          <w:lang w:val="en-US" w:eastAsia="zh-CN" w:bidi="ar-SA"/>
        </w:rPr>
        <w:t>%。与2023年度相比，一般公共预算财政拨款支出减少23.01万元，下降0.2%。</w:t>
      </w:r>
      <w:r>
        <w:rPr>
          <w:rFonts w:hint="eastAsia" w:ascii="仿宋" w:hAnsi="仿宋" w:eastAsia="仿宋"/>
          <w:color w:val="auto"/>
          <w:sz w:val="32"/>
          <w:szCs w:val="32"/>
          <w:highlight w:val="none"/>
          <w:lang w:val="en-US" w:eastAsia="zh-CN"/>
        </w:rPr>
        <w:t>2024年度相比2023年度下降幅度偏小，学校一般公共预算财政拨款支出保持在相对稳定水平。</w:t>
      </w:r>
    </w:p>
    <w:p>
      <w:pPr>
        <w:spacing w:line="600" w:lineRule="exact"/>
        <w:ind w:firstLine="640"/>
        <w:rPr>
          <w:rFonts w:hint="eastAsia"/>
          <w:lang w:val="en-US" w:eastAsia="zh-CN"/>
        </w:rPr>
      </w:pPr>
      <w:r>
        <w:rPr>
          <w:rFonts w:hint="eastAsia" w:ascii="Times New Roman" w:hAnsi="Times New Roman" w:eastAsia="仿宋_GB2312" w:cs="仿宋_GB2312"/>
          <w:color w:val="auto"/>
          <w:kern w:val="2"/>
          <w:sz w:val="32"/>
          <w:szCs w:val="32"/>
          <w:highlight w:val="none"/>
          <w:lang w:val="en-US" w:eastAsia="zh-CN" w:bidi="ar-SA"/>
        </w:rPr>
        <w:t>（图5：一般公共预算财政拨款支出决算变动情况）（柱状图）</w:t>
      </w:r>
      <w:r>
        <w:drawing>
          <wp:anchor distT="0" distB="0" distL="114300" distR="114300" simplePos="0" relativeHeight="251660288" behindDoc="0" locked="0" layoutInCell="1" allowOverlap="1">
            <wp:simplePos x="0" y="0"/>
            <wp:positionH relativeFrom="column">
              <wp:posOffset>434340</wp:posOffset>
            </wp:positionH>
            <wp:positionV relativeFrom="paragraph">
              <wp:posOffset>202565</wp:posOffset>
            </wp:positionV>
            <wp:extent cx="4542790" cy="2159000"/>
            <wp:effectExtent l="4445" t="4445" r="5715" b="8255"/>
            <wp:wrapTopAndBottom/>
            <wp:docPr id="7"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47" w:name="_Toc15377211"/>
      <w:r>
        <w:rPr>
          <w:rFonts w:hint="eastAsia" w:ascii="Times New Roman" w:hAnsi="Times New Roman" w:eastAsia="楷体_GB2312" w:cs="楷体_GB2312"/>
          <w:b/>
          <w:color w:val="auto"/>
          <w:sz w:val="32"/>
          <w:szCs w:val="32"/>
          <w:highlight w:val="none"/>
        </w:rPr>
        <w:t>（二）一般公共预算财政拨款支出决算结构情况</w:t>
      </w:r>
      <w:bookmarkEnd w:id="47"/>
    </w:p>
    <w:p>
      <w:pPr>
        <w:spacing w:line="600" w:lineRule="exact"/>
        <w:ind w:firstLine="640"/>
        <w:rPr>
          <w:rFonts w:hint="eastAsia" w:ascii="仿宋" w:hAnsi="仿宋" w:eastAsia="仿宋"/>
          <w:color w:val="auto"/>
          <w:sz w:val="32"/>
          <w:szCs w:val="32"/>
          <w:highlight w:val="none"/>
          <w:lang w:eastAsia="zh-CN"/>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2024年度一般公共预算财政拨款支出</w:t>
      </w:r>
      <w:r>
        <w:rPr>
          <w:rFonts w:hint="eastAsia" w:ascii="仿宋_GB2312" w:hAnsi="仿宋_GB2312" w:eastAsia="仿宋_GB2312" w:cs="仿宋_GB2312"/>
          <w:sz w:val="32"/>
          <w:szCs w:val="32"/>
        </w:rPr>
        <w:t>13387.54</w:t>
      </w:r>
      <w:r>
        <w:rPr>
          <w:rFonts w:hint="eastAsia" w:ascii="仿宋_GB2312" w:hAnsi="仿宋_GB2312" w:eastAsia="仿宋_GB2312" w:cs="仿宋_GB2312"/>
          <w:color w:val="auto"/>
          <w:kern w:val="2"/>
          <w:sz w:val="32"/>
          <w:szCs w:val="32"/>
          <w:highlight w:val="none"/>
          <w:lang w:val="en-US" w:eastAsia="zh-CN" w:bidi="ar-SA"/>
        </w:rPr>
        <w:t>万元</w:t>
      </w:r>
      <w:r>
        <w:rPr>
          <w:rFonts w:hint="eastAsia" w:ascii="Times New Roman" w:hAnsi="Times New Roman" w:eastAsia="仿宋_GB2312" w:cs="仿宋_GB2312"/>
          <w:color w:val="auto"/>
          <w:kern w:val="2"/>
          <w:sz w:val="32"/>
          <w:szCs w:val="32"/>
          <w:highlight w:val="none"/>
          <w:lang w:val="en-US" w:eastAsia="zh-CN" w:bidi="ar-SA"/>
        </w:rPr>
        <w:t>，主要用于以下方面</w:t>
      </w:r>
      <w:r>
        <w:rPr>
          <w:rFonts w:hint="eastAsia" w:eastAsia="仿宋_GB2312" w:cs="仿宋_GB2312"/>
          <w:color w:val="auto"/>
          <w:kern w:val="2"/>
          <w:sz w:val="32"/>
          <w:szCs w:val="32"/>
          <w:highlight w:val="none"/>
          <w:lang w:val="en-US" w:eastAsia="zh-CN" w:bidi="ar-SA"/>
        </w:rPr>
        <w:t>：</w:t>
      </w:r>
      <w:r>
        <w:rPr>
          <w:rFonts w:hint="eastAsia" w:ascii="仿宋" w:hAnsi="仿宋" w:eastAsia="仿宋"/>
          <w:b/>
          <w:color w:val="auto"/>
          <w:sz w:val="32"/>
          <w:szCs w:val="32"/>
          <w:highlight w:val="none"/>
        </w:rPr>
        <w:t>教育支出</w:t>
      </w:r>
      <w:r>
        <w:rPr>
          <w:rFonts w:hint="eastAsia" w:ascii="仿宋_GB2312" w:hAnsi="仿宋_GB2312" w:eastAsia="仿宋_GB2312"/>
          <w:color w:val="auto"/>
          <w:sz w:val="32"/>
          <w:szCs w:val="24"/>
          <w:highlight w:val="none"/>
          <w:lang w:val="en-US" w:eastAsia="zh-CN"/>
        </w:rPr>
        <w:t>11368.78</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84.9</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r>
        <w:rPr>
          <w:rFonts w:hint="eastAsia" w:ascii="仿宋" w:hAnsi="仿宋" w:eastAsia="仿宋" w:cs="Times New Roman"/>
          <w:b/>
          <w:color w:val="auto"/>
          <w:sz w:val="32"/>
          <w:szCs w:val="32"/>
          <w:highlight w:val="none"/>
        </w:rPr>
        <w:t>文化旅游体育与传媒支出</w:t>
      </w:r>
      <w:r>
        <w:rPr>
          <w:rFonts w:hint="eastAsia" w:ascii="仿宋_GB2312" w:hAnsi="仿宋_GB2312" w:eastAsia="仿宋_GB2312" w:cs="Times New Roman"/>
          <w:color w:val="auto"/>
          <w:sz w:val="32"/>
          <w:szCs w:val="24"/>
          <w:highlight w:val="none"/>
          <w:lang w:val="en-US" w:eastAsia="zh-CN"/>
        </w:rPr>
        <w:t>20</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ascii="仿宋_GB2312" w:hAnsi="仿宋_GB2312" w:eastAsia="仿宋_GB2312" w:cs="Times New Roman"/>
          <w:color w:val="auto"/>
          <w:sz w:val="32"/>
          <w:szCs w:val="24"/>
          <w:highlight w:val="none"/>
          <w:lang w:val="en-US" w:eastAsia="zh-CN"/>
        </w:rPr>
        <w:t>0.1%；</w:t>
      </w:r>
      <w:r>
        <w:rPr>
          <w:rFonts w:hint="eastAsia" w:ascii="仿宋" w:hAnsi="仿宋" w:eastAsia="仿宋"/>
          <w:b/>
          <w:color w:val="auto"/>
          <w:sz w:val="32"/>
          <w:szCs w:val="32"/>
          <w:highlight w:val="none"/>
        </w:rPr>
        <w:t>社会保障和就业</w:t>
      </w:r>
      <w:r>
        <w:rPr>
          <w:rFonts w:hint="eastAsia" w:ascii="仿宋" w:hAnsi="仿宋" w:eastAsia="仿宋"/>
          <w:b/>
          <w:bCs/>
          <w:color w:val="auto"/>
          <w:sz w:val="32"/>
          <w:szCs w:val="32"/>
          <w:highlight w:val="none"/>
        </w:rPr>
        <w:t>支出</w:t>
      </w:r>
      <w:r>
        <w:rPr>
          <w:rFonts w:hint="eastAsia" w:ascii="仿宋_GB2312" w:hAnsi="仿宋_GB2312" w:eastAsia="仿宋_GB2312"/>
          <w:color w:val="auto"/>
          <w:sz w:val="32"/>
          <w:szCs w:val="24"/>
          <w:highlight w:val="none"/>
          <w:lang w:val="en-US" w:eastAsia="zh-CN"/>
        </w:rPr>
        <w:t>1003.55</w:t>
      </w:r>
      <w:r>
        <w:rPr>
          <w:rFonts w:hint="eastAsia" w:ascii="仿宋" w:hAnsi="仿宋" w:eastAsia="仿宋"/>
          <w:color w:val="auto"/>
          <w:sz w:val="32"/>
          <w:szCs w:val="32"/>
          <w:highlight w:val="none"/>
        </w:rPr>
        <w:t>万元，占</w:t>
      </w:r>
      <w:r>
        <w:rPr>
          <w:rFonts w:hint="eastAsia" w:ascii="仿宋_GB2312" w:hAnsi="仿宋_GB2312" w:eastAsia="仿宋_GB2312"/>
          <w:color w:val="auto"/>
          <w:sz w:val="32"/>
          <w:szCs w:val="24"/>
          <w:highlight w:val="none"/>
          <w:lang w:val="en-US" w:eastAsia="zh-CN"/>
        </w:rPr>
        <w:t>7.5</w:t>
      </w:r>
      <w:r>
        <w:rPr>
          <w:rFonts w:hint="eastAsia" w:ascii="仿宋_GB2312" w:hAnsi="仿宋_GB2312" w:eastAsia="仿宋_GB2312"/>
          <w:color w:val="auto"/>
          <w:sz w:val="32"/>
          <w:szCs w:val="24"/>
          <w:highlight w:val="none"/>
          <w:lang w:val="zh-CN"/>
        </w:rPr>
        <w:t>%；</w:t>
      </w:r>
      <w:r>
        <w:rPr>
          <w:rFonts w:hint="eastAsia" w:ascii="仿宋" w:hAnsi="仿宋" w:eastAsia="仿宋"/>
          <w:b/>
          <w:bCs/>
          <w:color w:val="auto"/>
          <w:sz w:val="32"/>
          <w:szCs w:val="32"/>
          <w:highlight w:val="none"/>
        </w:rPr>
        <w:t>卫生健康支出</w:t>
      </w:r>
      <w:r>
        <w:rPr>
          <w:rFonts w:hint="eastAsia" w:ascii="仿宋_GB2312" w:hAnsi="仿宋_GB2312" w:eastAsia="仿宋_GB2312"/>
          <w:color w:val="auto"/>
          <w:sz w:val="32"/>
          <w:szCs w:val="24"/>
          <w:highlight w:val="none"/>
          <w:lang w:val="en-US" w:eastAsia="zh-CN"/>
        </w:rPr>
        <w:t>249.16</w:t>
      </w:r>
      <w:r>
        <w:rPr>
          <w:rFonts w:hint="eastAsia" w:ascii="仿宋" w:hAnsi="仿宋" w:eastAsia="仿宋"/>
          <w:color w:val="auto"/>
          <w:sz w:val="32"/>
          <w:szCs w:val="32"/>
          <w:highlight w:val="none"/>
        </w:rPr>
        <w:t>万元，占</w:t>
      </w:r>
      <w:r>
        <w:rPr>
          <w:rFonts w:hint="eastAsia" w:ascii="仿宋_GB2312" w:hAnsi="仿宋_GB2312" w:eastAsia="仿宋_GB2312"/>
          <w:color w:val="auto"/>
          <w:sz w:val="32"/>
          <w:szCs w:val="24"/>
          <w:highlight w:val="none"/>
          <w:lang w:val="zh-CN"/>
        </w:rPr>
        <w:t>1.</w:t>
      </w:r>
      <w:r>
        <w:rPr>
          <w:rFonts w:hint="eastAsia" w:ascii="仿宋_GB2312" w:hAnsi="仿宋_GB2312" w:eastAsia="仿宋_GB2312"/>
          <w:color w:val="auto"/>
          <w:sz w:val="32"/>
          <w:szCs w:val="24"/>
          <w:highlight w:val="none"/>
          <w:lang w:val="en-US" w:eastAsia="zh-CN"/>
        </w:rPr>
        <w:t>9</w:t>
      </w:r>
      <w:r>
        <w:rPr>
          <w:rFonts w:hint="eastAsia" w:ascii="仿宋_GB2312" w:hAnsi="仿宋_GB2312" w:eastAsia="仿宋_GB2312"/>
          <w:color w:val="auto"/>
          <w:sz w:val="32"/>
          <w:szCs w:val="24"/>
          <w:highlight w:val="none"/>
          <w:lang w:val="zh-CN"/>
        </w:rPr>
        <w:t>%；</w:t>
      </w:r>
      <w:r>
        <w:rPr>
          <w:rFonts w:hint="eastAsia" w:ascii="仿宋" w:hAnsi="仿宋" w:eastAsia="仿宋"/>
          <w:b/>
          <w:bCs/>
          <w:color w:val="auto"/>
          <w:sz w:val="32"/>
          <w:szCs w:val="32"/>
          <w:highlight w:val="none"/>
        </w:rPr>
        <w:t>住房保障支出</w:t>
      </w:r>
      <w:r>
        <w:rPr>
          <w:rFonts w:hint="eastAsia" w:ascii="仿宋_GB2312" w:hAnsi="仿宋_GB2312" w:eastAsia="仿宋_GB2312" w:cs="Times New Roman"/>
          <w:color w:val="auto"/>
          <w:sz w:val="32"/>
          <w:szCs w:val="24"/>
          <w:highlight w:val="none"/>
          <w:lang w:val="en-US" w:eastAsia="zh-CN"/>
        </w:rPr>
        <w:t>746.05</w:t>
      </w:r>
      <w:r>
        <w:rPr>
          <w:rFonts w:hint="eastAsia" w:ascii="仿宋_GB2312" w:hAnsi="仿宋_GB2312" w:eastAsia="仿宋_GB2312"/>
          <w:color w:val="auto"/>
          <w:sz w:val="32"/>
          <w:szCs w:val="24"/>
          <w:highlight w:val="none"/>
          <w:lang w:val="zh-CN"/>
        </w:rPr>
        <w:t>万元</w:t>
      </w:r>
      <w:r>
        <w:rPr>
          <w:rFonts w:hint="eastAsia" w:ascii="仿宋" w:hAnsi="仿宋" w:eastAsia="仿宋"/>
          <w:color w:val="auto"/>
          <w:sz w:val="32"/>
          <w:szCs w:val="32"/>
          <w:highlight w:val="none"/>
        </w:rPr>
        <w:t>，占</w:t>
      </w:r>
      <w:r>
        <w:rPr>
          <w:rFonts w:hint="eastAsia" w:ascii="仿宋" w:hAnsi="仿宋" w:eastAsia="仿宋"/>
          <w:color w:val="auto"/>
          <w:sz w:val="32"/>
          <w:szCs w:val="32"/>
          <w:highlight w:val="none"/>
          <w:lang w:val="en-US" w:eastAsia="zh-CN"/>
        </w:rPr>
        <w:t>5.6</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（图6：一般公共预算财政拨款支出决算结构）（饼状图）</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drawing>
          <wp:anchor distT="0" distB="0" distL="114300" distR="114300" simplePos="0" relativeHeight="251661312" behindDoc="0" locked="0" layoutInCell="1" allowOverlap="1">
            <wp:simplePos x="0" y="0"/>
            <wp:positionH relativeFrom="column">
              <wp:posOffset>426720</wp:posOffset>
            </wp:positionH>
            <wp:positionV relativeFrom="paragraph">
              <wp:posOffset>259080</wp:posOffset>
            </wp:positionV>
            <wp:extent cx="4496435" cy="2095500"/>
            <wp:effectExtent l="4445" t="4445" r="13970" b="14605"/>
            <wp:wrapSquare wrapText="bothSides"/>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p>
    <w:p>
      <w:pPr>
        <w:spacing w:line="600" w:lineRule="exact"/>
        <w:ind w:firstLine="642" w:firstLineChars="200"/>
        <w:outlineLvl w:val="9"/>
        <w:rPr>
          <w:rFonts w:hint="eastAsia" w:ascii="Times New Roman" w:hAnsi="Times New Roman" w:eastAsia="楷体_GB2312" w:cs="楷体_GB2312"/>
          <w:b/>
          <w:color w:val="auto"/>
          <w:sz w:val="32"/>
          <w:szCs w:val="32"/>
          <w:highlight w:val="none"/>
        </w:rPr>
      </w:pPr>
      <w:bookmarkStart w:id="48" w:name="_Toc15377212"/>
    </w:p>
    <w:p>
      <w:pPr>
        <w:spacing w:line="600" w:lineRule="exact"/>
        <w:ind w:firstLine="642" w:firstLineChars="200"/>
        <w:outlineLvl w:val="9"/>
        <w:rPr>
          <w:rFonts w:hint="eastAsia" w:ascii="Times New Roman" w:hAnsi="Times New Roman" w:eastAsia="楷体_GB2312" w:cs="楷体_GB2312"/>
          <w:b/>
          <w:color w:val="auto"/>
          <w:sz w:val="32"/>
          <w:szCs w:val="32"/>
          <w:highlight w:val="none"/>
        </w:rPr>
      </w:pPr>
    </w:p>
    <w:p>
      <w:pPr>
        <w:spacing w:line="600" w:lineRule="exact"/>
        <w:ind w:firstLine="642" w:firstLineChars="200"/>
        <w:outlineLvl w:val="9"/>
        <w:rPr>
          <w:rFonts w:hint="eastAsia" w:ascii="Times New Roman" w:hAnsi="Times New Roman" w:eastAsia="楷体_GB2312" w:cs="楷体_GB2312"/>
          <w:b/>
          <w:color w:val="auto"/>
          <w:sz w:val="32"/>
          <w:szCs w:val="32"/>
          <w:highlight w:val="none"/>
        </w:rPr>
      </w:pPr>
    </w:p>
    <w:p>
      <w:pPr>
        <w:spacing w:line="600" w:lineRule="exact"/>
        <w:ind w:firstLine="642" w:firstLineChars="200"/>
        <w:outlineLvl w:val="9"/>
        <w:rPr>
          <w:rFonts w:hint="eastAsia" w:ascii="Times New Roman" w:hAnsi="Times New Roman" w:eastAsia="楷体_GB2312" w:cs="楷体_GB2312"/>
          <w:b/>
          <w:color w:val="auto"/>
          <w:sz w:val="32"/>
          <w:szCs w:val="32"/>
          <w:highlight w:val="none"/>
        </w:rPr>
      </w:pPr>
    </w:p>
    <w:p>
      <w:pPr>
        <w:spacing w:line="600" w:lineRule="exact"/>
        <w:ind w:firstLine="642" w:firstLineChars="200"/>
        <w:outlineLvl w:val="9"/>
        <w:rPr>
          <w:rFonts w:hint="eastAsia" w:ascii="Times New Roman" w:hAnsi="Times New Roman" w:eastAsia="楷体_GB2312" w:cs="楷体_GB2312"/>
          <w:b/>
          <w:color w:val="auto"/>
          <w:sz w:val="32"/>
          <w:szCs w:val="32"/>
          <w:highlight w:val="none"/>
        </w:rPr>
      </w:pPr>
    </w:p>
    <w:p>
      <w:pPr>
        <w:spacing w:line="600" w:lineRule="exact"/>
        <w:outlineLvl w:val="9"/>
        <w:rPr>
          <w:rFonts w:hint="eastAsia" w:ascii="Times New Roman" w:hAnsi="Times New Roman" w:eastAsia="楷体_GB2312" w:cs="楷体_GB2312"/>
          <w:b/>
          <w:color w:val="auto"/>
          <w:sz w:val="32"/>
          <w:szCs w:val="32"/>
          <w:highlight w:val="none"/>
        </w:rPr>
      </w:pP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r>
        <w:rPr>
          <w:rFonts w:hint="eastAsia" w:ascii="Times New Roman" w:hAnsi="Times New Roman" w:eastAsia="楷体_GB2312" w:cs="楷体_GB2312"/>
          <w:b/>
          <w:color w:val="auto"/>
          <w:sz w:val="32"/>
          <w:szCs w:val="32"/>
          <w:highlight w:val="none"/>
        </w:rPr>
        <w:t>（三）一般公共预算财政拨款支出决算具体情况</w:t>
      </w:r>
      <w:bookmarkEnd w:id="48"/>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bookmarkStart w:id="49" w:name="_Toc15377444"/>
      <w:bookmarkStart w:id="50" w:name="_Toc15378460"/>
      <w:bookmarkStart w:id="51" w:name="_Toc15377213"/>
      <w:r>
        <w:rPr>
          <w:rFonts w:hint="eastAsia" w:ascii="Times New Roman" w:hAnsi="Times New Roman" w:eastAsia="仿宋_GB2312" w:cs="仿宋_GB2312"/>
          <w:color w:val="auto"/>
          <w:kern w:val="2"/>
          <w:sz w:val="32"/>
          <w:szCs w:val="32"/>
          <w:highlight w:val="none"/>
          <w:lang w:val="en-US" w:eastAsia="zh-CN" w:bidi="ar-SA"/>
        </w:rPr>
        <w:t>2024年度一般公共预算财政拨款支出决算数为</w:t>
      </w:r>
      <w:r>
        <w:rPr>
          <w:rFonts w:hint="eastAsia" w:ascii="仿宋_GB2312" w:hAnsi="仿宋_GB2312" w:eastAsia="仿宋_GB2312" w:cs="仿宋_GB2312"/>
          <w:sz w:val="32"/>
          <w:szCs w:val="32"/>
        </w:rPr>
        <w:t>13387.54</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完成预算</w:t>
      </w:r>
      <w:r>
        <w:rPr>
          <w:rFonts w:hint="eastAsia" w:eastAsia="仿宋_GB2312" w:cs="仿宋_GB2312"/>
          <w:color w:val="auto"/>
          <w:kern w:val="2"/>
          <w:sz w:val="32"/>
          <w:szCs w:val="32"/>
          <w:highlight w:val="none"/>
          <w:lang w:val="en-US" w:eastAsia="zh-CN" w:bidi="ar-SA"/>
        </w:rPr>
        <w:t>99.8</w:t>
      </w:r>
      <w:r>
        <w:rPr>
          <w:rFonts w:hint="eastAsia" w:ascii="Times New Roman" w:hAnsi="Times New Roman" w:eastAsia="仿宋_GB2312" w:cs="仿宋_GB2312"/>
          <w:color w:val="auto"/>
          <w:kern w:val="2"/>
          <w:sz w:val="32"/>
          <w:szCs w:val="32"/>
          <w:highlight w:val="none"/>
          <w:lang w:val="en-US" w:eastAsia="zh-CN" w:bidi="ar-SA"/>
        </w:rPr>
        <w:t>%。其中：</w:t>
      </w:r>
      <w:bookmarkEnd w:id="49"/>
      <w:bookmarkEnd w:id="50"/>
      <w:bookmarkEnd w:id="51"/>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textAlignment w:val="auto"/>
        <w:rPr>
          <w:rStyle w:val="19"/>
          <w:rFonts w:hint="eastAsia" w:ascii="仿宋_GB2312" w:hAnsi="仿宋_GB2312" w:eastAsia="仿宋_GB2312" w:cs="仿宋_GB2312"/>
          <w:b w:val="0"/>
          <w:bCs/>
          <w:color w:val="auto"/>
          <w:sz w:val="32"/>
          <w:szCs w:val="32"/>
          <w:highlight w:val="none"/>
          <w:lang w:eastAsia="zh-CN"/>
        </w:rPr>
      </w:pPr>
      <w:r>
        <w:rPr>
          <w:rStyle w:val="19"/>
          <w:rFonts w:hint="eastAsia" w:ascii="仿宋_GB2312" w:hAnsi="仿宋_GB2312" w:eastAsia="仿宋_GB2312" w:cs="仿宋_GB2312"/>
          <w:bCs/>
          <w:color w:val="auto"/>
          <w:sz w:val="32"/>
          <w:szCs w:val="32"/>
          <w:highlight w:val="none"/>
          <w:lang w:val="en-US" w:eastAsia="zh-CN"/>
        </w:rPr>
        <w:t>1.</w:t>
      </w:r>
      <w:r>
        <w:rPr>
          <w:rStyle w:val="19"/>
          <w:rFonts w:hint="eastAsia" w:ascii="仿宋_GB2312" w:hAnsi="仿宋_GB2312" w:eastAsia="仿宋_GB2312" w:cs="仿宋_GB2312"/>
          <w:bCs/>
          <w:color w:val="auto"/>
          <w:sz w:val="32"/>
          <w:szCs w:val="32"/>
          <w:highlight w:val="none"/>
        </w:rPr>
        <w:t>教育（类）</w:t>
      </w:r>
      <w:r>
        <w:rPr>
          <w:rStyle w:val="19"/>
          <w:rFonts w:hint="eastAsia" w:ascii="仿宋_GB2312" w:hAnsi="仿宋_GB2312" w:eastAsia="仿宋_GB2312" w:cs="仿宋_GB2312"/>
          <w:bCs/>
          <w:color w:val="auto"/>
          <w:sz w:val="32"/>
          <w:szCs w:val="32"/>
          <w:highlight w:val="none"/>
          <w:lang w:eastAsia="zh-CN"/>
        </w:rPr>
        <w:t>教育管理事务</w:t>
      </w:r>
      <w:r>
        <w:rPr>
          <w:rStyle w:val="19"/>
          <w:rFonts w:hint="eastAsia" w:ascii="仿宋_GB2312" w:hAnsi="仿宋_GB2312" w:eastAsia="仿宋_GB2312" w:cs="仿宋_GB2312"/>
          <w:bCs/>
          <w:color w:val="auto"/>
          <w:sz w:val="32"/>
          <w:szCs w:val="32"/>
          <w:highlight w:val="none"/>
        </w:rPr>
        <w:t>（款）</w:t>
      </w:r>
      <w:r>
        <w:rPr>
          <w:rStyle w:val="19"/>
          <w:rFonts w:hint="eastAsia" w:ascii="仿宋_GB2312" w:hAnsi="仿宋_GB2312" w:eastAsia="仿宋_GB2312" w:cs="仿宋_GB2312"/>
          <w:bCs/>
          <w:color w:val="auto"/>
          <w:sz w:val="32"/>
          <w:szCs w:val="32"/>
          <w:highlight w:val="none"/>
          <w:lang w:eastAsia="zh-CN"/>
        </w:rPr>
        <w:t>一般行政管理事务</w:t>
      </w:r>
      <w:r>
        <w:rPr>
          <w:rStyle w:val="19"/>
          <w:rFonts w:hint="eastAsia" w:ascii="仿宋_GB2312" w:hAnsi="仿宋_GB2312" w:eastAsia="仿宋_GB2312" w:cs="仿宋_GB2312"/>
          <w:bCs/>
          <w:color w:val="auto"/>
          <w:sz w:val="32"/>
          <w:szCs w:val="32"/>
          <w:highlight w:val="none"/>
        </w:rPr>
        <w:t>（项）</w:t>
      </w:r>
      <w:r>
        <w:rPr>
          <w:rStyle w:val="19"/>
          <w:rFonts w:hint="eastAsia" w:ascii="仿宋_GB2312" w:hAnsi="仿宋_GB2312" w:eastAsia="仿宋_GB2312" w:cs="仿宋_GB2312"/>
          <w:bCs/>
          <w:color w:val="auto"/>
          <w:sz w:val="32"/>
          <w:szCs w:val="32"/>
          <w:highlight w:val="none"/>
          <w:lang w:eastAsia="zh-CN"/>
        </w:rPr>
        <w:t>：</w:t>
      </w:r>
      <w:r>
        <w:rPr>
          <w:rStyle w:val="19"/>
          <w:rFonts w:hint="eastAsia" w:ascii="仿宋_GB2312" w:hAnsi="仿宋_GB2312" w:eastAsia="仿宋_GB2312" w:cs="仿宋_GB2312"/>
          <w:b w:val="0"/>
          <w:bCs/>
          <w:color w:val="auto"/>
          <w:sz w:val="32"/>
          <w:szCs w:val="32"/>
          <w:highlight w:val="none"/>
        </w:rPr>
        <w:t xml:space="preserve"> </w:t>
      </w:r>
      <w:bookmarkStart w:id="52" w:name="OLE_LINK1"/>
      <w:r>
        <w:rPr>
          <w:rStyle w:val="19"/>
          <w:rFonts w:hint="eastAsia" w:ascii="仿宋_GB2312" w:hAnsi="仿宋_GB2312" w:eastAsia="仿宋_GB2312" w:cs="仿宋_GB2312"/>
          <w:b w:val="0"/>
          <w:bCs/>
          <w:color w:val="auto"/>
          <w:sz w:val="32"/>
          <w:szCs w:val="32"/>
          <w:highlight w:val="none"/>
        </w:rPr>
        <w:t>支出决算为</w:t>
      </w:r>
      <w:r>
        <w:rPr>
          <w:rStyle w:val="19"/>
          <w:rFonts w:hint="eastAsia" w:ascii="仿宋_GB2312" w:hAnsi="仿宋_GB2312" w:eastAsia="仿宋_GB2312" w:cs="仿宋_GB2312"/>
          <w:b w:val="0"/>
          <w:bCs/>
          <w:color w:val="auto"/>
          <w:sz w:val="32"/>
          <w:szCs w:val="32"/>
          <w:highlight w:val="none"/>
          <w:lang w:val="en-US" w:eastAsia="zh-CN"/>
        </w:rPr>
        <w:t>4.05</w:t>
      </w:r>
      <w:r>
        <w:rPr>
          <w:rStyle w:val="19"/>
          <w:rFonts w:hint="eastAsia" w:ascii="仿宋_GB2312" w:hAnsi="仿宋_GB2312" w:eastAsia="仿宋_GB2312" w:cs="仿宋_GB2312"/>
          <w:b w:val="0"/>
          <w:bCs/>
          <w:color w:val="auto"/>
          <w:sz w:val="32"/>
          <w:szCs w:val="32"/>
          <w:highlight w:val="none"/>
        </w:rPr>
        <w:t>万元，完成预算</w:t>
      </w:r>
      <w:r>
        <w:rPr>
          <w:rStyle w:val="19"/>
          <w:rFonts w:hint="eastAsia" w:ascii="仿宋_GB2312" w:hAnsi="仿宋_GB2312" w:eastAsia="仿宋_GB2312" w:cs="仿宋_GB2312"/>
          <w:b w:val="0"/>
          <w:bCs/>
          <w:color w:val="auto"/>
          <w:sz w:val="32"/>
          <w:szCs w:val="32"/>
          <w:highlight w:val="none"/>
          <w:lang w:val="en-US" w:eastAsia="zh-CN"/>
        </w:rPr>
        <w:t>100</w:t>
      </w:r>
      <w:r>
        <w:rPr>
          <w:rStyle w:val="19"/>
          <w:rFonts w:hint="eastAsia" w:ascii="仿宋_GB2312" w:hAnsi="仿宋_GB2312" w:eastAsia="仿宋_GB2312" w:cs="仿宋_GB2312"/>
          <w:b w:val="0"/>
          <w:bCs/>
          <w:color w:val="auto"/>
          <w:sz w:val="32"/>
          <w:szCs w:val="32"/>
          <w:highlight w:val="none"/>
        </w:rPr>
        <w:t>%</w:t>
      </w:r>
      <w:r>
        <w:rPr>
          <w:rStyle w:val="19"/>
          <w:rFonts w:hint="eastAsia" w:ascii="仿宋_GB2312" w:hAnsi="仿宋_GB2312" w:eastAsia="仿宋_GB2312" w:cs="仿宋_GB2312"/>
          <w:b w:val="0"/>
          <w:bCs/>
          <w:color w:val="auto"/>
          <w:sz w:val="32"/>
          <w:szCs w:val="32"/>
          <w:highlight w:val="none"/>
          <w:lang w:eastAsia="zh-CN"/>
        </w:rPr>
        <w:t>。</w:t>
      </w:r>
      <w:bookmarkEnd w:id="52"/>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60" w:lineRule="exact"/>
        <w:ind w:firstLine="642" w:firstLineChars="200"/>
        <w:textAlignment w:val="auto"/>
        <w:rPr>
          <w:rStyle w:val="19"/>
          <w:rFonts w:hint="default" w:ascii="仿宋" w:hAnsi="仿宋" w:eastAsia="仿宋"/>
          <w:bCs/>
          <w:color w:val="auto"/>
          <w:sz w:val="32"/>
          <w:szCs w:val="32"/>
          <w:highlight w:val="none"/>
          <w:lang w:val="en-US" w:eastAsia="zh-CN"/>
        </w:rPr>
      </w:pPr>
      <w:r>
        <w:rPr>
          <w:rStyle w:val="19"/>
          <w:rFonts w:hint="eastAsia" w:ascii="仿宋" w:hAnsi="仿宋" w:eastAsia="仿宋"/>
          <w:bCs/>
          <w:color w:val="auto"/>
          <w:sz w:val="32"/>
          <w:szCs w:val="32"/>
          <w:highlight w:val="none"/>
          <w:lang w:val="en-US" w:eastAsia="zh-CN"/>
        </w:rPr>
        <w:t>2.</w:t>
      </w:r>
      <w:r>
        <w:rPr>
          <w:rStyle w:val="19"/>
          <w:rFonts w:hint="eastAsia" w:ascii="仿宋" w:hAnsi="仿宋" w:eastAsia="仿宋"/>
          <w:bCs/>
          <w:color w:val="auto"/>
          <w:sz w:val="32"/>
          <w:szCs w:val="32"/>
          <w:highlight w:val="none"/>
        </w:rPr>
        <w:t>教育（类）</w:t>
      </w:r>
      <w:r>
        <w:rPr>
          <w:rStyle w:val="19"/>
          <w:rFonts w:hint="eastAsia" w:ascii="仿宋" w:hAnsi="仿宋" w:eastAsia="仿宋"/>
          <w:bCs/>
          <w:color w:val="auto"/>
          <w:sz w:val="32"/>
          <w:szCs w:val="32"/>
          <w:highlight w:val="none"/>
          <w:lang w:eastAsia="zh-CN"/>
        </w:rPr>
        <w:t>普通教育</w:t>
      </w:r>
      <w:r>
        <w:rPr>
          <w:rStyle w:val="19"/>
          <w:rFonts w:hint="eastAsia" w:ascii="仿宋" w:hAnsi="仿宋" w:eastAsia="仿宋"/>
          <w:bCs/>
          <w:color w:val="auto"/>
          <w:sz w:val="32"/>
          <w:szCs w:val="32"/>
          <w:highlight w:val="none"/>
        </w:rPr>
        <w:t>（款）</w:t>
      </w:r>
      <w:r>
        <w:rPr>
          <w:rStyle w:val="19"/>
          <w:rFonts w:hint="eastAsia" w:ascii="仿宋" w:hAnsi="仿宋" w:eastAsia="仿宋"/>
          <w:bCs/>
          <w:color w:val="auto"/>
          <w:sz w:val="32"/>
          <w:szCs w:val="32"/>
          <w:highlight w:val="none"/>
          <w:lang w:eastAsia="zh-CN"/>
        </w:rPr>
        <w:t>初中教育</w:t>
      </w:r>
      <w:r>
        <w:rPr>
          <w:rStyle w:val="19"/>
          <w:rFonts w:hint="eastAsia" w:ascii="仿宋" w:hAnsi="仿宋" w:eastAsia="仿宋"/>
          <w:bCs/>
          <w:color w:val="auto"/>
          <w:sz w:val="32"/>
          <w:szCs w:val="32"/>
          <w:highlight w:val="none"/>
        </w:rPr>
        <w:t>（项）</w:t>
      </w:r>
      <w:r>
        <w:rPr>
          <w:rStyle w:val="19"/>
          <w:rFonts w:hint="eastAsia" w:ascii="仿宋" w:hAnsi="仿宋" w:eastAsia="仿宋"/>
          <w:bCs/>
          <w:color w:val="auto"/>
          <w:sz w:val="32"/>
          <w:szCs w:val="32"/>
          <w:highlight w:val="none"/>
          <w:lang w:eastAsia="zh-CN"/>
        </w:rPr>
        <w:t>：</w:t>
      </w:r>
      <w:r>
        <w:rPr>
          <w:rStyle w:val="19"/>
          <w:rFonts w:hint="eastAsia" w:ascii="仿宋_GB2312" w:hAnsi="仿宋_GB2312" w:eastAsia="仿宋_GB2312" w:cs="仿宋_GB2312"/>
          <w:b w:val="0"/>
          <w:bCs/>
          <w:color w:val="auto"/>
          <w:sz w:val="32"/>
          <w:szCs w:val="32"/>
          <w:highlight w:val="none"/>
        </w:rPr>
        <w:t>支出决算为</w:t>
      </w:r>
      <w:r>
        <w:rPr>
          <w:rStyle w:val="19"/>
          <w:rFonts w:hint="eastAsia" w:ascii="仿宋_GB2312" w:hAnsi="仿宋_GB2312" w:eastAsia="仿宋_GB2312" w:cs="仿宋_GB2312"/>
          <w:b w:val="0"/>
          <w:bCs/>
          <w:color w:val="auto"/>
          <w:sz w:val="32"/>
          <w:szCs w:val="32"/>
          <w:highlight w:val="none"/>
          <w:lang w:val="en-US" w:eastAsia="zh-CN"/>
        </w:rPr>
        <w:t>11</w:t>
      </w:r>
      <w:r>
        <w:rPr>
          <w:rStyle w:val="19"/>
          <w:rFonts w:hint="eastAsia" w:ascii="仿宋_GB2312" w:hAnsi="仿宋_GB2312" w:eastAsia="仿宋_GB2312" w:cs="仿宋_GB2312"/>
          <w:b w:val="0"/>
          <w:bCs/>
          <w:color w:val="auto"/>
          <w:sz w:val="32"/>
          <w:szCs w:val="32"/>
          <w:highlight w:val="none"/>
        </w:rPr>
        <w:t>万元，完成预算</w:t>
      </w:r>
      <w:r>
        <w:rPr>
          <w:rStyle w:val="19"/>
          <w:rFonts w:hint="eastAsia" w:ascii="仿宋_GB2312" w:hAnsi="仿宋_GB2312" w:eastAsia="仿宋_GB2312" w:cs="仿宋_GB2312"/>
          <w:b w:val="0"/>
          <w:bCs/>
          <w:color w:val="auto"/>
          <w:sz w:val="32"/>
          <w:szCs w:val="32"/>
          <w:highlight w:val="none"/>
          <w:lang w:val="en-US" w:eastAsia="zh-CN"/>
        </w:rPr>
        <w:t>100</w:t>
      </w:r>
      <w:r>
        <w:rPr>
          <w:rStyle w:val="19"/>
          <w:rFonts w:hint="eastAsia" w:ascii="仿宋_GB2312" w:hAnsi="仿宋_GB2312" w:eastAsia="仿宋_GB2312" w:cs="仿宋_GB2312"/>
          <w:b w:val="0"/>
          <w:bCs/>
          <w:color w:val="auto"/>
          <w:sz w:val="32"/>
          <w:szCs w:val="32"/>
          <w:highlight w:val="none"/>
        </w:rPr>
        <w:t>%</w:t>
      </w:r>
      <w:r>
        <w:rPr>
          <w:rStyle w:val="19"/>
          <w:rFonts w:hint="eastAsia" w:ascii="仿宋_GB2312" w:hAnsi="仿宋_GB2312" w:eastAsia="仿宋_GB2312" w:cs="仿宋_GB2312"/>
          <w:b w:val="0"/>
          <w:bCs/>
          <w:color w:val="auto"/>
          <w:sz w:val="32"/>
          <w:szCs w:val="32"/>
          <w:highlight w:val="none"/>
          <w:lang w:eastAsia="zh-CN"/>
        </w:rPr>
        <w:t>。</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60" w:lineRule="exact"/>
        <w:ind w:firstLine="642" w:firstLineChars="200"/>
        <w:textAlignment w:val="auto"/>
        <w:rPr>
          <w:rStyle w:val="19"/>
          <w:rFonts w:hint="eastAsia" w:ascii="仿宋" w:hAnsi="仿宋" w:eastAsia="仿宋"/>
          <w:b w:val="0"/>
          <w:bCs/>
          <w:color w:val="auto"/>
          <w:sz w:val="32"/>
          <w:szCs w:val="32"/>
          <w:highlight w:val="none"/>
        </w:rPr>
      </w:pPr>
      <w:r>
        <w:rPr>
          <w:rStyle w:val="19"/>
          <w:rFonts w:hint="eastAsia" w:ascii="仿宋" w:hAnsi="仿宋" w:eastAsia="仿宋"/>
          <w:bCs/>
          <w:color w:val="auto"/>
          <w:sz w:val="32"/>
          <w:szCs w:val="32"/>
          <w:highlight w:val="none"/>
          <w:lang w:val="en-US" w:eastAsia="zh-CN"/>
        </w:rPr>
        <w:t>3.</w:t>
      </w:r>
      <w:r>
        <w:rPr>
          <w:rStyle w:val="19"/>
          <w:rFonts w:hint="eastAsia" w:ascii="仿宋" w:hAnsi="仿宋" w:eastAsia="仿宋"/>
          <w:bCs/>
          <w:color w:val="auto"/>
          <w:sz w:val="32"/>
          <w:szCs w:val="32"/>
          <w:highlight w:val="none"/>
        </w:rPr>
        <w:t>教育（类）职业教育（款）</w:t>
      </w:r>
      <w:r>
        <w:rPr>
          <w:rStyle w:val="19"/>
          <w:rFonts w:hint="eastAsia" w:ascii="仿宋" w:hAnsi="仿宋" w:eastAsia="仿宋"/>
          <w:bCs/>
          <w:color w:val="auto"/>
          <w:sz w:val="32"/>
          <w:szCs w:val="32"/>
          <w:highlight w:val="none"/>
          <w:lang w:eastAsia="zh-CN"/>
        </w:rPr>
        <w:t>中等</w:t>
      </w:r>
      <w:r>
        <w:rPr>
          <w:rStyle w:val="19"/>
          <w:rFonts w:hint="eastAsia" w:ascii="仿宋" w:hAnsi="仿宋" w:eastAsia="仿宋"/>
          <w:bCs/>
          <w:color w:val="auto"/>
          <w:sz w:val="32"/>
          <w:szCs w:val="32"/>
          <w:highlight w:val="none"/>
        </w:rPr>
        <w:t>职业教育（项）</w:t>
      </w:r>
      <w:r>
        <w:rPr>
          <w:rStyle w:val="19"/>
          <w:rFonts w:hint="eastAsia" w:ascii="仿宋" w:hAnsi="仿宋" w:eastAsia="仿宋"/>
          <w:bCs/>
          <w:color w:val="auto"/>
          <w:sz w:val="32"/>
          <w:szCs w:val="32"/>
          <w:highlight w:val="none"/>
          <w:lang w:eastAsia="zh-CN"/>
        </w:rPr>
        <w:t>：</w:t>
      </w:r>
      <w:r>
        <w:rPr>
          <w:rStyle w:val="19"/>
          <w:rFonts w:hint="eastAsia" w:ascii="仿宋" w:hAnsi="仿宋" w:eastAsia="仿宋"/>
          <w:b w:val="0"/>
          <w:bCs/>
          <w:color w:val="auto"/>
          <w:sz w:val="32"/>
          <w:szCs w:val="32"/>
          <w:highlight w:val="none"/>
        </w:rPr>
        <w:t>支出决算为</w:t>
      </w:r>
      <w:r>
        <w:rPr>
          <w:rFonts w:hint="eastAsia" w:ascii="仿宋" w:hAnsi="仿宋" w:eastAsia="仿宋"/>
          <w:color w:val="auto"/>
          <w:sz w:val="32"/>
          <w:szCs w:val="32"/>
          <w:highlight w:val="none"/>
          <w:lang w:val="en-US" w:eastAsia="zh-CN"/>
        </w:rPr>
        <w:t>39.62</w:t>
      </w:r>
      <w:r>
        <w:rPr>
          <w:rStyle w:val="19"/>
          <w:rFonts w:hint="eastAsia" w:ascii="仿宋" w:hAnsi="仿宋" w:eastAsia="仿宋"/>
          <w:b w:val="0"/>
          <w:bCs/>
          <w:color w:val="auto"/>
          <w:sz w:val="32"/>
          <w:szCs w:val="32"/>
          <w:highlight w:val="none"/>
        </w:rPr>
        <w:t>万元，完成预算</w:t>
      </w:r>
      <w:r>
        <w:rPr>
          <w:rStyle w:val="19"/>
          <w:rFonts w:hint="eastAsia" w:ascii="仿宋" w:hAnsi="仿宋" w:eastAsia="仿宋"/>
          <w:b w:val="0"/>
          <w:bCs/>
          <w:color w:val="auto"/>
          <w:sz w:val="32"/>
          <w:szCs w:val="32"/>
          <w:highlight w:val="none"/>
          <w:lang w:val="en-US" w:eastAsia="zh-CN"/>
        </w:rPr>
        <w:t>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60" w:lineRule="exact"/>
        <w:ind w:firstLine="642" w:firstLineChars="200"/>
        <w:textAlignment w:val="auto"/>
        <w:rPr>
          <w:rStyle w:val="19"/>
          <w:rFonts w:hint="eastAsia" w:ascii="仿宋" w:hAnsi="仿宋" w:eastAsia="仿宋"/>
          <w:b w:val="0"/>
          <w:bCs/>
          <w:color w:val="auto"/>
          <w:sz w:val="32"/>
          <w:szCs w:val="32"/>
          <w:highlight w:val="none"/>
          <w:lang w:val="en-US" w:eastAsia="zh-CN"/>
        </w:rPr>
      </w:pPr>
      <w:r>
        <w:rPr>
          <w:rStyle w:val="19"/>
          <w:rFonts w:hint="eastAsia" w:ascii="仿宋" w:hAnsi="仿宋" w:eastAsia="仿宋"/>
          <w:bCs/>
          <w:color w:val="auto"/>
          <w:sz w:val="32"/>
          <w:szCs w:val="32"/>
          <w:highlight w:val="none"/>
          <w:lang w:val="en-US" w:eastAsia="zh-CN"/>
        </w:rPr>
        <w:t>4.</w:t>
      </w:r>
      <w:r>
        <w:rPr>
          <w:rStyle w:val="19"/>
          <w:rFonts w:hint="eastAsia" w:ascii="仿宋" w:hAnsi="仿宋" w:eastAsia="仿宋"/>
          <w:bCs/>
          <w:color w:val="auto"/>
          <w:sz w:val="32"/>
          <w:szCs w:val="32"/>
          <w:highlight w:val="none"/>
        </w:rPr>
        <w:t>教育（类）职业教育（款）高等职业教育（项）</w:t>
      </w:r>
      <w:r>
        <w:rPr>
          <w:rStyle w:val="19"/>
          <w:rFonts w:hint="eastAsia" w:ascii="仿宋" w:hAnsi="仿宋" w:eastAsia="仿宋"/>
          <w:bCs/>
          <w:color w:val="auto"/>
          <w:sz w:val="32"/>
          <w:szCs w:val="32"/>
          <w:highlight w:val="none"/>
          <w:lang w:eastAsia="zh-CN"/>
        </w:rPr>
        <w:t>：</w:t>
      </w:r>
      <w:r>
        <w:rPr>
          <w:rStyle w:val="19"/>
          <w:rFonts w:hint="eastAsia" w:ascii="仿宋" w:hAnsi="仿宋" w:eastAsia="仿宋"/>
          <w:b w:val="0"/>
          <w:bCs/>
          <w:color w:val="auto"/>
          <w:sz w:val="32"/>
          <w:szCs w:val="32"/>
          <w:highlight w:val="none"/>
        </w:rPr>
        <w:t>支出决算为</w:t>
      </w:r>
      <w:r>
        <w:rPr>
          <w:rFonts w:hint="eastAsia" w:ascii="仿宋" w:hAnsi="仿宋" w:eastAsia="仿宋"/>
          <w:color w:val="auto"/>
          <w:sz w:val="32"/>
          <w:szCs w:val="32"/>
          <w:highlight w:val="none"/>
          <w:lang w:val="en-US" w:eastAsia="zh-CN"/>
        </w:rPr>
        <w:t>11314.11</w:t>
      </w:r>
      <w:r>
        <w:rPr>
          <w:rStyle w:val="19"/>
          <w:rFonts w:hint="eastAsia" w:ascii="仿宋" w:hAnsi="仿宋" w:eastAsia="仿宋"/>
          <w:b w:val="0"/>
          <w:bCs/>
          <w:color w:val="auto"/>
          <w:sz w:val="32"/>
          <w:szCs w:val="32"/>
          <w:highlight w:val="none"/>
        </w:rPr>
        <w:t>万元，完成预算</w:t>
      </w:r>
      <w:r>
        <w:rPr>
          <w:rStyle w:val="19"/>
          <w:rFonts w:hint="eastAsia" w:ascii="仿宋" w:hAnsi="仿宋" w:eastAsia="仿宋"/>
          <w:b w:val="0"/>
          <w:bCs/>
          <w:color w:val="auto"/>
          <w:sz w:val="32"/>
          <w:szCs w:val="32"/>
          <w:highlight w:val="none"/>
          <w:lang w:val="en-US" w:eastAsia="zh-CN"/>
        </w:rPr>
        <w:t>99.9</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lang w:eastAsia="zh-CN"/>
        </w:rPr>
        <w:t>决算数小于预算数的主要原因少数国家助学金、励志奖学金打卡失败</w:t>
      </w:r>
      <w:r>
        <w:rPr>
          <w:rStyle w:val="19"/>
          <w:rFonts w:hint="eastAsia" w:ascii="仿宋" w:hAnsi="仿宋" w:eastAsia="仿宋"/>
          <w:b w:val="0"/>
          <w:bCs/>
          <w:color w:val="auto"/>
          <w:sz w:val="32"/>
          <w:szCs w:val="32"/>
          <w:highlight w:val="none"/>
          <w:lang w:val="en-US" w:eastAsia="zh-CN"/>
        </w:rPr>
        <w:t>结转2025年1月补发。</w:t>
      </w:r>
    </w:p>
    <w:p>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2" w:firstLineChars="200"/>
        <w:textAlignment w:val="auto"/>
        <w:rPr>
          <w:rStyle w:val="19"/>
          <w:rFonts w:hint="default" w:ascii="仿宋" w:hAnsi="仿宋" w:eastAsia="仿宋" w:cstheme="minorBidi"/>
          <w:b w:val="0"/>
          <w:bCs/>
          <w:color w:val="auto"/>
          <w:kern w:val="2"/>
          <w:sz w:val="32"/>
          <w:szCs w:val="32"/>
          <w:highlight w:val="none"/>
          <w:lang w:val="en-US" w:eastAsia="zh-CN" w:bidi="ar-SA"/>
        </w:rPr>
      </w:pPr>
      <w:r>
        <w:rPr>
          <w:rStyle w:val="19"/>
          <w:rFonts w:hint="eastAsia" w:ascii="仿宋" w:hAnsi="仿宋" w:eastAsia="仿宋"/>
          <w:bCs/>
          <w:color w:val="auto"/>
          <w:sz w:val="32"/>
          <w:szCs w:val="32"/>
          <w:highlight w:val="none"/>
          <w:lang w:val="en-US" w:eastAsia="zh-CN"/>
        </w:rPr>
        <w:t>5.</w:t>
      </w:r>
      <w:r>
        <w:rPr>
          <w:rStyle w:val="19"/>
          <w:rFonts w:hint="eastAsia" w:ascii="仿宋" w:hAnsi="仿宋" w:eastAsia="仿宋"/>
          <w:bCs/>
          <w:color w:val="auto"/>
          <w:sz w:val="32"/>
          <w:szCs w:val="32"/>
          <w:highlight w:val="none"/>
        </w:rPr>
        <w:t>文化旅游体育与传媒支出（类）</w:t>
      </w:r>
      <w:r>
        <w:rPr>
          <w:rStyle w:val="19"/>
          <w:rFonts w:hint="eastAsia" w:ascii="仿宋" w:hAnsi="仿宋" w:eastAsia="仿宋"/>
          <w:bCs/>
          <w:color w:val="auto"/>
          <w:sz w:val="32"/>
          <w:szCs w:val="32"/>
          <w:highlight w:val="none"/>
          <w:lang w:eastAsia="zh-CN"/>
        </w:rPr>
        <w:t>文化和旅游</w:t>
      </w:r>
      <w:r>
        <w:rPr>
          <w:rStyle w:val="19"/>
          <w:rFonts w:hint="eastAsia" w:ascii="仿宋" w:hAnsi="仿宋" w:eastAsia="仿宋"/>
          <w:bCs/>
          <w:color w:val="auto"/>
          <w:sz w:val="32"/>
          <w:szCs w:val="32"/>
          <w:highlight w:val="none"/>
        </w:rPr>
        <w:t>（款）</w:t>
      </w:r>
      <w:r>
        <w:rPr>
          <w:rStyle w:val="19"/>
          <w:rFonts w:hint="eastAsia" w:ascii="仿宋" w:hAnsi="仿宋" w:eastAsia="仿宋"/>
          <w:bCs/>
          <w:color w:val="auto"/>
          <w:sz w:val="32"/>
          <w:szCs w:val="32"/>
          <w:highlight w:val="none"/>
          <w:lang w:eastAsia="zh-CN"/>
        </w:rPr>
        <w:t>文化活动</w:t>
      </w:r>
      <w:r>
        <w:rPr>
          <w:rStyle w:val="19"/>
          <w:rFonts w:hint="eastAsia" w:ascii="仿宋" w:hAnsi="仿宋" w:eastAsia="仿宋"/>
          <w:bCs/>
          <w:color w:val="auto"/>
          <w:sz w:val="32"/>
          <w:szCs w:val="32"/>
          <w:highlight w:val="none"/>
        </w:rPr>
        <w:t>（项）</w:t>
      </w:r>
      <w:r>
        <w:rPr>
          <w:rStyle w:val="19"/>
          <w:rFonts w:hint="eastAsia" w:ascii="仿宋" w:hAnsi="仿宋" w:eastAsia="仿宋"/>
          <w:bCs/>
          <w:color w:val="auto"/>
          <w:sz w:val="32"/>
          <w:szCs w:val="32"/>
          <w:highlight w:val="none"/>
          <w:lang w:eastAsia="zh-CN"/>
        </w:rPr>
        <w:t>：</w:t>
      </w:r>
      <w:r>
        <w:rPr>
          <w:rStyle w:val="19"/>
          <w:rFonts w:hint="eastAsia" w:ascii="仿宋" w:hAnsi="仿宋" w:eastAsia="仿宋" w:cstheme="minorBidi"/>
          <w:b w:val="0"/>
          <w:bCs/>
          <w:color w:val="auto"/>
          <w:kern w:val="2"/>
          <w:sz w:val="32"/>
          <w:szCs w:val="32"/>
          <w:highlight w:val="none"/>
          <w:lang w:val="en-US" w:eastAsia="zh-CN" w:bidi="ar-SA"/>
        </w:rPr>
        <w:t>支出决算为20万元，完成预算100%。</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60" w:lineRule="exact"/>
        <w:ind w:firstLine="642" w:firstLineChars="200"/>
        <w:textAlignment w:val="auto"/>
        <w:rPr>
          <w:rStyle w:val="19"/>
          <w:rFonts w:hint="default" w:ascii="仿宋" w:hAnsi="仿宋" w:eastAsia="仿宋"/>
          <w:bCs/>
          <w:color w:val="auto"/>
          <w:sz w:val="32"/>
          <w:szCs w:val="32"/>
          <w:highlight w:val="none"/>
          <w:lang w:val="en-US" w:eastAsia="zh-CN"/>
        </w:rPr>
      </w:pPr>
      <w:r>
        <w:rPr>
          <w:rStyle w:val="19"/>
          <w:rFonts w:hint="eastAsia" w:ascii="仿宋" w:hAnsi="仿宋" w:eastAsia="仿宋"/>
          <w:bCs/>
          <w:color w:val="auto"/>
          <w:sz w:val="32"/>
          <w:szCs w:val="32"/>
          <w:highlight w:val="none"/>
          <w:lang w:val="en-US" w:eastAsia="zh-CN"/>
        </w:rPr>
        <w:t>6.</w:t>
      </w:r>
      <w:r>
        <w:rPr>
          <w:rStyle w:val="19"/>
          <w:rFonts w:hint="eastAsia" w:ascii="仿宋" w:hAnsi="仿宋" w:eastAsia="仿宋"/>
          <w:bCs/>
          <w:color w:val="auto"/>
          <w:sz w:val="32"/>
          <w:szCs w:val="32"/>
          <w:highlight w:val="none"/>
        </w:rPr>
        <w:t>社会保障和就业（类）人力资源和社会保障管理事务（款）</w:t>
      </w:r>
      <w:r>
        <w:rPr>
          <w:rStyle w:val="19"/>
          <w:rFonts w:hint="eastAsia" w:ascii="仿宋" w:hAnsi="仿宋" w:eastAsia="仿宋"/>
          <w:bCs/>
          <w:color w:val="auto"/>
          <w:sz w:val="32"/>
          <w:szCs w:val="32"/>
          <w:highlight w:val="none"/>
          <w:lang w:eastAsia="zh-CN"/>
        </w:rPr>
        <w:t>引进人才费用</w:t>
      </w:r>
      <w:r>
        <w:rPr>
          <w:rStyle w:val="19"/>
          <w:rFonts w:hint="eastAsia" w:ascii="仿宋" w:hAnsi="仿宋" w:eastAsia="仿宋"/>
          <w:bCs/>
          <w:color w:val="auto"/>
          <w:sz w:val="32"/>
          <w:szCs w:val="32"/>
          <w:highlight w:val="none"/>
        </w:rPr>
        <w:t>（项）</w:t>
      </w:r>
      <w:r>
        <w:rPr>
          <w:rStyle w:val="19"/>
          <w:rFonts w:hint="eastAsia" w:ascii="仿宋" w:hAnsi="仿宋" w:eastAsia="仿宋"/>
          <w:bCs/>
          <w:color w:val="auto"/>
          <w:sz w:val="32"/>
          <w:szCs w:val="32"/>
          <w:highlight w:val="none"/>
          <w:lang w:eastAsia="zh-CN"/>
        </w:rPr>
        <w:t>：</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103.6</w:t>
      </w:r>
      <w:r>
        <w:rPr>
          <w:rStyle w:val="19"/>
          <w:rFonts w:hint="eastAsia" w:ascii="仿宋" w:hAnsi="仿宋" w:eastAsia="仿宋"/>
          <w:b w:val="0"/>
          <w:bCs/>
          <w:color w:val="auto"/>
          <w:sz w:val="32"/>
          <w:szCs w:val="32"/>
          <w:highlight w:val="none"/>
        </w:rPr>
        <w:t>万元，完成预算</w:t>
      </w:r>
      <w:r>
        <w:rPr>
          <w:rStyle w:val="19"/>
          <w:rFonts w:hint="eastAsia" w:ascii="仿宋" w:hAnsi="仿宋" w:eastAsia="仿宋"/>
          <w:b w:val="0"/>
          <w:bCs/>
          <w:color w:val="auto"/>
          <w:sz w:val="32"/>
          <w:szCs w:val="32"/>
          <w:highlight w:val="none"/>
          <w:lang w:val="en-US" w:eastAsia="zh-CN"/>
        </w:rPr>
        <w:t>81.5</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lang w:eastAsia="zh-CN"/>
        </w:rPr>
        <w:t>决算数小于预算数的主要原因是学校引进人才以及考核招聘人员安家费</w:t>
      </w:r>
      <w:r>
        <w:rPr>
          <w:rStyle w:val="19"/>
          <w:rFonts w:hint="eastAsia" w:ascii="仿宋" w:hAnsi="仿宋" w:eastAsia="仿宋"/>
          <w:b w:val="0"/>
          <w:bCs/>
          <w:color w:val="auto"/>
          <w:sz w:val="32"/>
          <w:szCs w:val="32"/>
          <w:highlight w:val="none"/>
          <w:lang w:val="en-US" w:eastAsia="zh-CN"/>
        </w:rPr>
        <w:t>12月</w:t>
      </w:r>
      <w:r>
        <w:rPr>
          <w:rStyle w:val="19"/>
          <w:rFonts w:hint="eastAsia" w:ascii="仿宋" w:hAnsi="仿宋" w:eastAsia="仿宋"/>
          <w:b w:val="0"/>
          <w:bCs/>
          <w:color w:val="auto"/>
          <w:sz w:val="32"/>
          <w:szCs w:val="32"/>
          <w:highlight w:val="none"/>
          <w:lang w:eastAsia="zh-CN"/>
        </w:rPr>
        <w:t>代扣个税结转</w:t>
      </w:r>
      <w:r>
        <w:rPr>
          <w:rStyle w:val="19"/>
          <w:rFonts w:hint="eastAsia" w:ascii="仿宋" w:hAnsi="仿宋" w:eastAsia="仿宋"/>
          <w:b w:val="0"/>
          <w:bCs/>
          <w:color w:val="auto"/>
          <w:sz w:val="32"/>
          <w:szCs w:val="32"/>
          <w:highlight w:val="none"/>
          <w:lang w:val="en-US" w:eastAsia="zh-CN"/>
        </w:rPr>
        <w:t>2025年1月缴纳。</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60" w:lineRule="exact"/>
        <w:ind w:firstLine="642" w:firstLineChars="200"/>
        <w:textAlignment w:val="auto"/>
        <w:rPr>
          <w:rStyle w:val="19"/>
          <w:rFonts w:hint="eastAsia" w:ascii="仿宋" w:hAnsi="仿宋" w:eastAsia="仿宋"/>
          <w:bCs/>
          <w:color w:val="auto"/>
          <w:sz w:val="32"/>
          <w:szCs w:val="32"/>
          <w:highlight w:val="none"/>
          <w:lang w:val="en-US" w:eastAsia="zh-CN"/>
        </w:rPr>
      </w:pPr>
      <w:r>
        <w:rPr>
          <w:rStyle w:val="19"/>
          <w:rFonts w:hint="eastAsia" w:ascii="仿宋" w:hAnsi="仿宋" w:eastAsia="仿宋"/>
          <w:bCs/>
          <w:color w:val="auto"/>
          <w:sz w:val="32"/>
          <w:szCs w:val="32"/>
          <w:highlight w:val="none"/>
          <w:lang w:val="en-US" w:eastAsia="zh-CN"/>
        </w:rPr>
        <w:t>7.</w:t>
      </w:r>
      <w:r>
        <w:rPr>
          <w:rStyle w:val="19"/>
          <w:rFonts w:hint="eastAsia" w:ascii="仿宋" w:hAnsi="仿宋" w:eastAsia="仿宋"/>
          <w:bCs/>
          <w:color w:val="auto"/>
          <w:sz w:val="32"/>
          <w:szCs w:val="32"/>
          <w:highlight w:val="none"/>
        </w:rPr>
        <w:t>社会保障和就业（类）行政事业单位养老支出（款）</w:t>
      </w:r>
      <w:r>
        <w:rPr>
          <w:rStyle w:val="19"/>
          <w:rFonts w:hint="eastAsia" w:ascii="仿宋" w:hAnsi="仿宋" w:eastAsia="仿宋"/>
          <w:bCs/>
          <w:color w:val="auto"/>
          <w:sz w:val="32"/>
          <w:szCs w:val="32"/>
          <w:highlight w:val="none"/>
          <w:lang w:eastAsia="zh-CN"/>
        </w:rPr>
        <w:t>事业单位离退休</w:t>
      </w:r>
      <w:r>
        <w:rPr>
          <w:rStyle w:val="19"/>
          <w:rFonts w:hint="eastAsia" w:ascii="仿宋" w:hAnsi="仿宋" w:eastAsia="仿宋"/>
          <w:bCs/>
          <w:color w:val="auto"/>
          <w:sz w:val="32"/>
          <w:szCs w:val="32"/>
          <w:highlight w:val="none"/>
        </w:rPr>
        <w:t>（项）</w:t>
      </w:r>
      <w:r>
        <w:rPr>
          <w:rStyle w:val="19"/>
          <w:rFonts w:hint="eastAsia" w:ascii="仿宋" w:hAnsi="仿宋" w:eastAsia="仿宋"/>
          <w:bCs/>
          <w:color w:val="auto"/>
          <w:sz w:val="32"/>
          <w:szCs w:val="32"/>
          <w:highlight w:val="none"/>
          <w:lang w:eastAsia="zh-CN"/>
        </w:rPr>
        <w:t>：</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21.81</w:t>
      </w:r>
      <w:r>
        <w:rPr>
          <w:rStyle w:val="19"/>
          <w:rFonts w:hint="eastAsia" w:ascii="仿宋" w:hAnsi="仿宋" w:eastAsia="仿宋"/>
          <w:b w:val="0"/>
          <w:bCs/>
          <w:color w:val="auto"/>
          <w:sz w:val="32"/>
          <w:szCs w:val="32"/>
          <w:highlight w:val="none"/>
        </w:rPr>
        <w:t>万元，完成预算100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60" w:lineRule="exact"/>
        <w:ind w:firstLine="642" w:firstLineChars="200"/>
        <w:textAlignment w:val="auto"/>
        <w:rPr>
          <w:rStyle w:val="19"/>
          <w:rFonts w:hint="eastAsia" w:ascii="仿宋" w:hAnsi="仿宋" w:eastAsia="仿宋"/>
          <w:b w:val="0"/>
          <w:bCs/>
          <w:color w:val="auto"/>
          <w:sz w:val="32"/>
          <w:szCs w:val="32"/>
          <w:highlight w:val="none"/>
        </w:rPr>
      </w:pPr>
      <w:r>
        <w:rPr>
          <w:rStyle w:val="19"/>
          <w:rFonts w:hint="eastAsia" w:ascii="仿宋" w:hAnsi="仿宋" w:eastAsia="仿宋"/>
          <w:bCs/>
          <w:color w:val="auto"/>
          <w:sz w:val="32"/>
          <w:szCs w:val="32"/>
          <w:highlight w:val="none"/>
          <w:lang w:val="en-US" w:eastAsia="zh-CN"/>
        </w:rPr>
        <w:t>8.</w:t>
      </w:r>
      <w:r>
        <w:rPr>
          <w:rStyle w:val="19"/>
          <w:rFonts w:hint="eastAsia" w:ascii="仿宋" w:hAnsi="仿宋" w:eastAsia="仿宋"/>
          <w:bCs/>
          <w:color w:val="auto"/>
          <w:sz w:val="32"/>
          <w:szCs w:val="32"/>
          <w:highlight w:val="none"/>
        </w:rPr>
        <w:t>社会保障和就业（类）行政事业单位养老支出（款） 机关事业单位基本养老保险缴费支出（项）</w:t>
      </w:r>
      <w:r>
        <w:rPr>
          <w:rStyle w:val="19"/>
          <w:rFonts w:hint="eastAsia" w:ascii="仿宋" w:hAnsi="仿宋" w:eastAsia="仿宋"/>
          <w:bCs/>
          <w:color w:val="auto"/>
          <w:sz w:val="32"/>
          <w:szCs w:val="32"/>
          <w:highlight w:val="none"/>
          <w:lang w:eastAsia="zh-CN"/>
        </w:rPr>
        <w:t>：</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703.5</w:t>
      </w:r>
      <w:r>
        <w:rPr>
          <w:rStyle w:val="19"/>
          <w:rFonts w:hint="eastAsia" w:ascii="仿宋" w:hAnsi="仿宋" w:eastAsia="仿宋"/>
          <w:b w:val="0"/>
          <w:bCs/>
          <w:color w:val="auto"/>
          <w:sz w:val="32"/>
          <w:szCs w:val="32"/>
          <w:highlight w:val="none"/>
        </w:rPr>
        <w:t>万元，完成预算100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60" w:lineRule="exact"/>
        <w:ind w:firstLine="642" w:firstLineChars="200"/>
        <w:textAlignment w:val="auto"/>
        <w:rPr>
          <w:rStyle w:val="19"/>
          <w:rFonts w:hint="eastAsia" w:ascii="仿宋" w:hAnsi="仿宋" w:eastAsia="仿宋"/>
          <w:b w:val="0"/>
          <w:bCs/>
          <w:color w:val="auto"/>
          <w:sz w:val="32"/>
          <w:szCs w:val="32"/>
          <w:highlight w:val="none"/>
        </w:rPr>
      </w:pPr>
      <w:r>
        <w:rPr>
          <w:rStyle w:val="19"/>
          <w:rFonts w:hint="eastAsia" w:ascii="仿宋" w:hAnsi="仿宋" w:eastAsia="仿宋"/>
          <w:bCs/>
          <w:color w:val="auto"/>
          <w:sz w:val="32"/>
          <w:szCs w:val="32"/>
          <w:highlight w:val="none"/>
          <w:lang w:val="en-US" w:eastAsia="zh-CN"/>
        </w:rPr>
        <w:t>9.</w:t>
      </w:r>
      <w:r>
        <w:rPr>
          <w:rStyle w:val="19"/>
          <w:rFonts w:hint="eastAsia" w:ascii="仿宋" w:hAnsi="仿宋" w:eastAsia="仿宋"/>
          <w:bCs/>
          <w:color w:val="auto"/>
          <w:sz w:val="32"/>
          <w:szCs w:val="32"/>
          <w:highlight w:val="none"/>
        </w:rPr>
        <w:t>社会保障和就业（类）行政事业单位养老支出（款）机关事业单位职业年金缴费支出（项）</w:t>
      </w:r>
      <w:r>
        <w:rPr>
          <w:rStyle w:val="19"/>
          <w:rFonts w:hint="eastAsia" w:ascii="仿宋" w:hAnsi="仿宋" w:eastAsia="仿宋"/>
          <w:bCs/>
          <w:color w:val="auto"/>
          <w:sz w:val="32"/>
          <w:szCs w:val="32"/>
          <w:highlight w:val="none"/>
          <w:lang w:eastAsia="zh-CN"/>
        </w:rPr>
        <w:t>：</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49.76</w:t>
      </w:r>
      <w:r>
        <w:rPr>
          <w:rStyle w:val="19"/>
          <w:rFonts w:hint="eastAsia" w:ascii="仿宋" w:hAnsi="仿宋" w:eastAsia="仿宋"/>
          <w:b w:val="0"/>
          <w:bCs/>
          <w:color w:val="auto"/>
          <w:sz w:val="32"/>
          <w:szCs w:val="32"/>
          <w:highlight w:val="none"/>
        </w:rPr>
        <w:t>万元，完成预算100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60" w:lineRule="exact"/>
        <w:ind w:firstLine="642" w:firstLineChars="200"/>
        <w:textAlignment w:val="auto"/>
        <w:rPr>
          <w:rStyle w:val="19"/>
          <w:rFonts w:hint="eastAsia" w:ascii="仿宋" w:hAnsi="仿宋" w:eastAsia="仿宋"/>
          <w:bCs/>
          <w:color w:val="auto"/>
          <w:sz w:val="32"/>
          <w:szCs w:val="32"/>
          <w:highlight w:val="none"/>
          <w:lang w:val="en-US" w:eastAsia="zh-CN"/>
        </w:rPr>
      </w:pPr>
      <w:r>
        <w:rPr>
          <w:rStyle w:val="19"/>
          <w:rFonts w:hint="eastAsia" w:ascii="仿宋" w:hAnsi="仿宋" w:eastAsia="仿宋"/>
          <w:bCs/>
          <w:color w:val="auto"/>
          <w:sz w:val="32"/>
          <w:szCs w:val="32"/>
          <w:highlight w:val="none"/>
          <w:lang w:val="en-US" w:eastAsia="zh-CN"/>
        </w:rPr>
        <w:t>10.</w:t>
      </w:r>
      <w:r>
        <w:rPr>
          <w:rStyle w:val="19"/>
          <w:rFonts w:hint="eastAsia" w:ascii="仿宋" w:hAnsi="仿宋" w:eastAsia="仿宋"/>
          <w:bCs/>
          <w:color w:val="auto"/>
          <w:sz w:val="32"/>
          <w:szCs w:val="32"/>
          <w:highlight w:val="none"/>
        </w:rPr>
        <w:t>社会保障和就业（类）</w:t>
      </w:r>
      <w:r>
        <w:rPr>
          <w:rStyle w:val="19"/>
          <w:rFonts w:hint="eastAsia" w:ascii="仿宋" w:hAnsi="仿宋" w:eastAsia="仿宋"/>
          <w:bCs/>
          <w:color w:val="auto"/>
          <w:sz w:val="32"/>
          <w:szCs w:val="32"/>
          <w:highlight w:val="none"/>
          <w:lang w:eastAsia="zh-CN"/>
        </w:rPr>
        <w:t>抚恤</w:t>
      </w:r>
      <w:r>
        <w:rPr>
          <w:rStyle w:val="19"/>
          <w:rFonts w:hint="eastAsia" w:ascii="仿宋" w:hAnsi="仿宋" w:eastAsia="仿宋"/>
          <w:bCs/>
          <w:color w:val="auto"/>
          <w:sz w:val="32"/>
          <w:szCs w:val="32"/>
          <w:highlight w:val="none"/>
        </w:rPr>
        <w:t>（款）</w:t>
      </w:r>
      <w:r>
        <w:rPr>
          <w:rStyle w:val="19"/>
          <w:rFonts w:hint="eastAsia" w:ascii="仿宋" w:hAnsi="仿宋" w:eastAsia="仿宋"/>
          <w:bCs/>
          <w:color w:val="auto"/>
          <w:sz w:val="32"/>
          <w:szCs w:val="32"/>
          <w:highlight w:val="none"/>
          <w:lang w:eastAsia="zh-CN"/>
        </w:rPr>
        <w:t>死亡抚恤</w:t>
      </w:r>
      <w:r>
        <w:rPr>
          <w:rStyle w:val="19"/>
          <w:rFonts w:hint="eastAsia" w:ascii="仿宋" w:hAnsi="仿宋" w:eastAsia="仿宋"/>
          <w:bCs/>
          <w:color w:val="auto"/>
          <w:sz w:val="32"/>
          <w:szCs w:val="32"/>
          <w:highlight w:val="none"/>
        </w:rPr>
        <w:t>（项）</w:t>
      </w:r>
      <w:r>
        <w:rPr>
          <w:rStyle w:val="19"/>
          <w:rFonts w:hint="eastAsia" w:ascii="仿宋" w:hAnsi="仿宋" w:eastAsia="仿宋"/>
          <w:bCs/>
          <w:color w:val="auto"/>
          <w:sz w:val="32"/>
          <w:szCs w:val="32"/>
          <w:highlight w:val="none"/>
          <w:lang w:eastAsia="zh-CN"/>
        </w:rPr>
        <w:t>：</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35.08</w:t>
      </w:r>
      <w:r>
        <w:rPr>
          <w:rStyle w:val="19"/>
          <w:rFonts w:hint="eastAsia" w:ascii="仿宋" w:hAnsi="仿宋" w:eastAsia="仿宋"/>
          <w:b w:val="0"/>
          <w:bCs/>
          <w:color w:val="auto"/>
          <w:sz w:val="32"/>
          <w:szCs w:val="32"/>
          <w:highlight w:val="none"/>
        </w:rPr>
        <w:t>万元，完成预算100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60" w:lineRule="exact"/>
        <w:ind w:firstLine="642" w:firstLineChars="200"/>
        <w:textAlignment w:val="auto"/>
        <w:rPr>
          <w:rFonts w:hint="eastAsia"/>
          <w:color w:val="auto"/>
          <w:highlight w:val="none"/>
          <w:lang w:val="en-US" w:eastAsia="zh-CN"/>
        </w:rPr>
      </w:pPr>
      <w:r>
        <w:rPr>
          <w:rStyle w:val="19"/>
          <w:rFonts w:hint="eastAsia" w:ascii="仿宋" w:hAnsi="仿宋" w:eastAsia="仿宋"/>
          <w:bCs/>
          <w:color w:val="auto"/>
          <w:sz w:val="32"/>
          <w:szCs w:val="32"/>
          <w:highlight w:val="none"/>
          <w:lang w:val="en-US" w:eastAsia="zh-CN"/>
        </w:rPr>
        <w:t>11.</w:t>
      </w:r>
      <w:r>
        <w:rPr>
          <w:rStyle w:val="19"/>
          <w:rFonts w:hint="eastAsia" w:ascii="仿宋" w:hAnsi="仿宋" w:eastAsia="仿宋"/>
          <w:bCs/>
          <w:color w:val="auto"/>
          <w:sz w:val="32"/>
          <w:szCs w:val="32"/>
          <w:highlight w:val="none"/>
        </w:rPr>
        <w:t>社会保障和就业（类）其他社会保障和就业支出（款）  其他社会保障和就业支出（项）</w:t>
      </w:r>
      <w:r>
        <w:rPr>
          <w:rStyle w:val="19"/>
          <w:rFonts w:hint="eastAsia" w:ascii="仿宋" w:hAnsi="仿宋" w:eastAsia="仿宋"/>
          <w:bCs/>
          <w:color w:val="auto"/>
          <w:sz w:val="32"/>
          <w:szCs w:val="32"/>
          <w:highlight w:val="none"/>
          <w:lang w:eastAsia="zh-CN"/>
        </w:rPr>
        <w:t>：</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89.82</w:t>
      </w:r>
      <w:r>
        <w:rPr>
          <w:rStyle w:val="19"/>
          <w:rFonts w:hint="eastAsia" w:ascii="仿宋" w:hAnsi="仿宋" w:eastAsia="仿宋"/>
          <w:b w:val="0"/>
          <w:bCs/>
          <w:color w:val="auto"/>
          <w:sz w:val="32"/>
          <w:szCs w:val="32"/>
          <w:highlight w:val="none"/>
        </w:rPr>
        <w:t>万元，完成预算100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60" w:lineRule="exact"/>
        <w:ind w:firstLine="642" w:firstLineChars="200"/>
        <w:textAlignment w:val="auto"/>
        <w:rPr>
          <w:rFonts w:ascii="仿宋" w:hAnsi="仿宋" w:eastAsia="仿宋"/>
          <w:b/>
          <w:color w:val="auto"/>
          <w:sz w:val="32"/>
          <w:szCs w:val="32"/>
          <w:highlight w:val="none"/>
        </w:rPr>
      </w:pPr>
      <w:r>
        <w:rPr>
          <w:rStyle w:val="19"/>
          <w:rFonts w:hint="eastAsia" w:ascii="仿宋" w:hAnsi="仿宋" w:eastAsia="仿宋"/>
          <w:bCs/>
          <w:color w:val="auto"/>
          <w:sz w:val="32"/>
          <w:szCs w:val="32"/>
          <w:highlight w:val="none"/>
          <w:lang w:val="en-US" w:eastAsia="zh-CN"/>
        </w:rPr>
        <w:t>12.</w:t>
      </w:r>
      <w:r>
        <w:rPr>
          <w:rStyle w:val="19"/>
          <w:rFonts w:hint="eastAsia" w:ascii="仿宋" w:hAnsi="仿宋" w:eastAsia="仿宋"/>
          <w:bCs/>
          <w:color w:val="auto"/>
          <w:sz w:val="32"/>
          <w:szCs w:val="32"/>
          <w:highlight w:val="none"/>
        </w:rPr>
        <w:t>卫生健康支出（类）</w:t>
      </w:r>
      <w:r>
        <w:rPr>
          <w:rStyle w:val="19"/>
          <w:rFonts w:hint="eastAsia" w:ascii="仿宋" w:hAnsi="仿宋" w:eastAsia="仿宋"/>
          <w:bCs/>
          <w:color w:val="auto"/>
          <w:sz w:val="32"/>
          <w:szCs w:val="32"/>
          <w:highlight w:val="none"/>
          <w:lang w:eastAsia="zh-CN"/>
        </w:rPr>
        <w:t>公共卫生</w:t>
      </w:r>
      <w:r>
        <w:rPr>
          <w:rStyle w:val="19"/>
          <w:rFonts w:hint="eastAsia" w:ascii="仿宋" w:hAnsi="仿宋" w:eastAsia="仿宋"/>
          <w:bCs/>
          <w:color w:val="auto"/>
          <w:sz w:val="32"/>
          <w:szCs w:val="32"/>
          <w:highlight w:val="none"/>
        </w:rPr>
        <w:t>（款）</w:t>
      </w:r>
      <w:r>
        <w:rPr>
          <w:rStyle w:val="19"/>
          <w:rFonts w:hint="eastAsia" w:ascii="仿宋" w:hAnsi="仿宋" w:eastAsia="仿宋"/>
          <w:bCs/>
          <w:color w:val="auto"/>
          <w:sz w:val="32"/>
          <w:szCs w:val="32"/>
          <w:highlight w:val="none"/>
          <w:lang w:eastAsia="zh-CN"/>
        </w:rPr>
        <w:t>重大公共卫生服务</w:t>
      </w:r>
      <w:r>
        <w:rPr>
          <w:rStyle w:val="19"/>
          <w:rFonts w:hint="eastAsia" w:ascii="仿宋" w:hAnsi="仿宋" w:eastAsia="仿宋"/>
          <w:bCs/>
          <w:color w:val="auto"/>
          <w:sz w:val="32"/>
          <w:szCs w:val="32"/>
          <w:highlight w:val="none"/>
        </w:rPr>
        <w:t>（项）</w:t>
      </w:r>
      <w:r>
        <w:rPr>
          <w:rStyle w:val="19"/>
          <w:rFonts w:hint="eastAsia" w:ascii="仿宋" w:hAnsi="仿宋" w:eastAsia="仿宋"/>
          <w:bCs/>
          <w:color w:val="auto"/>
          <w:sz w:val="32"/>
          <w:szCs w:val="32"/>
          <w:highlight w:val="none"/>
          <w:lang w:eastAsia="zh-CN"/>
        </w:rPr>
        <w:t>：</w:t>
      </w:r>
      <w:r>
        <w:rPr>
          <w:rStyle w:val="19"/>
          <w:rFonts w:hint="eastAsia" w:ascii="仿宋" w:hAnsi="仿宋" w:eastAsia="仿宋"/>
          <w:b w:val="0"/>
          <w:bCs/>
          <w:color w:val="auto"/>
          <w:sz w:val="32"/>
          <w:szCs w:val="32"/>
          <w:highlight w:val="none"/>
        </w:rPr>
        <w:t>支出决算为</w:t>
      </w:r>
      <w:r>
        <w:rPr>
          <w:rFonts w:hint="eastAsia" w:ascii="仿宋" w:hAnsi="仿宋" w:eastAsia="仿宋"/>
          <w:color w:val="auto"/>
          <w:sz w:val="32"/>
          <w:szCs w:val="32"/>
          <w:highlight w:val="none"/>
          <w:lang w:val="en-US" w:eastAsia="zh-CN"/>
        </w:rPr>
        <w:t>5.61</w:t>
      </w:r>
      <w:r>
        <w:rPr>
          <w:rStyle w:val="19"/>
          <w:rFonts w:hint="eastAsia" w:ascii="仿宋" w:hAnsi="仿宋" w:eastAsia="仿宋"/>
          <w:b w:val="0"/>
          <w:bCs/>
          <w:color w:val="auto"/>
          <w:sz w:val="32"/>
          <w:szCs w:val="32"/>
          <w:highlight w:val="none"/>
        </w:rPr>
        <w:t>万元，完成预算100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60" w:lineRule="exact"/>
        <w:ind w:firstLine="642" w:firstLineChars="200"/>
        <w:textAlignment w:val="auto"/>
        <w:rPr>
          <w:rStyle w:val="19"/>
          <w:rFonts w:hint="eastAsia" w:ascii="仿宋" w:hAnsi="仿宋" w:eastAsia="仿宋"/>
          <w:bCs/>
          <w:color w:val="auto"/>
          <w:sz w:val="32"/>
          <w:szCs w:val="32"/>
          <w:highlight w:val="none"/>
          <w:lang w:val="en-US" w:eastAsia="zh-CN"/>
        </w:rPr>
      </w:pPr>
      <w:r>
        <w:rPr>
          <w:rStyle w:val="19"/>
          <w:rFonts w:hint="eastAsia" w:ascii="仿宋" w:hAnsi="仿宋" w:eastAsia="仿宋"/>
          <w:bCs/>
          <w:color w:val="auto"/>
          <w:sz w:val="32"/>
          <w:szCs w:val="32"/>
          <w:highlight w:val="none"/>
          <w:lang w:val="en-US" w:eastAsia="zh-CN"/>
        </w:rPr>
        <w:t>13.</w:t>
      </w:r>
      <w:r>
        <w:rPr>
          <w:rStyle w:val="19"/>
          <w:rFonts w:hint="eastAsia" w:ascii="仿宋" w:hAnsi="仿宋" w:eastAsia="仿宋"/>
          <w:bCs/>
          <w:color w:val="auto"/>
          <w:sz w:val="32"/>
          <w:szCs w:val="32"/>
          <w:highlight w:val="none"/>
        </w:rPr>
        <w:t>卫生健康支出（类）行政事业单位医疗（款）</w:t>
      </w:r>
      <w:r>
        <w:rPr>
          <w:rStyle w:val="19"/>
          <w:rFonts w:hint="eastAsia" w:ascii="仿宋" w:hAnsi="仿宋" w:eastAsia="仿宋"/>
          <w:bCs/>
          <w:color w:val="auto"/>
          <w:sz w:val="32"/>
          <w:szCs w:val="32"/>
          <w:highlight w:val="none"/>
          <w:lang w:eastAsia="zh-CN"/>
        </w:rPr>
        <w:t>事业</w:t>
      </w:r>
      <w:r>
        <w:rPr>
          <w:rStyle w:val="19"/>
          <w:rFonts w:hint="eastAsia" w:ascii="仿宋" w:hAnsi="仿宋" w:eastAsia="仿宋"/>
          <w:bCs/>
          <w:color w:val="auto"/>
          <w:sz w:val="32"/>
          <w:szCs w:val="32"/>
          <w:highlight w:val="none"/>
        </w:rPr>
        <w:t>单位医疗（项）</w:t>
      </w:r>
      <w:r>
        <w:rPr>
          <w:rStyle w:val="19"/>
          <w:rFonts w:hint="eastAsia" w:ascii="仿宋" w:hAnsi="仿宋" w:eastAsia="仿宋"/>
          <w:bCs/>
          <w:color w:val="auto"/>
          <w:sz w:val="32"/>
          <w:szCs w:val="32"/>
          <w:highlight w:val="none"/>
          <w:lang w:eastAsia="zh-CN"/>
        </w:rPr>
        <w:t>：</w:t>
      </w:r>
      <w:r>
        <w:rPr>
          <w:rStyle w:val="19"/>
          <w:rFonts w:hint="eastAsia" w:ascii="仿宋" w:hAnsi="仿宋" w:eastAsia="仿宋"/>
          <w:b w:val="0"/>
          <w:bCs/>
          <w:color w:val="auto"/>
          <w:sz w:val="32"/>
          <w:szCs w:val="32"/>
          <w:highlight w:val="none"/>
        </w:rPr>
        <w:t>支出决算为</w:t>
      </w:r>
      <w:r>
        <w:rPr>
          <w:rFonts w:hint="eastAsia" w:ascii="仿宋" w:hAnsi="仿宋" w:eastAsia="仿宋"/>
          <w:color w:val="auto"/>
          <w:sz w:val="32"/>
          <w:szCs w:val="32"/>
          <w:highlight w:val="none"/>
          <w:lang w:val="en-US" w:eastAsia="zh-CN"/>
        </w:rPr>
        <w:t>243.55</w:t>
      </w:r>
      <w:r>
        <w:rPr>
          <w:rStyle w:val="19"/>
          <w:rFonts w:hint="eastAsia" w:ascii="仿宋" w:hAnsi="仿宋" w:eastAsia="仿宋"/>
          <w:b w:val="0"/>
          <w:bCs/>
          <w:color w:val="auto"/>
          <w:sz w:val="32"/>
          <w:szCs w:val="32"/>
          <w:highlight w:val="none"/>
        </w:rPr>
        <w:t>万元，完成预算100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60" w:lineRule="exact"/>
        <w:ind w:firstLine="642" w:firstLineChars="200"/>
        <w:textAlignment w:val="auto"/>
        <w:rPr>
          <w:rFonts w:hint="eastAsia" w:ascii="Times New Roman" w:hAnsi="Times New Roman" w:eastAsia="仿宋_GB2312" w:cs="仿宋_GB2312"/>
          <w:color w:val="auto"/>
          <w:kern w:val="2"/>
          <w:sz w:val="32"/>
          <w:szCs w:val="32"/>
          <w:highlight w:val="none"/>
          <w:lang w:val="en-US" w:eastAsia="zh-CN" w:bidi="ar-SA"/>
        </w:rPr>
      </w:pPr>
      <w:r>
        <w:rPr>
          <w:rStyle w:val="19"/>
          <w:rFonts w:hint="eastAsia" w:ascii="仿宋" w:hAnsi="仿宋" w:eastAsia="仿宋"/>
          <w:bCs/>
          <w:color w:val="auto"/>
          <w:sz w:val="32"/>
          <w:szCs w:val="32"/>
          <w:highlight w:val="none"/>
          <w:lang w:val="en-US" w:eastAsia="zh-CN"/>
        </w:rPr>
        <w:t>14.</w:t>
      </w:r>
      <w:r>
        <w:rPr>
          <w:rStyle w:val="19"/>
          <w:rFonts w:hint="eastAsia" w:ascii="仿宋" w:hAnsi="仿宋" w:eastAsia="仿宋"/>
          <w:bCs/>
          <w:color w:val="auto"/>
          <w:sz w:val="32"/>
          <w:szCs w:val="32"/>
          <w:highlight w:val="none"/>
        </w:rPr>
        <w:t>住房保障支出（类）住房改革支出（款）住房公积金（项）</w:t>
      </w:r>
      <w:r>
        <w:rPr>
          <w:rStyle w:val="19"/>
          <w:rFonts w:hint="eastAsia" w:ascii="仿宋" w:hAnsi="仿宋" w:eastAsia="仿宋"/>
          <w:bCs/>
          <w:color w:val="auto"/>
          <w:sz w:val="32"/>
          <w:szCs w:val="32"/>
          <w:highlight w:val="none"/>
          <w:lang w:eastAsia="zh-CN"/>
        </w:rPr>
        <w:t>：</w:t>
      </w:r>
      <w:r>
        <w:rPr>
          <w:rStyle w:val="19"/>
          <w:rFonts w:hint="eastAsia" w:ascii="仿宋" w:hAnsi="仿宋" w:eastAsia="仿宋"/>
          <w:b w:val="0"/>
          <w:bCs/>
          <w:color w:val="auto"/>
          <w:sz w:val="32"/>
          <w:szCs w:val="32"/>
          <w:highlight w:val="none"/>
        </w:rPr>
        <w:t>支出决算为</w:t>
      </w:r>
      <w:r>
        <w:rPr>
          <w:rFonts w:hint="eastAsia" w:ascii="仿宋" w:hAnsi="仿宋" w:eastAsia="仿宋"/>
          <w:color w:val="auto"/>
          <w:sz w:val="32"/>
          <w:szCs w:val="32"/>
          <w:highlight w:val="none"/>
          <w:lang w:val="en-US" w:eastAsia="zh-CN"/>
        </w:rPr>
        <w:t>746.05</w:t>
      </w:r>
      <w:r>
        <w:rPr>
          <w:rStyle w:val="19"/>
          <w:rFonts w:hint="eastAsia" w:ascii="仿宋" w:hAnsi="仿宋" w:eastAsia="仿宋"/>
          <w:b w:val="0"/>
          <w:bCs/>
          <w:color w:val="auto"/>
          <w:sz w:val="32"/>
          <w:szCs w:val="32"/>
          <w:highlight w:val="none"/>
        </w:rPr>
        <w:t>万元，完成预算100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w:t>
      </w:r>
    </w:p>
    <w:p>
      <w:pPr>
        <w:tabs>
          <w:tab w:val="right" w:pos="8306"/>
        </w:tabs>
        <w:spacing w:line="600" w:lineRule="exact"/>
        <w:ind w:firstLine="640"/>
        <w:outlineLvl w:val="1"/>
        <w:rPr>
          <w:rStyle w:val="22"/>
          <w:rFonts w:ascii="Times New Roman" w:hAnsi="Times New Roman"/>
          <w:color w:val="auto"/>
          <w:highlight w:val="none"/>
        </w:rPr>
      </w:pPr>
      <w:bookmarkStart w:id="53" w:name="_Toc15377214"/>
      <w:bookmarkStart w:id="54" w:name="_Toc15396608"/>
      <w:bookmarkStart w:id="55" w:name="_Toc11973"/>
      <w:r>
        <w:rPr>
          <w:rFonts w:hint="eastAsia" w:ascii="Times New Roman" w:hAnsi="Times New Roman" w:eastAsia="黑体"/>
          <w:color w:val="auto"/>
          <w:sz w:val="32"/>
          <w:szCs w:val="32"/>
          <w:highlight w:val="none"/>
        </w:rPr>
        <w:t>六</w:t>
      </w:r>
      <w:r>
        <w:rPr>
          <w:rFonts w:hint="eastAsia" w:ascii="Times New Roman" w:hAnsi="Times New Roman" w:eastAsia="黑体"/>
          <w:b/>
          <w:color w:val="auto"/>
          <w:sz w:val="32"/>
          <w:szCs w:val="32"/>
          <w:highlight w:val="none"/>
        </w:rPr>
        <w:t>、一</w:t>
      </w:r>
      <w:r>
        <w:rPr>
          <w:rStyle w:val="22"/>
          <w:rFonts w:hint="eastAsia" w:ascii="Times New Roman" w:hAnsi="Times New Roman" w:eastAsia="黑体"/>
          <w:b w:val="0"/>
          <w:color w:val="auto"/>
          <w:highlight w:val="none"/>
        </w:rPr>
        <w:t>般公共预算财政拨款基本支出决算情况说明</w:t>
      </w:r>
      <w:bookmarkEnd w:id="53"/>
      <w:bookmarkEnd w:id="54"/>
      <w:bookmarkEnd w:id="55"/>
      <w:r>
        <w:rPr>
          <w:rStyle w:val="22"/>
          <w:rFonts w:ascii="Times New Roman" w:hAnsi="Times New Roman" w:eastAsia="黑体"/>
          <w:b w:val="0"/>
          <w:color w:val="auto"/>
          <w:highlight w:val="none"/>
        </w:rPr>
        <w:tab/>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2024年度一般公共预算财政拨款基本支出</w:t>
      </w:r>
      <w:r>
        <w:rPr>
          <w:rFonts w:hint="eastAsia" w:ascii="仿宋_GB2312" w:hAnsi="仿宋_GB2312" w:eastAsia="仿宋_GB2312" w:cs="仿宋_GB2312"/>
          <w:sz w:val="32"/>
          <w:szCs w:val="32"/>
        </w:rPr>
        <w:t>11055.02</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元，其中：</w:t>
      </w:r>
    </w:p>
    <w:p>
      <w:pPr>
        <w:spacing w:line="600" w:lineRule="exact"/>
        <w:ind w:firstLine="640"/>
        <w:rPr>
          <w:rFonts w:hint="eastAsia" w:ascii="Times New Roman" w:hAnsi="Times New Roman" w:eastAsia="黑体"/>
          <w:color w:val="auto"/>
          <w:sz w:val="32"/>
          <w:szCs w:val="32"/>
          <w:highlight w:val="none"/>
        </w:rPr>
      </w:pPr>
      <w:r>
        <w:rPr>
          <w:rFonts w:hint="eastAsia" w:ascii="Times New Roman" w:hAnsi="Times New Roman" w:eastAsia="仿宋_GB2312" w:cs="仿宋_GB2312"/>
          <w:color w:val="auto"/>
          <w:kern w:val="2"/>
          <w:sz w:val="32"/>
          <w:szCs w:val="32"/>
          <w:highlight w:val="none"/>
          <w:lang w:val="en-US" w:eastAsia="zh-CN" w:bidi="ar-SA"/>
        </w:rPr>
        <w:t>人员经费</w:t>
      </w:r>
      <w:r>
        <w:rPr>
          <w:rFonts w:hint="eastAsia" w:ascii="仿宋_GB2312" w:hAnsi="仿宋_GB2312" w:eastAsia="仿宋_GB2312" w:cs="仿宋_GB2312"/>
          <w:sz w:val="32"/>
          <w:szCs w:val="32"/>
        </w:rPr>
        <w:t>10444.53</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元，主要包括：基本工资、津贴补贴、奖金、绩效工资、机关事业单位基本养老保险缴费、职业年金缴费、职工基本医疗保险缴费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其他社会保障缴费、住房公积金、其他工资福利支出、抚恤金、生活补助、奖励金、其他对个人和家庭的补助支出。</w:t>
      </w:r>
      <w:r>
        <w:rPr>
          <w:rFonts w:hint="eastAsia" w:ascii="Times New Roman" w:hAnsi="Times New Roman" w:eastAsia="仿宋_GB2312" w:cs="仿宋_GB2312"/>
          <w:color w:val="auto"/>
          <w:kern w:val="2"/>
          <w:sz w:val="32"/>
          <w:szCs w:val="32"/>
          <w:highlight w:val="none"/>
          <w:lang w:val="en-US" w:eastAsia="zh-CN" w:bidi="ar-SA"/>
        </w:rPr>
        <w:br w:type="textWrapping"/>
      </w:r>
      <w:r>
        <w:rPr>
          <w:rFonts w:hint="eastAsia" w:eastAsia="仿宋_GB2312" w:cs="仿宋_GB2312"/>
          <w:color w:val="auto"/>
          <w:kern w:val="2"/>
          <w:sz w:val="32"/>
          <w:szCs w:val="32"/>
          <w:highlight w:val="none"/>
          <w:lang w:val="en-US" w:eastAsia="zh-CN" w:bidi="ar-SA"/>
        </w:rPr>
        <w:t xml:space="preserve">    </w:t>
      </w:r>
      <w:r>
        <w:rPr>
          <w:rFonts w:hint="eastAsia" w:ascii="Times New Roman" w:hAnsi="Times New Roman" w:eastAsia="仿宋_GB2312" w:cs="仿宋_GB2312"/>
          <w:color w:val="auto"/>
          <w:kern w:val="2"/>
          <w:sz w:val="32"/>
          <w:szCs w:val="32"/>
          <w:highlight w:val="none"/>
          <w:lang w:val="en-US" w:eastAsia="zh-CN" w:bidi="ar-SA"/>
        </w:rPr>
        <w:t>公用经费</w:t>
      </w:r>
      <w:r>
        <w:rPr>
          <w:rFonts w:hint="eastAsia" w:ascii="仿宋_GB2312" w:hAnsi="仿宋_GB2312" w:eastAsia="仿宋_GB2312" w:cs="仿宋_GB2312"/>
          <w:sz w:val="32"/>
          <w:szCs w:val="32"/>
        </w:rPr>
        <w:t>610.49</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元，主要包括：办公费、印刷费、手续费、水费、电费、邮电费、物业管理费、差旅费、维修（护）费、租赁费、培训费、</w:t>
      </w:r>
      <w:r>
        <w:rPr>
          <w:rFonts w:hint="eastAsia" w:eastAsia="仿宋_GB2312" w:cs="仿宋_GB2312"/>
          <w:color w:val="auto"/>
          <w:kern w:val="2"/>
          <w:sz w:val="32"/>
          <w:szCs w:val="32"/>
          <w:highlight w:val="none"/>
          <w:lang w:val="en-US" w:eastAsia="zh-CN" w:bidi="ar-SA"/>
        </w:rPr>
        <w:t>专用材料费、</w:t>
      </w:r>
      <w:r>
        <w:rPr>
          <w:rFonts w:hint="eastAsia" w:ascii="Times New Roman" w:hAnsi="Times New Roman" w:eastAsia="仿宋_GB2312" w:cs="仿宋_GB2312"/>
          <w:color w:val="auto"/>
          <w:kern w:val="2"/>
          <w:sz w:val="32"/>
          <w:szCs w:val="32"/>
          <w:highlight w:val="none"/>
          <w:lang w:val="en-US" w:eastAsia="zh-CN" w:bidi="ar-SA"/>
        </w:rPr>
        <w:t>委托业务费、工会经费、福利费、其他交通费</w:t>
      </w:r>
      <w:r>
        <w:rPr>
          <w:rFonts w:hint="eastAsia" w:eastAsia="仿宋_GB2312" w:cs="仿宋_GB2312"/>
          <w:color w:val="auto"/>
          <w:kern w:val="2"/>
          <w:sz w:val="32"/>
          <w:szCs w:val="32"/>
          <w:highlight w:val="none"/>
          <w:lang w:val="en-US" w:eastAsia="zh-CN" w:bidi="ar-SA"/>
        </w:rPr>
        <w:t>用</w:t>
      </w:r>
      <w:r>
        <w:rPr>
          <w:rFonts w:hint="eastAsia" w:ascii="Times New Roman" w:hAnsi="Times New Roman" w:eastAsia="仿宋_GB2312" w:cs="仿宋_GB2312"/>
          <w:color w:val="auto"/>
          <w:kern w:val="2"/>
          <w:sz w:val="32"/>
          <w:szCs w:val="32"/>
          <w:highlight w:val="none"/>
          <w:lang w:val="en-US" w:eastAsia="zh-CN" w:bidi="ar-SA"/>
        </w:rPr>
        <w:t>、其他商品和服务支出。</w:t>
      </w:r>
      <w:bookmarkStart w:id="56" w:name="_Toc15396609"/>
      <w:bookmarkStart w:id="57" w:name="_Toc15377215"/>
    </w:p>
    <w:p>
      <w:pPr>
        <w:spacing w:line="600" w:lineRule="exact"/>
        <w:ind w:firstLine="640"/>
        <w:outlineLvl w:val="1"/>
        <w:rPr>
          <w:rStyle w:val="22"/>
          <w:rFonts w:ascii="Times New Roman" w:hAnsi="Times New Roman" w:eastAsia="黑体"/>
          <w:b w:val="0"/>
          <w:color w:val="auto"/>
          <w:highlight w:val="none"/>
        </w:rPr>
      </w:pPr>
      <w:bookmarkStart w:id="58" w:name="_Toc5876"/>
      <w:r>
        <w:rPr>
          <w:rFonts w:hint="eastAsia" w:ascii="Times New Roman" w:hAnsi="Times New Roman" w:eastAsia="黑体"/>
          <w:color w:val="auto"/>
          <w:sz w:val="32"/>
          <w:szCs w:val="32"/>
          <w:highlight w:val="none"/>
        </w:rPr>
        <w:t>七、</w:t>
      </w:r>
      <w:r>
        <w:rPr>
          <w:rStyle w:val="22"/>
          <w:rFonts w:hint="eastAsia" w:ascii="Times New Roman" w:hAnsi="Times New Roman" w:eastAsia="黑体"/>
          <w:b w:val="0"/>
          <w:color w:val="auto"/>
          <w:highlight w:val="none"/>
        </w:rPr>
        <w:t>财政拨款</w:t>
      </w:r>
      <w:r>
        <w:rPr>
          <w:rStyle w:val="22"/>
          <w:rFonts w:hint="eastAsia" w:ascii="Times New Roman" w:hAnsi="Times New Roman" w:eastAsia="黑体"/>
          <w:color w:val="auto"/>
          <w:highlight w:val="none"/>
        </w:rPr>
        <w:t>“</w:t>
      </w:r>
      <w:r>
        <w:rPr>
          <w:rStyle w:val="22"/>
          <w:rFonts w:hint="eastAsia" w:ascii="Times New Roman" w:hAnsi="Times New Roman" w:eastAsia="黑体"/>
          <w:b w:val="0"/>
          <w:color w:val="auto"/>
          <w:highlight w:val="none"/>
        </w:rPr>
        <w:t>三公”经费支出决算情况说明</w:t>
      </w:r>
      <w:bookmarkEnd w:id="56"/>
      <w:bookmarkEnd w:id="57"/>
      <w:bookmarkEnd w:id="58"/>
    </w:p>
    <w:p>
      <w:pPr>
        <w:spacing w:line="600" w:lineRule="exact"/>
        <w:ind w:firstLine="640"/>
        <w:outlineLvl w:val="2"/>
        <w:rPr>
          <w:rFonts w:hint="eastAsia" w:ascii="仿宋_GB2312" w:hAnsi="仿宋_GB2312" w:eastAsia="仿宋_GB2312" w:cs="仿宋_GB2312"/>
          <w:b/>
          <w:color w:val="auto"/>
          <w:sz w:val="32"/>
          <w:szCs w:val="32"/>
          <w:highlight w:val="none"/>
        </w:rPr>
      </w:pPr>
      <w:bookmarkStart w:id="59" w:name="_Toc15377216"/>
      <w:bookmarkStart w:id="60" w:name="_Toc15377218"/>
      <w:bookmarkStart w:id="61" w:name="_Toc15396610"/>
      <w:r>
        <w:rPr>
          <w:rFonts w:hint="eastAsia" w:ascii="仿宋_GB2312" w:hAnsi="仿宋_GB2312" w:eastAsia="仿宋_GB2312" w:cs="仿宋_GB2312"/>
          <w:b/>
          <w:color w:val="auto"/>
          <w:sz w:val="32"/>
          <w:szCs w:val="32"/>
          <w:highlight w:val="none"/>
        </w:rPr>
        <w:t>（一）“三公”经费财政拨款支出决算总体情况说明</w:t>
      </w:r>
      <w:bookmarkEnd w:id="59"/>
    </w:p>
    <w:p>
      <w:pPr>
        <w:keepNext w:val="0"/>
        <w:keepLines w:val="0"/>
        <w:pageBreakBefore w:val="0"/>
        <w:widowControl w:val="0"/>
        <w:shd w:val="clear" w:color="auto" w:fill="auto"/>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auto"/>
          <w:sz w:val="32"/>
          <w:szCs w:val="32"/>
          <w:highlight w:val="none"/>
          <w:lang w:val="en-US" w:eastAsia="zh-CN"/>
        </w:rPr>
      </w:pPr>
      <w:bookmarkStart w:id="62" w:name="_Toc15377217"/>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“三公”经费财政拨款支出决算为0万元，</w:t>
      </w:r>
      <w:r>
        <w:rPr>
          <w:rFonts w:hint="eastAsia" w:ascii="仿宋_GB2312" w:hAnsi="仿宋_GB2312" w:eastAsia="仿宋_GB2312" w:cs="仿宋_GB2312"/>
          <w:color w:val="auto"/>
          <w:sz w:val="32"/>
          <w:szCs w:val="32"/>
          <w:highlight w:val="none"/>
          <w:lang w:eastAsia="zh-CN"/>
        </w:rPr>
        <w:t>年初未安排</w:t>
      </w:r>
      <w:r>
        <w:rPr>
          <w:rFonts w:hint="eastAsia" w:ascii="仿宋_GB2312" w:hAnsi="仿宋_GB2312" w:eastAsia="仿宋_GB2312" w:cs="仿宋_GB2312"/>
          <w:color w:val="auto"/>
          <w:sz w:val="32"/>
          <w:szCs w:val="32"/>
          <w:highlight w:val="none"/>
        </w:rPr>
        <w:t>财政拨款支出</w:t>
      </w:r>
      <w:r>
        <w:rPr>
          <w:rFonts w:hint="eastAsia" w:ascii="仿宋_GB2312" w:hAnsi="仿宋_GB2312" w:eastAsia="仿宋_GB2312" w:cs="仿宋_GB2312"/>
          <w:color w:val="auto"/>
          <w:sz w:val="32"/>
          <w:szCs w:val="32"/>
          <w:highlight w:val="none"/>
          <w:lang w:eastAsia="zh-CN"/>
        </w:rPr>
        <w:t>预算</w:t>
      </w:r>
      <w:r>
        <w:rPr>
          <w:rFonts w:hint="eastAsia" w:ascii="仿宋_GB2312" w:hAnsi="仿宋_GB2312" w:eastAsia="仿宋_GB2312" w:cs="仿宋_GB2312"/>
          <w:color w:val="auto"/>
          <w:sz w:val="32"/>
          <w:szCs w:val="32"/>
          <w:highlight w:val="none"/>
        </w:rPr>
        <w:t>，“三公”经费支出均为财政专户管理资金支出</w:t>
      </w:r>
      <w:r>
        <w:rPr>
          <w:rFonts w:hint="eastAsia" w:ascii="仿宋_GB2312" w:hAnsi="仿宋_GB2312" w:eastAsia="仿宋_GB2312" w:cs="仿宋_GB2312"/>
          <w:color w:val="auto"/>
          <w:sz w:val="32"/>
          <w:szCs w:val="32"/>
          <w:highlight w:val="none"/>
          <w:lang w:eastAsia="zh-CN"/>
        </w:rPr>
        <w:t>，相比</w:t>
      </w:r>
      <w:r>
        <w:rPr>
          <w:rFonts w:hint="eastAsia" w:ascii="仿宋_GB2312" w:hAnsi="仿宋_GB2312" w:eastAsia="仿宋_GB2312" w:cs="仿宋_GB2312"/>
          <w:color w:val="auto"/>
          <w:sz w:val="32"/>
          <w:szCs w:val="32"/>
          <w:highlight w:val="none"/>
          <w:lang w:val="en-US" w:eastAsia="zh-CN"/>
        </w:rPr>
        <w:t>2024年无变化。</w:t>
      </w:r>
    </w:p>
    <w:p>
      <w:pPr>
        <w:spacing w:line="600" w:lineRule="exact"/>
        <w:ind w:firstLine="640"/>
        <w:outlineLvl w:val="2"/>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rPr>
        <w:t>（二）“三公”经费财政拨款支出决算具体情况说明</w:t>
      </w:r>
      <w:bookmarkEnd w:id="62"/>
    </w:p>
    <w:p>
      <w:pPr>
        <w:keepNext w:val="0"/>
        <w:keepLines w:val="0"/>
        <w:pageBreakBefore w:val="0"/>
        <w:widowControl w:val="0"/>
        <w:shd w:val="clear" w:color="auto" w:fill="auto"/>
        <w:kinsoku/>
        <w:wordWrap/>
        <w:overflowPunct/>
        <w:topLinePunct w:val="0"/>
        <w:autoSpaceDE/>
        <w:autoSpaceDN/>
        <w:bidi w:val="0"/>
        <w:adjustRightInd/>
        <w:snapToGrid/>
        <w:spacing w:line="600" w:lineRule="exact"/>
        <w:ind w:firstLine="64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2024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“三公”经费财政拨款支出决算中，因公出国（境）费支出决算0万元；公务用车购置及运行维护费支出决算0万元；公务接待费支出决算0万元</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shd w:val="clear" w:color="auto" w:fill="auto"/>
        <w:kinsoku/>
        <w:wordWrap/>
        <w:overflowPunct/>
        <w:topLinePunct w:val="0"/>
        <w:autoSpaceDE/>
        <w:autoSpaceDN/>
        <w:bidi w:val="0"/>
        <w:adjustRightInd/>
        <w:snapToGrid/>
        <w:spacing w:line="600"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具体情况如下：</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600" w:lineRule="exact"/>
        <w:ind w:firstLine="642" w:firstLineChars="20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b/>
          <w:color w:val="auto"/>
          <w:sz w:val="32"/>
          <w:szCs w:val="32"/>
          <w:highlight w:val="none"/>
        </w:rPr>
        <w:t>1.因公出国（境）经费支出</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年初未安排</w:t>
      </w:r>
      <w:r>
        <w:rPr>
          <w:rFonts w:hint="eastAsia" w:ascii="仿宋_GB2312" w:hAnsi="仿宋_GB2312" w:eastAsia="仿宋_GB2312" w:cs="仿宋_GB2312"/>
          <w:color w:val="auto"/>
          <w:sz w:val="32"/>
          <w:szCs w:val="32"/>
          <w:highlight w:val="none"/>
        </w:rPr>
        <w:t>财政拨款支出</w:t>
      </w:r>
      <w:r>
        <w:rPr>
          <w:rFonts w:hint="eastAsia" w:ascii="仿宋_GB2312" w:hAnsi="仿宋_GB2312" w:eastAsia="仿宋_GB2312" w:cs="仿宋_GB2312"/>
          <w:color w:val="auto"/>
          <w:sz w:val="32"/>
          <w:szCs w:val="32"/>
          <w:highlight w:val="none"/>
          <w:lang w:eastAsia="zh-CN"/>
        </w:rPr>
        <w:t>预算，</w:t>
      </w:r>
      <w:r>
        <w:rPr>
          <w:rFonts w:hint="eastAsia" w:ascii="仿宋_GB2312" w:hAnsi="仿宋_GB2312" w:eastAsia="仿宋_GB2312" w:cs="仿宋_GB2312"/>
          <w:color w:val="auto"/>
          <w:sz w:val="32"/>
          <w:szCs w:val="32"/>
          <w:highlight w:val="none"/>
        </w:rPr>
        <w:t>因公出国（境）支出决算</w:t>
      </w:r>
      <w:r>
        <w:rPr>
          <w:rFonts w:hint="eastAsia" w:ascii="仿宋_GB2312" w:hAnsi="仿宋_GB2312" w:eastAsia="仿宋_GB2312" w:cs="仿宋_GB2312"/>
          <w:color w:val="auto"/>
          <w:sz w:val="32"/>
          <w:szCs w:val="32"/>
          <w:highlight w:val="none"/>
          <w:lang w:eastAsia="zh-CN"/>
        </w:rPr>
        <w:t>相</w:t>
      </w:r>
      <w:r>
        <w:rPr>
          <w:rFonts w:hint="eastAsia" w:ascii="仿宋_GB2312" w:hAnsi="仿宋_GB2312" w:eastAsia="仿宋_GB2312" w:cs="仿宋_GB2312"/>
          <w:color w:val="auto"/>
          <w:sz w:val="32"/>
          <w:szCs w:val="32"/>
          <w:highlight w:val="none"/>
        </w:rPr>
        <w:t>比20</w:t>
      </w:r>
      <w:r>
        <w:rPr>
          <w:rFonts w:hint="eastAsia" w:ascii="仿宋_GB2312" w:hAnsi="仿宋_GB2312" w:eastAsia="仿宋_GB2312" w:cs="仿宋_GB2312"/>
          <w:color w:val="auto"/>
          <w:sz w:val="32"/>
          <w:szCs w:val="32"/>
          <w:highlight w:val="none"/>
          <w:lang w:val="en-US" w:eastAsia="zh-CN"/>
        </w:rPr>
        <w:t>23</w:t>
      </w:r>
      <w:r>
        <w:rPr>
          <w:rFonts w:hint="eastAsia" w:ascii="仿宋_GB2312" w:hAnsi="仿宋_GB2312" w:eastAsia="仿宋_GB2312" w:cs="仿宋_GB2312"/>
          <w:color w:val="auto"/>
          <w:sz w:val="32"/>
          <w:szCs w:val="32"/>
          <w:highlight w:val="none"/>
        </w:rPr>
        <w:t>年无变化。</w:t>
      </w:r>
      <w:r>
        <w:rPr>
          <w:rFonts w:hint="eastAsia" w:ascii="仿宋_GB2312" w:hAnsi="仿宋_GB2312" w:eastAsia="仿宋_GB2312" w:cs="仿宋_GB2312"/>
          <w:color w:val="auto"/>
          <w:sz w:val="32"/>
          <w:szCs w:val="32"/>
          <w:highlight w:val="none"/>
          <w:lang w:eastAsia="zh-CN"/>
        </w:rPr>
        <w:t>主要原因是我校</w:t>
      </w:r>
      <w:r>
        <w:rPr>
          <w:rFonts w:hint="eastAsia" w:ascii="仿宋_GB2312" w:hAnsi="仿宋_GB2312" w:eastAsia="仿宋_GB2312" w:cs="仿宋_GB2312"/>
          <w:color w:val="auto"/>
          <w:sz w:val="32"/>
          <w:szCs w:val="32"/>
          <w:highlight w:val="none"/>
          <w:lang w:val="en-US" w:eastAsia="zh-CN"/>
        </w:rPr>
        <w:t>2024年因公出国（境）费均</w:t>
      </w:r>
      <w:r>
        <w:rPr>
          <w:rFonts w:hint="eastAsia" w:ascii="仿宋_GB2312" w:hAnsi="仿宋_GB2312" w:eastAsia="仿宋_GB2312" w:cs="仿宋_GB2312"/>
          <w:color w:val="auto"/>
          <w:sz w:val="32"/>
          <w:szCs w:val="32"/>
          <w:highlight w:val="none"/>
          <w:lang w:eastAsia="zh-CN"/>
        </w:rPr>
        <w:t>为</w:t>
      </w:r>
      <w:r>
        <w:rPr>
          <w:rFonts w:hint="eastAsia" w:ascii="仿宋_GB2312" w:hAnsi="仿宋_GB2312" w:eastAsia="仿宋_GB2312" w:cs="仿宋_GB2312"/>
          <w:color w:val="auto"/>
          <w:sz w:val="32"/>
          <w:szCs w:val="32"/>
          <w:highlight w:val="none"/>
        </w:rPr>
        <w:t>财政专户管理资金支出</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shd w:val="clear" w:color="auto" w:fill="auto"/>
        <w:kinsoku/>
        <w:wordWrap/>
        <w:overflowPunct/>
        <w:topLinePunct w:val="0"/>
        <w:autoSpaceDE/>
        <w:autoSpaceDN/>
        <w:bidi w:val="0"/>
        <w:adjustRightInd/>
        <w:snapToGrid/>
        <w:spacing w:line="600" w:lineRule="exact"/>
        <w:ind w:firstLine="640"/>
        <w:textAlignment w:val="auto"/>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rPr>
        <w:t>2.公务用车购置及运行维护费支出</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，年初未安排</w:t>
      </w:r>
      <w:r>
        <w:rPr>
          <w:rFonts w:hint="eastAsia" w:ascii="仿宋_GB2312" w:hAnsi="仿宋_GB2312" w:eastAsia="仿宋_GB2312" w:cs="仿宋_GB2312"/>
          <w:color w:val="auto"/>
          <w:sz w:val="32"/>
          <w:szCs w:val="32"/>
          <w:highlight w:val="none"/>
        </w:rPr>
        <w:t>财政拨款支出</w:t>
      </w:r>
      <w:r>
        <w:rPr>
          <w:rFonts w:hint="eastAsia" w:ascii="仿宋_GB2312" w:hAnsi="仿宋_GB2312" w:eastAsia="仿宋_GB2312" w:cs="仿宋_GB2312"/>
          <w:color w:val="auto"/>
          <w:sz w:val="32"/>
          <w:szCs w:val="32"/>
          <w:highlight w:val="none"/>
          <w:lang w:eastAsia="zh-CN"/>
        </w:rPr>
        <w:t>预算，</w:t>
      </w:r>
      <w:r>
        <w:rPr>
          <w:rFonts w:hint="eastAsia" w:ascii="仿宋_GB2312" w:hAnsi="仿宋_GB2312" w:eastAsia="仿宋_GB2312" w:cs="仿宋_GB2312"/>
          <w:color w:val="auto"/>
          <w:sz w:val="32"/>
          <w:szCs w:val="32"/>
          <w:highlight w:val="none"/>
        </w:rPr>
        <w:t>公务用车购置及运行维护费支出决算</w:t>
      </w:r>
      <w:r>
        <w:rPr>
          <w:rFonts w:hint="eastAsia" w:ascii="仿宋_GB2312" w:hAnsi="仿宋_GB2312" w:eastAsia="仿宋_GB2312" w:cs="仿宋_GB2312"/>
          <w:color w:val="auto"/>
          <w:sz w:val="32"/>
          <w:szCs w:val="32"/>
          <w:highlight w:val="none"/>
          <w:lang w:eastAsia="zh-CN"/>
        </w:rPr>
        <w:t>相</w:t>
      </w:r>
      <w:r>
        <w:rPr>
          <w:rFonts w:hint="eastAsia" w:ascii="仿宋_GB2312" w:hAnsi="仿宋_GB2312" w:eastAsia="仿宋_GB2312" w:cs="仿宋_GB2312"/>
          <w:color w:val="auto"/>
          <w:sz w:val="32"/>
          <w:szCs w:val="32"/>
          <w:highlight w:val="none"/>
        </w:rPr>
        <w:t>比</w:t>
      </w:r>
      <w:r>
        <w:rPr>
          <w:rFonts w:hint="eastAsia" w:ascii="仿宋_GB2312" w:hAnsi="仿宋_GB2312" w:eastAsia="仿宋_GB2312" w:cs="仿宋_GB2312"/>
          <w:color w:val="auto"/>
          <w:sz w:val="32"/>
          <w:szCs w:val="32"/>
          <w:highlight w:val="none"/>
          <w:lang w:val="en-US" w:eastAsia="zh-CN"/>
        </w:rPr>
        <w:t>2023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无变化</w:t>
      </w:r>
      <w:r>
        <w:rPr>
          <w:rFonts w:hint="eastAsia" w:ascii="仿宋_GB2312" w:hAnsi="仿宋_GB2312" w:eastAsia="仿宋_GB2312" w:cs="仿宋_GB2312"/>
          <w:color w:val="auto"/>
          <w:sz w:val="32"/>
          <w:szCs w:val="32"/>
          <w:highlight w:val="none"/>
        </w:rPr>
        <w:t>。</w:t>
      </w:r>
    </w:p>
    <w:p>
      <w:pPr>
        <w:keepNext w:val="0"/>
        <w:keepLines w:val="0"/>
        <w:pageBreakBefore w:val="0"/>
        <w:widowControl w:val="0"/>
        <w:shd w:val="clear" w:color="auto" w:fill="auto"/>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color w:val="auto"/>
          <w:sz w:val="32"/>
          <w:szCs w:val="32"/>
          <w:highlight w:val="none"/>
          <w:lang w:val="en-US" w:eastAsia="zh-CN"/>
        </w:rPr>
      </w:pPr>
      <w:r>
        <w:rPr>
          <w:rFonts w:hint="eastAsia" w:ascii="仿宋_GB2312" w:hAnsi="仿宋_GB2312" w:eastAsia="仿宋_GB2312" w:cs="仿宋_GB2312"/>
          <w:color w:val="auto"/>
          <w:sz w:val="32"/>
          <w:szCs w:val="32"/>
          <w:highlight w:val="none"/>
        </w:rPr>
        <w:t>其中：</w:t>
      </w:r>
      <w:r>
        <w:rPr>
          <w:rFonts w:hint="eastAsia" w:ascii="仿宋_GB2312" w:hAnsi="仿宋_GB2312" w:eastAsia="仿宋_GB2312" w:cs="仿宋_GB2312"/>
          <w:b/>
          <w:color w:val="auto"/>
          <w:sz w:val="32"/>
          <w:szCs w:val="32"/>
          <w:highlight w:val="none"/>
        </w:rPr>
        <w:t>公务用车购置支出</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万元。全年</w:t>
      </w:r>
      <w:r>
        <w:rPr>
          <w:rFonts w:hint="eastAsia" w:ascii="仿宋_GB2312" w:hAnsi="仿宋_GB2312" w:eastAsia="仿宋_GB2312" w:cs="仿宋_GB2312"/>
          <w:color w:val="auto"/>
          <w:sz w:val="32"/>
          <w:szCs w:val="32"/>
          <w:highlight w:val="none"/>
          <w:lang w:eastAsia="zh-CN"/>
        </w:rPr>
        <w:t>未更新</w:t>
      </w:r>
      <w:r>
        <w:rPr>
          <w:rFonts w:hint="eastAsia" w:ascii="仿宋_GB2312" w:hAnsi="仿宋_GB2312" w:eastAsia="仿宋_GB2312" w:cs="仿宋_GB2312"/>
          <w:color w:val="auto"/>
          <w:sz w:val="32"/>
          <w:szCs w:val="32"/>
          <w:highlight w:val="none"/>
        </w:rPr>
        <w:t>购置公务用车</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截至20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rPr>
        <w:t>年12月底，单位共有公务用车</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辆，其中：轿车</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辆、越野车</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辆</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shd w:val="clear" w:color="auto" w:fill="auto"/>
        <w:kinsoku/>
        <w:wordWrap/>
        <w:overflowPunct/>
        <w:topLinePunct w:val="0"/>
        <w:autoSpaceDE/>
        <w:autoSpaceDN/>
        <w:bidi w:val="0"/>
        <w:adjustRightInd/>
        <w:snapToGrid/>
        <w:spacing w:line="600" w:lineRule="exact"/>
        <w:ind w:firstLine="64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color w:val="auto"/>
          <w:sz w:val="32"/>
          <w:szCs w:val="32"/>
          <w:highlight w:val="none"/>
        </w:rPr>
        <w:t>公务用车运行维护费支出</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万元。主要原因</w:t>
      </w:r>
      <w:r>
        <w:rPr>
          <w:rFonts w:hint="eastAsia" w:ascii="仿宋_GB2312" w:hAnsi="仿宋_GB2312" w:eastAsia="仿宋_GB2312" w:cs="仿宋_GB2312"/>
          <w:color w:val="auto"/>
          <w:sz w:val="32"/>
          <w:szCs w:val="32"/>
          <w:highlight w:val="none"/>
          <w:lang w:eastAsia="zh-CN"/>
        </w:rPr>
        <w:t>是</w:t>
      </w:r>
      <w:r>
        <w:rPr>
          <w:rFonts w:hint="eastAsia" w:ascii="仿宋_GB2312" w:hAnsi="仿宋_GB2312" w:eastAsia="仿宋_GB2312" w:cs="仿宋_GB2312"/>
          <w:color w:val="auto"/>
          <w:sz w:val="32"/>
          <w:szCs w:val="32"/>
          <w:highlight w:val="none"/>
        </w:rPr>
        <w:t>我校</w:t>
      </w:r>
      <w:r>
        <w:rPr>
          <w:rFonts w:hint="eastAsia" w:ascii="仿宋_GB2312" w:hAnsi="仿宋_GB2312" w:eastAsia="仿宋_GB2312" w:cs="仿宋_GB2312"/>
          <w:color w:val="auto"/>
          <w:sz w:val="32"/>
          <w:szCs w:val="32"/>
          <w:highlight w:val="none"/>
          <w:lang w:val="en-US" w:eastAsia="zh-CN"/>
        </w:rPr>
        <w:t>2024</w:t>
      </w:r>
      <w:r>
        <w:rPr>
          <w:rFonts w:hint="eastAsia" w:ascii="仿宋_GB2312" w:hAnsi="仿宋_GB2312" w:eastAsia="仿宋_GB2312" w:cs="仿宋_GB2312"/>
          <w:b w:val="0"/>
          <w:bCs/>
          <w:color w:val="auto"/>
          <w:sz w:val="32"/>
          <w:szCs w:val="32"/>
          <w:highlight w:val="none"/>
          <w:lang w:eastAsia="zh-CN"/>
        </w:rPr>
        <w:t>公务用车</w:t>
      </w:r>
      <w:r>
        <w:rPr>
          <w:rFonts w:hint="eastAsia" w:ascii="仿宋_GB2312" w:hAnsi="仿宋_GB2312" w:eastAsia="仿宋_GB2312" w:cs="仿宋_GB2312"/>
          <w:b w:val="0"/>
          <w:bCs/>
          <w:color w:val="auto"/>
          <w:sz w:val="32"/>
          <w:szCs w:val="32"/>
          <w:highlight w:val="none"/>
        </w:rPr>
        <w:t>运行维护费</w:t>
      </w:r>
      <w:r>
        <w:rPr>
          <w:rFonts w:hint="eastAsia" w:ascii="仿宋_GB2312" w:hAnsi="仿宋_GB2312" w:eastAsia="仿宋_GB2312" w:cs="仿宋_GB2312"/>
          <w:color w:val="auto"/>
          <w:sz w:val="32"/>
          <w:szCs w:val="32"/>
          <w:highlight w:val="none"/>
        </w:rPr>
        <w:t>均为财政专户管理资金支出</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shd w:val="clear" w:color="auto" w:fill="auto"/>
        <w:kinsoku/>
        <w:wordWrap/>
        <w:overflowPunct/>
        <w:topLinePunct w:val="0"/>
        <w:autoSpaceDE/>
        <w:autoSpaceDN/>
        <w:bidi w:val="0"/>
        <w:adjustRightInd/>
        <w:snapToGrid/>
        <w:spacing w:line="600" w:lineRule="exact"/>
        <w:ind w:firstLine="642" w:firstLineChars="200"/>
        <w:textAlignment w:val="auto"/>
        <w:rPr>
          <w:rFonts w:hint="eastAsia" w:ascii="Times New Roman" w:hAnsi="Times New Roman" w:eastAsia="黑体"/>
          <w:color w:val="auto"/>
          <w:sz w:val="32"/>
          <w:szCs w:val="32"/>
          <w:highlight w:val="none"/>
        </w:rPr>
      </w:pPr>
      <w:r>
        <w:rPr>
          <w:rFonts w:hint="eastAsia" w:ascii="仿宋_GB2312" w:hAnsi="仿宋_GB2312" w:eastAsia="仿宋_GB2312" w:cs="仿宋_GB2312"/>
          <w:b/>
          <w:color w:val="auto"/>
          <w:sz w:val="32"/>
          <w:szCs w:val="32"/>
          <w:highlight w:val="none"/>
        </w:rPr>
        <w:t>3.公务接待费支出</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年初未安排</w:t>
      </w:r>
      <w:r>
        <w:rPr>
          <w:rFonts w:hint="eastAsia" w:ascii="仿宋_GB2312" w:hAnsi="仿宋_GB2312" w:eastAsia="仿宋_GB2312" w:cs="仿宋_GB2312"/>
          <w:color w:val="auto"/>
          <w:sz w:val="32"/>
          <w:szCs w:val="32"/>
          <w:highlight w:val="none"/>
        </w:rPr>
        <w:t>财政拨款支出</w:t>
      </w:r>
      <w:r>
        <w:rPr>
          <w:rFonts w:hint="eastAsia" w:ascii="仿宋_GB2312" w:hAnsi="仿宋_GB2312" w:eastAsia="仿宋_GB2312" w:cs="仿宋_GB2312"/>
          <w:color w:val="auto"/>
          <w:sz w:val="32"/>
          <w:szCs w:val="32"/>
          <w:highlight w:val="none"/>
          <w:lang w:eastAsia="zh-CN"/>
        </w:rPr>
        <w:t>预算，</w:t>
      </w:r>
      <w:r>
        <w:rPr>
          <w:rFonts w:hint="eastAsia" w:ascii="仿宋_GB2312" w:hAnsi="仿宋_GB2312" w:eastAsia="仿宋_GB2312" w:cs="仿宋_GB2312"/>
          <w:color w:val="auto"/>
          <w:sz w:val="32"/>
          <w:szCs w:val="32"/>
          <w:highlight w:val="none"/>
        </w:rPr>
        <w:t>公务接待费支出决算</w:t>
      </w:r>
      <w:r>
        <w:rPr>
          <w:rFonts w:hint="eastAsia" w:ascii="仿宋_GB2312" w:hAnsi="仿宋_GB2312" w:eastAsia="仿宋_GB2312" w:cs="仿宋_GB2312"/>
          <w:color w:val="auto"/>
          <w:sz w:val="32"/>
          <w:szCs w:val="32"/>
          <w:highlight w:val="none"/>
          <w:lang w:eastAsia="zh-CN"/>
        </w:rPr>
        <w:t>相</w:t>
      </w:r>
      <w:r>
        <w:rPr>
          <w:rFonts w:hint="eastAsia" w:ascii="仿宋_GB2312" w:hAnsi="仿宋_GB2312" w:eastAsia="仿宋_GB2312" w:cs="仿宋_GB2312"/>
          <w:color w:val="auto"/>
          <w:sz w:val="32"/>
          <w:szCs w:val="32"/>
          <w:highlight w:val="none"/>
        </w:rPr>
        <w:t>比</w:t>
      </w:r>
      <w:r>
        <w:rPr>
          <w:rFonts w:hint="eastAsia" w:ascii="仿宋_GB2312" w:hAnsi="仿宋_GB2312" w:eastAsia="仿宋_GB2312" w:cs="仿宋_GB2312"/>
          <w:color w:val="auto"/>
          <w:sz w:val="32"/>
          <w:szCs w:val="32"/>
          <w:highlight w:val="none"/>
          <w:lang w:val="en-US" w:eastAsia="zh-CN"/>
        </w:rPr>
        <w:t>2023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无变化</w:t>
      </w:r>
      <w:r>
        <w:rPr>
          <w:rFonts w:hint="eastAsia" w:ascii="仿宋_GB2312" w:hAnsi="仿宋_GB2312" w:eastAsia="仿宋_GB2312" w:cs="仿宋_GB2312"/>
          <w:color w:val="auto"/>
          <w:sz w:val="32"/>
          <w:szCs w:val="32"/>
          <w:highlight w:val="none"/>
        </w:rPr>
        <w:t>。主要原因我校</w:t>
      </w:r>
      <w:r>
        <w:rPr>
          <w:rFonts w:hint="eastAsia" w:ascii="仿宋_GB2312" w:hAnsi="仿宋_GB2312" w:eastAsia="仿宋_GB2312" w:cs="仿宋_GB2312"/>
          <w:color w:val="auto"/>
          <w:sz w:val="32"/>
          <w:szCs w:val="32"/>
          <w:highlight w:val="none"/>
          <w:lang w:val="en-US" w:eastAsia="zh-CN"/>
        </w:rPr>
        <w:t>2024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公务接待费</w:t>
      </w:r>
      <w:r>
        <w:rPr>
          <w:rFonts w:hint="eastAsia" w:ascii="仿宋_GB2312" w:hAnsi="仿宋_GB2312" w:eastAsia="仿宋_GB2312" w:cs="仿宋_GB2312"/>
          <w:color w:val="auto"/>
          <w:sz w:val="32"/>
          <w:szCs w:val="32"/>
          <w:highlight w:val="none"/>
        </w:rPr>
        <w:t>均为财政专户管理资金支出</w:t>
      </w:r>
      <w:r>
        <w:rPr>
          <w:rFonts w:hint="eastAsia" w:ascii="仿宋" w:hAnsi="仿宋" w:eastAsia="仿宋"/>
          <w:color w:val="auto"/>
          <w:sz w:val="32"/>
          <w:szCs w:val="32"/>
          <w:highlight w:val="none"/>
          <w:lang w:eastAsia="zh-CN"/>
        </w:rPr>
        <w:t>。</w:t>
      </w:r>
    </w:p>
    <w:p>
      <w:pPr>
        <w:spacing w:line="600" w:lineRule="exact"/>
        <w:ind w:firstLine="640"/>
        <w:outlineLvl w:val="1"/>
        <w:rPr>
          <w:rStyle w:val="22"/>
          <w:rFonts w:ascii="Times New Roman" w:hAnsi="Times New Roman" w:eastAsia="黑体"/>
          <w:color w:val="auto"/>
          <w:highlight w:val="none"/>
        </w:rPr>
      </w:pPr>
      <w:bookmarkStart w:id="63" w:name="_Toc30724"/>
      <w:r>
        <w:rPr>
          <w:rFonts w:hint="eastAsia" w:ascii="Times New Roman" w:hAnsi="Times New Roman" w:eastAsia="黑体"/>
          <w:color w:val="auto"/>
          <w:sz w:val="32"/>
          <w:szCs w:val="32"/>
          <w:highlight w:val="none"/>
        </w:rPr>
        <w:t>八、</w:t>
      </w:r>
      <w:r>
        <w:rPr>
          <w:rStyle w:val="22"/>
          <w:rFonts w:hint="eastAsia" w:ascii="Times New Roman" w:hAnsi="Times New Roman" w:eastAsia="黑体"/>
          <w:b w:val="0"/>
          <w:color w:val="auto"/>
          <w:highlight w:val="none"/>
        </w:rPr>
        <w:t>政府性基金预算支出决算情况说明</w:t>
      </w:r>
      <w:bookmarkEnd w:id="60"/>
      <w:bookmarkEnd w:id="61"/>
      <w:bookmarkEnd w:id="63"/>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w:t>
      </w:r>
      <w:r>
        <w:rPr>
          <w:rFonts w:hint="eastAsia" w:ascii="仿宋_GB2312" w:eastAsia="仿宋_GB2312"/>
          <w:color w:val="auto"/>
          <w:sz w:val="32"/>
          <w:szCs w:val="32"/>
          <w:highlight w:val="none"/>
        </w:rPr>
        <w:t>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p>
    <w:p>
      <w:pPr>
        <w:numPr>
          <w:ilvl w:val="0"/>
          <w:numId w:val="0"/>
        </w:numPr>
        <w:spacing w:line="600" w:lineRule="exact"/>
        <w:ind w:left="630" w:leftChars="0"/>
        <w:outlineLvl w:val="1"/>
        <w:rPr>
          <w:rStyle w:val="22"/>
          <w:rFonts w:hint="eastAsia" w:ascii="Times New Roman" w:hAnsi="Times New Roman" w:eastAsia="黑体"/>
          <w:b w:val="0"/>
          <w:color w:val="auto"/>
          <w:highlight w:val="none"/>
          <w:lang w:eastAsia="zh-CN"/>
        </w:rPr>
      </w:pPr>
      <w:bookmarkStart w:id="64" w:name="_Toc15396611"/>
      <w:bookmarkStart w:id="65" w:name="_Toc15377219"/>
      <w:bookmarkStart w:id="66" w:name="_Toc30299"/>
    </w:p>
    <w:p>
      <w:pPr>
        <w:numPr>
          <w:ilvl w:val="0"/>
          <w:numId w:val="0"/>
        </w:numPr>
        <w:spacing w:line="600" w:lineRule="exact"/>
        <w:ind w:left="630" w:leftChars="0"/>
        <w:outlineLvl w:val="1"/>
        <w:rPr>
          <w:rStyle w:val="22"/>
          <w:rFonts w:ascii="Times New Roman" w:hAnsi="Times New Roman" w:eastAsia="黑体"/>
          <w:b w:val="0"/>
          <w:color w:val="auto"/>
          <w:highlight w:val="none"/>
        </w:rPr>
      </w:pPr>
      <w:bookmarkStart w:id="67" w:name="_Toc8505"/>
      <w:r>
        <w:rPr>
          <w:rStyle w:val="22"/>
          <w:rFonts w:hint="eastAsia" w:ascii="Times New Roman" w:hAnsi="Times New Roman" w:eastAsia="黑体"/>
          <w:b w:val="0"/>
          <w:color w:val="auto"/>
          <w:highlight w:val="none"/>
          <w:lang w:eastAsia="zh-CN"/>
        </w:rPr>
        <w:t>九、</w:t>
      </w:r>
      <w:r>
        <w:rPr>
          <w:rStyle w:val="22"/>
          <w:rFonts w:hint="eastAsia" w:ascii="Times New Roman" w:hAnsi="Times New Roman" w:eastAsia="黑体"/>
          <w:b w:val="0"/>
          <w:color w:val="auto"/>
          <w:highlight w:val="none"/>
        </w:rPr>
        <w:t>国有资本经营预算支出决算情况说明</w:t>
      </w:r>
      <w:bookmarkEnd w:id="64"/>
      <w:bookmarkEnd w:id="65"/>
      <w:bookmarkEnd w:id="67"/>
    </w:p>
    <w:bookmarkEnd w:id="66"/>
    <w:p>
      <w:pPr>
        <w:spacing w:line="600" w:lineRule="exact"/>
        <w:ind w:firstLine="640"/>
        <w:rPr>
          <w:rStyle w:val="22"/>
          <w:rFonts w:hint="eastAsia" w:ascii="Times New Roman" w:hAnsi="Times New Roman" w:eastAsia="黑体"/>
          <w:b w:val="0"/>
          <w:color w:val="auto"/>
          <w:highlight w:val="none"/>
          <w:lang w:eastAsia="zh-CN"/>
        </w:rPr>
      </w:pPr>
      <w:r>
        <w:rPr>
          <w:rFonts w:hint="eastAsia" w:ascii="仿宋_GB2312" w:eastAsia="仿宋_GB2312"/>
          <w:color w:val="auto"/>
          <w:sz w:val="32"/>
          <w:szCs w:val="32"/>
          <w:highlight w:val="none"/>
          <w:lang w:eastAsia="zh-CN"/>
        </w:rPr>
        <w:t>202</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bookmarkStart w:id="68" w:name="_Toc15377221"/>
      <w:bookmarkStart w:id="69" w:name="_Toc15396612"/>
      <w:bookmarkStart w:id="70" w:name="_Toc22505"/>
    </w:p>
    <w:p>
      <w:pPr>
        <w:numPr>
          <w:ilvl w:val="0"/>
          <w:numId w:val="0"/>
        </w:numPr>
        <w:spacing w:line="600" w:lineRule="exact"/>
        <w:ind w:left="630" w:leftChars="0"/>
        <w:outlineLvl w:val="1"/>
        <w:rPr>
          <w:rStyle w:val="22"/>
          <w:rFonts w:hint="eastAsia" w:ascii="Times New Roman" w:hAnsi="Times New Roman" w:eastAsia="黑体"/>
          <w:b w:val="0"/>
          <w:color w:val="auto"/>
          <w:highlight w:val="none"/>
        </w:rPr>
      </w:pPr>
      <w:bookmarkStart w:id="71" w:name="_Toc16454"/>
      <w:r>
        <w:rPr>
          <w:rStyle w:val="22"/>
          <w:rFonts w:hint="eastAsia" w:ascii="Times New Roman" w:hAnsi="Times New Roman" w:eastAsia="黑体"/>
          <w:b w:val="0"/>
          <w:color w:val="auto"/>
          <w:highlight w:val="none"/>
          <w:lang w:eastAsia="zh-CN"/>
        </w:rPr>
        <w:t>十、</w:t>
      </w:r>
      <w:r>
        <w:rPr>
          <w:rStyle w:val="22"/>
          <w:rFonts w:hint="eastAsia" w:ascii="Times New Roman" w:hAnsi="Times New Roman" w:eastAsia="黑体"/>
          <w:b w:val="0"/>
          <w:color w:val="auto"/>
          <w:highlight w:val="none"/>
        </w:rPr>
        <w:t>其他重要事项的情况说明</w:t>
      </w:r>
      <w:bookmarkEnd w:id="68"/>
      <w:bookmarkEnd w:id="69"/>
      <w:bookmarkEnd w:id="71"/>
    </w:p>
    <w:bookmarkEnd w:id="70"/>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72" w:name="_Toc15377222"/>
      <w:r>
        <w:rPr>
          <w:rFonts w:hint="eastAsia" w:ascii="Times New Roman" w:hAnsi="Times New Roman" w:eastAsia="楷体_GB2312" w:cs="楷体_GB2312"/>
          <w:b/>
          <w:color w:val="auto"/>
          <w:sz w:val="32"/>
          <w:szCs w:val="32"/>
          <w:highlight w:val="none"/>
        </w:rPr>
        <w:t>（一）机关运行经费支出情况</w:t>
      </w:r>
      <w:bookmarkEnd w:id="72"/>
    </w:p>
    <w:p>
      <w:pPr>
        <w:shd w:val="clear" w:color="auto" w:fill="auto"/>
        <w:autoSpaceDE w:val="0"/>
        <w:autoSpaceDN w:val="0"/>
        <w:adjustRightInd w:val="0"/>
        <w:spacing w:line="600" w:lineRule="exact"/>
        <w:ind w:firstLine="640" w:firstLineChars="200"/>
        <w:jc w:val="left"/>
        <w:outlineLvl w:val="2"/>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度我校为事业单位，</w:t>
      </w:r>
      <w:r>
        <w:rPr>
          <w:rFonts w:hint="eastAsia" w:ascii="仿宋_GB2312" w:hAnsi="仿宋_GB2312" w:eastAsia="仿宋_GB2312" w:cs="仿宋_GB2312"/>
          <w:b w:val="0"/>
          <w:bCs/>
          <w:color w:val="auto"/>
          <w:sz w:val="32"/>
          <w:szCs w:val="32"/>
          <w:highlight w:val="none"/>
          <w:lang w:val="en-US" w:eastAsia="zh-CN"/>
        </w:rPr>
        <w:t>未发生机关运行经费支出，与2023年决算数持平。</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73" w:name="_Toc15377223"/>
      <w:r>
        <w:rPr>
          <w:rFonts w:hint="eastAsia" w:ascii="Times New Roman" w:hAnsi="Times New Roman" w:eastAsia="楷体_GB2312" w:cs="楷体_GB2312"/>
          <w:b/>
          <w:color w:val="auto"/>
          <w:sz w:val="32"/>
          <w:szCs w:val="32"/>
          <w:highlight w:val="none"/>
        </w:rPr>
        <w:t>（二）政府采购支出情况</w:t>
      </w:r>
      <w:bookmarkEnd w:id="73"/>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w:t>
      </w:r>
      <w:r>
        <w:rPr>
          <w:rFonts w:hint="eastAsia" w:ascii="仿宋_GB2312" w:hAnsi="仿宋_GB2312" w:eastAsia="仿宋_GB2312" w:cs="仿宋_GB2312"/>
          <w:sz w:val="32"/>
          <w:szCs w:val="32"/>
        </w:rPr>
        <w:t>川北幼儿师范高等专科学校</w:t>
      </w:r>
      <w:r>
        <w:rPr>
          <w:rFonts w:hint="eastAsia" w:ascii="仿宋_GB2312" w:hAnsi="仿宋_GB2312" w:eastAsia="仿宋_GB2312" w:cs="仿宋_GB2312"/>
          <w:color w:val="auto"/>
          <w:kern w:val="2"/>
          <w:sz w:val="32"/>
          <w:szCs w:val="32"/>
          <w:highlight w:val="none"/>
          <w:lang w:val="en-US" w:eastAsia="zh-CN" w:bidi="ar-SA"/>
        </w:rPr>
        <w:t>政府采购支出总额</w:t>
      </w:r>
      <w:r>
        <w:rPr>
          <w:rFonts w:hint="eastAsia" w:ascii="仿宋_GB2312" w:hAnsi="仿宋_GB2312" w:eastAsia="仿宋_GB2312" w:cs="仿宋_GB2312"/>
          <w:sz w:val="32"/>
          <w:szCs w:val="32"/>
        </w:rPr>
        <w:t>2012.89</w:t>
      </w:r>
      <w:r>
        <w:rPr>
          <w:rFonts w:hint="eastAsia" w:ascii="仿宋_GB2312" w:hAnsi="仿宋_GB2312" w:eastAsia="仿宋_GB2312" w:cs="仿宋_GB2312"/>
          <w:color w:val="auto"/>
          <w:kern w:val="2"/>
          <w:sz w:val="32"/>
          <w:szCs w:val="32"/>
          <w:highlight w:val="none"/>
          <w:lang w:val="en-US" w:eastAsia="zh-CN" w:bidi="ar-SA"/>
        </w:rPr>
        <w:t>万元，其中：政府采购货物支出</w:t>
      </w:r>
      <w:r>
        <w:rPr>
          <w:rFonts w:hint="eastAsia" w:ascii="仿宋_GB2312" w:hAnsi="仿宋_GB2312" w:eastAsia="仿宋_GB2312" w:cs="仿宋_GB2312"/>
          <w:sz w:val="32"/>
          <w:szCs w:val="32"/>
        </w:rPr>
        <w:t>1392.77</w:t>
      </w:r>
      <w:r>
        <w:rPr>
          <w:rFonts w:hint="eastAsia" w:ascii="仿宋_GB2312" w:hAnsi="仿宋_GB2312" w:eastAsia="仿宋_GB2312" w:cs="仿宋_GB2312"/>
          <w:color w:val="auto"/>
          <w:kern w:val="2"/>
          <w:sz w:val="32"/>
          <w:szCs w:val="32"/>
          <w:highlight w:val="none"/>
          <w:lang w:val="en-US" w:eastAsia="zh-CN" w:bidi="ar-SA"/>
        </w:rPr>
        <w:t>万元、政府采购工程支出</w:t>
      </w:r>
      <w:r>
        <w:rPr>
          <w:rFonts w:hint="eastAsia" w:ascii="仿宋_GB2312" w:hAnsi="仿宋_GB2312" w:eastAsia="仿宋_GB2312" w:cs="仿宋_GB2312"/>
          <w:sz w:val="32"/>
          <w:szCs w:val="32"/>
        </w:rPr>
        <w:t>111.92</w:t>
      </w:r>
      <w:r>
        <w:rPr>
          <w:rFonts w:hint="eastAsia" w:ascii="仿宋_GB2312" w:hAnsi="仿宋_GB2312" w:eastAsia="仿宋_GB2312" w:cs="仿宋_GB2312"/>
          <w:color w:val="auto"/>
          <w:kern w:val="2"/>
          <w:sz w:val="32"/>
          <w:szCs w:val="32"/>
          <w:highlight w:val="none"/>
          <w:lang w:val="en-US" w:eastAsia="zh-CN" w:bidi="ar-SA"/>
        </w:rPr>
        <w:t>万元、政府采购服务支出</w:t>
      </w:r>
      <w:r>
        <w:rPr>
          <w:rFonts w:hint="eastAsia" w:ascii="仿宋_GB2312" w:hAnsi="仿宋_GB2312" w:eastAsia="仿宋_GB2312" w:cs="仿宋_GB2312"/>
          <w:sz w:val="32"/>
          <w:szCs w:val="32"/>
        </w:rPr>
        <w:t>508.21</w:t>
      </w:r>
      <w:r>
        <w:rPr>
          <w:rFonts w:hint="eastAsia" w:ascii="仿宋_GB2312" w:hAnsi="仿宋_GB2312" w:eastAsia="仿宋_GB2312" w:cs="仿宋_GB2312"/>
          <w:color w:val="auto"/>
          <w:kern w:val="2"/>
          <w:sz w:val="32"/>
          <w:szCs w:val="32"/>
          <w:highlight w:val="none"/>
          <w:lang w:val="en-US" w:eastAsia="zh-CN" w:bidi="ar-SA"/>
        </w:rPr>
        <w:t>万元。主要用于</w:t>
      </w:r>
      <w:r>
        <w:rPr>
          <w:rFonts w:hint="eastAsia" w:ascii="仿宋_GB2312" w:eastAsia="仿宋_GB2312"/>
          <w:color w:val="auto"/>
          <w:sz w:val="32"/>
          <w:szCs w:val="32"/>
          <w:highlight w:val="none"/>
        </w:rPr>
        <w:t>学校</w:t>
      </w:r>
      <w:r>
        <w:rPr>
          <w:rFonts w:hint="eastAsia" w:ascii="仿宋_GB2312" w:eastAsia="仿宋_GB2312"/>
          <w:color w:val="auto"/>
          <w:sz w:val="32"/>
          <w:szCs w:val="32"/>
          <w:highlight w:val="none"/>
          <w:lang w:eastAsia="zh-CN"/>
        </w:rPr>
        <w:t>物业管理服务、保安服务</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广告制作服务、</w:t>
      </w:r>
      <w:r>
        <w:rPr>
          <w:rFonts w:hint="eastAsia" w:ascii="仿宋_GB2312" w:eastAsia="仿宋_GB2312"/>
          <w:color w:val="auto"/>
          <w:sz w:val="32"/>
          <w:szCs w:val="32"/>
          <w:highlight w:val="none"/>
        </w:rPr>
        <w:t>教学</w:t>
      </w:r>
      <w:r>
        <w:rPr>
          <w:rFonts w:hint="eastAsia" w:ascii="仿宋_GB2312" w:eastAsia="仿宋_GB2312"/>
          <w:color w:val="auto"/>
          <w:sz w:val="32"/>
          <w:szCs w:val="32"/>
          <w:highlight w:val="none"/>
          <w:lang w:eastAsia="zh-CN"/>
        </w:rPr>
        <w:t>保障</w:t>
      </w:r>
      <w:r>
        <w:rPr>
          <w:rFonts w:ascii="仿宋_GB2312" w:eastAsia="仿宋_GB2312"/>
          <w:color w:val="auto"/>
          <w:sz w:val="32"/>
          <w:szCs w:val="32"/>
          <w:highlight w:val="none"/>
        </w:rPr>
        <w:t>设备</w:t>
      </w:r>
      <w:r>
        <w:rPr>
          <w:rFonts w:hint="eastAsia" w:ascii="仿宋_GB2312" w:eastAsia="仿宋_GB2312"/>
          <w:color w:val="auto"/>
          <w:sz w:val="32"/>
          <w:szCs w:val="32"/>
          <w:highlight w:val="none"/>
          <w:lang w:eastAsia="zh-CN"/>
        </w:rPr>
        <w:t>购置</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实训室建设、</w:t>
      </w:r>
      <w:r>
        <w:rPr>
          <w:rFonts w:ascii="仿宋_GB2312" w:eastAsia="仿宋_GB2312"/>
          <w:color w:val="auto"/>
          <w:sz w:val="32"/>
          <w:szCs w:val="32"/>
          <w:highlight w:val="none"/>
        </w:rPr>
        <w:t>信息化</w:t>
      </w:r>
      <w:r>
        <w:rPr>
          <w:rFonts w:hint="eastAsia" w:ascii="仿宋_GB2312" w:eastAsia="仿宋_GB2312"/>
          <w:color w:val="auto"/>
          <w:sz w:val="32"/>
          <w:szCs w:val="32"/>
          <w:highlight w:val="none"/>
          <w:lang w:eastAsia="zh-CN"/>
        </w:rPr>
        <w:t>建设、图书购置、北校区（原广元市委党校）维修等支出</w:t>
      </w:r>
      <w:r>
        <w:rPr>
          <w:rFonts w:hint="eastAsia" w:ascii="仿宋_GB2312" w:hAnsi="仿宋_GB2312" w:eastAsia="仿宋_GB2312" w:cs="仿宋_GB2312"/>
          <w:color w:val="auto"/>
          <w:kern w:val="2"/>
          <w:sz w:val="32"/>
          <w:szCs w:val="32"/>
          <w:highlight w:val="none"/>
          <w:lang w:val="en-US" w:eastAsia="zh-CN" w:bidi="ar-SA"/>
        </w:rPr>
        <w:t>。授予中小企业合同金额</w:t>
      </w:r>
      <w:r>
        <w:rPr>
          <w:rFonts w:hint="eastAsia" w:ascii="仿宋_GB2312" w:hAnsi="仿宋_GB2312" w:eastAsia="仿宋_GB2312" w:cs="仿宋_GB2312"/>
          <w:sz w:val="32"/>
          <w:szCs w:val="32"/>
        </w:rPr>
        <w:t>1825.85</w:t>
      </w:r>
      <w:r>
        <w:rPr>
          <w:rFonts w:hint="eastAsia" w:ascii="仿宋_GB2312" w:hAnsi="仿宋_GB2312" w:eastAsia="仿宋_GB2312" w:cs="仿宋_GB2312"/>
          <w:color w:val="auto"/>
          <w:kern w:val="2"/>
          <w:sz w:val="32"/>
          <w:szCs w:val="32"/>
          <w:highlight w:val="none"/>
          <w:lang w:val="en-US" w:eastAsia="zh-CN" w:bidi="ar-SA"/>
        </w:rPr>
        <w:t>万元，占政府采购支出总额的</w:t>
      </w:r>
      <w:r>
        <w:rPr>
          <w:rFonts w:hint="eastAsia" w:ascii="仿宋_GB2312" w:hAnsi="仿宋_GB2312" w:eastAsia="仿宋_GB2312" w:cs="仿宋_GB2312"/>
          <w:sz w:val="32"/>
          <w:szCs w:val="32"/>
        </w:rPr>
        <w:t>90.7</w:t>
      </w:r>
      <w:r>
        <w:rPr>
          <w:rFonts w:hint="eastAsia" w:ascii="仿宋_GB2312" w:hAnsi="仿宋_GB2312" w:eastAsia="仿宋_GB2312" w:cs="仿宋_GB2312"/>
          <w:color w:val="auto"/>
          <w:kern w:val="2"/>
          <w:sz w:val="32"/>
          <w:szCs w:val="32"/>
          <w:highlight w:val="none"/>
          <w:lang w:val="en-US" w:eastAsia="zh-CN" w:bidi="ar-SA"/>
        </w:rPr>
        <w:t>%，其中：授予小微企业合同金额</w:t>
      </w:r>
      <w:r>
        <w:rPr>
          <w:rFonts w:hint="eastAsia" w:ascii="仿宋_GB2312" w:hAnsi="仿宋_GB2312" w:eastAsia="仿宋_GB2312" w:cs="仿宋_GB2312"/>
          <w:sz w:val="32"/>
          <w:szCs w:val="32"/>
        </w:rPr>
        <w:t>1159.04</w:t>
      </w:r>
      <w:r>
        <w:rPr>
          <w:rFonts w:hint="eastAsia" w:ascii="仿宋_GB2312" w:hAnsi="仿宋_GB2312" w:eastAsia="仿宋_GB2312" w:cs="仿宋_GB2312"/>
          <w:color w:val="auto"/>
          <w:kern w:val="2"/>
          <w:sz w:val="32"/>
          <w:szCs w:val="32"/>
          <w:highlight w:val="none"/>
          <w:lang w:val="en-US" w:eastAsia="zh-CN" w:bidi="ar-SA"/>
        </w:rPr>
        <w:t>万元，占政府采购支出总额的</w:t>
      </w:r>
      <w:r>
        <w:rPr>
          <w:rFonts w:hint="eastAsia" w:ascii="仿宋_GB2312" w:hAnsi="仿宋_GB2312" w:eastAsia="仿宋_GB2312" w:cs="仿宋_GB2312"/>
          <w:sz w:val="32"/>
          <w:szCs w:val="32"/>
        </w:rPr>
        <w:t>57.58</w:t>
      </w:r>
      <w:r>
        <w:rPr>
          <w:rFonts w:hint="eastAsia" w:ascii="仿宋_GB2312" w:hAnsi="仿宋_GB2312" w:eastAsia="仿宋_GB2312" w:cs="仿宋_GB2312"/>
          <w:color w:val="auto"/>
          <w:kern w:val="2"/>
          <w:sz w:val="32"/>
          <w:szCs w:val="32"/>
          <w:highlight w:val="none"/>
          <w:lang w:val="en-US" w:eastAsia="zh-CN" w:bidi="ar-SA"/>
        </w:rPr>
        <w:t>%。</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74" w:name="_Toc15377224"/>
      <w:r>
        <w:rPr>
          <w:rFonts w:hint="eastAsia" w:ascii="Times New Roman" w:hAnsi="Times New Roman" w:eastAsia="楷体_GB2312" w:cs="楷体_GB2312"/>
          <w:b/>
          <w:color w:val="auto"/>
          <w:sz w:val="32"/>
          <w:szCs w:val="32"/>
          <w:highlight w:val="none"/>
        </w:rPr>
        <w:t>（三）国有资产占有使用情况</w:t>
      </w:r>
      <w:bookmarkEnd w:id="74"/>
    </w:p>
    <w:p>
      <w:pPr>
        <w:autoSpaceDE w:val="0"/>
        <w:autoSpaceDN w:val="0"/>
        <w:adjustRightInd w:val="0"/>
        <w:spacing w:line="600" w:lineRule="exact"/>
        <w:ind w:firstLine="640" w:firstLineChars="200"/>
        <w:jc w:val="left"/>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24</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eastAsia="zh-CN"/>
        </w:rPr>
        <w:t>我校</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b w:val="0"/>
          <w:bCs w:val="0"/>
          <w:color w:val="auto"/>
          <w:sz w:val="32"/>
          <w:szCs w:val="32"/>
          <w:highlight w:val="none"/>
          <w:lang w:eastAsia="zh-CN"/>
        </w:rPr>
        <w:t>均为其他用车</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主要是用于</w:t>
      </w:r>
      <w:r>
        <w:rPr>
          <w:rFonts w:hint="eastAsia" w:ascii="仿宋_GB2312" w:eastAsia="仿宋_GB2312"/>
          <w:b w:val="0"/>
          <w:bCs w:val="0"/>
          <w:color w:val="auto"/>
          <w:sz w:val="32"/>
          <w:szCs w:val="32"/>
          <w:highlight w:val="none"/>
          <w:lang w:eastAsia="zh-CN"/>
        </w:rPr>
        <w:t>教学调研、招生宣传、学生实习实训、技能大赛、乡村振兴等业务活动</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台。</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r>
        <w:rPr>
          <w:rFonts w:hint="eastAsia" w:ascii="Times New Roman" w:hAnsi="Times New Roman" w:eastAsia="楷体_GB2312" w:cs="楷体_GB2312"/>
          <w:b/>
          <w:color w:val="auto"/>
          <w:sz w:val="32"/>
          <w:szCs w:val="32"/>
          <w:highlight w:val="none"/>
        </w:rPr>
        <w:t>（四）预算绩效管理情况</w:t>
      </w:r>
    </w:p>
    <w:p>
      <w:pPr>
        <w:spacing w:line="58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根据预算绩效管理要求，本部门在</w:t>
      </w:r>
      <w:r>
        <w:rPr>
          <w:rFonts w:hint="eastAsia" w:ascii="仿宋_GB2312" w:hAnsi="仿宋_GB2312" w:eastAsia="仿宋_GB2312" w:cs="仿宋_GB2312"/>
          <w:color w:val="auto"/>
          <w:sz w:val="32"/>
          <w:szCs w:val="32"/>
          <w:highlight w:val="none"/>
          <w:lang w:val="en-US" w:eastAsia="zh-CN"/>
        </w:rPr>
        <w:t>2024年度</w:t>
      </w:r>
      <w:r>
        <w:rPr>
          <w:rFonts w:hint="eastAsia" w:ascii="仿宋_GB2312" w:hAnsi="仿宋_GB2312" w:eastAsia="仿宋_GB2312" w:cs="仿宋_GB2312"/>
          <w:color w:val="auto"/>
          <w:sz w:val="32"/>
          <w:szCs w:val="32"/>
          <w:highlight w:val="none"/>
        </w:rPr>
        <w:t>预算编制阶段，组织对</w:t>
      </w:r>
      <w:r>
        <w:rPr>
          <w:rFonts w:hint="eastAsia" w:ascii="仿宋_GB2312" w:hAnsi="仿宋_GB2312" w:eastAsia="仿宋_GB2312" w:cs="仿宋_GB2312"/>
          <w:color w:val="auto"/>
          <w:sz w:val="32"/>
          <w:szCs w:val="32"/>
          <w:highlight w:val="none"/>
          <w:lang w:eastAsia="zh-CN"/>
        </w:rPr>
        <w:t>北校区（原广元市委党校）维修项目、智慧图书馆项目、中小学艺术展活动等</w:t>
      </w:r>
      <w:r>
        <w:rPr>
          <w:rFonts w:hint="eastAsia" w:ascii="仿宋_GB2312" w:hAnsi="仿宋_GB2312" w:eastAsia="仿宋_GB2312" w:cs="仿宋_GB2312"/>
          <w:color w:val="auto"/>
          <w:sz w:val="32"/>
          <w:szCs w:val="32"/>
          <w:highlight w:val="none"/>
          <w:lang w:val="en-US" w:eastAsia="zh-CN"/>
        </w:rPr>
        <w:t>6个项目</w:t>
      </w:r>
      <w:r>
        <w:rPr>
          <w:rFonts w:hint="eastAsia" w:ascii="仿宋_GB2312" w:hAnsi="仿宋_GB2312" w:eastAsia="仿宋_GB2312" w:cs="仿宋_GB2312"/>
          <w:color w:val="auto"/>
          <w:sz w:val="32"/>
          <w:szCs w:val="32"/>
          <w:highlight w:val="none"/>
        </w:rPr>
        <w:t>开展了预算事前绩效评估，对</w:t>
      </w:r>
      <w:r>
        <w:rPr>
          <w:rFonts w:hint="eastAsia" w:ascii="仿宋_GB2312" w:hAnsi="仿宋_GB2312" w:eastAsia="仿宋_GB2312" w:cs="仿宋_GB2312"/>
          <w:color w:val="auto"/>
          <w:sz w:val="32"/>
          <w:szCs w:val="32"/>
          <w:highlight w:val="none"/>
          <w:lang w:val="en-US" w:eastAsia="zh-CN"/>
        </w:rPr>
        <w:t>29</w:t>
      </w:r>
      <w:r>
        <w:rPr>
          <w:rFonts w:hint="eastAsia" w:ascii="仿宋_GB2312" w:hAnsi="仿宋_GB2312" w:eastAsia="仿宋_GB2312" w:cs="仿宋_GB2312"/>
          <w:color w:val="auto"/>
          <w:sz w:val="32"/>
          <w:szCs w:val="32"/>
          <w:highlight w:val="none"/>
        </w:rPr>
        <w:t>个项目编制了绩效目标，预算执行过程中，选取</w:t>
      </w:r>
      <w:r>
        <w:rPr>
          <w:rFonts w:hint="eastAsia" w:ascii="仿宋_GB2312" w:hAnsi="仿宋_GB2312" w:eastAsia="仿宋_GB2312" w:cs="仿宋_GB2312"/>
          <w:color w:val="auto"/>
          <w:sz w:val="32"/>
          <w:szCs w:val="32"/>
          <w:highlight w:val="none"/>
          <w:lang w:val="en-US" w:eastAsia="zh-CN"/>
        </w:rPr>
        <w:t>29</w:t>
      </w:r>
      <w:r>
        <w:rPr>
          <w:rFonts w:hint="eastAsia" w:ascii="仿宋_GB2312" w:hAnsi="仿宋_GB2312" w:eastAsia="仿宋_GB2312" w:cs="仿宋_GB2312"/>
          <w:color w:val="auto"/>
          <w:sz w:val="32"/>
          <w:szCs w:val="32"/>
          <w:highlight w:val="none"/>
        </w:rPr>
        <w:t>个项目开展绩效监控</w:t>
      </w:r>
      <w:r>
        <w:rPr>
          <w:rFonts w:hint="eastAsia" w:ascii="仿宋_GB2312" w:hAnsi="仿宋_GB2312" w:eastAsia="仿宋_GB2312" w:cs="仿宋_GB2312"/>
          <w:color w:val="auto"/>
          <w:sz w:val="32"/>
          <w:szCs w:val="32"/>
          <w:highlight w:val="none"/>
          <w:lang w:eastAsia="zh-CN"/>
        </w:rPr>
        <w:t>。</w:t>
      </w:r>
    </w:p>
    <w:p>
      <w:pPr>
        <w:widowControl/>
        <w:shd w:val="clear" w:color="auto" w:fill="auto"/>
        <w:ind w:firstLine="640" w:firstLineChars="200"/>
        <w:jc w:val="left"/>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组织对202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年度一般公共预算、政府性基金预算等全面开展绩效自评，形成</w:t>
      </w:r>
      <w:r>
        <w:rPr>
          <w:rFonts w:hint="eastAsia" w:ascii="仿宋_GB2312" w:hAnsi="仿宋_GB2312" w:eastAsia="仿宋_GB2312" w:cs="仿宋_GB2312"/>
          <w:color w:val="auto"/>
          <w:sz w:val="32"/>
          <w:szCs w:val="32"/>
          <w:highlight w:val="none"/>
          <w:lang w:eastAsia="zh-CN"/>
        </w:rPr>
        <w:t>川北幼儿师范高等专科学校</w:t>
      </w:r>
      <w:r>
        <w:rPr>
          <w:rFonts w:hint="eastAsia" w:ascii="仿宋_GB2312" w:hAnsi="仿宋_GB2312" w:eastAsia="仿宋_GB2312" w:cs="仿宋_GB2312"/>
          <w:color w:val="auto"/>
          <w:sz w:val="32"/>
          <w:szCs w:val="32"/>
          <w:highlight w:val="none"/>
        </w:rPr>
        <w:t>部门整体绩效自评报告、</w:t>
      </w:r>
      <w:r>
        <w:rPr>
          <w:rFonts w:hint="eastAsia" w:ascii="仿宋_GB2312" w:hAnsi="宋体" w:eastAsia="仿宋_GB2312" w:cs="宋体"/>
          <w:color w:val="auto"/>
          <w:kern w:val="0"/>
          <w:sz w:val="32"/>
          <w:szCs w:val="32"/>
          <w:highlight w:val="none"/>
          <w:lang w:val="en-US" w:eastAsia="zh-CN"/>
        </w:rPr>
        <w:t>蜀道文化保护利用系列活动专项资金、扶持青少年校园足球发展专项资金、市属公费师范生培训补助经费</w:t>
      </w:r>
      <w:r>
        <w:rPr>
          <w:rFonts w:hint="eastAsia" w:ascii="仿宋_GB2312" w:hAnsi="仿宋_GB2312" w:eastAsia="仿宋_GB2312" w:cs="仿宋_GB2312"/>
          <w:color w:val="auto"/>
          <w:sz w:val="32"/>
          <w:szCs w:val="32"/>
          <w:highlight w:val="none"/>
        </w:rPr>
        <w:t>等</w:t>
      </w:r>
      <w:r>
        <w:rPr>
          <w:rFonts w:hint="eastAsia" w:ascii="仿宋_GB2312" w:hAnsi="仿宋_GB2312" w:eastAsia="仿宋_GB2312" w:cs="仿宋_GB2312"/>
          <w:color w:val="auto"/>
          <w:sz w:val="32"/>
          <w:szCs w:val="32"/>
          <w:highlight w:val="none"/>
          <w:lang w:val="en-US" w:eastAsia="zh-CN"/>
        </w:rPr>
        <w:t>7个</w:t>
      </w:r>
      <w:r>
        <w:rPr>
          <w:rFonts w:hint="eastAsia" w:ascii="仿宋_GB2312" w:hAnsi="仿宋_GB2312" w:eastAsia="仿宋_GB2312" w:cs="仿宋_GB2312"/>
          <w:color w:val="auto"/>
          <w:sz w:val="32"/>
          <w:szCs w:val="32"/>
          <w:highlight w:val="none"/>
        </w:rPr>
        <w:t>专项预算项目绩效自评报告</w:t>
      </w:r>
      <w:r>
        <w:rPr>
          <w:rFonts w:hint="eastAsia" w:ascii="仿宋_GB2312" w:hAnsi="仿宋_GB2312" w:eastAsia="仿宋_GB2312" w:cs="仿宋_GB2312"/>
          <w:color w:val="auto"/>
          <w:sz w:val="32"/>
          <w:szCs w:val="32"/>
          <w:highlight w:val="none"/>
          <w:lang w:eastAsia="zh-CN"/>
        </w:rPr>
        <w:t>。其中：</w:t>
      </w:r>
    </w:p>
    <w:p>
      <w:pPr>
        <w:widowControl/>
        <w:numPr>
          <w:ilvl w:val="0"/>
          <w:numId w:val="0"/>
        </w:numPr>
        <w:ind w:firstLine="640" w:firstLineChars="200"/>
        <w:jc w:val="left"/>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川北幼儿师范高等专科学校</w:t>
      </w:r>
      <w:r>
        <w:rPr>
          <w:rFonts w:hint="eastAsia" w:ascii="仿宋_GB2312" w:hAnsi="仿宋_GB2312" w:eastAsia="仿宋_GB2312" w:cs="仿宋_GB2312"/>
          <w:color w:val="auto"/>
          <w:sz w:val="32"/>
          <w:szCs w:val="32"/>
          <w:highlight w:val="none"/>
        </w:rPr>
        <w:t>部门整体绩效自评得分为</w:t>
      </w:r>
      <w:r>
        <w:rPr>
          <w:rFonts w:hint="eastAsia" w:ascii="仿宋_GB2312" w:hAnsi="仿宋_GB2312" w:eastAsia="仿宋_GB2312" w:cs="仿宋_GB2312"/>
          <w:color w:val="auto"/>
          <w:sz w:val="32"/>
          <w:szCs w:val="32"/>
          <w:highlight w:val="none"/>
          <w:lang w:val="en-US" w:eastAsia="zh-CN"/>
        </w:rPr>
        <w:t>91.28分。</w:t>
      </w:r>
      <w:r>
        <w:rPr>
          <w:rFonts w:hint="eastAsia" w:ascii="仿宋_GB2312" w:hAnsi="仿宋_GB2312" w:eastAsia="仿宋_GB2312" w:cs="仿宋_GB2312"/>
          <w:color w:val="auto"/>
          <w:sz w:val="32"/>
          <w:szCs w:val="32"/>
          <w:highlight w:val="none"/>
        </w:rPr>
        <w:t>学校</w:t>
      </w:r>
      <w:r>
        <w:rPr>
          <w:rFonts w:hint="eastAsia" w:ascii="仿宋_GB2312" w:hAnsi="仿宋_GB2312" w:eastAsia="仿宋_GB2312" w:cs="仿宋_GB2312"/>
          <w:color w:val="auto"/>
          <w:sz w:val="32"/>
          <w:szCs w:val="32"/>
          <w:highlight w:val="none"/>
          <w:lang w:val="en-US" w:eastAsia="zh-CN"/>
        </w:rPr>
        <w:t>2024</w:t>
      </w:r>
      <w:r>
        <w:rPr>
          <w:rFonts w:hint="eastAsia" w:ascii="仿宋_GB2312" w:hAnsi="仿宋_GB2312" w:eastAsia="仿宋_GB2312" w:cs="仿宋_GB2312"/>
          <w:b w:val="0"/>
          <w:bCs w:val="0"/>
          <w:color w:val="auto"/>
          <w:kern w:val="0"/>
          <w:position w:val="0"/>
          <w:sz w:val="32"/>
          <w:szCs w:val="32"/>
          <w:highlight w:val="none"/>
          <w:lang w:val="en-US" w:eastAsia="zh-CN" w:bidi="ar-SA"/>
        </w:rPr>
        <w:t>年</w:t>
      </w:r>
      <w:r>
        <w:rPr>
          <w:rFonts w:hint="default" w:ascii="仿宋_GB2312" w:hAnsi="仿宋_GB2312" w:eastAsia="仿宋_GB2312" w:cs="仿宋_GB2312"/>
          <w:b w:val="0"/>
          <w:bCs w:val="0"/>
          <w:color w:val="auto"/>
          <w:kern w:val="0"/>
          <w:position w:val="0"/>
          <w:sz w:val="32"/>
          <w:szCs w:val="32"/>
          <w:highlight w:val="none"/>
          <w:lang w:val="en-US" w:eastAsia="zh-CN" w:bidi="ar-SA"/>
        </w:rPr>
        <w:t>部门预算绩效管理工作总体规范有效，预算编制科学合理，绩效目标设定符合学校发展规划和年度重点工作任务，资金使用效益显著提升。通过加强全过程预算绩效管理，财务和资产管理水平进一步提高，绩效信息公开及时完整</w:t>
      </w:r>
      <w:r>
        <w:rPr>
          <w:rFonts w:hint="eastAsia" w:ascii="仿宋_GB2312" w:hAnsi="仿宋_GB2312" w:eastAsia="仿宋_GB2312" w:cs="仿宋_GB2312"/>
          <w:b w:val="0"/>
          <w:bCs w:val="0"/>
          <w:color w:val="auto"/>
          <w:kern w:val="0"/>
          <w:position w:val="0"/>
          <w:sz w:val="32"/>
          <w:szCs w:val="32"/>
          <w:highlight w:val="none"/>
          <w:lang w:val="en-US" w:eastAsia="zh-CN" w:bidi="ar-SA"/>
        </w:rPr>
        <w:t>，</w:t>
      </w:r>
      <w:r>
        <w:rPr>
          <w:rFonts w:hint="default" w:ascii="仿宋_GB2312" w:hAnsi="仿宋_GB2312" w:eastAsia="仿宋_GB2312" w:cs="仿宋_GB2312"/>
          <w:b w:val="0"/>
          <w:bCs w:val="0"/>
          <w:color w:val="auto"/>
          <w:kern w:val="0"/>
          <w:position w:val="0"/>
          <w:sz w:val="32"/>
          <w:szCs w:val="32"/>
          <w:highlight w:val="none"/>
          <w:lang w:val="en-US" w:eastAsia="zh-CN" w:bidi="ar-SA"/>
        </w:rPr>
        <w:t>绩效管理水平持续优化</w:t>
      </w:r>
      <w:r>
        <w:rPr>
          <w:rFonts w:hint="eastAsia" w:ascii="仿宋_GB2312" w:hAnsi="仿宋_GB2312" w:eastAsia="仿宋_GB2312" w:cs="仿宋_GB2312"/>
          <w:b w:val="0"/>
          <w:bCs w:val="0"/>
          <w:color w:val="auto"/>
          <w:kern w:val="0"/>
          <w:position w:val="0"/>
          <w:sz w:val="32"/>
          <w:szCs w:val="32"/>
          <w:highlight w:val="none"/>
          <w:lang w:val="en-US" w:eastAsia="zh-CN" w:bidi="ar-SA"/>
        </w:rPr>
        <w:t>。</w:t>
      </w:r>
    </w:p>
    <w:p>
      <w:pPr>
        <w:pStyle w:val="8"/>
        <w:numPr>
          <w:ilvl w:val="0"/>
          <w:numId w:val="0"/>
        </w:numPr>
        <w:ind w:firstLine="640" w:firstLineChars="200"/>
        <w:rPr>
          <w:rFonts w:hint="default" w:hAnsi="仿宋_GB2312" w:eastAsia="仿宋_GB2312" w:cs="仿宋_GB2312"/>
          <w:color w:val="FF0000"/>
          <w:sz w:val="32"/>
          <w:szCs w:val="32"/>
          <w:highlight w:val="none"/>
          <w:lang w:val="en-US" w:eastAsia="zh-CN"/>
        </w:rPr>
      </w:pPr>
      <w:r>
        <w:rPr>
          <w:rFonts w:hint="eastAsia" w:ascii="仿宋_GB2312" w:hAnsi="仿宋_GB2312" w:eastAsia="仿宋_GB2312" w:cs="仿宋_GB2312"/>
          <w:b w:val="0"/>
          <w:bCs w:val="0"/>
          <w:color w:val="auto"/>
          <w:kern w:val="0"/>
          <w:position w:val="0"/>
          <w:sz w:val="32"/>
          <w:szCs w:val="32"/>
          <w:highlight w:val="none"/>
          <w:lang w:val="en-US" w:eastAsia="zh-CN" w:bidi="ar-SA"/>
        </w:rPr>
        <w:t>2.2023年蜀</w:t>
      </w:r>
      <w:r>
        <w:rPr>
          <w:rFonts w:hint="eastAsia" w:ascii="仿宋_GB2312" w:hAnsi="宋体" w:eastAsia="仿宋_GB2312" w:cs="宋体"/>
          <w:color w:val="auto"/>
          <w:kern w:val="0"/>
          <w:sz w:val="32"/>
          <w:szCs w:val="32"/>
          <w:highlight w:val="none"/>
          <w:lang w:val="en-US" w:eastAsia="zh-CN"/>
        </w:rPr>
        <w:t>道文化保护利用系列活动专项资金</w:t>
      </w:r>
      <w:r>
        <w:rPr>
          <w:rFonts w:hint="eastAsia" w:hAnsi="宋体" w:eastAsia="仿宋_GB2312" w:cs="宋体"/>
          <w:color w:val="auto"/>
          <w:kern w:val="0"/>
          <w:sz w:val="32"/>
          <w:szCs w:val="32"/>
          <w:highlight w:val="none"/>
          <w:lang w:val="en-US" w:eastAsia="zh-CN"/>
        </w:rPr>
        <w:t>绩效自评得分95分。通过开展蜀道舞蹈文艺作品创作及文艺晚会等活动，不仅</w:t>
      </w:r>
      <w:r>
        <w:rPr>
          <w:rFonts w:hint="eastAsia" w:ascii="仿宋_GB2312" w:hAnsi="仿宋" w:eastAsia="仿宋_GB2312" w:cs="仿宋_GB2312"/>
          <w:b w:val="0"/>
          <w:bCs w:val="0"/>
          <w:kern w:val="0"/>
          <w:sz w:val="32"/>
          <w:szCs w:val="32"/>
          <w:lang w:val="en-US" w:eastAsia="zh-CN" w:bidi="ar-SA"/>
        </w:rPr>
        <w:t>获得省市比赛奖项</w:t>
      </w:r>
      <w:r>
        <w:rPr>
          <w:rFonts w:hint="eastAsia" w:hAnsi="仿宋" w:eastAsia="仿宋_GB2312" w:cs="仿宋_GB2312"/>
          <w:b w:val="0"/>
          <w:bCs w:val="0"/>
          <w:kern w:val="0"/>
          <w:sz w:val="32"/>
          <w:szCs w:val="32"/>
          <w:lang w:val="en-US" w:eastAsia="zh-CN" w:bidi="ar-SA"/>
        </w:rPr>
        <w:t>，同时</w:t>
      </w:r>
      <w:r>
        <w:rPr>
          <w:rFonts w:hint="eastAsia" w:hAnsi="宋体" w:eastAsia="仿宋_GB2312" w:cs="宋体"/>
          <w:color w:val="auto"/>
          <w:kern w:val="0"/>
          <w:sz w:val="32"/>
          <w:szCs w:val="32"/>
          <w:highlight w:val="none"/>
          <w:lang w:val="en-US" w:eastAsia="zh-CN"/>
        </w:rPr>
        <w:t>有效促进学校艺术教育改革，提升学生艺术素养和创作能力。</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3.2023年重大传染病防控中央补助资金绩效自评得分100分。通过专项资金的投入，学校定期开展健康教育，不断加强传传染病防控工作部署，师生健康意识不断提升，校园卫生环境持续改善，传染病（肺结核）得到有效控制。</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auto"/>
          <w:kern w:val="0"/>
          <w:sz w:val="32"/>
          <w:szCs w:val="32"/>
          <w:highlight w:val="none"/>
          <w:lang w:val="zh-CN" w:eastAsia="zh-CN" w:bidi="ar-SA"/>
        </w:rPr>
      </w:pPr>
      <w:r>
        <w:rPr>
          <w:rFonts w:hint="eastAsia" w:ascii="仿宋_GB2312" w:hAnsi="宋体" w:eastAsia="仿宋_GB2312" w:cs="宋体"/>
          <w:color w:val="auto"/>
          <w:kern w:val="0"/>
          <w:sz w:val="32"/>
          <w:szCs w:val="32"/>
          <w:highlight w:val="none"/>
          <w:lang w:val="en-US" w:eastAsia="zh-CN" w:bidi="ar-SA"/>
        </w:rPr>
        <w:t>4.2024年扶持青少年校园足球发展专项资金自评得分100分。学校积极支持校园足球运动发展，以</w:t>
      </w:r>
      <w:r>
        <w:rPr>
          <w:rFonts w:hint="eastAsia" w:ascii="仿宋_GB2312" w:hAnsi="宋体" w:eastAsia="仿宋_GB2312" w:cs="宋体"/>
          <w:color w:val="auto"/>
          <w:kern w:val="0"/>
          <w:sz w:val="32"/>
          <w:szCs w:val="32"/>
          <w:highlight w:val="none"/>
          <w:lang w:val="zh-CN" w:eastAsia="zh-CN" w:bidi="ar-SA"/>
        </w:rPr>
        <w:t>女足为引领，带动学校体育总体水平提升；</w:t>
      </w:r>
      <w:r>
        <w:rPr>
          <w:rFonts w:hint="eastAsia" w:ascii="仿宋_GB2312" w:hAnsi="宋体" w:eastAsia="仿宋_GB2312" w:cs="宋体"/>
          <w:color w:val="auto"/>
          <w:kern w:val="0"/>
          <w:sz w:val="32"/>
          <w:szCs w:val="32"/>
          <w:highlight w:val="none"/>
          <w:lang w:val="en-US" w:eastAsia="zh-CN" w:bidi="ar-SA"/>
        </w:rPr>
        <w:t>同时促进学校体育教学改革，引导改进和完善体育设施，不断提高足球师资和经费保障水平。</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FF0000"/>
          <w:kern w:val="2"/>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5.2024年国家生源地贷款风险补偿金及贴息自评得分100分。2024年我校生源地助学贷款1983人，有效缓解了我校生源地贷款学生的经济压力，并帮助其顺利完成学业，得到学生、家长及社会的好评。</w:t>
      </w:r>
    </w:p>
    <w:p>
      <w:pPr>
        <w:pStyle w:val="8"/>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hAnsi="仿宋_GB2312" w:eastAsia="仿宋_GB2312" w:cs="仿宋_GB2312"/>
          <w:color w:val="auto"/>
          <w:kern w:val="2"/>
          <w:sz w:val="32"/>
          <w:szCs w:val="32"/>
          <w:highlight w:val="none"/>
          <w:lang w:val="en-US" w:eastAsia="zh-CN" w:bidi="ar-SA"/>
        </w:rPr>
      </w:pPr>
      <w:r>
        <w:rPr>
          <w:rFonts w:hint="eastAsia" w:hAnsi="仿宋_GB2312" w:eastAsia="仿宋_GB2312" w:cs="仿宋_GB2312"/>
          <w:color w:val="auto"/>
          <w:kern w:val="2"/>
          <w:sz w:val="32"/>
          <w:szCs w:val="32"/>
          <w:highlight w:val="none"/>
          <w:lang w:val="en-US" w:eastAsia="zh-CN" w:bidi="ar-SA"/>
        </w:rPr>
        <w:t>6.</w:t>
      </w:r>
      <w:r>
        <w:rPr>
          <w:rFonts w:hint="eastAsia" w:ascii="仿宋_GB2312" w:hAnsi="仿宋_GB2312" w:eastAsia="仿宋_GB2312" w:cs="仿宋_GB2312"/>
          <w:color w:val="auto"/>
          <w:kern w:val="2"/>
          <w:sz w:val="32"/>
          <w:szCs w:val="32"/>
          <w:highlight w:val="none"/>
          <w:lang w:val="en-US" w:eastAsia="zh-CN" w:bidi="ar-SA"/>
        </w:rPr>
        <w:t>2024年市属公费师范生培训补助经费绩效自评得分100分</w:t>
      </w:r>
      <w:r>
        <w:rPr>
          <w:rFonts w:hint="eastAsia" w:hAnsi="仿宋_GB2312" w:eastAsia="仿宋_GB2312" w:cs="仿宋_GB2312"/>
          <w:color w:val="auto"/>
          <w:kern w:val="2"/>
          <w:sz w:val="32"/>
          <w:szCs w:val="32"/>
          <w:highlight w:val="none"/>
          <w:lang w:val="en-US" w:eastAsia="zh-CN" w:bidi="ar-SA"/>
        </w:rPr>
        <w:t>。2024年我校资助市属公费师范生196人，严格按照文件要求，及时、足额发放生活补助，有效缓解了我校市属公费师范生的经济压力，并帮助其顺利完成学业。</w:t>
      </w:r>
    </w:p>
    <w:p>
      <w:pPr>
        <w:keepNext w:val="0"/>
        <w:keepLines w:val="0"/>
        <w:pageBreakBefore w:val="0"/>
        <w:widowControl/>
        <w:numPr>
          <w:ilvl w:val="0"/>
          <w:numId w:val="0"/>
        </w:numPr>
        <w:shd w:val="clear" w:color="auto" w:fill="auto"/>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7.2024年学生资助（市级配套）经费自评得分100分。学校学生资助中心严格按照文件要求，及时、足额发放国家助学金，有效缓解了获评助学金学生的经济压力，激励受助学生成长成才。</w:t>
      </w:r>
    </w:p>
    <w:p>
      <w:pPr>
        <w:pStyle w:val="8"/>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hAnsi="仿宋_GB2312" w:eastAsia="仿宋_GB2312" w:cs="仿宋_GB2312"/>
          <w:color w:val="FF0000"/>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8.2024年中小学艺术展演活动专项资金绩效自评得分96分。</w:t>
      </w:r>
      <w:r>
        <w:rPr>
          <w:rFonts w:hint="eastAsia" w:hAnsi="仿宋_GB2312" w:eastAsia="仿宋_GB2312" w:cs="仿宋_GB2312"/>
          <w:color w:val="auto"/>
          <w:kern w:val="2"/>
          <w:sz w:val="32"/>
          <w:szCs w:val="32"/>
          <w:highlight w:val="none"/>
          <w:lang w:val="en-US" w:eastAsia="zh-CN" w:bidi="ar-SA"/>
        </w:rPr>
        <w:t>通过专项资金的投入，</w:t>
      </w:r>
      <w:r>
        <w:rPr>
          <w:rFonts w:hint="eastAsia" w:ascii="仿宋_GB2312" w:hAnsi="仿宋_GB2312" w:eastAsia="仿宋_GB2312" w:cs="仿宋_GB2312"/>
          <w:color w:val="auto"/>
          <w:kern w:val="2"/>
          <w:sz w:val="32"/>
          <w:szCs w:val="32"/>
          <w:highlight w:val="none"/>
          <w:lang w:val="en-US" w:eastAsia="zh-CN" w:bidi="ar-SA"/>
        </w:rPr>
        <w:t>活动整体达成预期目标，展现了广元市中小学艺术教育的阶段性成果，尤其在激发学生艺术兴趣、促进区域交流方面成效显著。</w:t>
      </w:r>
    </w:p>
    <w:p>
      <w:pPr>
        <w:keepNext w:val="0"/>
        <w:keepLines w:val="0"/>
        <w:pageBreakBefore w:val="0"/>
        <w:widowControl/>
        <w:numPr>
          <w:ilvl w:val="0"/>
          <w:numId w:val="0"/>
        </w:numPr>
        <w:shd w:val="clear" w:color="auto" w:fill="auto"/>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以上绩效自评报告详见附件。</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numPr>
          <w:ilvl w:val="0"/>
          <w:numId w:val="0"/>
        </w:numPr>
        <w:spacing w:line="600" w:lineRule="exact"/>
        <w:jc w:val="both"/>
        <w:outlineLvl w:val="9"/>
        <w:rPr>
          <w:rFonts w:hint="eastAsia" w:ascii="Times New Roman" w:hAnsi="Times New Roman" w:eastAsia="黑体"/>
          <w:color w:val="auto"/>
          <w:sz w:val="44"/>
          <w:szCs w:val="44"/>
          <w:highlight w:val="none"/>
        </w:rPr>
      </w:pPr>
      <w:bookmarkStart w:id="75" w:name="_Toc15396613"/>
      <w:bookmarkStart w:id="76" w:name="_Toc15377225"/>
    </w:p>
    <w:p>
      <w:pPr>
        <w:numPr>
          <w:ilvl w:val="0"/>
          <w:numId w:val="0"/>
        </w:numPr>
        <w:spacing w:line="600" w:lineRule="exact"/>
        <w:jc w:val="center"/>
        <w:outlineLvl w:val="0"/>
        <w:rPr>
          <w:rFonts w:hint="eastAsia" w:ascii="Times New Roman" w:hAnsi="Times New Roman" w:eastAsia="黑体"/>
          <w:color w:val="auto"/>
          <w:sz w:val="44"/>
          <w:szCs w:val="44"/>
          <w:highlight w:val="none"/>
        </w:rPr>
      </w:pPr>
      <w:bookmarkStart w:id="77" w:name="_Toc4157"/>
      <w:r>
        <w:rPr>
          <w:rFonts w:hint="eastAsia" w:ascii="Times New Roman" w:hAnsi="Times New Roman" w:eastAsia="黑体"/>
          <w:color w:val="auto"/>
          <w:sz w:val="44"/>
          <w:szCs w:val="44"/>
          <w:highlight w:val="none"/>
        </w:rPr>
        <w:t>第</w:t>
      </w:r>
      <w:r>
        <w:rPr>
          <w:rFonts w:hint="eastAsia" w:eastAsia="黑体"/>
          <w:color w:val="auto"/>
          <w:sz w:val="44"/>
          <w:szCs w:val="44"/>
          <w:highlight w:val="none"/>
          <w:lang w:eastAsia="zh-CN"/>
        </w:rPr>
        <w:t>三</w:t>
      </w:r>
      <w:r>
        <w:rPr>
          <w:rFonts w:hint="eastAsia" w:ascii="Times New Roman" w:hAnsi="Times New Roman" w:eastAsia="黑体"/>
          <w:color w:val="auto"/>
          <w:sz w:val="44"/>
          <w:szCs w:val="44"/>
          <w:highlight w:val="none"/>
        </w:rPr>
        <w:t>部分</w:t>
      </w:r>
      <w:r>
        <w:rPr>
          <w:rFonts w:hint="eastAsia" w:ascii="Times New Roman" w:hAnsi="Times New Roman" w:eastAsia="黑体"/>
          <w:color w:val="auto"/>
          <w:sz w:val="44"/>
          <w:szCs w:val="44"/>
          <w:highlight w:val="none"/>
          <w:lang w:val="en-US" w:eastAsia="zh-CN"/>
        </w:rPr>
        <w:t xml:space="preserve"> </w:t>
      </w:r>
      <w:r>
        <w:rPr>
          <w:rFonts w:hint="eastAsia"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名词解释</w:t>
      </w:r>
      <w:bookmarkEnd w:id="75"/>
      <w:bookmarkEnd w:id="76"/>
      <w:bookmarkEnd w:id="77"/>
    </w:p>
    <w:p>
      <w:pPr>
        <w:spacing w:line="600" w:lineRule="exact"/>
        <w:jc w:val="left"/>
        <w:rPr>
          <w:rFonts w:ascii="Times New Roman" w:hAnsi="Times New Roman"/>
          <w:b/>
          <w:color w:val="auto"/>
          <w:sz w:val="44"/>
          <w:szCs w:val="44"/>
          <w:highlight w:val="none"/>
        </w:rPr>
      </w:pPr>
    </w:p>
    <w:p>
      <w:pPr>
        <w:numPr>
          <w:ilvl w:val="0"/>
          <w:numId w:val="2"/>
        </w:numPr>
        <w:spacing w:line="600" w:lineRule="exact"/>
        <w:ind w:left="0" w:leftChars="0" w:firstLine="400" w:firstLineChars="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财政拨款收入：指单位从同级财政部门取得的财政预算资金。</w:t>
      </w:r>
    </w:p>
    <w:p>
      <w:pPr>
        <w:numPr>
          <w:ilvl w:val="0"/>
          <w:numId w:val="2"/>
        </w:numPr>
        <w:spacing w:line="600" w:lineRule="exact"/>
        <w:ind w:left="0" w:leftChars="0" w:firstLine="400" w:firstLineChars="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事业收入：指事业单位开展专业业务活动及辅助活动取得的收入。</w:t>
      </w:r>
      <w:r>
        <w:rPr>
          <w:rFonts w:hint="eastAsia" w:ascii="仿宋_GB2312" w:eastAsia="仿宋_GB2312"/>
          <w:color w:val="auto"/>
          <w:sz w:val="32"/>
          <w:szCs w:val="32"/>
          <w:highlight w:val="none"/>
        </w:rPr>
        <w:t>如学费、住宿费</w:t>
      </w:r>
      <w:r>
        <w:rPr>
          <w:rFonts w:ascii="仿宋_GB2312" w:eastAsia="仿宋_GB2312"/>
          <w:color w:val="auto"/>
          <w:sz w:val="32"/>
          <w:szCs w:val="32"/>
          <w:highlight w:val="none"/>
        </w:rPr>
        <w:t>、</w:t>
      </w:r>
      <w:r>
        <w:rPr>
          <w:rFonts w:hint="eastAsia" w:ascii="仿宋_GB2312" w:eastAsia="仿宋_GB2312"/>
          <w:color w:val="auto"/>
          <w:sz w:val="32"/>
          <w:szCs w:val="32"/>
          <w:highlight w:val="none"/>
          <w:lang w:eastAsia="zh-CN"/>
        </w:rPr>
        <w:t>考试考务费、</w:t>
      </w:r>
      <w:r>
        <w:rPr>
          <w:rFonts w:ascii="仿宋_GB2312" w:eastAsia="仿宋_GB2312"/>
          <w:color w:val="auto"/>
          <w:sz w:val="32"/>
          <w:szCs w:val="32"/>
          <w:highlight w:val="none"/>
        </w:rPr>
        <w:t>短期培训费</w:t>
      </w:r>
      <w:r>
        <w:rPr>
          <w:rFonts w:hint="eastAsia" w:ascii="仿宋_GB2312" w:eastAsia="仿宋_GB2312"/>
          <w:color w:val="auto"/>
          <w:sz w:val="32"/>
          <w:szCs w:val="32"/>
          <w:highlight w:val="none"/>
        </w:rPr>
        <w:t>等</w:t>
      </w:r>
      <w:r>
        <w:rPr>
          <w:rFonts w:hint="eastAsia" w:ascii="Times New Roman" w:hAnsi="Times New Roman" w:eastAsia="仿宋_GB2312" w:cs="仿宋_GB2312"/>
          <w:color w:val="auto"/>
          <w:kern w:val="2"/>
          <w:sz w:val="32"/>
          <w:szCs w:val="32"/>
          <w:highlight w:val="none"/>
          <w:lang w:val="en-US" w:eastAsia="zh-CN" w:bidi="ar-SA"/>
        </w:rPr>
        <w:t>。</w:t>
      </w:r>
    </w:p>
    <w:p>
      <w:pPr>
        <w:numPr>
          <w:ilvl w:val="0"/>
          <w:numId w:val="2"/>
        </w:numPr>
        <w:spacing w:line="600" w:lineRule="exact"/>
        <w:ind w:left="0" w:leftChars="0" w:firstLine="400" w:firstLineChars="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其他收入：指单位取得的除上述收入以外的各项收入。主要是</w:t>
      </w:r>
      <w:r>
        <w:rPr>
          <w:rFonts w:hint="eastAsia" w:eastAsia="仿宋_GB2312" w:cs="仿宋_GB2312"/>
          <w:color w:val="auto"/>
          <w:kern w:val="2"/>
          <w:sz w:val="32"/>
          <w:szCs w:val="32"/>
          <w:highlight w:val="none"/>
          <w:lang w:val="en-US" w:eastAsia="zh-CN" w:bidi="ar-SA"/>
        </w:rPr>
        <w:t>各类非同级财政拨款收入、利息收入等</w:t>
      </w:r>
      <w:r>
        <w:rPr>
          <w:rFonts w:hint="eastAsia" w:ascii="Times New Roman" w:hAnsi="Times New Roman" w:eastAsia="仿宋_GB2312" w:cs="仿宋_GB2312"/>
          <w:color w:val="auto"/>
          <w:kern w:val="2"/>
          <w:sz w:val="32"/>
          <w:szCs w:val="32"/>
          <w:highlight w:val="none"/>
          <w:lang w:val="en-US" w:eastAsia="zh-CN" w:bidi="ar-SA"/>
        </w:rPr>
        <w:t xml:space="preserve">。 </w:t>
      </w:r>
    </w:p>
    <w:p>
      <w:pPr>
        <w:numPr>
          <w:ilvl w:val="0"/>
          <w:numId w:val="2"/>
        </w:numPr>
        <w:spacing w:line="600" w:lineRule="exact"/>
        <w:ind w:left="0" w:leftChars="0" w:firstLine="400" w:firstLineChars="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 xml:space="preserve">年初结转和结余：指以前年度尚未完成、结转到本年按有关规定继续使用的资金。 </w:t>
      </w:r>
    </w:p>
    <w:p>
      <w:pPr>
        <w:numPr>
          <w:ilvl w:val="0"/>
          <w:numId w:val="2"/>
        </w:numPr>
        <w:spacing w:line="600" w:lineRule="exact"/>
        <w:ind w:left="0" w:leftChars="0" w:firstLine="400" w:firstLineChars="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年末结转和结余：指单位按有关规定结转到下年或以后年度继续使用的资金。</w:t>
      </w:r>
    </w:p>
    <w:p>
      <w:pPr>
        <w:numPr>
          <w:ilvl w:val="0"/>
          <w:numId w:val="2"/>
        </w:numPr>
        <w:spacing w:line="600" w:lineRule="exact"/>
        <w:ind w:left="0" w:leftChars="0" w:firstLine="400" w:firstLineChars="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教育（类）教育管理事务（款）一般行政管理事务（项）：</w:t>
      </w:r>
      <w:r>
        <w:rPr>
          <w:rFonts w:hint="eastAsia" w:ascii="仿宋_GB2312" w:eastAsia="仿宋_GB2312"/>
          <w:color w:val="auto"/>
          <w:sz w:val="32"/>
          <w:szCs w:val="32"/>
          <w:highlight w:val="none"/>
          <w:lang w:val="en-US" w:eastAsia="zh-CN"/>
        </w:rPr>
        <w:t>指行政单位（包括实行公务员管理的事业单位）未单独设置项级科目的其他项目支出。</w:t>
      </w:r>
    </w:p>
    <w:p>
      <w:pPr>
        <w:numPr>
          <w:ilvl w:val="0"/>
          <w:numId w:val="2"/>
        </w:numPr>
        <w:spacing w:line="600" w:lineRule="exact"/>
        <w:ind w:left="0" w:leftChars="0" w:firstLine="400" w:firstLineChars="0"/>
        <w:rPr>
          <w:rFonts w:hint="default" w:ascii="Times New Roman" w:hAnsi="Times New Roman" w:eastAsia="仿宋_GB2312" w:cs="仿宋_GB2312"/>
          <w:color w:val="FF0000"/>
          <w:kern w:val="2"/>
          <w:sz w:val="32"/>
          <w:szCs w:val="32"/>
          <w:highlight w:val="none"/>
          <w:lang w:val="en-US" w:eastAsia="zh-CN" w:bidi="ar-SA"/>
        </w:rPr>
      </w:pPr>
      <w:r>
        <w:rPr>
          <w:rFonts w:hint="eastAsia" w:ascii="仿宋_GB2312" w:eastAsia="仿宋_GB2312"/>
          <w:color w:val="auto"/>
          <w:sz w:val="32"/>
          <w:szCs w:val="32"/>
          <w:highlight w:val="none"/>
          <w:lang w:val="en-US" w:eastAsia="zh-CN"/>
        </w:rPr>
        <w:t>教育（类）普通教育（款）初中教育（项）：指各部门举办的初中教育支出。</w:t>
      </w:r>
    </w:p>
    <w:p>
      <w:pPr>
        <w:keepNext w:val="0"/>
        <w:keepLines w:val="0"/>
        <w:pageBreakBefore w:val="0"/>
        <w:widowControl w:val="0"/>
        <w:numPr>
          <w:ilvl w:val="0"/>
          <w:numId w:val="2"/>
        </w:numPr>
        <w:shd w:val="clear" w:color="auto" w:fill="auto"/>
        <w:kinsoku/>
        <w:wordWrap/>
        <w:overflowPunct/>
        <w:topLinePunct w:val="0"/>
        <w:bidi w:val="0"/>
        <w:snapToGrid/>
        <w:spacing w:line="560" w:lineRule="exact"/>
        <w:ind w:left="0" w:leftChars="0" w:firstLine="400" w:firstLineChars="0"/>
        <w:textAlignment w:val="auto"/>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教育（类）职业教育（款）中等职业教育（项）：</w:t>
      </w:r>
      <w:r>
        <w:rPr>
          <w:rFonts w:hint="eastAsia" w:ascii="仿宋_GB2312" w:eastAsia="仿宋_GB2312"/>
          <w:color w:val="auto"/>
          <w:sz w:val="32"/>
          <w:szCs w:val="32"/>
          <w:highlight w:val="none"/>
          <w:lang w:val="en-US" w:eastAsia="zh-CN"/>
        </w:rPr>
        <w:t>指各部门（不含人力资源社会保障部门）举办的中等职业教育支出。</w:t>
      </w:r>
    </w:p>
    <w:p>
      <w:pPr>
        <w:numPr>
          <w:ilvl w:val="0"/>
          <w:numId w:val="2"/>
        </w:numPr>
        <w:spacing w:line="600" w:lineRule="exact"/>
        <w:ind w:left="0" w:leftChars="0" w:firstLine="400" w:firstLineChars="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教育（类）职业教育（款）高等职业教育（项）：</w:t>
      </w:r>
      <w:r>
        <w:rPr>
          <w:rFonts w:hint="eastAsia" w:ascii="仿宋_GB2312" w:hAnsi="Calibri" w:eastAsia="仿宋_GB2312" w:cs="仿宋"/>
          <w:color w:val="auto"/>
          <w:kern w:val="0"/>
          <w:sz w:val="32"/>
          <w:szCs w:val="32"/>
          <w:highlight w:val="none"/>
          <w:lang w:eastAsia="zh-CN"/>
        </w:rPr>
        <w:t>指各部门举办的本科、专科层次职业教育支出。</w:t>
      </w:r>
    </w:p>
    <w:p>
      <w:pPr>
        <w:numPr>
          <w:ilvl w:val="0"/>
          <w:numId w:val="2"/>
        </w:numPr>
        <w:spacing w:line="600" w:lineRule="exact"/>
        <w:ind w:left="0" w:leftChars="0" w:firstLine="400" w:firstLineChars="0"/>
        <w:rPr>
          <w:rFonts w:hint="default" w:ascii="Times New Roman" w:hAnsi="Times New Roman" w:eastAsia="仿宋_GB2312" w:cs="仿宋_GB2312"/>
          <w:color w:val="FF0000"/>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文化旅游体育与传媒支出（类）文化和旅游（款）文化活动（项）：</w:t>
      </w:r>
      <w:r>
        <w:rPr>
          <w:rFonts w:hint="eastAsia" w:eastAsia="仿宋_GB2312" w:cs="仿宋_GB2312"/>
          <w:color w:val="auto"/>
          <w:kern w:val="2"/>
          <w:sz w:val="32"/>
          <w:szCs w:val="32"/>
          <w:highlight w:val="none"/>
          <w:lang w:val="en-US" w:eastAsia="zh-CN" w:bidi="ar-SA"/>
        </w:rPr>
        <w:t>指举办大型文化艺术活动的支出。</w:t>
      </w:r>
    </w:p>
    <w:p>
      <w:pPr>
        <w:keepNext w:val="0"/>
        <w:keepLines w:val="0"/>
        <w:pageBreakBefore w:val="0"/>
        <w:widowControl w:val="0"/>
        <w:numPr>
          <w:ilvl w:val="0"/>
          <w:numId w:val="2"/>
        </w:numPr>
        <w:shd w:val="clear" w:color="auto" w:fill="auto"/>
        <w:kinsoku/>
        <w:wordWrap/>
        <w:overflowPunct/>
        <w:topLinePunct w:val="0"/>
        <w:bidi w:val="0"/>
        <w:snapToGrid/>
        <w:spacing w:line="560" w:lineRule="exact"/>
        <w:ind w:left="0" w:leftChars="0" w:firstLine="400" w:firstLineChars="0"/>
        <w:textAlignment w:val="auto"/>
        <w:rPr>
          <w:rFonts w:hint="default"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社会保障和就业（类）人力资源和社会保障管理事务（款）引进人才费用（项）：</w:t>
      </w:r>
      <w:r>
        <w:rPr>
          <w:rFonts w:hint="eastAsia" w:ascii="仿宋_GB2312" w:eastAsia="仿宋_GB2312"/>
          <w:color w:val="auto"/>
          <w:sz w:val="32"/>
          <w:szCs w:val="32"/>
          <w:highlight w:val="none"/>
          <w:lang w:val="en-US" w:eastAsia="zh-CN"/>
        </w:rPr>
        <w:t>指用于引进外国专家补助、引智成果推广等方面的支出。</w:t>
      </w:r>
    </w:p>
    <w:p>
      <w:pPr>
        <w:numPr>
          <w:ilvl w:val="0"/>
          <w:numId w:val="2"/>
        </w:numPr>
        <w:spacing w:line="600" w:lineRule="exact"/>
        <w:ind w:left="0" w:leftChars="0" w:firstLine="400" w:firstLineChars="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社会保障和就业（类）行政事业单位养老支出（款）事业单位离退休（项）：</w:t>
      </w:r>
      <w:r>
        <w:rPr>
          <w:rFonts w:hint="eastAsia" w:ascii="仿宋_GB2312" w:hAnsi="Calibri" w:eastAsia="仿宋_GB2312" w:cs="仿宋"/>
          <w:color w:val="auto"/>
          <w:kern w:val="0"/>
          <w:sz w:val="32"/>
          <w:szCs w:val="32"/>
          <w:highlight w:val="none"/>
          <w:lang w:eastAsia="zh-CN"/>
        </w:rPr>
        <w:t>指</w:t>
      </w:r>
      <w:r>
        <w:rPr>
          <w:rFonts w:hint="eastAsia" w:ascii="仿宋_GB2312" w:eastAsia="仿宋_GB2312" w:cs="仿宋"/>
          <w:color w:val="auto"/>
          <w:kern w:val="0"/>
          <w:sz w:val="32"/>
          <w:szCs w:val="32"/>
          <w:highlight w:val="none"/>
          <w:lang w:eastAsia="zh-CN"/>
        </w:rPr>
        <w:t>事业</w:t>
      </w:r>
      <w:r>
        <w:rPr>
          <w:rFonts w:hint="eastAsia" w:ascii="仿宋_GB2312" w:hAnsi="Calibri" w:eastAsia="仿宋_GB2312" w:cs="仿宋"/>
          <w:color w:val="auto"/>
          <w:kern w:val="0"/>
          <w:sz w:val="32"/>
          <w:szCs w:val="32"/>
          <w:highlight w:val="none"/>
          <w:lang w:eastAsia="zh-CN"/>
        </w:rPr>
        <w:t>单位开支的离退休经费。</w:t>
      </w:r>
    </w:p>
    <w:p>
      <w:pPr>
        <w:numPr>
          <w:ilvl w:val="0"/>
          <w:numId w:val="2"/>
        </w:numPr>
        <w:spacing w:line="600" w:lineRule="exact"/>
        <w:ind w:left="0" w:leftChars="0" w:firstLine="400" w:firstLineChars="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社会保障和就业（类）行政事业单位养老支出（款） 机关事业单位基本养老保险缴费支出（项）：</w:t>
      </w:r>
      <w:r>
        <w:rPr>
          <w:rFonts w:ascii="仿宋_GB2312" w:hAnsi="Calibri" w:eastAsia="仿宋_GB2312" w:cs="仿宋"/>
          <w:color w:val="auto"/>
          <w:kern w:val="0"/>
          <w:sz w:val="32"/>
          <w:szCs w:val="32"/>
          <w:highlight w:val="none"/>
        </w:rPr>
        <w:t>指机关事业单位实施养老保险制度由单位缴纳的基本养老保险费支出。</w:t>
      </w:r>
    </w:p>
    <w:p>
      <w:pPr>
        <w:numPr>
          <w:ilvl w:val="0"/>
          <w:numId w:val="2"/>
        </w:numPr>
        <w:spacing w:line="600" w:lineRule="exact"/>
        <w:ind w:left="0" w:leftChars="0" w:firstLine="400" w:firstLineChars="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社会保障和就业（类）行政事业单位养老支出（款）机关事业单位职业年金缴费支出（项）：</w:t>
      </w:r>
      <w:r>
        <w:rPr>
          <w:rFonts w:ascii="仿宋_GB2312" w:hAnsi="Calibri" w:eastAsia="仿宋_GB2312" w:cs="仿宋"/>
          <w:color w:val="auto"/>
          <w:kern w:val="0"/>
          <w:sz w:val="32"/>
          <w:szCs w:val="32"/>
          <w:highlight w:val="none"/>
        </w:rPr>
        <w:t>指机关事业单位实施养老保险制度由单位</w:t>
      </w:r>
      <w:r>
        <w:rPr>
          <w:rFonts w:hint="eastAsia" w:ascii="仿宋_GB2312" w:hAnsi="Calibri" w:eastAsia="仿宋_GB2312" w:cs="仿宋"/>
          <w:color w:val="auto"/>
          <w:kern w:val="0"/>
          <w:sz w:val="32"/>
          <w:szCs w:val="32"/>
          <w:highlight w:val="none"/>
          <w:lang w:eastAsia="zh-CN"/>
        </w:rPr>
        <w:t>实际</w:t>
      </w:r>
      <w:r>
        <w:rPr>
          <w:rFonts w:ascii="仿宋_GB2312" w:hAnsi="Calibri" w:eastAsia="仿宋_GB2312" w:cs="仿宋"/>
          <w:color w:val="auto"/>
          <w:kern w:val="0"/>
          <w:sz w:val="32"/>
          <w:szCs w:val="32"/>
          <w:highlight w:val="none"/>
        </w:rPr>
        <w:t>缴纳的</w:t>
      </w:r>
      <w:r>
        <w:rPr>
          <w:rFonts w:hint="eastAsia" w:ascii="仿宋_GB2312" w:hAnsi="Calibri" w:eastAsia="仿宋_GB2312" w:cs="仿宋"/>
          <w:color w:val="auto"/>
          <w:kern w:val="0"/>
          <w:sz w:val="32"/>
          <w:szCs w:val="32"/>
          <w:highlight w:val="none"/>
          <w:lang w:eastAsia="zh-CN"/>
        </w:rPr>
        <w:t>职业年金</w:t>
      </w:r>
      <w:r>
        <w:rPr>
          <w:rFonts w:ascii="仿宋_GB2312" w:hAnsi="Calibri" w:eastAsia="仿宋_GB2312" w:cs="仿宋"/>
          <w:color w:val="auto"/>
          <w:kern w:val="0"/>
          <w:sz w:val="32"/>
          <w:szCs w:val="32"/>
          <w:highlight w:val="none"/>
        </w:rPr>
        <w:t>支出。</w:t>
      </w:r>
    </w:p>
    <w:p>
      <w:pPr>
        <w:numPr>
          <w:ilvl w:val="0"/>
          <w:numId w:val="2"/>
        </w:numPr>
        <w:spacing w:line="600" w:lineRule="exact"/>
        <w:ind w:left="0" w:leftChars="0" w:firstLine="400" w:firstLineChars="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社会保障和就业（类）抚恤（款）死亡抚恤（项）：</w:t>
      </w:r>
    </w:p>
    <w:p>
      <w:pPr>
        <w:keepNext w:val="0"/>
        <w:keepLines w:val="0"/>
        <w:pageBreakBefore w:val="0"/>
        <w:widowControl w:val="0"/>
        <w:numPr>
          <w:ilvl w:val="0"/>
          <w:numId w:val="2"/>
        </w:numPr>
        <w:shd w:val="clear" w:color="auto" w:fill="auto"/>
        <w:kinsoku/>
        <w:wordWrap/>
        <w:overflowPunct/>
        <w:topLinePunct w:val="0"/>
        <w:bidi w:val="0"/>
        <w:snapToGrid/>
        <w:spacing w:line="560" w:lineRule="exact"/>
        <w:ind w:left="0" w:leftChars="0" w:firstLine="400" w:firstLineChars="0"/>
        <w:textAlignment w:val="auto"/>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社会保障和就业（类）其他社会保障和就业支出（款）其他社会保障和就业支出（项）：</w:t>
      </w:r>
      <w:r>
        <w:rPr>
          <w:rFonts w:hint="eastAsia" w:ascii="仿宋_GB2312" w:hAnsi="Calibri" w:eastAsia="仿宋_GB2312" w:cs="仿宋"/>
          <w:color w:val="auto"/>
          <w:kern w:val="0"/>
          <w:sz w:val="32"/>
          <w:szCs w:val="32"/>
          <w:highlight w:val="none"/>
          <w:lang w:val="en-US" w:eastAsia="zh-CN" w:bidi="ar-SA"/>
        </w:rPr>
        <w:t>指其他用于社会保障和就业方面的支出。</w:t>
      </w:r>
    </w:p>
    <w:p>
      <w:pPr>
        <w:numPr>
          <w:ilvl w:val="0"/>
          <w:numId w:val="2"/>
        </w:numPr>
        <w:spacing w:line="600" w:lineRule="exact"/>
        <w:ind w:left="0" w:leftChars="0" w:firstLine="400" w:firstLineChars="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卫生健康支出（类）公共卫生（款）重大公共卫生服务（项）：</w:t>
      </w:r>
      <w:r>
        <w:rPr>
          <w:rFonts w:hint="eastAsia" w:ascii="仿宋_GB2312" w:eastAsia="仿宋_GB2312" w:cs="仿宋"/>
          <w:color w:val="auto"/>
          <w:kern w:val="0"/>
          <w:sz w:val="32"/>
          <w:szCs w:val="32"/>
          <w:highlight w:val="none"/>
          <w:lang w:eastAsia="zh-CN"/>
        </w:rPr>
        <w:t>指重大疾病、重大传染病预防控制等重大公共卫生服务项目支出。</w:t>
      </w:r>
    </w:p>
    <w:p>
      <w:pPr>
        <w:numPr>
          <w:ilvl w:val="0"/>
          <w:numId w:val="2"/>
        </w:numPr>
        <w:spacing w:line="600" w:lineRule="exact"/>
        <w:ind w:left="0" w:leftChars="0" w:firstLine="400" w:firstLineChars="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卫生健康支出（类）行政事业单位医疗（款）事业单位医疗（项）：</w:t>
      </w:r>
      <w:r>
        <w:rPr>
          <w:rFonts w:ascii="仿宋_GB2312" w:hAnsi="Calibri" w:eastAsia="仿宋_GB2312" w:cs="仿宋"/>
          <w:color w:val="auto"/>
          <w:kern w:val="0"/>
          <w:sz w:val="32"/>
          <w:szCs w:val="32"/>
          <w:highlight w:val="none"/>
        </w:rPr>
        <w:t>指财政部门安排的事业单位基本医疗保险缴费经费，未参加医疗保险的事业单位的公费医疗经费，按国家规定享受离休人员待遇的医疗经费。</w:t>
      </w:r>
    </w:p>
    <w:p>
      <w:pPr>
        <w:keepNext w:val="0"/>
        <w:keepLines w:val="0"/>
        <w:pageBreakBefore w:val="0"/>
        <w:widowControl w:val="0"/>
        <w:numPr>
          <w:ilvl w:val="0"/>
          <w:numId w:val="2"/>
        </w:numPr>
        <w:shd w:val="clear" w:color="auto" w:fill="auto"/>
        <w:kinsoku/>
        <w:wordWrap/>
        <w:overflowPunct/>
        <w:topLinePunct w:val="0"/>
        <w:bidi w:val="0"/>
        <w:snapToGrid/>
        <w:spacing w:line="560" w:lineRule="exact"/>
        <w:ind w:left="0" w:leftChars="0" w:firstLine="400" w:firstLineChars="0"/>
        <w:textAlignment w:val="auto"/>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住房保障支出（类）住房改革支出（款）住房公积金（项）：</w:t>
      </w:r>
      <w:r>
        <w:rPr>
          <w:rFonts w:ascii="仿宋_GB2312" w:hAnsi="Calibri" w:eastAsia="仿宋_GB2312" w:cs="仿宋"/>
          <w:color w:val="auto"/>
          <w:kern w:val="0"/>
          <w:sz w:val="32"/>
          <w:szCs w:val="32"/>
          <w:highlight w:val="none"/>
        </w:rPr>
        <w:t>指行政事业单位按人力资源和社会保障部、财政部规定的基本工资和津贴补贴以及规定比例为职工缴纳的住房公积金。</w:t>
      </w:r>
    </w:p>
    <w:p>
      <w:pPr>
        <w:numPr>
          <w:ilvl w:val="0"/>
          <w:numId w:val="2"/>
        </w:numPr>
        <w:spacing w:line="600" w:lineRule="exact"/>
        <w:ind w:left="0" w:leftChars="0" w:firstLine="400" w:firstLineChars="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基本支出：指为保障机构正常运转、完成日常工作任务而发生的人员支出和公用支出。</w:t>
      </w:r>
    </w:p>
    <w:p>
      <w:pPr>
        <w:numPr>
          <w:ilvl w:val="0"/>
          <w:numId w:val="2"/>
        </w:numPr>
        <w:spacing w:line="600" w:lineRule="exact"/>
        <w:ind w:left="0" w:leftChars="0" w:firstLine="400" w:firstLineChars="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 xml:space="preserve">项目支出：指在基本支出之外为完成特定行政任务和事业发展目标所发生的支出。 </w:t>
      </w:r>
    </w:p>
    <w:p>
      <w:pPr>
        <w:numPr>
          <w:ilvl w:val="0"/>
          <w:numId w:val="2"/>
        </w:numPr>
        <w:spacing w:line="600" w:lineRule="exact"/>
        <w:ind w:left="0" w:leftChars="0" w:firstLine="400" w:firstLineChars="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三公</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jc w:val="center"/>
        <w:outlineLvl w:val="0"/>
        <w:rPr>
          <w:rStyle w:val="21"/>
          <w:rFonts w:hint="eastAsia" w:ascii="Times New Roman" w:hAnsi="Times New Roman" w:eastAsia="黑体"/>
          <w:b w:val="0"/>
          <w:color w:val="auto"/>
          <w:highlight w:val="none"/>
          <w:lang w:eastAsia="zh-CN"/>
        </w:rPr>
      </w:pPr>
      <w:bookmarkStart w:id="78" w:name="_Toc15377226"/>
      <w:r>
        <w:rPr>
          <w:rFonts w:hint="eastAsia" w:ascii="Times New Roman" w:hAnsi="Times New Roman" w:eastAsia="仿宋_GB2312" w:cs="仿宋_GB2312"/>
          <w:color w:val="auto"/>
          <w:kern w:val="2"/>
          <w:sz w:val="32"/>
          <w:szCs w:val="32"/>
          <w:highlight w:val="none"/>
          <w:lang w:val="en-US" w:eastAsia="zh-CN" w:bidi="ar-SA"/>
        </w:rPr>
        <w:br w:type="page"/>
      </w:r>
      <w:bookmarkStart w:id="79" w:name="_Toc2995"/>
      <w:bookmarkStart w:id="80" w:name="_Toc15396614"/>
      <w:r>
        <w:rPr>
          <w:rFonts w:hint="eastAsia" w:ascii="Times New Roman" w:hAnsi="Times New Roman" w:eastAsia="黑体"/>
          <w:color w:val="auto"/>
          <w:sz w:val="44"/>
          <w:szCs w:val="44"/>
          <w:highlight w:val="none"/>
        </w:rPr>
        <w:t>第四部分</w:t>
      </w:r>
      <w:r>
        <w:rPr>
          <w:rFonts w:hint="eastAsia" w:ascii="Times New Roman" w:hAnsi="Times New Roman"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 xml:space="preserve"> 附件</w:t>
      </w:r>
      <w:bookmarkEnd w:id="79"/>
      <w:bookmarkEnd w:id="80"/>
    </w:p>
    <w:p>
      <w:pPr>
        <w:keepNext w:val="0"/>
        <w:keepLines w:val="0"/>
        <w:pageBreakBefore w:val="0"/>
        <w:kinsoku/>
        <w:wordWrap/>
        <w:overflowPunct/>
        <w:topLinePunct w:val="0"/>
        <w:autoSpaceDE/>
        <w:autoSpaceDN/>
        <w:bidi w:val="0"/>
        <w:spacing w:line="572" w:lineRule="exact"/>
        <w:jc w:val="left"/>
        <w:textAlignment w:val="auto"/>
        <w:outlineLvl w:val="9"/>
        <w:rPr>
          <w:rFonts w:hint="eastAsia" w:ascii="Times New Roman" w:hAnsi="Times New Roman" w:eastAsia="黑体" w:cs="黑体"/>
          <w:color w:val="FF0000"/>
          <w:sz w:val="32"/>
          <w:szCs w:val="32"/>
          <w:highlight w:val="none"/>
        </w:rPr>
      </w:pPr>
    </w:p>
    <w:p>
      <w:pPr>
        <w:keepNext w:val="0"/>
        <w:keepLines w:val="0"/>
        <w:pageBreakBefore w:val="0"/>
        <w:kinsoku/>
        <w:wordWrap/>
        <w:overflowPunct/>
        <w:topLinePunct w:val="0"/>
        <w:autoSpaceDE/>
        <w:autoSpaceDN/>
        <w:bidi w:val="0"/>
        <w:spacing w:line="572" w:lineRule="exact"/>
        <w:jc w:val="left"/>
        <w:textAlignment w:val="auto"/>
        <w:outlineLvl w:val="0"/>
        <w:rPr>
          <w:rFonts w:hint="eastAsia" w:ascii="Times New Roman" w:hAnsi="Times New Roman" w:eastAsia="黑体" w:cs="方正小标宋简体"/>
          <w:color w:val="auto"/>
          <w:sz w:val="44"/>
          <w:szCs w:val="44"/>
          <w:highlight w:val="none"/>
          <w:lang w:val="en-US" w:eastAsia="zh-CN"/>
        </w:rPr>
      </w:pPr>
      <w:bookmarkStart w:id="81" w:name="_Toc16179"/>
      <w:r>
        <w:rPr>
          <w:rFonts w:hint="eastAsia" w:ascii="Times New Roman" w:hAnsi="Times New Roman" w:eastAsia="黑体" w:cs="黑体"/>
          <w:color w:val="auto"/>
          <w:sz w:val="32"/>
          <w:szCs w:val="32"/>
          <w:highlight w:val="none"/>
        </w:rPr>
        <w:t>附件</w:t>
      </w:r>
      <w:r>
        <w:rPr>
          <w:rFonts w:hint="eastAsia" w:ascii="Times New Roman" w:hAnsi="Times New Roman" w:eastAsia="黑体" w:cs="黑体"/>
          <w:color w:val="auto"/>
          <w:sz w:val="32"/>
          <w:szCs w:val="32"/>
          <w:highlight w:val="none"/>
          <w:lang w:val="en-US" w:eastAsia="zh-CN"/>
        </w:rPr>
        <w:t>1</w:t>
      </w:r>
      <w:bookmarkEnd w:id="81"/>
    </w:p>
    <w:p>
      <w:pPr>
        <w:keepNext w:val="0"/>
        <w:keepLines w:val="0"/>
        <w:pageBreakBefore w:val="0"/>
        <w:widowControl/>
        <w:kinsoku/>
        <w:wordWrap/>
        <w:overflowPunct/>
        <w:topLinePunct w:val="0"/>
        <w:autoSpaceDE/>
        <w:autoSpaceDN/>
        <w:bidi w:val="0"/>
        <w:spacing w:line="578" w:lineRule="exact"/>
        <w:contextualSpacing/>
        <w:jc w:val="center"/>
        <w:textAlignment w:val="auto"/>
        <w:outlineLvl w:val="9"/>
        <w:rPr>
          <w:rFonts w:hint="default" w:ascii="Times New Roman" w:hAnsi="Times New Roman" w:eastAsia="方正小标宋简体" w:cs="Times New Roman"/>
          <w:b w:val="0"/>
          <w:bCs/>
          <w:sz w:val="44"/>
          <w:szCs w:val="44"/>
          <w:highlight w:val="none"/>
          <w:shd w:val="clear" w:color="auto" w:fill="FFFFFF"/>
        </w:rPr>
      </w:pPr>
    </w:p>
    <w:p>
      <w:pPr>
        <w:keepNext w:val="0"/>
        <w:keepLines w:val="0"/>
        <w:pageBreakBefore w:val="0"/>
        <w:widowControl w:val="0"/>
        <w:kinsoku/>
        <w:wordWrap/>
        <w:overflowPunct/>
        <w:topLinePunct w:val="0"/>
        <w:autoSpaceDE/>
        <w:autoSpaceDN/>
        <w:bidi w:val="0"/>
        <w:adjustRightInd w:val="0"/>
        <w:snapToGrid w:val="0"/>
        <w:spacing w:line="560" w:lineRule="exact"/>
        <w:ind w:firstLine="880" w:firstLineChars="200"/>
        <w:contextualSpacing/>
        <w:jc w:val="center"/>
        <w:textAlignment w:val="auto"/>
        <w:outlineLvl w:val="9"/>
        <w:rPr>
          <w:rFonts w:hint="eastAsia" w:ascii="方正小标宋简体" w:hAnsi="方正小标宋简体" w:eastAsia="方正小标宋简体" w:cs="方正小标宋简体"/>
          <w:b w:val="0"/>
          <w:bCs w:val="0"/>
          <w:color w:val="auto"/>
          <w:sz w:val="44"/>
          <w:szCs w:val="44"/>
          <w:highlight w:val="none"/>
          <w:shd w:val="clear" w:color="auto" w:fill="FFFFFF"/>
        </w:rPr>
      </w:pPr>
      <w:r>
        <w:rPr>
          <w:rFonts w:hint="eastAsia" w:ascii="方正小标宋简体" w:hAnsi="方正小标宋简体" w:eastAsia="方正小标宋简体" w:cs="方正小标宋简体"/>
          <w:b w:val="0"/>
          <w:bCs w:val="0"/>
          <w:color w:val="auto"/>
          <w:sz w:val="44"/>
          <w:szCs w:val="44"/>
          <w:highlight w:val="none"/>
          <w:shd w:val="clear" w:color="auto" w:fill="FFFFFF"/>
        </w:rPr>
        <w:t>川北幼儿师范高等专科学校</w:t>
      </w:r>
    </w:p>
    <w:p>
      <w:pPr>
        <w:keepNext w:val="0"/>
        <w:keepLines w:val="0"/>
        <w:pageBreakBefore w:val="0"/>
        <w:widowControl w:val="0"/>
        <w:kinsoku/>
        <w:wordWrap/>
        <w:overflowPunct/>
        <w:topLinePunct w:val="0"/>
        <w:autoSpaceDE/>
        <w:autoSpaceDN/>
        <w:bidi w:val="0"/>
        <w:adjustRightInd w:val="0"/>
        <w:snapToGrid w:val="0"/>
        <w:spacing w:line="560" w:lineRule="exact"/>
        <w:ind w:firstLine="880" w:firstLineChars="200"/>
        <w:contextualSpacing/>
        <w:jc w:val="center"/>
        <w:textAlignment w:val="auto"/>
        <w:outlineLvl w:val="9"/>
        <w:rPr>
          <w:rFonts w:hint="eastAsia" w:ascii="方正小标宋简体" w:hAnsi="方正小标宋简体" w:eastAsia="方正小标宋简体" w:cs="方正小标宋简体"/>
          <w:b w:val="0"/>
          <w:bCs w:val="0"/>
          <w:color w:val="auto"/>
          <w:sz w:val="44"/>
          <w:szCs w:val="44"/>
          <w:highlight w:val="none"/>
          <w:shd w:val="clear" w:color="auto" w:fill="FFFFFF"/>
        </w:rPr>
      </w:pPr>
      <w:r>
        <w:rPr>
          <w:rFonts w:hint="eastAsia" w:ascii="方正小标宋简体" w:hAnsi="方正小标宋简体" w:eastAsia="方正小标宋简体" w:cs="方正小标宋简体"/>
          <w:b w:val="0"/>
          <w:bCs w:val="0"/>
          <w:color w:val="auto"/>
          <w:sz w:val="44"/>
          <w:szCs w:val="44"/>
          <w:highlight w:val="none"/>
          <w:shd w:val="clear" w:color="auto" w:fill="FFFFFF"/>
          <w:lang w:val="en-US" w:eastAsia="zh-CN"/>
        </w:rPr>
        <w:t>2024</w:t>
      </w:r>
      <w:r>
        <w:rPr>
          <w:rFonts w:hint="eastAsia" w:ascii="方正小标宋简体" w:hAnsi="方正小标宋简体" w:eastAsia="方正小标宋简体" w:cs="方正小标宋简体"/>
          <w:b w:val="0"/>
          <w:bCs w:val="0"/>
          <w:color w:val="auto"/>
          <w:sz w:val="44"/>
          <w:szCs w:val="44"/>
          <w:highlight w:val="none"/>
          <w:shd w:val="clear" w:color="auto" w:fill="FFFFFF"/>
        </w:rPr>
        <w:t>年整体预算绩效评价报告</w:t>
      </w:r>
    </w:p>
    <w:p>
      <w:pPr>
        <w:pStyle w:val="2"/>
        <w:keepNext w:val="0"/>
        <w:keepLines w:val="0"/>
        <w:pageBreakBefore w:val="0"/>
        <w:widowControl w:val="0"/>
        <w:kinsoku/>
        <w:wordWrap/>
        <w:overflowPunct/>
        <w:topLinePunct w:val="0"/>
        <w:autoSpaceDE/>
        <w:autoSpaceDN/>
        <w:bidi w:val="0"/>
        <w:spacing w:after="0" w:line="560" w:lineRule="exact"/>
        <w:textAlignment w:val="auto"/>
        <w:rPr>
          <w:rFonts w:hint="eastAsia"/>
          <w:highlight w:val="none"/>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default" w:ascii="Times New Roman" w:hAnsi="Times New Roman" w:cs="Times New Roman"/>
          <w:b w:val="0"/>
          <w:bCs w:val="0"/>
          <w:color w:val="auto"/>
          <w:sz w:val="32"/>
          <w:szCs w:val="32"/>
          <w:highlight w:val="none"/>
        </w:rPr>
      </w:pPr>
      <w:r>
        <w:rPr>
          <w:rFonts w:hint="default" w:ascii="Times New Roman" w:hAnsi="Times New Roman" w:eastAsia="黑体" w:cs="Times New Roman"/>
          <w:b w:val="0"/>
          <w:bCs w:val="0"/>
          <w:color w:val="auto"/>
          <w:kern w:val="0"/>
          <w:sz w:val="32"/>
          <w:szCs w:val="32"/>
          <w:highlight w:val="none"/>
          <w:shd w:val="clear" w:color="auto" w:fill="FFFFFF"/>
          <w:lang w:val="zh-CN"/>
        </w:rPr>
        <w:t>一、部门（单位）基本情况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default" w:ascii="Times New Roman" w:hAnsi="Times New Roman" w:eastAsia="楷体_GB2312" w:cs="Times New Roman"/>
          <w:b w:val="0"/>
          <w:bCs w:val="0"/>
          <w:color w:val="auto"/>
          <w:kern w:val="0"/>
          <w:sz w:val="32"/>
          <w:szCs w:val="32"/>
          <w:highlight w:val="none"/>
          <w:shd w:val="clear" w:color="auto" w:fill="FFFFFF"/>
          <w:lang w:val="zh-CN"/>
        </w:rPr>
      </w:pPr>
      <w:r>
        <w:rPr>
          <w:rFonts w:hint="default" w:ascii="Times New Roman" w:hAnsi="Times New Roman" w:eastAsia="楷体_GB2312" w:cs="Times New Roman"/>
          <w:b w:val="0"/>
          <w:bCs w:val="0"/>
          <w:color w:val="auto"/>
          <w:kern w:val="0"/>
          <w:sz w:val="32"/>
          <w:szCs w:val="32"/>
          <w:highlight w:val="none"/>
          <w:shd w:val="clear" w:color="auto" w:fill="FFFFFF"/>
          <w:lang w:val="zh-CN"/>
        </w:rPr>
        <w:t>（一）机构组成</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sz w:val="32"/>
          <w:szCs w:val="32"/>
          <w:highlight w:val="none"/>
          <w:shd w:val="clear" w:color="auto" w:fill="FFFFFF"/>
          <w:lang w:val="en-US" w:eastAsia="zh-CN"/>
        </w:rPr>
      </w:pPr>
      <w:r>
        <w:rPr>
          <w:rFonts w:hint="default" w:ascii="仿宋_GB2312" w:hAnsi="仿宋_GB2312" w:eastAsia="仿宋_GB2312" w:cs="仿宋_GB2312"/>
          <w:b w:val="0"/>
          <w:bCs w:val="0"/>
          <w:color w:val="auto"/>
          <w:kern w:val="0"/>
          <w:sz w:val="32"/>
          <w:szCs w:val="32"/>
          <w:highlight w:val="none"/>
          <w:shd w:val="clear" w:color="auto" w:fill="FFFFFF"/>
          <w:lang w:val="en-US" w:eastAsia="zh-CN"/>
        </w:rPr>
        <w:t>川北幼儿师范高等专科学校是经四川省人民政府批准成立、教育部备案的公办全日制普通高等学校,是广元市人民政府主办独立核算一级预算单位，执行政府会计制度，无二级或下属单位。</w:t>
      </w:r>
      <w:r>
        <w:rPr>
          <w:rFonts w:hint="eastAsia" w:ascii="仿宋_GB2312" w:hAnsi="仿宋_GB2312" w:eastAsia="仿宋_GB2312" w:cs="仿宋_GB2312"/>
          <w:b w:val="0"/>
          <w:bCs w:val="0"/>
          <w:color w:val="auto"/>
          <w:kern w:val="0"/>
          <w:sz w:val="32"/>
          <w:szCs w:val="32"/>
          <w:highlight w:val="none"/>
          <w:shd w:val="clear" w:color="auto" w:fill="FFFFFF"/>
          <w:lang w:val="en-US" w:eastAsia="zh-CN"/>
        </w:rPr>
        <w:t xml:space="preserve">  </w:t>
      </w:r>
    </w:p>
    <w:p>
      <w:pPr>
        <w:keepNext w:val="0"/>
        <w:keepLines w:val="0"/>
        <w:pageBreakBefore w:val="0"/>
        <w:widowControl w:val="0"/>
        <w:numPr>
          <w:ilvl w:val="0"/>
          <w:numId w:val="3"/>
        </w:numPr>
        <w:kinsoku/>
        <w:wordWrap/>
        <w:overflowPunct/>
        <w:topLinePunct w:val="0"/>
        <w:autoSpaceDE/>
        <w:autoSpaceDN/>
        <w:bidi w:val="0"/>
        <w:adjustRightInd w:val="0"/>
        <w:snapToGrid w:val="0"/>
        <w:spacing w:line="560" w:lineRule="exact"/>
        <w:ind w:firstLine="640" w:firstLineChars="200"/>
        <w:contextualSpacing/>
        <w:jc w:val="both"/>
        <w:textAlignment w:val="auto"/>
        <w:outlineLvl w:val="9"/>
        <w:rPr>
          <w:rFonts w:hint="default" w:ascii="仿宋_GB2312" w:hAnsi="仿宋_GB2312" w:eastAsia="仿宋_GB2312" w:cs="仿宋_GB2312"/>
          <w:b w:val="0"/>
          <w:bCs w:val="0"/>
          <w:color w:val="auto"/>
          <w:kern w:val="0"/>
          <w:position w:val="0"/>
          <w:sz w:val="32"/>
          <w:szCs w:val="32"/>
          <w:highlight w:val="none"/>
          <w:lang w:val="en-US" w:eastAsia="zh-CN" w:bidi="ar-SA"/>
        </w:rPr>
      </w:pPr>
      <w:r>
        <w:rPr>
          <w:rFonts w:hint="default" w:ascii="Times New Roman" w:hAnsi="Times New Roman" w:eastAsia="楷体_GB2312" w:cs="Times New Roman"/>
          <w:b w:val="0"/>
          <w:bCs w:val="0"/>
          <w:color w:val="auto"/>
          <w:kern w:val="0"/>
          <w:sz w:val="32"/>
          <w:szCs w:val="32"/>
          <w:highlight w:val="none"/>
          <w:shd w:val="clear" w:color="auto" w:fill="FFFFFF"/>
          <w:lang w:val="zh-CN"/>
        </w:rPr>
        <w:t>机构职能</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contextualSpacing/>
        <w:jc w:val="both"/>
        <w:textAlignment w:val="auto"/>
        <w:outlineLvl w:val="9"/>
        <w:rPr>
          <w:rFonts w:hint="default" w:ascii="仿宋_GB2312" w:hAnsi="仿宋_GB2312" w:eastAsia="仿宋_GB2312" w:cs="仿宋_GB2312"/>
          <w:b w:val="0"/>
          <w:bCs w:val="0"/>
          <w:color w:val="auto"/>
          <w:kern w:val="0"/>
          <w:sz w:val="32"/>
          <w:szCs w:val="32"/>
          <w:highlight w:val="none"/>
          <w:shd w:val="clear" w:color="auto" w:fill="FFFFFF"/>
          <w:lang w:val="zh-CN" w:eastAsia="zh-CN"/>
        </w:rPr>
      </w:pPr>
      <w:r>
        <w:rPr>
          <w:rFonts w:hint="default" w:ascii="仿宋_GB2312" w:hAnsi="仿宋_GB2312" w:eastAsia="仿宋_GB2312" w:cs="仿宋_GB2312"/>
          <w:b w:val="0"/>
          <w:bCs w:val="0"/>
          <w:color w:val="auto"/>
          <w:kern w:val="0"/>
          <w:sz w:val="32"/>
          <w:szCs w:val="32"/>
          <w:highlight w:val="none"/>
          <w:shd w:val="clear" w:color="auto" w:fill="FFFFFF"/>
          <w:lang w:val="zh-CN" w:eastAsia="zh-CN"/>
        </w:rPr>
        <w:t>学校负责培养具有普通高等专科学历的师资人才、医药卫生人才及其他职业技术人才，负责幼儿园教师、中小学教师、基层医护人员的培训工作，负责开展人才培养、科学研究、社会服务、文化传承与创新、国际交流与合作等工作。学校实行校院（部）二级管理，设有五院两部，开设学前教育、小学教育等26个大专专业</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楷体_GB2312" w:cs="Times New Roman"/>
          <w:b w:val="0"/>
          <w:bCs w:val="0"/>
          <w:color w:val="auto"/>
          <w:kern w:val="0"/>
          <w:sz w:val="32"/>
          <w:szCs w:val="32"/>
          <w:highlight w:val="none"/>
          <w:shd w:val="clear" w:color="auto" w:fill="FFFFFF"/>
          <w:lang w:val="zh-CN"/>
        </w:rPr>
      </w:pPr>
      <w:r>
        <w:rPr>
          <w:rFonts w:hint="default" w:ascii="Times New Roman" w:hAnsi="Times New Roman" w:eastAsia="楷体_GB2312" w:cs="Times New Roman"/>
          <w:b w:val="0"/>
          <w:bCs w:val="0"/>
          <w:color w:val="auto"/>
          <w:kern w:val="0"/>
          <w:sz w:val="32"/>
          <w:szCs w:val="32"/>
          <w:highlight w:val="none"/>
          <w:shd w:val="clear" w:color="auto" w:fill="FFFFFF"/>
          <w:lang w:val="zh-CN"/>
        </w:rPr>
        <w:t>人员概况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contextualSpacing/>
        <w:jc w:val="both"/>
        <w:textAlignment w:val="auto"/>
        <w:outlineLvl w:val="9"/>
        <w:rPr>
          <w:rFonts w:hint="default" w:ascii="仿宋_GB2312" w:hAnsi="仿宋_GB2312" w:eastAsia="仿宋_GB2312" w:cs="仿宋_GB2312"/>
          <w:b w:val="0"/>
          <w:bCs w:val="0"/>
          <w:color w:val="auto"/>
          <w:kern w:val="0"/>
          <w:sz w:val="32"/>
          <w:szCs w:val="32"/>
          <w:highlight w:val="none"/>
          <w:shd w:val="clear" w:color="auto" w:fill="FFFFFF"/>
          <w:lang w:val="en-US" w:eastAsia="zh-CN"/>
        </w:rPr>
      </w:pPr>
      <w:r>
        <w:rPr>
          <w:rFonts w:hint="default" w:ascii="仿宋_GB2312" w:hAnsi="仿宋_GB2312" w:eastAsia="仿宋_GB2312" w:cs="仿宋_GB2312"/>
          <w:b w:val="0"/>
          <w:bCs w:val="0"/>
          <w:color w:val="auto"/>
          <w:kern w:val="0"/>
          <w:sz w:val="32"/>
          <w:szCs w:val="32"/>
          <w:highlight w:val="none"/>
          <w:shd w:val="clear" w:color="auto" w:fill="FFFFFF"/>
          <w:lang w:val="en-US" w:eastAsia="zh-CN"/>
        </w:rPr>
        <w:t>截至</w:t>
      </w:r>
      <w:r>
        <w:rPr>
          <w:rFonts w:hint="eastAsia" w:ascii="仿宋_GB2312" w:hAnsi="仿宋_GB2312" w:eastAsia="仿宋_GB2312" w:cs="仿宋_GB2312"/>
          <w:b w:val="0"/>
          <w:bCs w:val="0"/>
          <w:color w:val="auto"/>
          <w:kern w:val="0"/>
          <w:sz w:val="32"/>
          <w:szCs w:val="32"/>
          <w:highlight w:val="none"/>
          <w:shd w:val="clear" w:color="auto" w:fill="FFFFFF"/>
          <w:lang w:val="en-US" w:eastAsia="zh-CN"/>
        </w:rPr>
        <w:t>2024</w:t>
      </w:r>
      <w:r>
        <w:rPr>
          <w:rFonts w:hint="default" w:ascii="仿宋_GB2312" w:hAnsi="仿宋_GB2312" w:eastAsia="仿宋_GB2312" w:cs="仿宋_GB2312"/>
          <w:b w:val="0"/>
          <w:bCs w:val="0"/>
          <w:color w:val="auto"/>
          <w:kern w:val="0"/>
          <w:sz w:val="32"/>
          <w:szCs w:val="32"/>
          <w:highlight w:val="none"/>
          <w:shd w:val="clear" w:color="auto" w:fill="FFFFFF"/>
          <w:lang w:val="en-US" w:eastAsia="zh-CN"/>
        </w:rPr>
        <w:t>年末，学校</w:t>
      </w:r>
      <w:r>
        <w:rPr>
          <w:rFonts w:hint="eastAsia" w:ascii="仿宋_GB2312" w:hAnsi="仿宋_GB2312" w:eastAsia="仿宋_GB2312" w:cs="仿宋_GB2312"/>
          <w:b w:val="0"/>
          <w:bCs w:val="0"/>
          <w:color w:val="auto"/>
          <w:kern w:val="0"/>
          <w:sz w:val="32"/>
          <w:szCs w:val="32"/>
          <w:highlight w:val="none"/>
          <w:shd w:val="clear" w:color="auto" w:fill="FFFFFF"/>
          <w:lang w:val="en-US" w:eastAsia="zh-CN"/>
        </w:rPr>
        <w:t>2024</w:t>
      </w:r>
      <w:r>
        <w:rPr>
          <w:rFonts w:hint="default" w:ascii="仿宋_GB2312" w:hAnsi="仿宋_GB2312" w:eastAsia="仿宋_GB2312" w:cs="仿宋_GB2312"/>
          <w:b w:val="0"/>
          <w:bCs w:val="0"/>
          <w:color w:val="auto"/>
          <w:kern w:val="0"/>
          <w:sz w:val="32"/>
          <w:szCs w:val="32"/>
          <w:highlight w:val="none"/>
          <w:shd w:val="clear" w:color="auto" w:fill="FFFFFF"/>
          <w:lang w:val="en-US" w:eastAsia="zh-CN"/>
        </w:rPr>
        <w:t>年末在职在编人数</w:t>
      </w:r>
      <w:r>
        <w:rPr>
          <w:rFonts w:hint="eastAsia" w:ascii="仿宋_GB2312" w:hAnsi="仿宋_GB2312" w:eastAsia="仿宋_GB2312" w:cs="仿宋_GB2312"/>
          <w:b w:val="0"/>
          <w:bCs w:val="0"/>
          <w:color w:val="auto"/>
          <w:kern w:val="0"/>
          <w:sz w:val="32"/>
          <w:szCs w:val="32"/>
          <w:highlight w:val="none"/>
          <w:shd w:val="clear" w:color="auto" w:fill="FFFFFF"/>
          <w:lang w:val="en-US" w:eastAsia="zh-CN"/>
        </w:rPr>
        <w:t>405</w:t>
      </w:r>
      <w:r>
        <w:rPr>
          <w:rFonts w:hint="default" w:ascii="仿宋_GB2312" w:hAnsi="仿宋_GB2312" w:eastAsia="仿宋_GB2312" w:cs="仿宋_GB2312"/>
          <w:b w:val="0"/>
          <w:bCs w:val="0"/>
          <w:color w:val="auto"/>
          <w:kern w:val="0"/>
          <w:sz w:val="32"/>
          <w:szCs w:val="32"/>
          <w:highlight w:val="none"/>
          <w:shd w:val="clear" w:color="auto" w:fill="FFFFFF"/>
          <w:lang w:val="en-US" w:eastAsia="zh-CN"/>
        </w:rPr>
        <w:t>人，聘用人员（同工同酬）人数</w:t>
      </w:r>
      <w:r>
        <w:rPr>
          <w:rFonts w:hint="eastAsia" w:ascii="仿宋_GB2312" w:hAnsi="仿宋_GB2312" w:eastAsia="仿宋_GB2312" w:cs="仿宋_GB2312"/>
          <w:b w:val="0"/>
          <w:bCs w:val="0"/>
          <w:color w:val="auto"/>
          <w:kern w:val="0"/>
          <w:sz w:val="32"/>
          <w:szCs w:val="32"/>
          <w:highlight w:val="none"/>
          <w:shd w:val="clear" w:color="auto" w:fill="FFFFFF"/>
          <w:lang w:val="en-US" w:eastAsia="zh-CN"/>
        </w:rPr>
        <w:t>95</w:t>
      </w:r>
      <w:r>
        <w:rPr>
          <w:rFonts w:hint="default" w:ascii="仿宋_GB2312" w:hAnsi="仿宋_GB2312" w:eastAsia="仿宋_GB2312" w:cs="仿宋_GB2312"/>
          <w:b w:val="0"/>
          <w:bCs w:val="0"/>
          <w:color w:val="auto"/>
          <w:kern w:val="0"/>
          <w:sz w:val="32"/>
          <w:szCs w:val="32"/>
          <w:highlight w:val="none"/>
          <w:shd w:val="clear" w:color="auto" w:fill="FFFFFF"/>
          <w:lang w:val="en-US" w:eastAsia="zh-CN"/>
        </w:rPr>
        <w:t>人，离退休人员</w:t>
      </w:r>
      <w:r>
        <w:rPr>
          <w:rFonts w:hint="eastAsia" w:ascii="仿宋_GB2312" w:hAnsi="仿宋_GB2312" w:eastAsia="仿宋_GB2312" w:cs="仿宋_GB2312"/>
          <w:b w:val="0"/>
          <w:bCs w:val="0"/>
          <w:color w:val="auto"/>
          <w:kern w:val="0"/>
          <w:sz w:val="32"/>
          <w:szCs w:val="32"/>
          <w:highlight w:val="none"/>
          <w:shd w:val="clear" w:color="auto" w:fill="FFFFFF"/>
          <w:lang w:val="en-US" w:eastAsia="zh-CN"/>
        </w:rPr>
        <w:t>171</w:t>
      </w:r>
      <w:r>
        <w:rPr>
          <w:rFonts w:hint="default" w:ascii="仿宋_GB2312" w:hAnsi="仿宋_GB2312" w:eastAsia="仿宋_GB2312" w:cs="仿宋_GB2312"/>
          <w:b w:val="0"/>
          <w:bCs w:val="0"/>
          <w:color w:val="auto"/>
          <w:kern w:val="0"/>
          <w:sz w:val="32"/>
          <w:szCs w:val="32"/>
          <w:highlight w:val="none"/>
          <w:shd w:val="clear" w:color="auto" w:fill="FFFFFF"/>
          <w:lang w:val="en-US" w:eastAsia="zh-CN"/>
        </w:rPr>
        <w:t>人，学生人数共计</w:t>
      </w:r>
      <w:r>
        <w:rPr>
          <w:rFonts w:hint="eastAsia" w:ascii="仿宋_GB2312" w:hAnsi="仿宋_GB2312" w:eastAsia="仿宋_GB2312" w:cs="仿宋_GB2312"/>
          <w:b w:val="0"/>
          <w:bCs w:val="0"/>
          <w:color w:val="auto"/>
          <w:kern w:val="0"/>
          <w:sz w:val="32"/>
          <w:szCs w:val="32"/>
          <w:highlight w:val="none"/>
          <w:shd w:val="clear" w:color="auto" w:fill="FFFFFF"/>
          <w:lang w:val="en-US" w:eastAsia="zh-CN"/>
        </w:rPr>
        <w:t>9089</w:t>
      </w:r>
      <w:r>
        <w:rPr>
          <w:rFonts w:hint="default" w:ascii="仿宋_GB2312" w:hAnsi="仿宋_GB2312" w:eastAsia="仿宋_GB2312" w:cs="仿宋_GB2312"/>
          <w:b w:val="0"/>
          <w:bCs w:val="0"/>
          <w:color w:val="auto"/>
          <w:kern w:val="0"/>
          <w:sz w:val="32"/>
          <w:szCs w:val="32"/>
          <w:highlight w:val="none"/>
          <w:shd w:val="clear" w:color="auto" w:fill="FFFFFF"/>
          <w:lang w:val="en-US" w:eastAsia="zh-CN"/>
        </w:rPr>
        <w:t>人。</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default" w:ascii="Times New Roman" w:hAnsi="Times New Roman" w:eastAsia="黑体" w:cs="Times New Roman"/>
          <w:b w:val="0"/>
          <w:bCs w:val="0"/>
          <w:color w:val="auto"/>
          <w:kern w:val="0"/>
          <w:sz w:val="32"/>
          <w:szCs w:val="32"/>
          <w:highlight w:val="none"/>
          <w:shd w:val="clear" w:color="auto" w:fill="FFFFFF"/>
        </w:rPr>
      </w:pPr>
      <w:r>
        <w:rPr>
          <w:rFonts w:hint="default" w:ascii="Times New Roman" w:hAnsi="Times New Roman" w:eastAsia="黑体" w:cs="Times New Roman"/>
          <w:b w:val="0"/>
          <w:bCs w:val="0"/>
          <w:color w:val="auto"/>
          <w:kern w:val="0"/>
          <w:sz w:val="32"/>
          <w:szCs w:val="32"/>
          <w:highlight w:val="none"/>
          <w:shd w:val="clear" w:color="auto" w:fill="FFFFFF"/>
        </w:rPr>
        <w:t>二、</w:t>
      </w:r>
      <w:r>
        <w:rPr>
          <w:rFonts w:hint="default" w:ascii="Times New Roman" w:hAnsi="Times New Roman" w:eastAsia="黑体" w:cs="Times New Roman"/>
          <w:b w:val="0"/>
          <w:bCs w:val="0"/>
          <w:color w:val="auto"/>
          <w:kern w:val="0"/>
          <w:sz w:val="32"/>
          <w:szCs w:val="32"/>
          <w:highlight w:val="none"/>
          <w:shd w:val="clear" w:color="auto" w:fill="FFFFFF"/>
          <w:lang w:eastAsia="zh-CN"/>
        </w:rPr>
        <w:t>部门</w:t>
      </w:r>
      <w:r>
        <w:rPr>
          <w:rFonts w:hint="default" w:ascii="Times New Roman" w:hAnsi="Times New Roman" w:eastAsia="黑体" w:cs="Times New Roman"/>
          <w:b w:val="0"/>
          <w:bCs w:val="0"/>
          <w:color w:val="auto"/>
          <w:kern w:val="0"/>
          <w:sz w:val="32"/>
          <w:szCs w:val="32"/>
          <w:highlight w:val="none"/>
          <w:shd w:val="clear" w:color="auto" w:fill="FFFFFF"/>
        </w:rPr>
        <w:t>资金收支情况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default" w:ascii="Times New Roman" w:hAnsi="Times New Roman" w:eastAsia="楷体_GB2312" w:cs="Times New Roman"/>
          <w:b w:val="0"/>
          <w:bCs w:val="0"/>
          <w:color w:val="auto"/>
          <w:kern w:val="0"/>
          <w:sz w:val="32"/>
          <w:szCs w:val="32"/>
          <w:highlight w:val="none"/>
          <w:shd w:val="clear" w:color="auto" w:fill="FFFFFF"/>
          <w:lang w:val="zh-CN"/>
        </w:rPr>
      </w:pPr>
      <w:r>
        <w:rPr>
          <w:rFonts w:hint="default" w:ascii="Times New Roman" w:hAnsi="Times New Roman" w:eastAsia="楷体_GB2312" w:cs="Times New Roman"/>
          <w:b w:val="0"/>
          <w:bCs w:val="0"/>
          <w:color w:val="auto"/>
          <w:kern w:val="0"/>
          <w:sz w:val="32"/>
          <w:szCs w:val="32"/>
          <w:highlight w:val="none"/>
          <w:shd w:val="clear" w:color="auto" w:fill="FFFFFF"/>
          <w:lang w:val="zh-CN"/>
        </w:rPr>
        <w:t>（一）收入情况</w:t>
      </w:r>
    </w:p>
    <w:p>
      <w:pPr>
        <w:pStyle w:val="2"/>
        <w:keepNext w:val="0"/>
        <w:keepLines w:val="0"/>
        <w:pageBreakBefore w:val="0"/>
        <w:kinsoku/>
        <w:wordWrap/>
        <w:overflowPunct/>
        <w:topLinePunct w:val="0"/>
        <w:autoSpaceDE/>
        <w:autoSpaceDN/>
        <w:bidi w:val="0"/>
        <w:spacing w:after="0" w:line="560" w:lineRule="exact"/>
        <w:ind w:firstLine="640" w:firstLineChars="200"/>
        <w:textAlignment w:val="auto"/>
        <w:rPr>
          <w:rFonts w:hint="default" w:ascii="仿宋_GB2312" w:hAnsi="仿宋_GB2312" w:eastAsia="仿宋_GB2312" w:cs="仿宋_GB2312"/>
          <w:b w:val="0"/>
          <w:bCs w:val="0"/>
          <w:color w:val="auto"/>
          <w:kern w:val="0"/>
          <w:sz w:val="32"/>
          <w:szCs w:val="32"/>
          <w:highlight w:val="none"/>
          <w:shd w:val="clear" w:color="auto" w:fill="FFFFFF"/>
          <w:lang w:val="zh-CN" w:eastAsia="zh-CN" w:bidi="ar-SA"/>
        </w:rPr>
      </w:pPr>
      <w:r>
        <w:rPr>
          <w:rFonts w:hint="default" w:ascii="仿宋_GB2312" w:hAnsi="仿宋_GB2312" w:eastAsia="仿宋_GB2312" w:cs="仿宋_GB2312"/>
          <w:b w:val="0"/>
          <w:bCs w:val="0"/>
          <w:color w:val="auto"/>
          <w:kern w:val="0"/>
          <w:sz w:val="32"/>
          <w:szCs w:val="32"/>
          <w:highlight w:val="none"/>
          <w:shd w:val="clear" w:color="auto" w:fill="FFFFFF"/>
          <w:lang w:val="zh-CN" w:eastAsia="zh-CN" w:bidi="ar-SA"/>
        </w:rPr>
        <w:t>1.</w:t>
      </w:r>
      <w:r>
        <w:rPr>
          <w:rFonts w:hint="eastAsia" w:ascii="仿宋_GB2312" w:hAnsi="仿宋_GB2312" w:eastAsia="仿宋_GB2312" w:cs="仿宋_GB2312"/>
          <w:b w:val="0"/>
          <w:bCs w:val="0"/>
          <w:color w:val="auto"/>
          <w:kern w:val="0"/>
          <w:sz w:val="32"/>
          <w:szCs w:val="32"/>
          <w:highlight w:val="none"/>
          <w:shd w:val="clear" w:color="auto" w:fill="FFFFFF"/>
          <w:lang w:val="en-US" w:eastAsia="zh-CN" w:bidi="ar-SA"/>
        </w:rPr>
        <w:t>2024</w:t>
      </w:r>
      <w:r>
        <w:rPr>
          <w:rFonts w:hint="default" w:ascii="仿宋_GB2312" w:hAnsi="仿宋_GB2312" w:eastAsia="仿宋_GB2312" w:cs="仿宋_GB2312"/>
          <w:b w:val="0"/>
          <w:bCs w:val="0"/>
          <w:color w:val="auto"/>
          <w:kern w:val="0"/>
          <w:sz w:val="32"/>
          <w:szCs w:val="32"/>
          <w:highlight w:val="none"/>
          <w:shd w:val="clear" w:color="auto" w:fill="FFFFFF"/>
          <w:lang w:val="zh-CN" w:eastAsia="zh-CN" w:bidi="ar-SA"/>
        </w:rPr>
        <w:t>年我校年初预算总收入</w:t>
      </w:r>
      <w:bookmarkStart w:id="82" w:name="OLE_LINK7"/>
      <w:r>
        <w:rPr>
          <w:rFonts w:hint="eastAsia" w:ascii="仿宋_GB2312" w:hAnsi="仿宋_GB2312" w:eastAsia="仿宋_GB2312" w:cs="仿宋_GB2312"/>
          <w:b w:val="0"/>
          <w:bCs w:val="0"/>
          <w:color w:val="auto"/>
          <w:kern w:val="0"/>
          <w:sz w:val="32"/>
          <w:szCs w:val="32"/>
          <w:highlight w:val="none"/>
          <w:shd w:val="clear" w:color="auto" w:fill="FFFFFF"/>
          <w:lang w:val="en-US" w:eastAsia="zh-CN" w:bidi="ar-SA"/>
        </w:rPr>
        <w:t>17884.55</w:t>
      </w:r>
      <w:bookmarkEnd w:id="82"/>
      <w:r>
        <w:rPr>
          <w:rFonts w:hint="default" w:ascii="仿宋_GB2312" w:hAnsi="仿宋_GB2312" w:eastAsia="仿宋_GB2312" w:cs="仿宋_GB2312"/>
          <w:b w:val="0"/>
          <w:bCs w:val="0"/>
          <w:color w:val="auto"/>
          <w:kern w:val="0"/>
          <w:sz w:val="32"/>
          <w:szCs w:val="32"/>
          <w:highlight w:val="none"/>
          <w:shd w:val="clear" w:color="auto" w:fill="FFFFFF"/>
          <w:lang w:val="zh-CN" w:eastAsia="zh-CN" w:bidi="ar-SA"/>
        </w:rPr>
        <w:t>万元，其中一般公共预算财政拨款收入</w:t>
      </w:r>
      <w:bookmarkStart w:id="83" w:name="OLE_LINK8"/>
      <w:r>
        <w:rPr>
          <w:rFonts w:hint="default" w:ascii="仿宋_GB2312" w:hAnsi="仿宋_GB2312" w:eastAsia="仿宋_GB2312" w:cs="仿宋_GB2312"/>
          <w:b w:val="0"/>
          <w:bCs w:val="0"/>
          <w:color w:val="auto"/>
          <w:kern w:val="0"/>
          <w:sz w:val="32"/>
          <w:szCs w:val="32"/>
          <w:highlight w:val="none"/>
          <w:shd w:val="clear" w:color="auto" w:fill="FFFFFF"/>
          <w:lang w:val="zh-CN" w:eastAsia="zh-CN" w:bidi="ar-SA"/>
        </w:rPr>
        <w:t>11431.15</w:t>
      </w:r>
      <w:bookmarkEnd w:id="83"/>
      <w:r>
        <w:rPr>
          <w:rFonts w:hint="default" w:ascii="仿宋_GB2312" w:hAnsi="仿宋_GB2312" w:eastAsia="仿宋_GB2312" w:cs="仿宋_GB2312"/>
          <w:b w:val="0"/>
          <w:bCs w:val="0"/>
          <w:color w:val="auto"/>
          <w:kern w:val="0"/>
          <w:sz w:val="32"/>
          <w:szCs w:val="32"/>
          <w:highlight w:val="none"/>
          <w:shd w:val="clear" w:color="auto" w:fill="FFFFFF"/>
          <w:lang w:val="zh-CN" w:eastAsia="zh-CN" w:bidi="ar-SA"/>
        </w:rPr>
        <w:t>万元、事业收入6053.4万元、其他收入400万元。</w:t>
      </w:r>
    </w:p>
    <w:p>
      <w:pPr>
        <w:pStyle w:val="2"/>
        <w:keepNext w:val="0"/>
        <w:keepLines w:val="0"/>
        <w:pageBreakBefore w:val="0"/>
        <w:kinsoku/>
        <w:wordWrap/>
        <w:overflowPunct/>
        <w:topLinePunct w:val="0"/>
        <w:autoSpaceDE/>
        <w:autoSpaceDN/>
        <w:bidi w:val="0"/>
        <w:spacing w:after="0" w:line="560" w:lineRule="exact"/>
        <w:ind w:firstLine="640" w:firstLineChars="200"/>
        <w:textAlignment w:val="auto"/>
        <w:rPr>
          <w:rFonts w:hint="default" w:ascii="仿宋_GB2312" w:hAnsi="仿宋_GB2312" w:eastAsia="仿宋_GB2312" w:cs="仿宋_GB2312"/>
          <w:b w:val="0"/>
          <w:bCs w:val="0"/>
          <w:color w:val="auto"/>
          <w:kern w:val="0"/>
          <w:sz w:val="32"/>
          <w:szCs w:val="32"/>
          <w:highlight w:val="none"/>
          <w:shd w:val="clear" w:color="auto" w:fill="FFFFFF"/>
          <w:lang w:val="zh-CN" w:eastAsia="zh-CN" w:bidi="ar-SA"/>
        </w:rPr>
      </w:pPr>
      <w:r>
        <w:rPr>
          <w:rFonts w:hint="default" w:ascii="仿宋_GB2312" w:hAnsi="仿宋_GB2312" w:eastAsia="仿宋_GB2312" w:cs="仿宋_GB2312"/>
          <w:b w:val="0"/>
          <w:bCs w:val="0"/>
          <w:color w:val="auto"/>
          <w:kern w:val="0"/>
          <w:sz w:val="32"/>
          <w:szCs w:val="32"/>
          <w:highlight w:val="none"/>
          <w:shd w:val="clear" w:color="auto" w:fill="FFFFFF"/>
          <w:lang w:val="zh-CN" w:eastAsia="zh-CN" w:bidi="ar-SA"/>
        </w:rPr>
        <w:t>2.</w:t>
      </w:r>
      <w:r>
        <w:rPr>
          <w:rFonts w:hint="eastAsia" w:ascii="仿宋_GB2312" w:hAnsi="仿宋_GB2312" w:eastAsia="仿宋_GB2312" w:cs="仿宋_GB2312"/>
          <w:b w:val="0"/>
          <w:bCs w:val="0"/>
          <w:color w:val="auto"/>
          <w:kern w:val="0"/>
          <w:sz w:val="32"/>
          <w:szCs w:val="32"/>
          <w:highlight w:val="none"/>
          <w:shd w:val="clear" w:color="auto" w:fill="FFFFFF"/>
          <w:lang w:val="en-US" w:eastAsia="zh-CN" w:bidi="ar-SA"/>
        </w:rPr>
        <w:t>2024</w:t>
      </w:r>
      <w:r>
        <w:rPr>
          <w:rFonts w:hint="default" w:ascii="仿宋_GB2312" w:hAnsi="仿宋_GB2312" w:eastAsia="仿宋_GB2312" w:cs="仿宋_GB2312"/>
          <w:b w:val="0"/>
          <w:bCs w:val="0"/>
          <w:color w:val="auto"/>
          <w:kern w:val="0"/>
          <w:sz w:val="32"/>
          <w:szCs w:val="32"/>
          <w:highlight w:val="none"/>
          <w:shd w:val="clear" w:color="auto" w:fill="FFFFFF"/>
          <w:lang w:val="zh-CN" w:eastAsia="zh-CN" w:bidi="ar-SA"/>
        </w:rPr>
        <w:t>年我校决算报表总收入22146.1</w:t>
      </w:r>
      <w:r>
        <w:rPr>
          <w:rFonts w:hint="eastAsia" w:ascii="仿宋_GB2312" w:hAnsi="仿宋_GB2312" w:eastAsia="仿宋_GB2312" w:cs="仿宋_GB2312"/>
          <w:b w:val="0"/>
          <w:bCs w:val="0"/>
          <w:color w:val="auto"/>
          <w:kern w:val="0"/>
          <w:sz w:val="32"/>
          <w:szCs w:val="32"/>
          <w:highlight w:val="none"/>
          <w:shd w:val="clear" w:color="auto" w:fill="FFFFFF"/>
          <w:lang w:val="en-US" w:eastAsia="zh-CN" w:bidi="ar-SA"/>
        </w:rPr>
        <w:t>6</w:t>
      </w:r>
      <w:r>
        <w:rPr>
          <w:rFonts w:hint="default" w:ascii="仿宋_GB2312" w:hAnsi="仿宋_GB2312" w:eastAsia="仿宋_GB2312" w:cs="仿宋_GB2312"/>
          <w:b w:val="0"/>
          <w:bCs w:val="0"/>
          <w:color w:val="auto"/>
          <w:kern w:val="0"/>
          <w:sz w:val="32"/>
          <w:szCs w:val="32"/>
          <w:highlight w:val="none"/>
          <w:shd w:val="clear" w:color="auto" w:fill="FFFFFF"/>
          <w:lang w:val="zh-CN" w:eastAsia="zh-CN" w:bidi="ar-SA"/>
        </w:rPr>
        <w:t>万元，其中一般公共预算财政拨款收入13376.64万元</w:t>
      </w:r>
      <w:r>
        <w:rPr>
          <w:rFonts w:hint="eastAsia" w:ascii="仿宋_GB2312" w:hAnsi="仿宋_GB2312" w:eastAsia="仿宋_GB2312" w:cs="仿宋_GB2312"/>
          <w:b w:val="0"/>
          <w:bCs w:val="0"/>
          <w:color w:val="auto"/>
          <w:kern w:val="0"/>
          <w:sz w:val="32"/>
          <w:szCs w:val="32"/>
          <w:highlight w:val="none"/>
          <w:shd w:val="clear" w:color="auto" w:fill="FFFFFF"/>
          <w:lang w:val="en-US" w:eastAsia="zh-CN" w:bidi="ar-SA"/>
        </w:rPr>
        <w:t>、</w:t>
      </w:r>
      <w:r>
        <w:rPr>
          <w:rFonts w:hint="default" w:ascii="仿宋_GB2312" w:hAnsi="仿宋_GB2312" w:eastAsia="仿宋_GB2312" w:cs="仿宋_GB2312"/>
          <w:b w:val="0"/>
          <w:bCs w:val="0"/>
          <w:color w:val="auto"/>
          <w:kern w:val="0"/>
          <w:sz w:val="32"/>
          <w:szCs w:val="32"/>
          <w:highlight w:val="none"/>
          <w:shd w:val="clear" w:color="auto" w:fill="FFFFFF"/>
          <w:lang w:val="zh-CN" w:eastAsia="zh-CN" w:bidi="ar-SA"/>
        </w:rPr>
        <w:t>事业收入</w:t>
      </w:r>
      <w:r>
        <w:rPr>
          <w:rFonts w:hint="eastAsia" w:ascii="仿宋_GB2312" w:hAnsi="仿宋_GB2312" w:eastAsia="仿宋_GB2312" w:cs="仿宋_GB2312"/>
          <w:b w:val="0"/>
          <w:bCs w:val="0"/>
          <w:color w:val="auto"/>
          <w:kern w:val="0"/>
          <w:sz w:val="32"/>
          <w:szCs w:val="32"/>
          <w:highlight w:val="none"/>
          <w:shd w:val="clear" w:color="auto" w:fill="FFFFFF"/>
          <w:lang w:val="en-US" w:eastAsia="zh-CN" w:bidi="ar-SA"/>
        </w:rPr>
        <w:t>8080.60</w:t>
      </w:r>
      <w:r>
        <w:rPr>
          <w:rFonts w:hint="default" w:ascii="仿宋_GB2312" w:hAnsi="仿宋_GB2312" w:eastAsia="仿宋_GB2312" w:cs="仿宋_GB2312"/>
          <w:b w:val="0"/>
          <w:bCs w:val="0"/>
          <w:color w:val="auto"/>
          <w:kern w:val="0"/>
          <w:sz w:val="32"/>
          <w:szCs w:val="32"/>
          <w:highlight w:val="none"/>
          <w:shd w:val="clear" w:color="auto" w:fill="FFFFFF"/>
          <w:lang w:val="zh-CN" w:eastAsia="zh-CN" w:bidi="ar-SA"/>
        </w:rPr>
        <w:t>万元、其他收入</w:t>
      </w:r>
      <w:r>
        <w:rPr>
          <w:rFonts w:hint="eastAsia" w:ascii="仿宋_GB2312" w:hAnsi="仿宋_GB2312" w:eastAsia="仿宋_GB2312" w:cs="仿宋_GB2312"/>
          <w:b w:val="0"/>
          <w:bCs w:val="0"/>
          <w:color w:val="auto"/>
          <w:kern w:val="0"/>
          <w:sz w:val="32"/>
          <w:szCs w:val="32"/>
          <w:highlight w:val="none"/>
          <w:shd w:val="clear" w:color="auto" w:fill="FFFFFF"/>
          <w:lang w:val="en-US" w:eastAsia="zh-CN" w:bidi="ar-SA"/>
        </w:rPr>
        <w:t>6.38</w:t>
      </w:r>
      <w:r>
        <w:rPr>
          <w:rFonts w:hint="default" w:ascii="仿宋_GB2312" w:hAnsi="仿宋_GB2312" w:eastAsia="仿宋_GB2312" w:cs="仿宋_GB2312"/>
          <w:b w:val="0"/>
          <w:bCs w:val="0"/>
          <w:color w:val="auto"/>
          <w:kern w:val="0"/>
          <w:sz w:val="32"/>
          <w:szCs w:val="32"/>
          <w:highlight w:val="none"/>
          <w:shd w:val="clear" w:color="auto" w:fill="FFFFFF"/>
          <w:lang w:val="zh-CN" w:eastAsia="zh-CN" w:bidi="ar-SA"/>
        </w:rPr>
        <w:t>万元、年初结转和结余</w:t>
      </w:r>
      <w:r>
        <w:rPr>
          <w:rFonts w:hint="eastAsia" w:ascii="仿宋_GB2312" w:hAnsi="仿宋_GB2312" w:eastAsia="仿宋_GB2312" w:cs="仿宋_GB2312"/>
          <w:b w:val="0"/>
          <w:bCs w:val="0"/>
          <w:color w:val="auto"/>
          <w:kern w:val="0"/>
          <w:sz w:val="32"/>
          <w:szCs w:val="32"/>
          <w:highlight w:val="none"/>
          <w:shd w:val="clear" w:color="auto" w:fill="FFFFFF"/>
          <w:lang w:val="en-US" w:eastAsia="zh-CN" w:bidi="ar-SA"/>
        </w:rPr>
        <w:t>682.54</w:t>
      </w:r>
      <w:r>
        <w:rPr>
          <w:rFonts w:hint="default" w:ascii="仿宋_GB2312" w:hAnsi="仿宋_GB2312" w:eastAsia="仿宋_GB2312" w:cs="仿宋_GB2312"/>
          <w:b w:val="0"/>
          <w:bCs w:val="0"/>
          <w:color w:val="auto"/>
          <w:kern w:val="0"/>
          <w:sz w:val="32"/>
          <w:szCs w:val="32"/>
          <w:highlight w:val="none"/>
          <w:shd w:val="clear" w:color="auto" w:fill="FFFFFF"/>
          <w:lang w:val="zh-CN" w:eastAsia="zh-CN" w:bidi="ar-SA"/>
        </w:rPr>
        <w:t>万元。</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contextualSpacing/>
        <w:jc w:val="both"/>
        <w:textAlignment w:val="auto"/>
        <w:outlineLvl w:val="9"/>
        <w:rPr>
          <w:rFonts w:hint="default" w:ascii="Times New Roman" w:hAnsi="Times New Roman" w:eastAsia="楷体_GB2312" w:cs="Times New Roman"/>
          <w:b w:val="0"/>
          <w:bCs w:val="0"/>
          <w:color w:val="auto"/>
          <w:kern w:val="0"/>
          <w:sz w:val="32"/>
          <w:szCs w:val="32"/>
          <w:highlight w:val="none"/>
          <w:shd w:val="clear" w:color="auto" w:fill="FFFFFF"/>
          <w:lang w:val="zh-CN"/>
        </w:rPr>
      </w:pPr>
      <w:r>
        <w:rPr>
          <w:rFonts w:hint="eastAsia" w:ascii="Times New Roman" w:hAnsi="Times New Roman" w:eastAsia="楷体_GB2312" w:cs="Times New Roman"/>
          <w:b w:val="0"/>
          <w:bCs w:val="0"/>
          <w:color w:val="auto"/>
          <w:kern w:val="0"/>
          <w:sz w:val="32"/>
          <w:szCs w:val="32"/>
          <w:shd w:val="clear" w:color="auto" w:fill="FFFFFF"/>
          <w:lang w:val="zh-CN" w:eastAsia="zh-CN" w:bidi="ar-SA"/>
        </w:rPr>
        <w:t>（二）</w:t>
      </w:r>
      <w:r>
        <w:rPr>
          <w:rFonts w:hint="default" w:ascii="Times New Roman" w:hAnsi="Times New Roman" w:eastAsia="楷体_GB2312" w:cs="Times New Roman"/>
          <w:b w:val="0"/>
          <w:bCs w:val="0"/>
          <w:color w:val="auto"/>
          <w:kern w:val="0"/>
          <w:sz w:val="32"/>
          <w:szCs w:val="32"/>
          <w:highlight w:val="none"/>
          <w:shd w:val="clear" w:color="auto" w:fill="FFFFFF"/>
          <w:lang w:val="zh-CN"/>
        </w:rPr>
        <w:t>支出情况</w:t>
      </w:r>
    </w:p>
    <w:p>
      <w:pPr>
        <w:pStyle w:val="2"/>
        <w:keepNext w:val="0"/>
        <w:keepLines w:val="0"/>
        <w:pageBreakBefore w:val="0"/>
        <w:kinsoku/>
        <w:wordWrap/>
        <w:overflowPunct/>
        <w:topLinePunct w:val="0"/>
        <w:autoSpaceDE/>
        <w:autoSpaceDN/>
        <w:bidi w:val="0"/>
        <w:spacing w:after="0" w:line="560" w:lineRule="exact"/>
        <w:ind w:firstLine="640" w:firstLineChars="200"/>
        <w:textAlignment w:val="auto"/>
        <w:rPr>
          <w:rFonts w:hint="default" w:ascii="仿宋_GB2312" w:hAnsi="仿宋_GB2312" w:eastAsia="仿宋_GB2312" w:cs="仿宋_GB2312"/>
          <w:b w:val="0"/>
          <w:bCs w:val="0"/>
          <w:color w:val="auto"/>
          <w:kern w:val="0"/>
          <w:sz w:val="32"/>
          <w:szCs w:val="32"/>
          <w:highlight w:val="none"/>
          <w:shd w:val="clear" w:color="auto" w:fill="FFFFFF"/>
          <w:lang w:val="zh-CN" w:eastAsia="zh-CN" w:bidi="ar-SA"/>
        </w:rPr>
      </w:pPr>
      <w:bookmarkStart w:id="84" w:name="OLE_LINK3"/>
      <w:r>
        <w:rPr>
          <w:rFonts w:hint="default" w:ascii="仿宋_GB2312" w:hAnsi="仿宋_GB2312" w:eastAsia="仿宋_GB2312" w:cs="仿宋_GB2312"/>
          <w:b w:val="0"/>
          <w:bCs w:val="0"/>
          <w:color w:val="auto"/>
          <w:kern w:val="0"/>
          <w:sz w:val="32"/>
          <w:szCs w:val="32"/>
          <w:highlight w:val="none"/>
          <w:shd w:val="clear" w:color="auto" w:fill="FFFFFF"/>
          <w:lang w:val="zh-CN" w:eastAsia="zh-CN" w:bidi="ar-SA"/>
        </w:rPr>
        <w:t>1.</w:t>
      </w:r>
      <w:r>
        <w:rPr>
          <w:rFonts w:hint="eastAsia" w:ascii="仿宋_GB2312" w:hAnsi="仿宋_GB2312" w:eastAsia="仿宋_GB2312" w:cs="仿宋_GB2312"/>
          <w:b w:val="0"/>
          <w:bCs w:val="0"/>
          <w:color w:val="auto"/>
          <w:kern w:val="0"/>
          <w:sz w:val="32"/>
          <w:szCs w:val="32"/>
          <w:highlight w:val="none"/>
          <w:shd w:val="clear" w:color="auto" w:fill="FFFFFF"/>
          <w:lang w:val="en-US" w:eastAsia="zh-CN" w:bidi="ar-SA"/>
        </w:rPr>
        <w:t>2024</w:t>
      </w:r>
      <w:r>
        <w:rPr>
          <w:rFonts w:hint="eastAsia" w:ascii="仿宋_GB2312" w:hAnsi="仿宋_GB2312" w:eastAsia="仿宋_GB2312" w:cs="仿宋_GB2312"/>
          <w:b w:val="0"/>
          <w:bCs w:val="0"/>
          <w:color w:val="auto"/>
          <w:kern w:val="0"/>
          <w:sz w:val="32"/>
          <w:szCs w:val="32"/>
          <w:highlight w:val="none"/>
          <w:shd w:val="clear" w:color="auto" w:fill="FFFFFF"/>
          <w:lang w:val="zh-CN" w:eastAsia="zh-CN" w:bidi="ar-SA"/>
        </w:rPr>
        <w:t>年我校年初预算总支出</w:t>
      </w:r>
      <w:r>
        <w:rPr>
          <w:rFonts w:hint="eastAsia" w:ascii="仿宋_GB2312" w:hAnsi="仿宋_GB2312" w:eastAsia="仿宋_GB2312" w:cs="仿宋_GB2312"/>
          <w:b w:val="0"/>
          <w:bCs w:val="0"/>
          <w:color w:val="auto"/>
          <w:kern w:val="0"/>
          <w:sz w:val="32"/>
          <w:szCs w:val="32"/>
          <w:highlight w:val="none"/>
          <w:shd w:val="clear" w:color="auto" w:fill="FFFFFF"/>
          <w:lang w:val="en-US" w:eastAsia="zh-CN" w:bidi="ar-SA"/>
        </w:rPr>
        <w:t>17884.55</w:t>
      </w:r>
      <w:r>
        <w:rPr>
          <w:rFonts w:hint="eastAsia" w:ascii="仿宋_GB2312" w:hAnsi="仿宋_GB2312" w:eastAsia="仿宋_GB2312" w:cs="仿宋_GB2312"/>
          <w:b w:val="0"/>
          <w:bCs w:val="0"/>
          <w:color w:val="auto"/>
          <w:kern w:val="0"/>
          <w:sz w:val="32"/>
          <w:szCs w:val="32"/>
          <w:highlight w:val="none"/>
          <w:shd w:val="clear" w:color="auto" w:fill="FFFFFF"/>
          <w:lang w:val="zh-CN" w:eastAsia="zh-CN" w:bidi="ar-SA"/>
        </w:rPr>
        <w:t>万元，其中教育支出</w:t>
      </w:r>
      <w:r>
        <w:rPr>
          <w:rFonts w:hint="eastAsia" w:ascii="仿宋_GB2312" w:hAnsi="仿宋_GB2312" w:eastAsia="仿宋_GB2312" w:cs="仿宋_GB2312"/>
          <w:b w:val="0"/>
          <w:bCs w:val="0"/>
          <w:color w:val="auto"/>
          <w:kern w:val="0"/>
          <w:sz w:val="32"/>
          <w:szCs w:val="32"/>
          <w:highlight w:val="none"/>
          <w:shd w:val="clear" w:color="auto" w:fill="FFFFFF"/>
          <w:lang w:val="en-US" w:eastAsia="zh-CN" w:bidi="ar-SA"/>
        </w:rPr>
        <w:t>16758.16</w:t>
      </w:r>
      <w:r>
        <w:rPr>
          <w:rFonts w:hint="eastAsia" w:ascii="仿宋_GB2312" w:hAnsi="仿宋_GB2312" w:eastAsia="仿宋_GB2312" w:cs="仿宋_GB2312"/>
          <w:b w:val="0"/>
          <w:bCs w:val="0"/>
          <w:color w:val="auto"/>
          <w:kern w:val="0"/>
          <w:sz w:val="32"/>
          <w:szCs w:val="32"/>
          <w:highlight w:val="none"/>
          <w:shd w:val="clear" w:color="auto" w:fill="FFFFFF"/>
          <w:lang w:val="zh-CN" w:eastAsia="zh-CN" w:bidi="ar-SA"/>
        </w:rPr>
        <w:t>万元、社会保障和就业支出</w:t>
      </w:r>
      <w:r>
        <w:rPr>
          <w:rFonts w:hint="eastAsia" w:ascii="仿宋_GB2312" w:hAnsi="仿宋_GB2312" w:eastAsia="仿宋_GB2312" w:cs="仿宋_GB2312"/>
          <w:b w:val="0"/>
          <w:bCs w:val="0"/>
          <w:color w:val="auto"/>
          <w:kern w:val="0"/>
          <w:sz w:val="32"/>
          <w:szCs w:val="32"/>
          <w:highlight w:val="none"/>
          <w:shd w:val="clear" w:color="auto" w:fill="FFFFFF"/>
          <w:lang w:val="en-US" w:eastAsia="zh-CN" w:bidi="ar-SA"/>
        </w:rPr>
        <w:t>520.61</w:t>
      </w:r>
      <w:r>
        <w:rPr>
          <w:rFonts w:hint="eastAsia" w:ascii="仿宋_GB2312" w:hAnsi="仿宋_GB2312" w:eastAsia="仿宋_GB2312" w:cs="仿宋_GB2312"/>
          <w:b w:val="0"/>
          <w:bCs w:val="0"/>
          <w:color w:val="auto"/>
          <w:kern w:val="0"/>
          <w:sz w:val="32"/>
          <w:szCs w:val="32"/>
          <w:highlight w:val="none"/>
          <w:shd w:val="clear" w:color="auto" w:fill="FFFFFF"/>
          <w:lang w:val="zh-CN" w:eastAsia="zh-CN" w:bidi="ar-SA"/>
        </w:rPr>
        <w:t>万元、卫生健康支出</w:t>
      </w:r>
      <w:r>
        <w:rPr>
          <w:rFonts w:hint="eastAsia" w:ascii="仿宋_GB2312" w:hAnsi="仿宋_GB2312" w:eastAsia="仿宋_GB2312" w:cs="仿宋_GB2312"/>
          <w:b w:val="0"/>
          <w:bCs w:val="0"/>
          <w:color w:val="auto"/>
          <w:kern w:val="0"/>
          <w:sz w:val="32"/>
          <w:szCs w:val="32"/>
          <w:highlight w:val="none"/>
          <w:shd w:val="clear" w:color="auto" w:fill="FFFFFF"/>
          <w:lang w:val="en-US" w:eastAsia="zh-CN" w:bidi="ar-SA"/>
        </w:rPr>
        <w:t>232.97</w:t>
      </w:r>
      <w:r>
        <w:rPr>
          <w:rFonts w:hint="eastAsia" w:ascii="仿宋_GB2312" w:hAnsi="仿宋_GB2312" w:eastAsia="仿宋_GB2312" w:cs="仿宋_GB2312"/>
          <w:b w:val="0"/>
          <w:bCs w:val="0"/>
          <w:color w:val="auto"/>
          <w:kern w:val="0"/>
          <w:sz w:val="32"/>
          <w:szCs w:val="32"/>
          <w:highlight w:val="none"/>
          <w:shd w:val="clear" w:color="auto" w:fill="FFFFFF"/>
          <w:lang w:val="zh-CN" w:eastAsia="zh-CN" w:bidi="ar-SA"/>
        </w:rPr>
        <w:t>万元、住房保障支出</w:t>
      </w:r>
      <w:r>
        <w:rPr>
          <w:rFonts w:hint="eastAsia" w:ascii="仿宋_GB2312" w:hAnsi="仿宋_GB2312" w:eastAsia="仿宋_GB2312" w:cs="仿宋_GB2312"/>
          <w:b w:val="0"/>
          <w:bCs w:val="0"/>
          <w:color w:val="auto"/>
          <w:kern w:val="0"/>
          <w:sz w:val="32"/>
          <w:szCs w:val="32"/>
          <w:highlight w:val="none"/>
          <w:shd w:val="clear" w:color="auto" w:fill="FFFFFF"/>
          <w:lang w:val="en-US" w:eastAsia="zh-CN" w:bidi="ar-SA"/>
        </w:rPr>
        <w:t>372.81</w:t>
      </w:r>
      <w:r>
        <w:rPr>
          <w:rFonts w:hint="eastAsia" w:ascii="仿宋_GB2312" w:hAnsi="仿宋_GB2312" w:eastAsia="仿宋_GB2312" w:cs="仿宋_GB2312"/>
          <w:b w:val="0"/>
          <w:bCs w:val="0"/>
          <w:color w:val="auto"/>
          <w:kern w:val="0"/>
          <w:sz w:val="32"/>
          <w:szCs w:val="32"/>
          <w:highlight w:val="none"/>
          <w:shd w:val="clear" w:color="auto" w:fill="FFFFFF"/>
          <w:lang w:val="zh-CN" w:eastAsia="zh-CN" w:bidi="ar-SA"/>
        </w:rPr>
        <w:t>万元。</w:t>
      </w:r>
    </w:p>
    <w:bookmarkEnd w:id="84"/>
    <w:p>
      <w:pPr>
        <w:pStyle w:val="2"/>
        <w:keepNext w:val="0"/>
        <w:keepLines w:val="0"/>
        <w:pageBreakBefore w:val="0"/>
        <w:kinsoku/>
        <w:wordWrap/>
        <w:overflowPunct/>
        <w:topLinePunct w:val="0"/>
        <w:autoSpaceDE/>
        <w:autoSpaceDN/>
        <w:bidi w:val="0"/>
        <w:spacing w:after="0" w:line="560" w:lineRule="exact"/>
        <w:ind w:firstLine="640" w:firstLineChars="200"/>
        <w:textAlignment w:val="auto"/>
        <w:rPr>
          <w:rFonts w:hint="default" w:ascii="仿宋_GB2312" w:hAnsi="仿宋_GB2312" w:eastAsia="仿宋_GB2312" w:cs="仿宋_GB2312"/>
          <w:b w:val="0"/>
          <w:bCs w:val="0"/>
          <w:color w:val="auto"/>
          <w:kern w:val="0"/>
          <w:sz w:val="32"/>
          <w:szCs w:val="32"/>
          <w:highlight w:val="none"/>
          <w:shd w:val="clear" w:color="auto" w:fill="FFFFFF"/>
          <w:lang w:val="zh-CN" w:eastAsia="zh-CN" w:bidi="ar-SA"/>
        </w:rPr>
      </w:pPr>
      <w:r>
        <w:rPr>
          <w:rFonts w:hint="default" w:ascii="仿宋_GB2312" w:hAnsi="仿宋_GB2312" w:eastAsia="仿宋_GB2312" w:cs="仿宋_GB2312"/>
          <w:b w:val="0"/>
          <w:bCs w:val="0"/>
          <w:color w:val="auto"/>
          <w:kern w:val="0"/>
          <w:sz w:val="32"/>
          <w:szCs w:val="32"/>
          <w:highlight w:val="none"/>
          <w:shd w:val="clear" w:color="auto" w:fill="FFFFFF"/>
          <w:lang w:val="zh-CN" w:eastAsia="zh-CN" w:bidi="ar-SA"/>
        </w:rPr>
        <w:t>2.</w:t>
      </w:r>
      <w:r>
        <w:rPr>
          <w:rFonts w:hint="eastAsia" w:ascii="仿宋_GB2312" w:hAnsi="仿宋_GB2312" w:eastAsia="仿宋_GB2312" w:cs="仿宋_GB2312"/>
          <w:b w:val="0"/>
          <w:bCs w:val="0"/>
          <w:color w:val="auto"/>
          <w:kern w:val="0"/>
          <w:sz w:val="32"/>
          <w:szCs w:val="32"/>
          <w:highlight w:val="none"/>
          <w:shd w:val="clear" w:color="auto" w:fill="FFFFFF"/>
          <w:lang w:val="en-US" w:eastAsia="zh-CN" w:bidi="ar-SA"/>
        </w:rPr>
        <w:t>2024</w:t>
      </w:r>
      <w:r>
        <w:rPr>
          <w:rFonts w:hint="eastAsia" w:ascii="仿宋_GB2312" w:hAnsi="仿宋_GB2312" w:eastAsia="仿宋_GB2312" w:cs="仿宋_GB2312"/>
          <w:b w:val="0"/>
          <w:bCs w:val="0"/>
          <w:color w:val="auto"/>
          <w:kern w:val="0"/>
          <w:sz w:val="32"/>
          <w:szCs w:val="32"/>
          <w:highlight w:val="none"/>
          <w:shd w:val="clear" w:color="auto" w:fill="FFFFFF"/>
          <w:lang w:val="zh-CN" w:eastAsia="zh-CN" w:bidi="ar-SA"/>
        </w:rPr>
        <w:t>年我校决算报表总支出</w:t>
      </w:r>
      <w:r>
        <w:rPr>
          <w:rFonts w:hint="default" w:ascii="仿宋_GB2312" w:hAnsi="仿宋_GB2312" w:eastAsia="仿宋_GB2312" w:cs="仿宋_GB2312"/>
          <w:b w:val="0"/>
          <w:bCs w:val="0"/>
          <w:color w:val="auto"/>
          <w:kern w:val="0"/>
          <w:sz w:val="32"/>
          <w:szCs w:val="32"/>
          <w:highlight w:val="none"/>
          <w:shd w:val="clear" w:color="auto" w:fill="FFFFFF"/>
          <w:lang w:val="zh-CN" w:eastAsia="zh-CN" w:bidi="ar-SA"/>
        </w:rPr>
        <w:t>21736.53</w:t>
      </w:r>
      <w:r>
        <w:rPr>
          <w:rFonts w:hint="eastAsia" w:ascii="仿宋_GB2312" w:hAnsi="仿宋_GB2312" w:eastAsia="仿宋_GB2312" w:cs="仿宋_GB2312"/>
          <w:b w:val="0"/>
          <w:bCs w:val="0"/>
          <w:color w:val="auto"/>
          <w:kern w:val="0"/>
          <w:sz w:val="32"/>
          <w:szCs w:val="32"/>
          <w:highlight w:val="none"/>
          <w:shd w:val="clear" w:color="auto" w:fill="FFFFFF"/>
          <w:lang w:val="zh-CN" w:eastAsia="zh-CN" w:bidi="ar-SA"/>
        </w:rPr>
        <w:t>万元，其中教育支出</w:t>
      </w:r>
      <w:r>
        <w:rPr>
          <w:rFonts w:hint="default" w:ascii="仿宋_GB2312" w:hAnsi="仿宋_GB2312" w:eastAsia="仿宋_GB2312" w:cs="仿宋_GB2312"/>
          <w:b w:val="0"/>
          <w:bCs w:val="0"/>
          <w:color w:val="auto"/>
          <w:kern w:val="0"/>
          <w:sz w:val="32"/>
          <w:szCs w:val="32"/>
          <w:highlight w:val="none"/>
          <w:shd w:val="clear" w:color="auto" w:fill="FFFFFF"/>
          <w:lang w:val="zh-CN" w:eastAsia="zh-CN" w:bidi="ar-SA"/>
        </w:rPr>
        <w:t>19600.4</w:t>
      </w:r>
      <w:r>
        <w:rPr>
          <w:rFonts w:hint="eastAsia" w:ascii="仿宋_GB2312" w:hAnsi="仿宋_GB2312" w:eastAsia="仿宋_GB2312" w:cs="仿宋_GB2312"/>
          <w:b w:val="0"/>
          <w:bCs w:val="0"/>
          <w:color w:val="auto"/>
          <w:kern w:val="0"/>
          <w:sz w:val="32"/>
          <w:szCs w:val="32"/>
          <w:highlight w:val="none"/>
          <w:shd w:val="clear" w:color="auto" w:fill="FFFFFF"/>
          <w:lang w:val="en-US" w:eastAsia="zh-CN" w:bidi="ar-SA"/>
        </w:rPr>
        <w:t>9</w:t>
      </w:r>
      <w:r>
        <w:rPr>
          <w:rFonts w:hint="eastAsia" w:ascii="仿宋_GB2312" w:hAnsi="仿宋_GB2312" w:eastAsia="仿宋_GB2312" w:cs="仿宋_GB2312"/>
          <w:b w:val="0"/>
          <w:bCs w:val="0"/>
          <w:color w:val="auto"/>
          <w:kern w:val="0"/>
          <w:sz w:val="32"/>
          <w:szCs w:val="32"/>
          <w:highlight w:val="none"/>
          <w:shd w:val="clear" w:color="auto" w:fill="FFFFFF"/>
          <w:lang w:val="zh-CN" w:eastAsia="zh-CN" w:bidi="ar-SA"/>
        </w:rPr>
        <w:t>万元、文化旅游体育与传媒支出20万元、社会保障和就业支出</w:t>
      </w:r>
      <w:r>
        <w:rPr>
          <w:rFonts w:hint="default" w:ascii="仿宋_GB2312" w:hAnsi="仿宋_GB2312" w:eastAsia="仿宋_GB2312" w:cs="仿宋_GB2312"/>
          <w:b w:val="0"/>
          <w:bCs w:val="0"/>
          <w:color w:val="auto"/>
          <w:kern w:val="0"/>
          <w:sz w:val="32"/>
          <w:szCs w:val="32"/>
          <w:highlight w:val="none"/>
          <w:shd w:val="clear" w:color="auto" w:fill="FFFFFF"/>
          <w:lang w:val="zh-CN" w:eastAsia="zh-CN" w:bidi="ar-SA"/>
        </w:rPr>
        <w:t>1081.49</w:t>
      </w:r>
      <w:r>
        <w:rPr>
          <w:rFonts w:hint="eastAsia" w:ascii="仿宋_GB2312" w:hAnsi="仿宋_GB2312" w:eastAsia="仿宋_GB2312" w:cs="仿宋_GB2312"/>
          <w:b w:val="0"/>
          <w:bCs w:val="0"/>
          <w:color w:val="auto"/>
          <w:kern w:val="0"/>
          <w:sz w:val="32"/>
          <w:szCs w:val="32"/>
          <w:highlight w:val="none"/>
          <w:shd w:val="clear" w:color="auto" w:fill="FFFFFF"/>
          <w:lang w:val="zh-CN" w:eastAsia="zh-CN" w:bidi="ar-SA"/>
        </w:rPr>
        <w:t>万元、卫生健康支出</w:t>
      </w:r>
      <w:r>
        <w:rPr>
          <w:rFonts w:hint="default" w:ascii="仿宋_GB2312" w:hAnsi="仿宋_GB2312" w:eastAsia="仿宋_GB2312" w:cs="仿宋_GB2312"/>
          <w:b w:val="0"/>
          <w:bCs w:val="0"/>
          <w:color w:val="auto"/>
          <w:kern w:val="0"/>
          <w:sz w:val="32"/>
          <w:szCs w:val="32"/>
          <w:highlight w:val="none"/>
          <w:shd w:val="clear" w:color="auto" w:fill="FFFFFF"/>
          <w:lang w:val="zh-CN" w:eastAsia="zh-CN" w:bidi="ar-SA"/>
        </w:rPr>
        <w:t>249.</w:t>
      </w:r>
      <w:r>
        <w:rPr>
          <w:rFonts w:hint="eastAsia" w:ascii="仿宋_GB2312" w:hAnsi="仿宋_GB2312" w:eastAsia="仿宋_GB2312" w:cs="仿宋_GB2312"/>
          <w:b w:val="0"/>
          <w:bCs w:val="0"/>
          <w:color w:val="auto"/>
          <w:kern w:val="0"/>
          <w:sz w:val="32"/>
          <w:szCs w:val="32"/>
          <w:highlight w:val="none"/>
          <w:shd w:val="clear" w:color="auto" w:fill="FFFFFF"/>
          <w:lang w:val="en-US" w:eastAsia="zh-CN" w:bidi="ar-SA"/>
        </w:rPr>
        <w:t>16</w:t>
      </w:r>
      <w:r>
        <w:rPr>
          <w:rFonts w:hint="eastAsia" w:ascii="仿宋_GB2312" w:hAnsi="仿宋_GB2312" w:eastAsia="仿宋_GB2312" w:cs="仿宋_GB2312"/>
          <w:b w:val="0"/>
          <w:bCs w:val="0"/>
          <w:color w:val="auto"/>
          <w:kern w:val="0"/>
          <w:sz w:val="32"/>
          <w:szCs w:val="32"/>
          <w:highlight w:val="none"/>
          <w:shd w:val="clear" w:color="auto" w:fill="FFFFFF"/>
          <w:lang w:val="zh-CN" w:eastAsia="zh-CN" w:bidi="ar-SA"/>
        </w:rPr>
        <w:t>万元、住房保障支出</w:t>
      </w:r>
      <w:r>
        <w:rPr>
          <w:rFonts w:hint="default" w:ascii="仿宋_GB2312" w:hAnsi="仿宋_GB2312" w:eastAsia="仿宋_GB2312" w:cs="仿宋_GB2312"/>
          <w:b w:val="0"/>
          <w:bCs w:val="0"/>
          <w:color w:val="auto"/>
          <w:kern w:val="0"/>
          <w:sz w:val="32"/>
          <w:szCs w:val="32"/>
          <w:highlight w:val="none"/>
          <w:shd w:val="clear" w:color="auto" w:fill="FFFFFF"/>
          <w:lang w:val="zh-CN" w:eastAsia="zh-CN" w:bidi="ar-SA"/>
        </w:rPr>
        <w:t>785.39</w:t>
      </w:r>
      <w:r>
        <w:rPr>
          <w:rFonts w:hint="eastAsia" w:ascii="仿宋_GB2312" w:hAnsi="仿宋_GB2312" w:eastAsia="仿宋_GB2312" w:cs="仿宋_GB2312"/>
          <w:b w:val="0"/>
          <w:bCs w:val="0"/>
          <w:color w:val="auto"/>
          <w:kern w:val="0"/>
          <w:sz w:val="32"/>
          <w:szCs w:val="32"/>
          <w:highlight w:val="none"/>
          <w:shd w:val="clear" w:color="auto" w:fill="FFFFFF"/>
          <w:lang w:val="zh-CN" w:eastAsia="zh-CN" w:bidi="ar-SA"/>
        </w:rPr>
        <w:t>万元。</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left="0" w:leftChars="0" w:firstLine="640" w:firstLineChars="200"/>
        <w:contextualSpacing/>
        <w:jc w:val="left"/>
        <w:textAlignment w:val="auto"/>
        <w:rPr>
          <w:rFonts w:hint="default" w:ascii="Times New Roman" w:hAnsi="Times New Roman" w:eastAsia="楷体_GB2312" w:cs="Times New Roman"/>
          <w:b w:val="0"/>
          <w:bCs w:val="0"/>
          <w:color w:val="auto"/>
          <w:sz w:val="32"/>
          <w:szCs w:val="32"/>
          <w:highlight w:val="none"/>
          <w:lang w:eastAsia="zh-CN"/>
        </w:rPr>
      </w:pPr>
      <w:r>
        <w:rPr>
          <w:rFonts w:hint="eastAsia" w:ascii="Times New Roman" w:hAnsi="Times New Roman" w:eastAsia="楷体_GB2312" w:cs="Times New Roman"/>
          <w:b w:val="0"/>
          <w:bCs w:val="0"/>
          <w:color w:val="auto"/>
          <w:kern w:val="2"/>
          <w:sz w:val="32"/>
          <w:szCs w:val="32"/>
          <w:highlight w:val="none"/>
          <w:lang w:val="en-US" w:eastAsia="zh-CN" w:bidi="ar-SA"/>
        </w:rPr>
        <w:t>（三）</w:t>
      </w:r>
      <w:r>
        <w:rPr>
          <w:rFonts w:hint="default" w:ascii="Times New Roman" w:hAnsi="Times New Roman" w:eastAsia="楷体_GB2312" w:cs="Times New Roman"/>
          <w:b w:val="0"/>
          <w:bCs w:val="0"/>
          <w:color w:val="auto"/>
          <w:sz w:val="32"/>
          <w:szCs w:val="32"/>
          <w:highlight w:val="none"/>
        </w:rPr>
        <w:t>结余分配和结转结余情况</w:t>
      </w:r>
      <w:bookmarkStart w:id="85" w:name="OLE_LINK5"/>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contextualSpacing/>
        <w:jc w:val="left"/>
        <w:textAlignment w:val="auto"/>
        <w:rPr>
          <w:rFonts w:eastAsia="楷体_GB2312"/>
          <w:szCs w:val="32"/>
          <w:highlight w:val="none"/>
        </w:rPr>
      </w:pPr>
      <w:r>
        <w:rPr>
          <w:rFonts w:hint="eastAsia" w:ascii="仿宋_GB2312" w:hAnsi="仿宋_GB2312" w:eastAsia="仿宋_GB2312" w:cs="仿宋_GB2312"/>
          <w:b w:val="0"/>
          <w:bCs w:val="0"/>
          <w:color w:val="auto"/>
          <w:kern w:val="0"/>
          <w:sz w:val="32"/>
          <w:szCs w:val="32"/>
          <w:highlight w:val="none"/>
          <w:shd w:val="clear" w:color="auto" w:fill="FFFFFF"/>
          <w:lang w:val="en-US" w:eastAsia="zh-CN" w:bidi="ar-SA"/>
        </w:rPr>
        <w:t>2024</w:t>
      </w:r>
      <w:r>
        <w:rPr>
          <w:rFonts w:hint="eastAsia" w:ascii="仿宋_GB2312" w:hAnsi="仿宋_GB2312" w:eastAsia="仿宋_GB2312" w:cs="仿宋_GB2312"/>
          <w:b w:val="0"/>
          <w:bCs w:val="0"/>
          <w:color w:val="auto"/>
          <w:kern w:val="0"/>
          <w:sz w:val="32"/>
          <w:szCs w:val="32"/>
          <w:highlight w:val="none"/>
          <w:shd w:val="clear" w:color="auto" w:fill="FFFFFF"/>
          <w:lang w:val="zh-CN" w:eastAsia="zh-CN" w:bidi="ar-SA"/>
        </w:rPr>
        <w:t>年我校决算报表年末结转和结余数</w:t>
      </w:r>
      <w:bookmarkStart w:id="86" w:name="OLE_LINK2"/>
      <w:r>
        <w:rPr>
          <w:rFonts w:hint="eastAsia" w:ascii="仿宋_GB2312" w:hAnsi="仿宋_GB2312" w:eastAsia="仿宋_GB2312" w:cs="仿宋_GB2312"/>
          <w:b w:val="0"/>
          <w:bCs w:val="0"/>
          <w:color w:val="auto"/>
          <w:kern w:val="0"/>
          <w:sz w:val="32"/>
          <w:szCs w:val="32"/>
          <w:highlight w:val="none"/>
          <w:shd w:val="clear" w:color="auto" w:fill="FFFFFF"/>
          <w:lang w:val="en-US" w:eastAsia="zh-CN" w:bidi="ar-SA"/>
        </w:rPr>
        <w:t>409.62</w:t>
      </w:r>
      <w:bookmarkEnd w:id="86"/>
      <w:r>
        <w:rPr>
          <w:rFonts w:hint="eastAsia" w:ascii="仿宋_GB2312" w:hAnsi="仿宋_GB2312" w:eastAsia="仿宋_GB2312" w:cs="仿宋_GB2312"/>
          <w:b w:val="0"/>
          <w:bCs w:val="0"/>
          <w:color w:val="auto"/>
          <w:kern w:val="0"/>
          <w:sz w:val="32"/>
          <w:szCs w:val="32"/>
          <w:highlight w:val="none"/>
          <w:shd w:val="clear" w:color="auto" w:fill="FFFFFF"/>
          <w:lang w:val="zh-CN" w:eastAsia="zh-CN" w:bidi="ar-SA"/>
        </w:rPr>
        <w:t>万元，其中财政拨款结转</w:t>
      </w:r>
      <w:r>
        <w:rPr>
          <w:rFonts w:hint="eastAsia" w:ascii="仿宋_GB2312" w:hAnsi="仿宋_GB2312" w:eastAsia="仿宋_GB2312" w:cs="仿宋_GB2312"/>
          <w:b w:val="0"/>
          <w:bCs w:val="0"/>
          <w:color w:val="auto"/>
          <w:kern w:val="0"/>
          <w:sz w:val="32"/>
          <w:szCs w:val="32"/>
          <w:highlight w:val="none"/>
          <w:shd w:val="clear" w:color="auto" w:fill="FFFFFF"/>
          <w:lang w:val="en-US" w:eastAsia="zh-CN" w:bidi="ar-SA"/>
        </w:rPr>
        <w:t>31.5</w:t>
      </w:r>
      <w:r>
        <w:rPr>
          <w:rFonts w:hint="eastAsia" w:ascii="仿宋_GB2312" w:hAnsi="仿宋_GB2312" w:eastAsia="仿宋_GB2312" w:cs="仿宋_GB2312"/>
          <w:b w:val="0"/>
          <w:bCs w:val="0"/>
          <w:color w:val="auto"/>
          <w:kern w:val="0"/>
          <w:sz w:val="32"/>
          <w:szCs w:val="32"/>
          <w:highlight w:val="none"/>
          <w:shd w:val="clear" w:color="auto" w:fill="FFFFFF"/>
          <w:lang w:val="zh-CN" w:eastAsia="zh-CN" w:bidi="ar-SA"/>
        </w:rPr>
        <w:t>万元，主要为</w:t>
      </w:r>
      <w:r>
        <w:rPr>
          <w:rFonts w:hint="eastAsia" w:ascii="仿宋_GB2312" w:hAnsi="仿宋_GB2312" w:eastAsia="仿宋_GB2312" w:cs="仿宋_GB2312"/>
          <w:b w:val="0"/>
          <w:bCs w:val="0"/>
          <w:color w:val="auto"/>
          <w:kern w:val="0"/>
          <w:sz w:val="32"/>
          <w:szCs w:val="32"/>
          <w:highlight w:val="none"/>
          <w:shd w:val="clear" w:color="auto" w:fill="FFFFFF"/>
          <w:lang w:val="en-US" w:eastAsia="zh-CN" w:bidi="ar-SA"/>
        </w:rPr>
        <w:t>12月代扣引进人才安家费个税</w:t>
      </w:r>
      <w:r>
        <w:rPr>
          <w:rFonts w:hint="eastAsia" w:ascii="仿宋_GB2312" w:hAnsi="仿宋_GB2312" w:eastAsia="仿宋_GB2312" w:cs="仿宋_GB2312"/>
          <w:b w:val="0"/>
          <w:bCs w:val="0"/>
          <w:color w:val="auto"/>
          <w:kern w:val="0"/>
          <w:sz w:val="32"/>
          <w:szCs w:val="32"/>
          <w:highlight w:val="none"/>
          <w:shd w:val="clear" w:color="auto" w:fill="FFFFFF"/>
          <w:lang w:val="zh-CN" w:eastAsia="zh-CN" w:bidi="ar-SA"/>
        </w:rPr>
        <w:t>以及2023年国家资助经费学生退票等；2.非财政拨款结转结余</w:t>
      </w:r>
      <w:r>
        <w:rPr>
          <w:rFonts w:hint="eastAsia" w:ascii="仿宋_GB2312" w:hAnsi="仿宋_GB2312" w:eastAsia="仿宋_GB2312" w:cs="仿宋_GB2312"/>
          <w:b w:val="0"/>
          <w:bCs w:val="0"/>
          <w:color w:val="auto"/>
          <w:kern w:val="0"/>
          <w:sz w:val="32"/>
          <w:szCs w:val="32"/>
          <w:highlight w:val="none"/>
          <w:shd w:val="clear" w:color="auto" w:fill="FFFFFF"/>
          <w:lang w:val="en-US" w:eastAsia="zh-CN" w:bidi="ar-SA"/>
        </w:rPr>
        <w:t>378.12</w:t>
      </w:r>
      <w:r>
        <w:rPr>
          <w:rFonts w:hint="eastAsia" w:ascii="仿宋_GB2312" w:hAnsi="仿宋_GB2312" w:eastAsia="仿宋_GB2312" w:cs="仿宋_GB2312"/>
          <w:b w:val="0"/>
          <w:bCs w:val="0"/>
          <w:color w:val="auto"/>
          <w:kern w:val="0"/>
          <w:sz w:val="32"/>
          <w:szCs w:val="32"/>
          <w:highlight w:val="none"/>
          <w:shd w:val="clear" w:color="auto" w:fill="FFFFFF"/>
          <w:lang w:val="zh-CN" w:eastAsia="zh-CN" w:bidi="ar-SA"/>
        </w:rPr>
        <w:t>万元，主要为收到的各类非同级财政拨款、科研课题等资金，2021年后均通过上缴财政代管户进行收支管理。</w:t>
      </w:r>
    </w:p>
    <w:bookmarkEnd w:id="85"/>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default" w:ascii="Times New Roman" w:hAnsi="Times New Roman" w:eastAsia="黑体" w:cs="Times New Roman"/>
          <w:b w:val="0"/>
          <w:bCs w:val="0"/>
          <w:color w:val="auto"/>
          <w:kern w:val="0"/>
          <w:sz w:val="32"/>
          <w:szCs w:val="32"/>
          <w:highlight w:val="none"/>
          <w:shd w:val="clear" w:color="auto" w:fill="FFFFFF"/>
        </w:rPr>
      </w:pPr>
      <w:r>
        <w:rPr>
          <w:rFonts w:hint="default" w:ascii="Times New Roman" w:hAnsi="Times New Roman" w:eastAsia="黑体" w:cs="Times New Roman"/>
          <w:b w:val="0"/>
          <w:bCs w:val="0"/>
          <w:color w:val="auto"/>
          <w:kern w:val="0"/>
          <w:sz w:val="32"/>
          <w:szCs w:val="32"/>
          <w:highlight w:val="none"/>
          <w:shd w:val="clear" w:color="auto" w:fill="FFFFFF"/>
        </w:rPr>
        <w:t>三、</w:t>
      </w:r>
      <w:r>
        <w:rPr>
          <w:rFonts w:hint="default" w:ascii="Times New Roman" w:hAnsi="Times New Roman" w:eastAsia="黑体" w:cs="Times New Roman"/>
          <w:b w:val="0"/>
          <w:bCs w:val="0"/>
          <w:color w:val="auto"/>
          <w:kern w:val="0"/>
          <w:sz w:val="32"/>
          <w:szCs w:val="32"/>
          <w:highlight w:val="none"/>
          <w:u w:val="none"/>
          <w:shd w:val="clear" w:color="auto" w:fill="FFFFFF"/>
        </w:rPr>
        <w:t>部门</w:t>
      </w:r>
      <w:r>
        <w:rPr>
          <w:rFonts w:hint="default" w:ascii="Times New Roman" w:hAnsi="Times New Roman" w:eastAsia="黑体" w:cs="Times New Roman"/>
          <w:b w:val="0"/>
          <w:bCs w:val="0"/>
          <w:color w:val="auto"/>
          <w:kern w:val="0"/>
          <w:sz w:val="32"/>
          <w:szCs w:val="32"/>
          <w:highlight w:val="none"/>
          <w:u w:val="none"/>
          <w:shd w:val="clear" w:color="auto" w:fill="FFFFFF"/>
          <w:lang w:eastAsia="zh-CN"/>
        </w:rPr>
        <w:t>预算</w:t>
      </w:r>
      <w:r>
        <w:rPr>
          <w:rFonts w:hint="default" w:ascii="Times New Roman" w:hAnsi="Times New Roman" w:eastAsia="黑体" w:cs="Times New Roman"/>
          <w:b w:val="0"/>
          <w:bCs w:val="0"/>
          <w:color w:val="auto"/>
          <w:kern w:val="0"/>
          <w:sz w:val="32"/>
          <w:szCs w:val="32"/>
          <w:highlight w:val="none"/>
          <w:u w:val="none"/>
          <w:shd w:val="clear" w:color="auto" w:fill="FFFFFF"/>
        </w:rPr>
        <w:t>绩效</w:t>
      </w:r>
      <w:r>
        <w:rPr>
          <w:rFonts w:hint="default" w:ascii="Times New Roman" w:hAnsi="Times New Roman" w:eastAsia="黑体" w:cs="Times New Roman"/>
          <w:b w:val="0"/>
          <w:bCs w:val="0"/>
          <w:color w:val="auto"/>
          <w:kern w:val="0"/>
          <w:sz w:val="32"/>
          <w:szCs w:val="32"/>
          <w:highlight w:val="none"/>
          <w:u w:val="none"/>
          <w:shd w:val="clear" w:color="auto" w:fill="FFFFFF"/>
          <w:lang w:eastAsia="zh-CN"/>
        </w:rPr>
        <w:t>分析</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default" w:ascii="Times New Roman" w:hAnsi="Times New Roman" w:eastAsia="楷体_GB2312" w:cs="Times New Roman"/>
          <w:b w:val="0"/>
          <w:bCs w:val="0"/>
          <w:color w:val="auto"/>
          <w:kern w:val="0"/>
          <w:sz w:val="32"/>
          <w:szCs w:val="32"/>
          <w:highlight w:val="none"/>
          <w:shd w:val="clear" w:color="auto" w:fill="FFFFFF"/>
          <w:lang w:val="zh-CN"/>
        </w:rPr>
      </w:pPr>
      <w:r>
        <w:rPr>
          <w:rFonts w:hint="default" w:ascii="Times New Roman" w:hAnsi="Times New Roman" w:eastAsia="楷体_GB2312" w:cs="Times New Roman"/>
          <w:b w:val="0"/>
          <w:bCs w:val="0"/>
          <w:color w:val="auto"/>
          <w:kern w:val="0"/>
          <w:sz w:val="32"/>
          <w:szCs w:val="32"/>
          <w:highlight w:val="none"/>
          <w:shd w:val="clear" w:color="auto" w:fill="FFFFFF"/>
          <w:lang w:val="zh-CN"/>
        </w:rPr>
        <w:t>（一）部门预算总体绩效分析</w:t>
      </w:r>
    </w:p>
    <w:p>
      <w:pPr>
        <w:keepNext w:val="0"/>
        <w:keepLines w:val="0"/>
        <w:pageBreakBefore w:val="0"/>
        <w:kinsoku/>
        <w:wordWrap/>
        <w:overflowPunct/>
        <w:topLinePunct w:val="0"/>
        <w:autoSpaceDE/>
        <w:autoSpaceDN/>
        <w:bidi w:val="0"/>
        <w:adjustRightInd w:val="0"/>
        <w:snapToGrid w:val="0"/>
        <w:spacing w:line="560" w:lineRule="exact"/>
        <w:ind w:firstLine="642" w:firstLineChars="200"/>
        <w:contextualSpacing/>
        <w:textAlignment w:val="auto"/>
        <w:rPr>
          <w:rFonts w:hint="eastAsia" w:ascii="仿宋_GB2312" w:hAnsi="仿宋_GB2312" w:eastAsia="仿宋_GB2312" w:cs="仿宋_GB2312"/>
          <w:b/>
          <w:bCs w:val="0"/>
          <w:color w:val="000000"/>
          <w:kern w:val="0"/>
          <w:sz w:val="32"/>
          <w:szCs w:val="32"/>
          <w:shd w:val="clear" w:color="auto" w:fill="FFFFFF"/>
          <w:lang w:val="zh-CN"/>
        </w:rPr>
      </w:pPr>
      <w:r>
        <w:rPr>
          <w:rFonts w:hint="eastAsia" w:ascii="仿宋_GB2312" w:hAnsi="仿宋_GB2312" w:eastAsia="仿宋_GB2312" w:cs="仿宋_GB2312"/>
          <w:b/>
          <w:bCs w:val="0"/>
          <w:color w:val="000000"/>
          <w:kern w:val="0"/>
          <w:sz w:val="32"/>
          <w:szCs w:val="32"/>
          <w:shd w:val="clear" w:color="auto" w:fill="FFFFFF"/>
        </w:rPr>
        <w:t>1.</w:t>
      </w:r>
      <w:r>
        <w:rPr>
          <w:rFonts w:hint="eastAsia" w:ascii="仿宋_GB2312" w:hAnsi="仿宋_GB2312" w:eastAsia="仿宋_GB2312" w:cs="仿宋_GB2312"/>
          <w:b/>
          <w:bCs w:val="0"/>
          <w:color w:val="000000"/>
          <w:kern w:val="0"/>
          <w:sz w:val="32"/>
          <w:szCs w:val="32"/>
          <w:shd w:val="clear" w:color="auto" w:fill="FFFFFF"/>
          <w:lang w:val="zh-CN"/>
        </w:rPr>
        <w:t>履职效能分析</w:t>
      </w:r>
    </w:p>
    <w:p>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hint="eastAsia" w:ascii="仿宋_GB2312" w:hAnsi="仿宋_GB2312" w:eastAsia="仿宋_GB2312" w:cs="仿宋_GB2312"/>
          <w:b w:val="0"/>
          <w:bCs/>
          <w:color w:val="000000"/>
          <w:kern w:val="0"/>
          <w:sz w:val="32"/>
          <w:szCs w:val="32"/>
          <w:shd w:val="clear" w:color="auto" w:fill="FFFFFF"/>
        </w:rPr>
      </w:pPr>
      <w:r>
        <w:rPr>
          <w:rFonts w:hint="eastAsia" w:ascii="仿宋_GB2312" w:hAnsi="仿宋_GB2312" w:eastAsia="仿宋_GB2312" w:cs="仿宋_GB2312"/>
          <w:b w:val="0"/>
          <w:bCs/>
          <w:color w:val="000000"/>
          <w:kern w:val="0"/>
          <w:sz w:val="32"/>
          <w:szCs w:val="32"/>
          <w:shd w:val="clear" w:color="auto" w:fill="FFFFFF"/>
          <w:lang w:val="en-US" w:eastAsia="zh-CN"/>
        </w:rPr>
        <w:t>2024</w:t>
      </w:r>
      <w:r>
        <w:rPr>
          <w:rFonts w:hint="eastAsia" w:ascii="仿宋_GB2312" w:hAnsi="仿宋_GB2312" w:eastAsia="仿宋_GB2312" w:cs="仿宋_GB2312"/>
          <w:b w:val="0"/>
          <w:bCs/>
          <w:color w:val="000000"/>
          <w:kern w:val="0"/>
          <w:sz w:val="32"/>
          <w:szCs w:val="32"/>
          <w:shd w:val="clear" w:color="auto" w:fill="FFFFFF"/>
        </w:rPr>
        <w:t>年学校在市教育局的坚强领导下，以习近平新时代中国特色社会主义思想为指导，深入学习贯彻党的二十大精神，坚决贯彻落实党中央和省委、市委各项决策部署，扎实推进全国“一流幼专”和本科院校创建目标，全面提升办学治理水平、全面提高人才培养质量、全面提升教育教学质量、全面优化开放办学水平、全面细化服务育人理想、全面夯实办学基础保障。</w:t>
      </w:r>
    </w:p>
    <w:p>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hint="eastAsia" w:ascii="仿宋_GB2312" w:hAnsi="仿宋_GB2312" w:eastAsia="仿宋_GB2312" w:cs="仿宋_GB2312"/>
          <w:b w:val="0"/>
          <w:bCs/>
          <w:color w:val="000000"/>
          <w:kern w:val="0"/>
          <w:sz w:val="32"/>
          <w:szCs w:val="32"/>
          <w:highlight w:val="none"/>
          <w:shd w:val="clear" w:color="auto" w:fill="FFFFFF"/>
          <w:lang w:val="zh-CN"/>
        </w:rPr>
      </w:pPr>
      <w:r>
        <w:rPr>
          <w:rFonts w:hint="eastAsia" w:ascii="仿宋_GB2312" w:hAnsi="仿宋_GB2312" w:eastAsia="仿宋_GB2312" w:cs="仿宋_GB2312"/>
          <w:b w:val="0"/>
          <w:bCs/>
          <w:color w:val="000000"/>
          <w:kern w:val="0"/>
          <w:sz w:val="32"/>
          <w:szCs w:val="32"/>
          <w:shd w:val="clear" w:color="auto" w:fill="FFFFFF"/>
          <w:lang w:val="zh-CN"/>
        </w:rPr>
        <w:t>学校</w:t>
      </w:r>
      <w:r>
        <w:rPr>
          <w:rFonts w:hint="eastAsia" w:ascii="仿宋_GB2312" w:hAnsi="仿宋_GB2312" w:eastAsia="仿宋_GB2312" w:cs="仿宋_GB2312"/>
          <w:b w:val="0"/>
          <w:bCs/>
          <w:color w:val="000000"/>
          <w:kern w:val="0"/>
          <w:sz w:val="32"/>
          <w:szCs w:val="32"/>
          <w:shd w:val="clear" w:color="auto" w:fill="FFFFFF"/>
          <w:lang w:val="en-US" w:eastAsia="zh-CN"/>
        </w:rPr>
        <w:t>2024</w:t>
      </w:r>
      <w:r>
        <w:rPr>
          <w:rFonts w:hint="eastAsia" w:ascii="仿宋_GB2312" w:hAnsi="仿宋_GB2312" w:eastAsia="仿宋_GB2312" w:cs="仿宋_GB2312"/>
          <w:b w:val="0"/>
          <w:bCs/>
          <w:color w:val="000000"/>
          <w:kern w:val="0"/>
          <w:sz w:val="32"/>
          <w:szCs w:val="32"/>
          <w:shd w:val="clear" w:color="auto" w:fill="FFFFFF"/>
          <w:lang w:val="zh-CN"/>
        </w:rPr>
        <w:t>年初设置五个整体绩效目标，各个目标均有效完成：一是全年严格按照财经纪律，资金安全得到保障、资金合理有效使用；二是全年学校各职能部门良性运转，教学活动正常开展，办学条件进一步改善；三是全年各项目有效推进，项目监督管理工作有效开展；四是全年按时完成非税收入上缴工作，</w:t>
      </w:r>
      <w:r>
        <w:rPr>
          <w:rFonts w:hint="eastAsia" w:ascii="仿宋_GB2312" w:hAnsi="仿宋_GB2312" w:eastAsia="仿宋_GB2312" w:cs="仿宋_GB2312"/>
          <w:b w:val="0"/>
          <w:bCs/>
          <w:color w:val="000000"/>
          <w:kern w:val="0"/>
          <w:sz w:val="32"/>
          <w:szCs w:val="32"/>
          <w:shd w:val="clear" w:color="auto" w:fill="FFFFFF"/>
          <w:lang w:val="en-US" w:eastAsia="zh-CN"/>
        </w:rPr>
        <w:t>2024</w:t>
      </w:r>
      <w:r>
        <w:rPr>
          <w:rFonts w:hint="eastAsia" w:ascii="仿宋_GB2312" w:hAnsi="仿宋_GB2312" w:eastAsia="仿宋_GB2312" w:cs="仿宋_GB2312"/>
          <w:b w:val="0"/>
          <w:bCs/>
          <w:color w:val="000000"/>
          <w:kern w:val="0"/>
          <w:sz w:val="32"/>
          <w:szCs w:val="32"/>
          <w:shd w:val="clear" w:color="auto" w:fill="FFFFFF"/>
        </w:rPr>
        <w:t>年非税收入年初预算</w:t>
      </w:r>
      <w:r>
        <w:rPr>
          <w:rFonts w:hint="eastAsia" w:ascii="仿宋_GB2312" w:hAnsi="仿宋_GB2312" w:eastAsia="仿宋_GB2312" w:cs="仿宋_GB2312"/>
          <w:b w:val="0"/>
          <w:bCs/>
          <w:color w:val="000000"/>
          <w:kern w:val="0"/>
          <w:sz w:val="32"/>
          <w:szCs w:val="32"/>
          <w:shd w:val="clear" w:color="auto" w:fill="FFFFFF"/>
          <w:lang w:val="en-US" w:eastAsia="zh-CN"/>
        </w:rPr>
        <w:t>6053.4</w:t>
      </w:r>
      <w:r>
        <w:rPr>
          <w:rFonts w:hint="eastAsia" w:ascii="仿宋_GB2312" w:hAnsi="仿宋_GB2312" w:eastAsia="仿宋_GB2312" w:cs="仿宋_GB2312"/>
          <w:b w:val="0"/>
          <w:bCs/>
          <w:color w:val="000000"/>
          <w:kern w:val="0"/>
          <w:sz w:val="32"/>
          <w:szCs w:val="32"/>
          <w:shd w:val="clear" w:color="auto" w:fill="FFFFFF"/>
        </w:rPr>
        <w:t>万元，全年实际收入</w:t>
      </w:r>
      <w:r>
        <w:rPr>
          <w:rFonts w:hint="eastAsia" w:ascii="仿宋_GB2312" w:hAnsi="仿宋_GB2312" w:eastAsia="仿宋_GB2312" w:cs="仿宋_GB2312"/>
          <w:b w:val="0"/>
          <w:bCs/>
          <w:color w:val="000000"/>
          <w:kern w:val="0"/>
          <w:sz w:val="32"/>
          <w:szCs w:val="32"/>
          <w:shd w:val="clear" w:color="auto" w:fill="FFFFFF"/>
          <w:lang w:val="en-US" w:eastAsia="zh-CN"/>
        </w:rPr>
        <w:t>5809.25</w:t>
      </w:r>
      <w:r>
        <w:rPr>
          <w:rFonts w:hint="eastAsia" w:ascii="仿宋_GB2312" w:hAnsi="仿宋_GB2312" w:eastAsia="仿宋_GB2312" w:cs="仿宋_GB2312"/>
          <w:b w:val="0"/>
          <w:bCs/>
          <w:color w:val="000000"/>
          <w:kern w:val="0"/>
          <w:sz w:val="32"/>
          <w:szCs w:val="32"/>
          <w:shd w:val="clear" w:color="auto" w:fill="FFFFFF"/>
        </w:rPr>
        <w:t>万元</w:t>
      </w:r>
      <w:r>
        <w:rPr>
          <w:rFonts w:hint="eastAsia" w:ascii="仿宋_GB2312" w:hAnsi="仿宋_GB2312" w:eastAsia="仿宋_GB2312" w:cs="仿宋_GB2312"/>
          <w:b w:val="0"/>
          <w:bCs/>
          <w:color w:val="000000"/>
          <w:kern w:val="0"/>
          <w:sz w:val="32"/>
          <w:szCs w:val="32"/>
          <w:shd w:val="clear" w:color="auto" w:fill="FFFFFF"/>
          <w:lang w:val="zh-CN"/>
        </w:rPr>
        <w:t>；五是</w:t>
      </w:r>
      <w:r>
        <w:rPr>
          <w:rFonts w:hint="eastAsia" w:ascii="仿宋_GB2312" w:hAnsi="仿宋_GB2312" w:eastAsia="仿宋_GB2312" w:cs="仿宋_GB2312"/>
          <w:b w:val="0"/>
          <w:bCs/>
          <w:color w:val="000000"/>
          <w:kern w:val="0"/>
          <w:sz w:val="32"/>
          <w:szCs w:val="32"/>
          <w:shd w:val="clear" w:color="auto" w:fill="FFFFFF"/>
          <w:lang w:val="en-US" w:eastAsia="zh-CN"/>
        </w:rPr>
        <w:t>2024</w:t>
      </w:r>
      <w:r>
        <w:rPr>
          <w:rFonts w:hint="eastAsia" w:ascii="仿宋_GB2312" w:hAnsi="仿宋_GB2312" w:eastAsia="仿宋_GB2312" w:cs="仿宋_GB2312"/>
          <w:b w:val="0"/>
          <w:bCs/>
          <w:color w:val="000000"/>
          <w:kern w:val="0"/>
          <w:sz w:val="32"/>
          <w:szCs w:val="32"/>
          <w:shd w:val="clear" w:color="auto" w:fill="FFFFFF"/>
          <w:lang w:val="zh-CN"/>
        </w:rPr>
        <w:t>年学校图书馆及校史馆、产教融合实训基地等基础设施建设、信息</w:t>
      </w:r>
      <w:r>
        <w:rPr>
          <w:rFonts w:hint="eastAsia" w:ascii="仿宋_GB2312" w:hAnsi="仿宋_GB2312" w:eastAsia="仿宋_GB2312" w:cs="仿宋_GB2312"/>
          <w:b w:val="0"/>
          <w:bCs/>
          <w:color w:val="000000"/>
          <w:kern w:val="0"/>
          <w:sz w:val="32"/>
          <w:szCs w:val="32"/>
          <w:highlight w:val="none"/>
          <w:shd w:val="clear" w:color="auto" w:fill="FFFFFF"/>
          <w:lang w:val="zh-CN"/>
        </w:rPr>
        <w:t>化建设稳步推进。（自评得15分）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2" w:firstLineChars="200"/>
        <w:contextualSpacing/>
        <w:jc w:val="both"/>
        <w:textAlignment w:val="auto"/>
        <w:outlineLvl w:val="9"/>
        <w:rPr>
          <w:rFonts w:hint="eastAsia" w:ascii="仿宋_GB2312" w:hAnsi="仿宋_GB2312" w:eastAsia="仿宋_GB2312" w:cs="仿宋_GB2312"/>
          <w:b/>
          <w:bCs/>
          <w:color w:val="auto"/>
          <w:kern w:val="0"/>
          <w:position w:val="0"/>
          <w:sz w:val="32"/>
          <w:szCs w:val="32"/>
          <w:highlight w:val="none"/>
          <w:lang w:val="zh-CN" w:eastAsia="zh-CN" w:bidi="ar-SA"/>
        </w:rPr>
      </w:pPr>
      <w:r>
        <w:rPr>
          <w:rFonts w:hint="eastAsia" w:ascii="仿宋_GB2312" w:hAnsi="仿宋_GB2312" w:eastAsia="仿宋_GB2312" w:cs="仿宋_GB2312"/>
          <w:b/>
          <w:bCs/>
          <w:color w:val="auto"/>
          <w:kern w:val="0"/>
          <w:position w:val="0"/>
          <w:sz w:val="32"/>
          <w:szCs w:val="32"/>
          <w:highlight w:val="none"/>
          <w:lang w:val="zh-CN" w:eastAsia="zh-CN" w:bidi="ar-SA"/>
        </w:rPr>
        <w:t>2.预算管理</w:t>
      </w:r>
    </w:p>
    <w:p>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hint="eastAsia" w:ascii="仿宋_GB2312" w:hAnsi="仿宋_GB2312" w:eastAsia="仿宋_GB2312" w:cs="仿宋_GB2312"/>
          <w:b w:val="0"/>
          <w:bCs/>
          <w:color w:val="000000"/>
          <w:kern w:val="0"/>
          <w:sz w:val="32"/>
          <w:szCs w:val="32"/>
          <w:shd w:val="clear" w:color="auto" w:fill="FFFFFF"/>
          <w:lang w:val="zh-CN"/>
        </w:rPr>
      </w:pPr>
      <w:r>
        <w:rPr>
          <w:rFonts w:hint="eastAsia" w:ascii="仿宋_GB2312" w:hAnsi="仿宋_GB2312" w:eastAsia="仿宋_GB2312" w:cs="仿宋_GB2312"/>
          <w:b w:val="0"/>
          <w:bCs/>
          <w:color w:val="000000"/>
          <w:kern w:val="0"/>
          <w:sz w:val="32"/>
          <w:szCs w:val="32"/>
          <w:shd w:val="clear" w:color="auto" w:fill="FFFFFF"/>
          <w:lang w:val="en-US" w:eastAsia="zh-CN"/>
        </w:rPr>
        <w:t>2024</w:t>
      </w:r>
      <w:r>
        <w:rPr>
          <w:rFonts w:hint="eastAsia" w:ascii="仿宋_GB2312" w:hAnsi="仿宋_GB2312" w:eastAsia="仿宋_GB2312" w:cs="仿宋_GB2312"/>
          <w:b w:val="0"/>
          <w:bCs/>
          <w:color w:val="000000"/>
          <w:kern w:val="0"/>
          <w:sz w:val="32"/>
          <w:szCs w:val="32"/>
          <w:shd w:val="clear" w:color="auto" w:fill="FFFFFF"/>
          <w:lang w:val="zh-CN"/>
        </w:rPr>
        <w:t>年</w:t>
      </w:r>
      <w:r>
        <w:rPr>
          <w:rFonts w:hint="eastAsia" w:ascii="仿宋_GB2312" w:hAnsi="仿宋_GB2312" w:eastAsia="仿宋_GB2312" w:cs="仿宋_GB2312"/>
          <w:b w:val="0"/>
          <w:bCs/>
          <w:color w:val="000000"/>
          <w:kern w:val="0"/>
          <w:sz w:val="32"/>
          <w:szCs w:val="32"/>
          <w:shd w:val="clear" w:color="auto" w:fill="FFFFFF"/>
          <w:lang w:val="zh-CN" w:eastAsia="zh-CN"/>
        </w:rPr>
        <w:t>我校</w:t>
      </w:r>
      <w:r>
        <w:rPr>
          <w:rFonts w:hint="eastAsia" w:ascii="仿宋_GB2312" w:hAnsi="仿宋_GB2312" w:eastAsia="仿宋_GB2312" w:cs="仿宋_GB2312"/>
          <w:b w:val="0"/>
          <w:bCs/>
          <w:color w:val="000000"/>
          <w:kern w:val="0"/>
          <w:sz w:val="32"/>
          <w:szCs w:val="32"/>
          <w:shd w:val="clear" w:color="auto" w:fill="FFFFFF"/>
          <w:lang w:val="zh-CN"/>
        </w:rPr>
        <w:t>预算编制坚持“量入为出、收支平衡”的总原则，收入编制积极稳妥，支出预算编制统筹兼顾，保证重点，勤俭节约，更加注重结果导向、强调成本效益、硬化约束责任，逐步稳健推进全面预算管理。同时严格按照年初预算安排,严格执行中央八项规定和省、市各项规定,厉行节约规范使用预算资金，不断巩固 “花钱必问效、无效必问责”理念，将绩效管理范围覆盖所有财政资金，并深度融入预算编制、执行、监督全过程。具体明细指标分析如下：</w:t>
      </w:r>
    </w:p>
    <w:p>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hint="eastAsia" w:ascii="仿宋_GB2312" w:hAnsi="仿宋_GB2312" w:eastAsia="仿宋_GB2312" w:cs="仿宋_GB2312"/>
          <w:b w:val="0"/>
          <w:bCs/>
          <w:color w:val="000000"/>
          <w:kern w:val="0"/>
          <w:sz w:val="32"/>
          <w:szCs w:val="32"/>
          <w:shd w:val="clear" w:color="auto" w:fill="FFFFFF"/>
          <w:lang w:val="zh-CN"/>
        </w:rPr>
      </w:pPr>
      <w:r>
        <w:rPr>
          <w:rFonts w:hint="eastAsia" w:ascii="仿宋_GB2312" w:hAnsi="仿宋_GB2312" w:eastAsia="仿宋_GB2312" w:cs="仿宋_GB2312"/>
          <w:b w:val="0"/>
          <w:bCs/>
          <w:color w:val="000000"/>
          <w:kern w:val="0"/>
          <w:sz w:val="32"/>
          <w:szCs w:val="32"/>
          <w:shd w:val="clear" w:color="auto" w:fill="FFFFFF"/>
          <w:lang w:val="zh-CN"/>
        </w:rPr>
        <w:t>(1)预算编制质量</w:t>
      </w:r>
    </w:p>
    <w:p>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hint="eastAsia" w:ascii="仿宋_GB2312" w:hAnsi="仿宋_GB2312" w:eastAsia="仿宋_GB2312" w:cs="仿宋_GB2312"/>
          <w:b w:val="0"/>
          <w:bCs/>
          <w:color w:val="000000"/>
          <w:kern w:val="0"/>
          <w:sz w:val="32"/>
          <w:szCs w:val="32"/>
          <w:shd w:val="clear" w:color="auto" w:fill="FFFFFF"/>
          <w:lang w:val="zh-CN"/>
        </w:rPr>
      </w:pPr>
      <w:r>
        <w:rPr>
          <w:rFonts w:hint="eastAsia" w:ascii="仿宋_GB2312" w:hAnsi="仿宋_GB2312" w:eastAsia="仿宋_GB2312" w:cs="仿宋_GB2312"/>
          <w:b w:val="0"/>
          <w:bCs/>
          <w:color w:val="000000"/>
          <w:kern w:val="0"/>
          <w:sz w:val="32"/>
          <w:szCs w:val="32"/>
          <w:shd w:val="clear" w:color="auto" w:fill="FFFFFF"/>
          <w:lang w:val="en-US" w:eastAsia="zh-CN"/>
        </w:rPr>
        <w:t>2024</w:t>
      </w:r>
      <w:r>
        <w:rPr>
          <w:rFonts w:hint="eastAsia" w:ascii="仿宋_GB2312" w:hAnsi="仿宋_GB2312" w:eastAsia="仿宋_GB2312" w:cs="仿宋_GB2312"/>
          <w:b w:val="0"/>
          <w:bCs/>
          <w:color w:val="000000"/>
          <w:kern w:val="0"/>
          <w:sz w:val="32"/>
          <w:szCs w:val="32"/>
          <w:shd w:val="clear" w:color="auto" w:fill="FFFFFF"/>
          <w:lang w:val="zh-CN"/>
        </w:rPr>
        <w:t>年财政拨款年初预算数11431.15万元，预算执行数</w:t>
      </w:r>
      <w:r>
        <w:rPr>
          <w:rFonts w:hint="eastAsia" w:ascii="仿宋_GB2312" w:hAnsi="仿宋_GB2312" w:eastAsia="仿宋_GB2312" w:cs="仿宋_GB2312"/>
          <w:b w:val="0"/>
          <w:bCs/>
          <w:color w:val="000000"/>
          <w:kern w:val="0"/>
          <w:sz w:val="32"/>
          <w:szCs w:val="32"/>
          <w:shd w:val="clear" w:color="auto" w:fill="FFFFFF"/>
          <w:lang w:val="en-US" w:eastAsia="zh-CN"/>
        </w:rPr>
        <w:t>11258.7</w:t>
      </w:r>
      <w:r>
        <w:rPr>
          <w:rFonts w:hint="eastAsia" w:ascii="仿宋_GB2312" w:hAnsi="仿宋_GB2312" w:eastAsia="仿宋_GB2312" w:cs="仿宋_GB2312"/>
          <w:b w:val="0"/>
          <w:bCs/>
          <w:color w:val="000000"/>
          <w:kern w:val="0"/>
          <w:sz w:val="32"/>
          <w:szCs w:val="32"/>
          <w:shd w:val="clear" w:color="auto" w:fill="FFFFFF"/>
          <w:lang w:val="zh-CN"/>
        </w:rPr>
        <w:t>万元，偏离度接近于</w:t>
      </w:r>
      <w:r>
        <w:rPr>
          <w:rFonts w:hint="eastAsia" w:ascii="仿宋_GB2312" w:hAnsi="仿宋_GB2312" w:eastAsia="仿宋_GB2312" w:cs="仿宋_GB2312"/>
          <w:b w:val="0"/>
          <w:bCs/>
          <w:color w:val="000000"/>
          <w:kern w:val="0"/>
          <w:sz w:val="32"/>
          <w:szCs w:val="32"/>
          <w:shd w:val="clear" w:color="auto" w:fill="FFFFFF"/>
          <w:lang w:val="en-US" w:eastAsia="zh-CN"/>
        </w:rPr>
        <w:t>0</w:t>
      </w:r>
      <w:r>
        <w:rPr>
          <w:rFonts w:hint="eastAsia" w:ascii="仿宋_GB2312" w:hAnsi="仿宋_GB2312" w:eastAsia="仿宋_GB2312" w:cs="仿宋_GB2312"/>
          <w:b w:val="0"/>
          <w:bCs/>
          <w:color w:val="000000"/>
          <w:kern w:val="0"/>
          <w:sz w:val="32"/>
          <w:szCs w:val="32"/>
          <w:shd w:val="clear" w:color="auto" w:fill="FFFFFF"/>
          <w:lang w:val="zh-CN"/>
        </w:rPr>
        <w:t>；</w:t>
      </w:r>
      <w:r>
        <w:rPr>
          <w:rFonts w:hint="eastAsia" w:ascii="仿宋_GB2312" w:hAnsi="仿宋_GB2312" w:eastAsia="仿宋_GB2312" w:cs="仿宋_GB2312"/>
          <w:b w:val="0"/>
          <w:bCs/>
          <w:color w:val="000000"/>
          <w:kern w:val="0"/>
          <w:sz w:val="32"/>
          <w:szCs w:val="32"/>
          <w:shd w:val="clear" w:color="auto" w:fill="FFFFFF"/>
          <w:lang w:val="en-US" w:eastAsia="zh-CN"/>
        </w:rPr>
        <w:t>2024</w:t>
      </w:r>
      <w:r>
        <w:rPr>
          <w:rFonts w:hint="eastAsia" w:ascii="仿宋_GB2312" w:hAnsi="仿宋_GB2312" w:eastAsia="仿宋_GB2312" w:cs="仿宋_GB2312"/>
          <w:b w:val="0"/>
          <w:bCs/>
          <w:color w:val="000000"/>
          <w:kern w:val="0"/>
          <w:sz w:val="32"/>
          <w:szCs w:val="32"/>
          <w:shd w:val="clear" w:color="auto" w:fill="FFFFFF"/>
          <w:lang w:val="zh-CN"/>
        </w:rPr>
        <w:t>年资产配置预算偏离度为</w:t>
      </w:r>
      <w:r>
        <w:rPr>
          <w:rFonts w:hint="eastAsia" w:ascii="仿宋_GB2312" w:hAnsi="仿宋_GB2312" w:eastAsia="仿宋_GB2312" w:cs="仿宋_GB2312"/>
          <w:b w:val="0"/>
          <w:bCs/>
          <w:color w:val="000000"/>
          <w:kern w:val="0"/>
          <w:sz w:val="32"/>
          <w:szCs w:val="32"/>
          <w:shd w:val="clear" w:color="auto" w:fill="FFFFFF"/>
          <w:lang w:val="en-US" w:eastAsia="zh-CN"/>
        </w:rPr>
        <w:t>0</w:t>
      </w:r>
      <w:r>
        <w:rPr>
          <w:rFonts w:hint="eastAsia" w:ascii="仿宋_GB2312" w:hAnsi="仿宋_GB2312" w:eastAsia="仿宋_GB2312" w:cs="仿宋_GB2312"/>
          <w:b w:val="0"/>
          <w:bCs/>
          <w:color w:val="000000"/>
          <w:kern w:val="0"/>
          <w:sz w:val="32"/>
          <w:szCs w:val="32"/>
          <w:shd w:val="clear" w:color="auto" w:fill="FFFFFF"/>
          <w:lang w:val="zh-CN"/>
        </w:rPr>
        <w:t>；</w:t>
      </w:r>
      <w:r>
        <w:rPr>
          <w:rFonts w:hint="eastAsia" w:ascii="仿宋_GB2312" w:hAnsi="仿宋_GB2312" w:eastAsia="仿宋_GB2312" w:cs="仿宋_GB2312"/>
          <w:b w:val="0"/>
          <w:bCs/>
          <w:color w:val="000000"/>
          <w:kern w:val="0"/>
          <w:sz w:val="32"/>
          <w:szCs w:val="32"/>
          <w:shd w:val="clear" w:color="auto" w:fill="FFFFFF"/>
          <w:lang w:val="en-US" w:eastAsia="zh-CN"/>
        </w:rPr>
        <w:t>2024</w:t>
      </w:r>
      <w:r>
        <w:rPr>
          <w:rFonts w:hint="eastAsia" w:ascii="仿宋_GB2312" w:hAnsi="仿宋_GB2312" w:eastAsia="仿宋_GB2312" w:cs="仿宋_GB2312"/>
          <w:b w:val="0"/>
          <w:bCs/>
          <w:color w:val="000000"/>
          <w:kern w:val="0"/>
          <w:sz w:val="32"/>
          <w:szCs w:val="32"/>
          <w:shd w:val="clear" w:color="auto" w:fill="FFFFFF"/>
          <w:lang w:val="zh-CN"/>
        </w:rPr>
        <w:t>年政府采购预算年初预算1969.04万元，执行数439.07万元，预算偏离度77.70%。（自评得6.5分）</w:t>
      </w:r>
    </w:p>
    <w:p>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hint="eastAsia" w:ascii="仿宋_GB2312" w:hAnsi="仿宋_GB2312" w:eastAsia="仿宋_GB2312" w:cs="仿宋_GB2312"/>
          <w:b w:val="0"/>
          <w:bCs/>
          <w:color w:val="000000"/>
          <w:kern w:val="0"/>
          <w:sz w:val="32"/>
          <w:szCs w:val="32"/>
          <w:shd w:val="clear" w:color="auto" w:fill="FFFFFF"/>
          <w:lang w:val="zh-CN"/>
        </w:rPr>
      </w:pPr>
      <w:r>
        <w:rPr>
          <w:rFonts w:hint="eastAsia" w:ascii="仿宋_GB2312" w:hAnsi="仿宋_GB2312" w:eastAsia="仿宋_GB2312" w:cs="仿宋_GB2312"/>
          <w:b w:val="0"/>
          <w:bCs/>
          <w:color w:val="000000"/>
          <w:kern w:val="0"/>
          <w:sz w:val="32"/>
          <w:szCs w:val="32"/>
          <w:shd w:val="clear" w:color="auto" w:fill="FFFFFF"/>
          <w:lang w:val="zh-CN"/>
        </w:rPr>
        <w:t>(2)支出执行进度</w:t>
      </w:r>
    </w:p>
    <w:p>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hint="eastAsia" w:ascii="仿宋_GB2312" w:hAnsi="仿宋_GB2312" w:eastAsia="仿宋_GB2312" w:cs="仿宋_GB2312"/>
          <w:b w:val="0"/>
          <w:bCs/>
          <w:color w:val="000000"/>
          <w:kern w:val="0"/>
          <w:sz w:val="32"/>
          <w:szCs w:val="32"/>
          <w:shd w:val="clear" w:color="auto" w:fill="FFFFFF"/>
          <w:lang w:val="zh-CN"/>
        </w:rPr>
      </w:pPr>
      <w:r>
        <w:rPr>
          <w:rFonts w:hint="eastAsia" w:ascii="仿宋_GB2312" w:hAnsi="仿宋_GB2312" w:eastAsia="仿宋_GB2312" w:cs="仿宋_GB2312"/>
          <w:b w:val="0"/>
          <w:bCs/>
          <w:color w:val="000000"/>
          <w:kern w:val="0"/>
          <w:sz w:val="32"/>
          <w:szCs w:val="32"/>
          <w:shd w:val="clear" w:color="auto" w:fill="FFFFFF"/>
          <w:lang w:val="zh-CN"/>
        </w:rPr>
        <w:t>2</w:t>
      </w:r>
      <w:r>
        <w:rPr>
          <w:rFonts w:hint="eastAsia" w:ascii="仿宋_GB2312" w:hAnsi="仿宋_GB2312" w:eastAsia="仿宋_GB2312" w:cs="仿宋_GB2312"/>
          <w:b w:val="0"/>
          <w:bCs/>
          <w:color w:val="000000"/>
          <w:kern w:val="0"/>
          <w:sz w:val="32"/>
          <w:szCs w:val="32"/>
          <w:shd w:val="clear" w:color="auto" w:fill="FFFFFF"/>
          <w:lang w:val="en-US" w:eastAsia="zh-CN"/>
        </w:rPr>
        <w:t>024</w:t>
      </w:r>
      <w:r>
        <w:rPr>
          <w:rFonts w:hint="eastAsia" w:ascii="仿宋_GB2312" w:hAnsi="仿宋_GB2312" w:eastAsia="仿宋_GB2312" w:cs="仿宋_GB2312"/>
          <w:b w:val="0"/>
          <w:bCs/>
          <w:color w:val="000000"/>
          <w:kern w:val="0"/>
          <w:sz w:val="32"/>
          <w:szCs w:val="32"/>
          <w:shd w:val="clear" w:color="auto" w:fill="FFFFFF"/>
          <w:lang w:val="zh-CN"/>
        </w:rPr>
        <w:t>年1-6月预算执行数为10552.23万元，部门预算数为23202.27万元，无支出预警，无违规支出；</w:t>
      </w:r>
      <w:r>
        <w:rPr>
          <w:rFonts w:hint="eastAsia" w:ascii="仿宋_GB2312" w:hAnsi="仿宋_GB2312" w:eastAsia="仿宋_GB2312" w:cs="仿宋_GB2312"/>
          <w:b w:val="0"/>
          <w:bCs/>
          <w:color w:val="000000"/>
          <w:kern w:val="0"/>
          <w:sz w:val="32"/>
          <w:szCs w:val="32"/>
          <w:shd w:val="clear" w:color="auto" w:fill="FFFFFF"/>
          <w:lang w:val="en-US" w:eastAsia="zh-CN"/>
        </w:rPr>
        <w:t>2024</w:t>
      </w:r>
      <w:r>
        <w:rPr>
          <w:rFonts w:hint="eastAsia" w:ascii="仿宋_GB2312" w:hAnsi="仿宋_GB2312" w:eastAsia="仿宋_GB2312" w:cs="仿宋_GB2312"/>
          <w:b w:val="0"/>
          <w:bCs/>
          <w:color w:val="000000"/>
          <w:kern w:val="0"/>
          <w:sz w:val="32"/>
          <w:szCs w:val="32"/>
          <w:shd w:val="clear" w:color="auto" w:fill="FFFFFF"/>
          <w:lang w:val="zh-CN"/>
        </w:rPr>
        <w:t>年1-10月预算执行数为15319.08万元，部门预算数为24312.45万元，无支出预警，无违规支出。（自评得</w:t>
      </w:r>
      <w:r>
        <w:rPr>
          <w:rFonts w:hint="eastAsia" w:ascii="仿宋_GB2312" w:hAnsi="仿宋_GB2312" w:eastAsia="仿宋_GB2312" w:cs="仿宋_GB2312"/>
          <w:b w:val="0"/>
          <w:bCs/>
          <w:color w:val="000000"/>
          <w:kern w:val="0"/>
          <w:sz w:val="32"/>
          <w:szCs w:val="32"/>
          <w:shd w:val="clear" w:color="auto" w:fill="FFFFFF"/>
          <w:lang w:val="en-US" w:eastAsia="zh-CN"/>
        </w:rPr>
        <w:t>5.33</w:t>
      </w:r>
      <w:r>
        <w:rPr>
          <w:rFonts w:hint="eastAsia" w:ascii="仿宋_GB2312" w:hAnsi="仿宋_GB2312" w:eastAsia="仿宋_GB2312" w:cs="仿宋_GB2312"/>
          <w:b w:val="0"/>
          <w:bCs/>
          <w:color w:val="000000"/>
          <w:kern w:val="0"/>
          <w:sz w:val="32"/>
          <w:szCs w:val="32"/>
          <w:shd w:val="clear" w:color="auto" w:fill="FFFFFF"/>
          <w:lang w:val="zh-CN"/>
        </w:rPr>
        <w:t>分）</w:t>
      </w:r>
    </w:p>
    <w:p>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hint="eastAsia" w:ascii="仿宋_GB2312" w:hAnsi="仿宋_GB2312" w:eastAsia="仿宋_GB2312" w:cs="仿宋_GB2312"/>
          <w:b w:val="0"/>
          <w:bCs/>
          <w:color w:val="000000"/>
          <w:kern w:val="0"/>
          <w:sz w:val="32"/>
          <w:szCs w:val="32"/>
          <w:shd w:val="clear" w:color="auto" w:fill="FFFFFF"/>
          <w:lang w:val="zh-CN"/>
        </w:rPr>
      </w:pPr>
      <w:r>
        <w:rPr>
          <w:rFonts w:hint="eastAsia" w:ascii="仿宋_GB2312" w:hAnsi="仿宋_GB2312" w:eastAsia="仿宋_GB2312" w:cs="仿宋_GB2312"/>
          <w:b w:val="0"/>
          <w:bCs/>
          <w:color w:val="000000"/>
          <w:kern w:val="0"/>
          <w:sz w:val="32"/>
          <w:szCs w:val="32"/>
          <w:shd w:val="clear" w:color="auto" w:fill="FFFFFF"/>
          <w:lang w:val="zh-CN"/>
        </w:rPr>
        <w:t>（</w:t>
      </w:r>
      <w:r>
        <w:rPr>
          <w:rFonts w:hint="eastAsia" w:ascii="仿宋_GB2312" w:hAnsi="仿宋_GB2312" w:eastAsia="仿宋_GB2312" w:cs="仿宋_GB2312"/>
          <w:b w:val="0"/>
          <w:bCs/>
          <w:color w:val="000000"/>
          <w:kern w:val="0"/>
          <w:sz w:val="32"/>
          <w:szCs w:val="32"/>
          <w:shd w:val="clear" w:color="auto" w:fill="FFFFFF"/>
          <w:lang w:val="en-US" w:eastAsia="zh-CN"/>
        </w:rPr>
        <w:t>3</w:t>
      </w:r>
      <w:r>
        <w:rPr>
          <w:rFonts w:hint="eastAsia" w:ascii="仿宋_GB2312" w:hAnsi="仿宋_GB2312" w:eastAsia="仿宋_GB2312" w:cs="仿宋_GB2312"/>
          <w:b w:val="0"/>
          <w:bCs/>
          <w:color w:val="000000"/>
          <w:kern w:val="0"/>
          <w:sz w:val="32"/>
          <w:szCs w:val="32"/>
          <w:shd w:val="clear" w:color="auto" w:fill="FFFFFF"/>
          <w:lang w:val="zh-CN"/>
        </w:rPr>
        <w:t>）预算年终结余</w:t>
      </w:r>
    </w:p>
    <w:p>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hint="eastAsia" w:ascii="仿宋_GB2312" w:hAnsi="仿宋_GB2312" w:eastAsia="仿宋_GB2312" w:cs="仿宋_GB2312"/>
          <w:b w:val="0"/>
          <w:bCs/>
          <w:color w:val="000000"/>
          <w:kern w:val="0"/>
          <w:sz w:val="32"/>
          <w:szCs w:val="32"/>
          <w:shd w:val="clear" w:color="auto" w:fill="FFFFFF"/>
          <w:lang w:val="zh-CN"/>
        </w:rPr>
      </w:pPr>
      <w:r>
        <w:rPr>
          <w:rFonts w:hint="eastAsia" w:ascii="仿宋_GB2312" w:hAnsi="仿宋_GB2312" w:eastAsia="仿宋_GB2312" w:cs="仿宋_GB2312"/>
          <w:b w:val="0"/>
          <w:bCs/>
          <w:color w:val="000000"/>
          <w:kern w:val="0"/>
          <w:sz w:val="32"/>
          <w:szCs w:val="32"/>
          <w:shd w:val="clear" w:color="auto" w:fill="FFFFFF"/>
          <w:lang w:val="zh-CN"/>
        </w:rPr>
        <w:t>202</w:t>
      </w:r>
      <w:r>
        <w:rPr>
          <w:rFonts w:hint="eastAsia" w:ascii="仿宋_GB2312" w:hAnsi="仿宋_GB2312" w:eastAsia="仿宋_GB2312" w:cs="仿宋_GB2312"/>
          <w:b w:val="0"/>
          <w:bCs/>
          <w:color w:val="000000"/>
          <w:kern w:val="0"/>
          <w:sz w:val="32"/>
          <w:szCs w:val="32"/>
          <w:shd w:val="clear" w:color="auto" w:fill="FFFFFF"/>
          <w:lang w:val="en-US" w:eastAsia="zh-CN"/>
        </w:rPr>
        <w:t>4</w:t>
      </w:r>
      <w:r>
        <w:rPr>
          <w:rFonts w:hint="eastAsia" w:ascii="仿宋_GB2312" w:hAnsi="仿宋_GB2312" w:eastAsia="仿宋_GB2312" w:cs="仿宋_GB2312"/>
          <w:b w:val="0"/>
          <w:bCs/>
          <w:color w:val="000000"/>
          <w:kern w:val="0"/>
          <w:sz w:val="32"/>
          <w:szCs w:val="32"/>
          <w:shd w:val="clear" w:color="auto" w:fill="FFFFFF"/>
          <w:lang w:val="zh-CN"/>
        </w:rPr>
        <w:t>年全年预算22146.16万元，年末结转409.62万元（我校事业收入以支定收，因此全年预算数、结转数跟决算报表保持一致），部门整体预算结余率为1.85%。（自评得</w:t>
      </w:r>
      <w:r>
        <w:rPr>
          <w:rFonts w:hint="eastAsia" w:ascii="仿宋_GB2312" w:hAnsi="仿宋_GB2312" w:eastAsia="仿宋_GB2312" w:cs="仿宋_GB2312"/>
          <w:b w:val="0"/>
          <w:bCs/>
          <w:color w:val="000000"/>
          <w:kern w:val="0"/>
          <w:sz w:val="32"/>
          <w:szCs w:val="32"/>
          <w:shd w:val="clear" w:color="auto" w:fill="FFFFFF"/>
          <w:lang w:val="en-US" w:eastAsia="zh-CN"/>
        </w:rPr>
        <w:t>4.9</w:t>
      </w:r>
      <w:r>
        <w:rPr>
          <w:rFonts w:hint="eastAsia" w:ascii="仿宋_GB2312" w:hAnsi="仿宋_GB2312" w:eastAsia="仿宋_GB2312" w:cs="仿宋_GB2312"/>
          <w:b w:val="0"/>
          <w:bCs/>
          <w:color w:val="000000"/>
          <w:kern w:val="0"/>
          <w:sz w:val="32"/>
          <w:szCs w:val="32"/>
          <w:shd w:val="clear" w:color="auto" w:fill="FFFFFF"/>
          <w:lang w:val="zh-CN"/>
        </w:rPr>
        <w:t>分）</w:t>
      </w:r>
    </w:p>
    <w:p>
      <w:pPr>
        <w:keepNext w:val="0"/>
        <w:keepLines w:val="0"/>
        <w:pageBreakBefore w:val="0"/>
        <w:numPr>
          <w:ilvl w:val="0"/>
          <w:numId w:val="4"/>
        </w:numPr>
        <w:kinsoku/>
        <w:wordWrap/>
        <w:overflowPunct/>
        <w:topLinePunct w:val="0"/>
        <w:autoSpaceDE/>
        <w:autoSpaceDN/>
        <w:bidi w:val="0"/>
        <w:adjustRightInd w:val="0"/>
        <w:snapToGrid w:val="0"/>
        <w:spacing w:line="560" w:lineRule="exact"/>
        <w:ind w:firstLine="640" w:firstLineChars="200"/>
        <w:contextualSpacing/>
        <w:textAlignment w:val="auto"/>
        <w:rPr>
          <w:rFonts w:hint="eastAsia" w:ascii="仿宋_GB2312" w:hAnsi="仿宋_GB2312" w:eastAsia="仿宋_GB2312" w:cs="仿宋_GB2312"/>
          <w:b w:val="0"/>
          <w:bCs/>
          <w:color w:val="000000"/>
          <w:kern w:val="0"/>
          <w:sz w:val="32"/>
          <w:szCs w:val="32"/>
          <w:shd w:val="clear" w:color="auto" w:fill="FFFFFF"/>
          <w:lang w:val="zh-CN"/>
        </w:rPr>
      </w:pPr>
      <w:r>
        <w:rPr>
          <w:rFonts w:hint="eastAsia" w:ascii="仿宋_GB2312" w:hAnsi="仿宋_GB2312" w:eastAsia="仿宋_GB2312" w:cs="仿宋_GB2312"/>
          <w:b w:val="0"/>
          <w:bCs/>
          <w:color w:val="000000"/>
          <w:kern w:val="0"/>
          <w:sz w:val="32"/>
          <w:szCs w:val="32"/>
          <w:shd w:val="clear" w:color="auto" w:fill="FFFFFF"/>
          <w:lang w:val="zh-CN"/>
        </w:rPr>
        <w:t>严控一般性支出</w:t>
      </w:r>
    </w:p>
    <w:p>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hint="eastAsia" w:ascii="仿宋_GB2312" w:hAnsi="仿宋_GB2312" w:eastAsia="仿宋_GB2312" w:cs="仿宋_GB2312"/>
          <w:b w:val="0"/>
          <w:bCs/>
          <w:color w:val="000000"/>
          <w:kern w:val="0"/>
          <w:sz w:val="32"/>
          <w:szCs w:val="32"/>
          <w:shd w:val="clear" w:color="auto" w:fill="FFFFFF"/>
          <w:lang w:val="zh-CN"/>
        </w:rPr>
      </w:pPr>
      <w:r>
        <w:rPr>
          <w:rFonts w:hint="eastAsia" w:ascii="仿宋_GB2312" w:hAnsi="仿宋_GB2312" w:eastAsia="仿宋_GB2312" w:cs="仿宋_GB2312"/>
          <w:b w:val="0"/>
          <w:bCs/>
          <w:color w:val="000000"/>
          <w:kern w:val="0"/>
          <w:sz w:val="32"/>
          <w:szCs w:val="32"/>
          <w:shd w:val="clear" w:color="auto" w:fill="FFFFFF"/>
          <w:lang w:val="zh-CN"/>
        </w:rPr>
        <w:t>202</w:t>
      </w:r>
      <w:r>
        <w:rPr>
          <w:rFonts w:hint="eastAsia" w:ascii="仿宋_GB2312" w:hAnsi="仿宋_GB2312" w:eastAsia="仿宋_GB2312" w:cs="仿宋_GB2312"/>
          <w:b w:val="0"/>
          <w:bCs/>
          <w:color w:val="000000"/>
          <w:kern w:val="0"/>
          <w:sz w:val="32"/>
          <w:szCs w:val="32"/>
          <w:shd w:val="clear" w:color="auto" w:fill="FFFFFF"/>
          <w:lang w:val="en-US" w:eastAsia="zh-CN"/>
        </w:rPr>
        <w:t>4</w:t>
      </w:r>
      <w:r>
        <w:rPr>
          <w:rFonts w:hint="eastAsia" w:ascii="仿宋_GB2312" w:hAnsi="仿宋_GB2312" w:eastAsia="仿宋_GB2312" w:cs="仿宋_GB2312"/>
          <w:b w:val="0"/>
          <w:bCs/>
          <w:color w:val="000000"/>
          <w:kern w:val="0"/>
          <w:sz w:val="32"/>
          <w:szCs w:val="32"/>
          <w:shd w:val="clear" w:color="auto" w:fill="FFFFFF"/>
          <w:lang w:val="zh-CN"/>
        </w:rPr>
        <w:t>年我校“三公经费”、办公设备购置、信息网络及软件购置更新、课题经费等均使用教育收费资金安排。与此同时，我校差旅、会议、培训等一般性公用经费支出严格按照厉行节约原则在生均拨款中统筹。（自评得</w:t>
      </w:r>
      <w:r>
        <w:rPr>
          <w:rFonts w:hint="eastAsia" w:ascii="仿宋_GB2312" w:hAnsi="仿宋_GB2312" w:eastAsia="仿宋_GB2312" w:cs="仿宋_GB2312"/>
          <w:b w:val="0"/>
          <w:bCs/>
          <w:color w:val="000000"/>
          <w:kern w:val="0"/>
          <w:sz w:val="32"/>
          <w:szCs w:val="32"/>
          <w:shd w:val="clear" w:color="auto" w:fill="FFFFFF"/>
          <w:lang w:val="en-US" w:eastAsia="zh-CN"/>
        </w:rPr>
        <w:t>6</w:t>
      </w:r>
      <w:r>
        <w:rPr>
          <w:rFonts w:hint="eastAsia" w:ascii="仿宋_GB2312" w:hAnsi="仿宋_GB2312" w:eastAsia="仿宋_GB2312" w:cs="仿宋_GB2312"/>
          <w:b w:val="0"/>
          <w:bCs/>
          <w:color w:val="000000"/>
          <w:kern w:val="0"/>
          <w:sz w:val="32"/>
          <w:szCs w:val="32"/>
          <w:shd w:val="clear" w:color="auto" w:fill="FFFFFF"/>
          <w:lang w:val="zh-CN"/>
        </w:rPr>
        <w:t>分）</w:t>
      </w:r>
    </w:p>
    <w:p>
      <w:pPr>
        <w:keepNext w:val="0"/>
        <w:keepLines w:val="0"/>
        <w:pageBreakBefore w:val="0"/>
        <w:kinsoku/>
        <w:wordWrap/>
        <w:overflowPunct/>
        <w:topLinePunct w:val="0"/>
        <w:autoSpaceDE/>
        <w:autoSpaceDN/>
        <w:bidi w:val="0"/>
        <w:adjustRightInd w:val="0"/>
        <w:snapToGrid w:val="0"/>
        <w:spacing w:line="560" w:lineRule="exact"/>
        <w:ind w:firstLine="642" w:firstLineChars="200"/>
        <w:contextualSpacing/>
        <w:textAlignment w:val="auto"/>
        <w:rPr>
          <w:rFonts w:hint="eastAsia" w:ascii="仿宋_GB2312" w:hAnsi="仿宋_GB2312" w:eastAsia="仿宋_GB2312" w:cs="仿宋_GB2312"/>
          <w:b/>
          <w:bCs w:val="0"/>
          <w:color w:val="000000"/>
          <w:kern w:val="0"/>
          <w:sz w:val="32"/>
          <w:szCs w:val="32"/>
          <w:shd w:val="clear" w:color="auto" w:fill="FFFFFF"/>
          <w:lang w:val="zh-CN"/>
        </w:rPr>
      </w:pPr>
      <w:r>
        <w:rPr>
          <w:rFonts w:hint="eastAsia" w:ascii="仿宋_GB2312" w:hAnsi="仿宋_GB2312" w:eastAsia="仿宋_GB2312" w:cs="仿宋_GB2312"/>
          <w:b/>
          <w:bCs w:val="0"/>
          <w:color w:val="000000"/>
          <w:kern w:val="0"/>
          <w:sz w:val="32"/>
          <w:szCs w:val="32"/>
          <w:shd w:val="clear" w:color="auto" w:fill="FFFFFF"/>
          <w:lang w:val="zh-CN"/>
        </w:rPr>
        <w:t>3.财务管理</w:t>
      </w:r>
    </w:p>
    <w:p>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hint="eastAsia" w:ascii="仿宋_GB2312" w:hAnsi="仿宋_GB2312" w:eastAsia="仿宋_GB2312" w:cs="仿宋_GB2312"/>
          <w:b w:val="0"/>
          <w:bCs/>
          <w:color w:val="000000"/>
          <w:kern w:val="0"/>
          <w:sz w:val="32"/>
          <w:szCs w:val="32"/>
          <w:shd w:val="clear" w:color="auto" w:fill="FFFFFF"/>
          <w:lang w:val="zh-CN"/>
        </w:rPr>
      </w:pPr>
      <w:r>
        <w:rPr>
          <w:rFonts w:hint="eastAsia" w:ascii="仿宋_GB2312" w:hAnsi="仿宋_GB2312" w:eastAsia="仿宋_GB2312" w:cs="仿宋_GB2312"/>
          <w:b w:val="0"/>
          <w:bCs/>
          <w:color w:val="000000"/>
          <w:kern w:val="0"/>
          <w:sz w:val="32"/>
          <w:szCs w:val="32"/>
          <w:shd w:val="clear" w:color="auto" w:fill="FFFFFF"/>
          <w:lang w:val="zh-CN"/>
        </w:rPr>
        <w:t>为了规范学校财务行为，加强财务管理和监督，提高资金管理使用效益，学校于2020年7月制定了《川北幼儿师范高等专科学校财务管理办法（试行）》（川北幼专校〔2020〕54号）并严格落实。根据该制度，学校计划财务处严格按照不相容岗位分离原则科学设置财务岗位，制定岗位流程，细化工作流程，查找岗位风险，建立风险防范机制。此外，</w:t>
      </w:r>
      <w:r>
        <w:rPr>
          <w:rFonts w:hint="eastAsia" w:ascii="仿宋_GB2312" w:hAnsi="仿宋_GB2312" w:eastAsia="仿宋_GB2312" w:cs="仿宋_GB2312"/>
          <w:b w:val="0"/>
          <w:bCs/>
          <w:color w:val="000000"/>
          <w:kern w:val="0"/>
          <w:sz w:val="32"/>
          <w:szCs w:val="32"/>
          <w:shd w:val="clear" w:color="auto" w:fill="FFFFFF"/>
          <w:lang w:val="en-US" w:eastAsia="zh-CN"/>
        </w:rPr>
        <w:t>2024</w:t>
      </w:r>
      <w:r>
        <w:rPr>
          <w:rFonts w:hint="eastAsia" w:ascii="仿宋_GB2312" w:hAnsi="仿宋_GB2312" w:eastAsia="仿宋_GB2312" w:cs="仿宋_GB2312"/>
          <w:b w:val="0"/>
          <w:bCs/>
          <w:color w:val="000000"/>
          <w:kern w:val="0"/>
          <w:sz w:val="32"/>
          <w:szCs w:val="32"/>
          <w:shd w:val="clear" w:color="auto" w:fill="FFFFFF"/>
          <w:lang w:val="zh-CN"/>
        </w:rPr>
        <w:t>年未发现资金使用不符合相关财务管理制度的情况。（自评得10分）</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2" w:firstLineChars="200"/>
        <w:contextualSpacing/>
        <w:textAlignment w:val="auto"/>
        <w:rPr>
          <w:rFonts w:hint="eastAsia" w:ascii="仿宋_GB2312" w:hAnsi="仿宋_GB2312" w:eastAsia="仿宋_GB2312" w:cs="仿宋_GB2312"/>
          <w:b/>
          <w:bCs w:val="0"/>
          <w:color w:val="000000"/>
          <w:kern w:val="0"/>
          <w:sz w:val="32"/>
          <w:szCs w:val="32"/>
          <w:shd w:val="clear" w:color="auto" w:fill="FFFFFF"/>
          <w:lang w:val="zh-CN"/>
        </w:rPr>
      </w:pPr>
      <w:r>
        <w:rPr>
          <w:rFonts w:hint="eastAsia" w:ascii="仿宋_GB2312" w:hAnsi="仿宋_GB2312" w:eastAsia="仿宋_GB2312" w:cs="仿宋_GB2312"/>
          <w:b/>
          <w:bCs w:val="0"/>
          <w:color w:val="000000"/>
          <w:kern w:val="0"/>
          <w:sz w:val="32"/>
          <w:szCs w:val="32"/>
          <w:shd w:val="clear" w:color="auto" w:fill="FFFFFF"/>
          <w:lang w:val="zh-CN" w:eastAsia="zh-CN" w:bidi="ar-SA"/>
        </w:rPr>
        <w:t>4.</w:t>
      </w:r>
      <w:r>
        <w:rPr>
          <w:rFonts w:hint="eastAsia" w:ascii="仿宋_GB2312" w:hAnsi="仿宋_GB2312" w:eastAsia="仿宋_GB2312" w:cs="仿宋_GB2312"/>
          <w:b/>
          <w:bCs w:val="0"/>
          <w:color w:val="000000"/>
          <w:kern w:val="0"/>
          <w:sz w:val="32"/>
          <w:szCs w:val="32"/>
          <w:shd w:val="clear" w:color="auto" w:fill="FFFFFF"/>
          <w:lang w:val="zh-CN"/>
        </w:rPr>
        <w:t>资产管理</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contextualSpacing/>
        <w:textAlignment w:val="auto"/>
        <w:rPr>
          <w:rFonts w:hint="eastAsia" w:ascii="仿宋_GB2312" w:hAnsi="仿宋_GB2312" w:eastAsia="仿宋_GB2312" w:cs="仿宋_GB2312"/>
          <w:b w:val="0"/>
          <w:bCs/>
          <w:color w:val="000000"/>
          <w:kern w:val="0"/>
          <w:sz w:val="32"/>
          <w:szCs w:val="32"/>
          <w:shd w:val="clear" w:color="auto" w:fill="FFFFFF"/>
          <w:lang w:val="zh-CN"/>
        </w:rPr>
      </w:pPr>
      <w:r>
        <w:rPr>
          <w:rFonts w:hint="eastAsia" w:ascii="仿宋_GB2312" w:hAnsi="仿宋_GB2312" w:eastAsia="仿宋_GB2312" w:cs="仿宋_GB2312"/>
          <w:b w:val="0"/>
          <w:bCs/>
          <w:color w:val="000000"/>
          <w:kern w:val="0"/>
          <w:sz w:val="32"/>
          <w:szCs w:val="32"/>
          <w:shd w:val="clear" w:color="auto" w:fill="FFFFFF"/>
          <w:lang w:val="zh-CN"/>
        </w:rPr>
        <w:t>为了加强学校国有资产管理，规范国有资产管理行为，合理配置和有效使用国有资产，学校于2021年10月制定了《川北幼儿师范高等专科学校国有资产管理办法（修订）》（川北幼专校〔2021〕55号）并严格落实。具体明细指标分析如下：</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contextualSpacing/>
        <w:textAlignment w:val="auto"/>
        <w:rPr>
          <w:rFonts w:hint="eastAsia" w:ascii="仿宋_GB2312" w:hAnsi="仿宋_GB2312" w:eastAsia="仿宋_GB2312" w:cs="仿宋_GB2312"/>
          <w:b w:val="0"/>
          <w:bCs/>
          <w:color w:val="000000"/>
          <w:kern w:val="0"/>
          <w:sz w:val="32"/>
          <w:szCs w:val="32"/>
          <w:shd w:val="clear" w:color="auto" w:fill="FFFFFF"/>
          <w:lang w:val="zh-CN"/>
        </w:rPr>
      </w:pPr>
      <w:r>
        <w:rPr>
          <w:rFonts w:hint="eastAsia" w:ascii="仿宋_GB2312" w:hAnsi="仿宋_GB2312" w:eastAsia="仿宋_GB2312" w:cs="仿宋_GB2312"/>
          <w:b w:val="0"/>
          <w:bCs/>
          <w:color w:val="000000"/>
          <w:kern w:val="0"/>
          <w:sz w:val="32"/>
          <w:szCs w:val="32"/>
          <w:shd w:val="clear" w:color="auto" w:fill="FFFFFF"/>
          <w:lang w:val="zh-CN"/>
        </w:rPr>
        <w:t>（</w:t>
      </w:r>
      <w:r>
        <w:rPr>
          <w:rFonts w:hint="eastAsia" w:ascii="仿宋_GB2312" w:hAnsi="仿宋_GB2312" w:eastAsia="仿宋_GB2312" w:cs="仿宋_GB2312"/>
          <w:b w:val="0"/>
          <w:bCs/>
          <w:color w:val="000000"/>
          <w:kern w:val="0"/>
          <w:sz w:val="32"/>
          <w:szCs w:val="32"/>
          <w:shd w:val="clear" w:color="auto" w:fill="FFFFFF"/>
          <w:lang w:val="en-US" w:eastAsia="zh-CN"/>
        </w:rPr>
        <w:t>1</w:t>
      </w:r>
      <w:r>
        <w:rPr>
          <w:rFonts w:hint="eastAsia" w:ascii="仿宋_GB2312" w:hAnsi="仿宋_GB2312" w:eastAsia="仿宋_GB2312" w:cs="仿宋_GB2312"/>
          <w:b w:val="0"/>
          <w:bCs/>
          <w:color w:val="000000"/>
          <w:kern w:val="0"/>
          <w:sz w:val="32"/>
          <w:szCs w:val="32"/>
          <w:shd w:val="clear" w:color="auto" w:fill="FFFFFF"/>
          <w:lang w:val="zh-CN"/>
        </w:rPr>
        <w:t xml:space="preserve">）人均资产变化率  </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contextualSpacing/>
        <w:textAlignment w:val="auto"/>
        <w:rPr>
          <w:rFonts w:hint="eastAsia" w:ascii="仿宋_GB2312" w:hAnsi="仿宋_GB2312" w:eastAsia="仿宋_GB2312" w:cs="仿宋_GB2312"/>
          <w:b w:val="0"/>
          <w:bCs/>
          <w:color w:val="000000"/>
          <w:kern w:val="0"/>
          <w:sz w:val="32"/>
          <w:szCs w:val="32"/>
          <w:shd w:val="clear" w:color="auto" w:fill="FFFFFF"/>
          <w:lang w:val="zh-CN"/>
        </w:rPr>
      </w:pPr>
      <w:r>
        <w:rPr>
          <w:rFonts w:hint="eastAsia" w:ascii="仿宋_GB2312" w:hAnsi="仿宋_GB2312" w:eastAsia="仿宋_GB2312" w:cs="仿宋_GB2312"/>
          <w:b w:val="0"/>
          <w:bCs/>
          <w:color w:val="000000"/>
          <w:kern w:val="0"/>
          <w:sz w:val="32"/>
          <w:szCs w:val="32"/>
          <w:shd w:val="clear" w:color="auto" w:fill="FFFFFF"/>
          <w:lang w:val="zh-CN"/>
        </w:rPr>
        <w:t>2024年末学校资产总额52139.41万元、教职工人数500人；2023年末学校资产总额48575.9万元，教职工人数487人。经计算，2024年人均资</w:t>
      </w:r>
      <w:r>
        <w:rPr>
          <w:rFonts w:hint="eastAsia" w:ascii="仿宋_GB2312" w:hAnsi="仿宋_GB2312" w:eastAsia="仿宋_GB2312" w:cs="仿宋_GB2312"/>
          <w:b w:val="0"/>
          <w:bCs/>
          <w:color w:val="000000"/>
          <w:kern w:val="0"/>
          <w:sz w:val="32"/>
          <w:szCs w:val="32"/>
          <w:highlight w:val="none"/>
          <w:shd w:val="clear" w:color="auto" w:fill="FFFFFF"/>
          <w:lang w:val="zh-CN"/>
        </w:rPr>
        <w:t>产变化率4.55%，小于市直行政事业单位人均资产变化率，得1.5分；2024年人均资产增长率4.55%与同期市级财政收入增长率7.68%相比,得</w:t>
      </w:r>
      <w:r>
        <w:rPr>
          <w:rFonts w:hint="eastAsia" w:ascii="仿宋_GB2312" w:hAnsi="仿宋_GB2312" w:eastAsia="仿宋_GB2312" w:cs="仿宋_GB2312"/>
          <w:b w:val="0"/>
          <w:bCs/>
          <w:color w:val="000000"/>
          <w:kern w:val="0"/>
          <w:sz w:val="32"/>
          <w:szCs w:val="32"/>
          <w:highlight w:val="none"/>
          <w:shd w:val="clear" w:color="auto" w:fill="FFFFFF"/>
          <w:lang w:val="en-US" w:eastAsia="zh-CN"/>
        </w:rPr>
        <w:t>0.9</w:t>
      </w:r>
      <w:r>
        <w:rPr>
          <w:rFonts w:hint="eastAsia" w:ascii="仿宋_GB2312" w:hAnsi="仿宋_GB2312" w:eastAsia="仿宋_GB2312" w:cs="仿宋_GB2312"/>
          <w:b w:val="0"/>
          <w:bCs/>
          <w:color w:val="000000"/>
          <w:kern w:val="0"/>
          <w:sz w:val="32"/>
          <w:szCs w:val="32"/>
          <w:highlight w:val="none"/>
          <w:shd w:val="clear" w:color="auto" w:fill="FFFFFF"/>
          <w:lang w:val="zh-CN"/>
        </w:rPr>
        <w:t>分。（自评得</w:t>
      </w:r>
      <w:r>
        <w:rPr>
          <w:rFonts w:hint="eastAsia" w:ascii="仿宋_GB2312" w:hAnsi="仿宋_GB2312" w:eastAsia="仿宋_GB2312" w:cs="仿宋_GB2312"/>
          <w:b w:val="0"/>
          <w:bCs/>
          <w:color w:val="000000"/>
          <w:kern w:val="0"/>
          <w:sz w:val="32"/>
          <w:szCs w:val="32"/>
          <w:highlight w:val="none"/>
          <w:shd w:val="clear" w:color="auto" w:fill="FFFFFF"/>
          <w:lang w:val="en-US" w:eastAsia="zh-CN"/>
        </w:rPr>
        <w:t>2.4</w:t>
      </w:r>
      <w:r>
        <w:rPr>
          <w:rFonts w:hint="eastAsia" w:ascii="仿宋_GB2312" w:hAnsi="仿宋_GB2312" w:eastAsia="仿宋_GB2312" w:cs="仿宋_GB2312"/>
          <w:b w:val="0"/>
          <w:bCs/>
          <w:color w:val="000000"/>
          <w:kern w:val="0"/>
          <w:sz w:val="32"/>
          <w:szCs w:val="32"/>
          <w:highlight w:val="none"/>
          <w:shd w:val="clear" w:color="auto" w:fill="FFFFFF"/>
          <w:lang w:val="zh-CN"/>
        </w:rPr>
        <w:t>分）</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contextualSpacing/>
        <w:textAlignment w:val="auto"/>
        <w:rPr>
          <w:rFonts w:hint="eastAsia" w:ascii="仿宋_GB2312" w:hAnsi="仿宋_GB2312" w:eastAsia="仿宋_GB2312" w:cs="仿宋_GB2312"/>
          <w:b w:val="0"/>
          <w:bCs/>
          <w:color w:val="000000"/>
          <w:kern w:val="0"/>
          <w:sz w:val="32"/>
          <w:szCs w:val="32"/>
          <w:highlight w:val="none"/>
          <w:shd w:val="clear" w:color="auto" w:fill="FFFFFF"/>
          <w:lang w:val="zh-CN" w:eastAsia="zh-CN"/>
        </w:rPr>
      </w:pPr>
      <w:r>
        <w:rPr>
          <w:rFonts w:hint="eastAsia" w:ascii="仿宋_GB2312" w:hAnsi="仿宋_GB2312" w:eastAsia="仿宋_GB2312" w:cs="仿宋_GB2312"/>
          <w:b w:val="0"/>
          <w:bCs/>
          <w:color w:val="000000"/>
          <w:kern w:val="0"/>
          <w:sz w:val="32"/>
          <w:szCs w:val="32"/>
          <w:highlight w:val="none"/>
          <w:shd w:val="clear" w:color="auto" w:fill="FFFFFF"/>
          <w:lang w:val="en-US" w:eastAsia="zh-CN"/>
        </w:rPr>
        <w:t>（2）</w:t>
      </w:r>
      <w:r>
        <w:rPr>
          <w:rFonts w:hint="eastAsia" w:ascii="仿宋_GB2312" w:hAnsi="仿宋_GB2312" w:eastAsia="仿宋_GB2312" w:cs="仿宋_GB2312"/>
          <w:b w:val="0"/>
          <w:bCs/>
          <w:color w:val="000000"/>
          <w:kern w:val="0"/>
          <w:sz w:val="32"/>
          <w:szCs w:val="32"/>
          <w:highlight w:val="none"/>
          <w:shd w:val="clear" w:color="auto" w:fill="FFFFFF"/>
          <w:lang w:val="zh-CN" w:eastAsia="zh-CN"/>
        </w:rPr>
        <w:t>资产利用率</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contextualSpacing/>
        <w:textAlignment w:val="auto"/>
        <w:rPr>
          <w:rFonts w:hint="eastAsia" w:ascii="仿宋_GB2312" w:hAnsi="仿宋_GB2312" w:eastAsia="仿宋_GB2312" w:cs="仿宋_GB2312"/>
          <w:b w:val="0"/>
          <w:bCs/>
          <w:color w:val="000000"/>
          <w:kern w:val="0"/>
          <w:sz w:val="32"/>
          <w:szCs w:val="32"/>
          <w:highlight w:val="none"/>
          <w:shd w:val="clear" w:color="auto" w:fill="FFFFFF"/>
          <w:lang w:val="en-US" w:eastAsia="zh-CN"/>
        </w:rPr>
      </w:pPr>
      <w:bookmarkStart w:id="87" w:name="OLE_LINK6"/>
      <w:bookmarkStart w:id="88" w:name="OLE_LINK4"/>
      <w:r>
        <w:rPr>
          <w:rFonts w:hint="eastAsia" w:ascii="仿宋_GB2312" w:hAnsi="仿宋_GB2312" w:eastAsia="仿宋_GB2312" w:cs="仿宋_GB2312"/>
          <w:b w:val="0"/>
          <w:bCs/>
          <w:color w:val="000000"/>
          <w:kern w:val="0"/>
          <w:sz w:val="32"/>
          <w:szCs w:val="32"/>
          <w:highlight w:val="none"/>
          <w:shd w:val="clear" w:color="auto" w:fill="FFFFFF"/>
          <w:lang w:val="en-US" w:eastAsia="zh-CN"/>
        </w:rPr>
        <w:t>2024年末学校办公家具账面价值770.3万元，超最低使用年限的办公家具账面价值为95.96万元；2024年末总办公设备账面价值为435.08万元，其中超最低使用年限的办公设备账面价值的为242.88万元。经计算，2024年学校办公家具最低使用年限资产利用率为12.46%，低于市直行政事业单位平均值73.3%；2024年学校办公设备超最低使用年限资产利用率55.82%， 低于市直行政事业单位平均值59.14%。（自评得1.2分）</w:t>
      </w:r>
    </w:p>
    <w:bookmarkEnd w:id="87"/>
    <w:bookmarkEnd w:id="88"/>
    <w:p>
      <w:pPr>
        <w:keepNext w:val="0"/>
        <w:keepLines w:val="0"/>
        <w:pageBreakBefore w:val="0"/>
        <w:widowControl w:val="0"/>
        <w:numPr>
          <w:ilvl w:val="0"/>
          <w:numId w:val="5"/>
        </w:numPr>
        <w:kinsoku/>
        <w:wordWrap/>
        <w:overflowPunct/>
        <w:topLinePunct w:val="0"/>
        <w:autoSpaceDE/>
        <w:autoSpaceDN/>
        <w:bidi w:val="0"/>
        <w:adjustRightInd w:val="0"/>
        <w:snapToGrid w:val="0"/>
        <w:spacing w:line="560"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资金盘活率</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contextualSpacing/>
        <w:textAlignment w:val="auto"/>
        <w:rPr>
          <w:rFonts w:hint="eastAsia" w:ascii="仿宋_GB2312" w:hAnsi="仿宋_GB2312" w:eastAsia="仿宋_GB2312" w:cs="仿宋_GB2312"/>
          <w:b w:val="0"/>
          <w:bCs/>
          <w:color w:val="000000"/>
          <w:kern w:val="0"/>
          <w:sz w:val="32"/>
          <w:szCs w:val="32"/>
          <w:shd w:val="clear" w:color="auto" w:fill="FFFFFF"/>
          <w:lang w:val="en-US" w:eastAsia="zh-CN"/>
        </w:rPr>
      </w:pPr>
      <w:r>
        <w:rPr>
          <w:rFonts w:hint="eastAsia" w:ascii="仿宋_GB2312" w:hAnsi="仿宋_GB2312" w:eastAsia="仿宋_GB2312" w:cs="仿宋_GB2312"/>
          <w:b w:val="0"/>
          <w:bCs/>
          <w:color w:val="000000"/>
          <w:kern w:val="0"/>
          <w:sz w:val="32"/>
          <w:szCs w:val="32"/>
          <w:highlight w:val="none"/>
          <w:shd w:val="clear" w:color="auto" w:fill="FFFFFF"/>
          <w:lang w:val="en-US" w:eastAsia="zh-CN"/>
        </w:rPr>
        <w:t>2023-2024年均无闲</w:t>
      </w:r>
      <w:r>
        <w:rPr>
          <w:rFonts w:hint="eastAsia" w:ascii="仿宋_GB2312" w:hAnsi="仿宋_GB2312" w:eastAsia="仿宋_GB2312" w:cs="仿宋_GB2312"/>
          <w:b w:val="0"/>
          <w:bCs/>
          <w:color w:val="000000"/>
          <w:kern w:val="0"/>
          <w:sz w:val="32"/>
          <w:szCs w:val="32"/>
          <w:shd w:val="clear" w:color="auto" w:fill="FFFFFF"/>
          <w:lang w:val="en-US" w:eastAsia="zh-CN"/>
        </w:rPr>
        <w:t>置资产，（自评得3分）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2" w:firstLineChars="200"/>
        <w:contextualSpacing/>
        <w:jc w:val="both"/>
        <w:textAlignment w:val="auto"/>
        <w:outlineLvl w:val="9"/>
        <w:rPr>
          <w:rFonts w:hint="eastAsia" w:ascii="仿宋_GB2312" w:hAnsi="仿宋_GB2312" w:eastAsia="仿宋_GB2312" w:cs="仿宋_GB2312"/>
          <w:b/>
          <w:bCs/>
          <w:color w:val="auto"/>
          <w:kern w:val="0"/>
          <w:position w:val="0"/>
          <w:sz w:val="32"/>
          <w:szCs w:val="32"/>
          <w:highlight w:val="none"/>
          <w:lang w:val="zh-CN" w:eastAsia="zh-CN" w:bidi="ar-SA"/>
        </w:rPr>
      </w:pPr>
      <w:r>
        <w:rPr>
          <w:rFonts w:hint="eastAsia" w:ascii="仿宋_GB2312" w:hAnsi="仿宋_GB2312" w:eastAsia="仿宋_GB2312" w:cs="仿宋_GB2312"/>
          <w:b/>
          <w:bCs/>
          <w:color w:val="auto"/>
          <w:kern w:val="0"/>
          <w:position w:val="0"/>
          <w:sz w:val="32"/>
          <w:szCs w:val="32"/>
          <w:lang w:val="zh-CN" w:eastAsia="zh-CN" w:bidi="ar-SA"/>
        </w:rPr>
        <w:t>5.</w:t>
      </w:r>
      <w:r>
        <w:rPr>
          <w:rFonts w:hint="eastAsia" w:ascii="仿宋_GB2312" w:hAnsi="仿宋_GB2312" w:eastAsia="仿宋_GB2312" w:cs="仿宋_GB2312"/>
          <w:b/>
          <w:bCs/>
          <w:color w:val="auto"/>
          <w:kern w:val="0"/>
          <w:position w:val="0"/>
          <w:sz w:val="32"/>
          <w:szCs w:val="32"/>
          <w:highlight w:val="none"/>
          <w:lang w:val="zh-CN" w:eastAsia="zh-CN" w:bidi="ar-SA"/>
        </w:rPr>
        <w:t>采购管理。</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contextualSpacing/>
        <w:textAlignment w:val="auto"/>
        <w:rPr>
          <w:rFonts w:hint="eastAsia" w:ascii="仿宋_GB2312" w:hAnsi="仿宋_GB2312" w:eastAsia="仿宋_GB2312" w:cs="仿宋_GB2312"/>
          <w:b w:val="0"/>
          <w:bCs/>
          <w:color w:val="000000"/>
          <w:kern w:val="0"/>
          <w:sz w:val="32"/>
          <w:szCs w:val="32"/>
          <w:shd w:val="clear" w:color="auto" w:fill="FFFFFF"/>
          <w:lang w:val="zh-CN" w:eastAsia="zh-CN"/>
        </w:rPr>
      </w:pPr>
      <w:r>
        <w:rPr>
          <w:rFonts w:hint="eastAsia" w:ascii="仿宋_GB2312" w:hAnsi="仿宋_GB2312" w:eastAsia="仿宋_GB2312" w:cs="仿宋_GB2312"/>
          <w:b w:val="0"/>
          <w:bCs/>
          <w:color w:val="000000"/>
          <w:kern w:val="0"/>
          <w:sz w:val="32"/>
          <w:szCs w:val="32"/>
          <w:shd w:val="clear" w:color="auto" w:fill="FFFFFF"/>
          <w:lang w:val="zh-CN" w:eastAsia="zh-CN"/>
        </w:rPr>
        <w:t>（1）支持中小企业发展</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contextualSpacing/>
        <w:textAlignment w:val="auto"/>
        <w:rPr>
          <w:rFonts w:hint="eastAsia" w:ascii="仿宋_GB2312" w:hAnsi="仿宋_GB2312" w:eastAsia="仿宋_GB2312" w:cs="仿宋_GB2312"/>
          <w:b w:val="0"/>
          <w:bCs/>
          <w:color w:val="000000"/>
          <w:kern w:val="0"/>
          <w:sz w:val="32"/>
          <w:szCs w:val="32"/>
          <w:shd w:val="clear" w:color="auto" w:fill="FFFFFF"/>
          <w:lang w:val="en-US" w:eastAsia="zh-CN"/>
        </w:rPr>
      </w:pPr>
      <w:r>
        <w:rPr>
          <w:rFonts w:hint="eastAsia" w:ascii="仿宋_GB2312" w:hAnsi="仿宋_GB2312" w:eastAsia="仿宋_GB2312" w:cs="仿宋_GB2312"/>
          <w:b w:val="0"/>
          <w:bCs/>
          <w:color w:val="000000"/>
          <w:kern w:val="0"/>
          <w:sz w:val="32"/>
          <w:szCs w:val="32"/>
          <w:shd w:val="clear" w:color="auto" w:fill="FFFFFF"/>
          <w:lang w:val="en-US" w:eastAsia="zh-CN"/>
        </w:rPr>
        <w:t>2024</w:t>
      </w:r>
      <w:r>
        <w:rPr>
          <w:rFonts w:hint="eastAsia" w:ascii="仿宋_GB2312" w:hAnsi="仿宋_GB2312" w:eastAsia="仿宋_GB2312" w:cs="仿宋_GB2312"/>
          <w:b w:val="0"/>
          <w:bCs/>
          <w:color w:val="000000"/>
          <w:kern w:val="0"/>
          <w:sz w:val="32"/>
          <w:szCs w:val="32"/>
          <w:shd w:val="clear" w:color="auto" w:fill="FFFFFF"/>
          <w:lang w:val="zh-CN" w:eastAsia="zh-CN"/>
        </w:rPr>
        <w:t>年学校严格落实中央、省、市有关</w:t>
      </w:r>
      <w:r>
        <w:rPr>
          <w:rFonts w:hint="eastAsia" w:ascii="仿宋_GB2312" w:hAnsi="仿宋_GB2312" w:eastAsia="仿宋_GB2312" w:cs="仿宋_GB2312"/>
          <w:b w:val="0"/>
          <w:bCs/>
          <w:color w:val="000000"/>
          <w:kern w:val="0"/>
          <w:sz w:val="32"/>
          <w:szCs w:val="32"/>
          <w:shd w:val="clear" w:color="auto" w:fill="FFFFFF"/>
          <w:lang w:val="en-US" w:eastAsia="zh-CN"/>
        </w:rPr>
        <w:t>政府采购促进中小企业发展管理有关管理办法，对适宜由中小企业提供的采购项目和采购包，预留采购份额专门面向中小企业采购，并在采购预算中单独列示。（自评得3分）</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contextualSpacing/>
        <w:textAlignment w:val="auto"/>
        <w:rPr>
          <w:rFonts w:hint="eastAsia" w:ascii="仿宋_GB2312" w:hAnsi="仿宋_GB2312" w:eastAsia="仿宋_GB2312" w:cs="仿宋_GB2312"/>
          <w:b w:val="0"/>
          <w:bCs/>
          <w:color w:val="000000"/>
          <w:kern w:val="0"/>
          <w:sz w:val="32"/>
          <w:szCs w:val="32"/>
          <w:shd w:val="clear" w:color="auto" w:fill="FFFFFF"/>
          <w:lang w:val="zh-CN" w:eastAsia="zh-CN"/>
        </w:rPr>
      </w:pPr>
      <w:r>
        <w:rPr>
          <w:rFonts w:hint="eastAsia" w:ascii="仿宋_GB2312" w:hAnsi="仿宋_GB2312" w:eastAsia="仿宋_GB2312" w:cs="仿宋_GB2312"/>
          <w:b w:val="0"/>
          <w:bCs/>
          <w:color w:val="000000"/>
          <w:kern w:val="0"/>
          <w:sz w:val="32"/>
          <w:szCs w:val="32"/>
          <w:shd w:val="clear" w:color="auto" w:fill="FFFFFF"/>
          <w:lang w:val="zh-CN" w:eastAsia="zh-CN"/>
        </w:rPr>
        <w:t>（</w:t>
      </w:r>
      <w:r>
        <w:rPr>
          <w:rFonts w:hint="eastAsia" w:ascii="仿宋_GB2312" w:hAnsi="仿宋_GB2312" w:eastAsia="仿宋_GB2312" w:cs="仿宋_GB2312"/>
          <w:b w:val="0"/>
          <w:bCs/>
          <w:color w:val="000000"/>
          <w:kern w:val="0"/>
          <w:sz w:val="32"/>
          <w:szCs w:val="32"/>
          <w:shd w:val="clear" w:color="auto" w:fill="FFFFFF"/>
          <w:lang w:val="en-US" w:eastAsia="zh-CN"/>
        </w:rPr>
        <w:t>2</w:t>
      </w:r>
      <w:r>
        <w:rPr>
          <w:rFonts w:hint="eastAsia" w:ascii="仿宋_GB2312" w:hAnsi="仿宋_GB2312" w:eastAsia="仿宋_GB2312" w:cs="仿宋_GB2312"/>
          <w:b w:val="0"/>
          <w:bCs/>
          <w:color w:val="000000"/>
          <w:kern w:val="0"/>
          <w:sz w:val="32"/>
          <w:szCs w:val="32"/>
          <w:shd w:val="clear" w:color="auto" w:fill="FFFFFF"/>
          <w:lang w:val="zh-CN" w:eastAsia="zh-CN"/>
        </w:rPr>
        <w:t>）采购执行率</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contextualSpacing/>
        <w:jc w:val="both"/>
        <w:textAlignment w:val="auto"/>
        <w:rPr>
          <w:rFonts w:hint="eastAsia"/>
          <w:highlight w:val="none"/>
          <w:lang w:val="zh-CN" w:eastAsia="zh-CN"/>
        </w:rPr>
      </w:pPr>
      <w:r>
        <w:rPr>
          <w:rFonts w:hint="eastAsia" w:ascii="仿宋_GB2312" w:hAnsi="仿宋_GB2312" w:eastAsia="仿宋_GB2312" w:cs="仿宋_GB2312"/>
          <w:b w:val="0"/>
          <w:bCs/>
          <w:color w:val="000000"/>
          <w:kern w:val="0"/>
          <w:sz w:val="32"/>
          <w:szCs w:val="32"/>
          <w:highlight w:val="none"/>
          <w:shd w:val="clear" w:color="auto" w:fill="FFFFFF"/>
          <w:lang w:val="zh-CN" w:eastAsia="zh-CN"/>
        </w:rPr>
        <w:t>20</w:t>
      </w:r>
      <w:r>
        <w:rPr>
          <w:rFonts w:hint="eastAsia" w:ascii="仿宋_GB2312" w:hAnsi="仿宋_GB2312" w:eastAsia="仿宋_GB2312" w:cs="仿宋_GB2312"/>
          <w:b w:val="0"/>
          <w:bCs/>
          <w:color w:val="000000"/>
          <w:kern w:val="0"/>
          <w:sz w:val="32"/>
          <w:szCs w:val="32"/>
          <w:highlight w:val="none"/>
          <w:shd w:val="clear" w:color="auto" w:fill="FFFFFF"/>
          <w:lang w:val="en-US" w:eastAsia="zh-CN"/>
        </w:rPr>
        <w:t>24</w:t>
      </w:r>
      <w:r>
        <w:rPr>
          <w:rFonts w:hint="eastAsia" w:ascii="仿宋_GB2312" w:hAnsi="仿宋_GB2312" w:eastAsia="仿宋_GB2312" w:cs="仿宋_GB2312"/>
          <w:b w:val="0"/>
          <w:bCs/>
          <w:color w:val="000000"/>
          <w:kern w:val="0"/>
          <w:sz w:val="32"/>
          <w:szCs w:val="32"/>
          <w:highlight w:val="none"/>
          <w:shd w:val="clear" w:color="auto" w:fill="FFFFFF"/>
          <w:lang w:val="zh-CN" w:eastAsia="zh-CN"/>
        </w:rPr>
        <w:t>年政府采购实际支付总金额</w:t>
      </w:r>
      <w:r>
        <w:rPr>
          <w:rFonts w:hint="eastAsia" w:ascii="仿宋_GB2312" w:hAnsi="仿宋_GB2312" w:eastAsia="仿宋_GB2312" w:cs="仿宋_GB2312"/>
          <w:b w:val="0"/>
          <w:bCs/>
          <w:color w:val="000000"/>
          <w:kern w:val="0"/>
          <w:sz w:val="32"/>
          <w:szCs w:val="32"/>
          <w:highlight w:val="none"/>
          <w:shd w:val="clear" w:color="auto" w:fill="FFFFFF"/>
          <w:lang w:val="en-US" w:eastAsia="zh-CN"/>
        </w:rPr>
        <w:t>2012.89</w:t>
      </w:r>
      <w:r>
        <w:rPr>
          <w:rFonts w:hint="eastAsia" w:ascii="仿宋_GB2312" w:hAnsi="仿宋_GB2312" w:eastAsia="仿宋_GB2312" w:cs="仿宋_GB2312"/>
          <w:b w:val="0"/>
          <w:bCs/>
          <w:color w:val="000000"/>
          <w:kern w:val="0"/>
          <w:sz w:val="32"/>
          <w:szCs w:val="32"/>
          <w:highlight w:val="none"/>
          <w:shd w:val="clear" w:color="auto" w:fill="FFFFFF"/>
          <w:lang w:val="zh-CN" w:eastAsia="zh-CN"/>
        </w:rPr>
        <w:t>万元，政府采购总预算为</w:t>
      </w:r>
      <w:r>
        <w:rPr>
          <w:rFonts w:hint="eastAsia" w:ascii="仿宋_GB2312" w:hAnsi="仿宋_GB2312" w:eastAsia="仿宋_GB2312" w:cs="仿宋_GB2312"/>
          <w:b w:val="0"/>
          <w:bCs/>
          <w:color w:val="000000"/>
          <w:kern w:val="0"/>
          <w:sz w:val="32"/>
          <w:szCs w:val="32"/>
          <w:highlight w:val="none"/>
          <w:shd w:val="clear" w:color="auto" w:fill="FFFFFF"/>
          <w:lang w:val="en-US" w:eastAsia="zh-CN"/>
        </w:rPr>
        <w:t>4313.57</w:t>
      </w:r>
      <w:r>
        <w:rPr>
          <w:rFonts w:hint="eastAsia" w:ascii="仿宋_GB2312" w:hAnsi="仿宋_GB2312" w:eastAsia="仿宋_GB2312" w:cs="仿宋_GB2312"/>
          <w:b w:val="0"/>
          <w:bCs/>
          <w:color w:val="000000"/>
          <w:kern w:val="0"/>
          <w:sz w:val="32"/>
          <w:szCs w:val="32"/>
          <w:highlight w:val="none"/>
          <w:shd w:val="clear" w:color="auto" w:fill="FFFFFF"/>
          <w:lang w:val="zh-CN" w:eastAsia="zh-CN"/>
        </w:rPr>
        <w:t>万元，当年已完成采购项目节约金额</w:t>
      </w:r>
      <w:r>
        <w:rPr>
          <w:rFonts w:hint="eastAsia" w:ascii="仿宋_GB2312" w:hAnsi="仿宋_GB2312" w:eastAsia="仿宋_GB2312" w:cs="仿宋_GB2312"/>
          <w:b w:val="0"/>
          <w:bCs/>
          <w:color w:val="000000"/>
          <w:kern w:val="0"/>
          <w:sz w:val="32"/>
          <w:szCs w:val="32"/>
          <w:highlight w:val="none"/>
          <w:shd w:val="clear" w:color="auto" w:fill="FFFFFF"/>
          <w:lang w:val="en-US" w:eastAsia="zh-CN"/>
        </w:rPr>
        <w:t>404.13</w:t>
      </w:r>
      <w:r>
        <w:rPr>
          <w:rFonts w:hint="eastAsia" w:ascii="仿宋_GB2312" w:hAnsi="仿宋_GB2312" w:eastAsia="仿宋_GB2312" w:cs="仿宋_GB2312"/>
          <w:b w:val="0"/>
          <w:bCs/>
          <w:color w:val="000000"/>
          <w:kern w:val="0"/>
          <w:sz w:val="32"/>
          <w:szCs w:val="32"/>
          <w:highlight w:val="none"/>
          <w:shd w:val="clear" w:color="auto" w:fill="FFFFFF"/>
          <w:lang w:val="zh-CN" w:eastAsia="zh-CN"/>
        </w:rPr>
        <w:t>万元，采购执行率为</w:t>
      </w:r>
      <w:r>
        <w:rPr>
          <w:rFonts w:hint="eastAsia" w:ascii="仿宋_GB2312" w:hAnsi="仿宋_GB2312" w:eastAsia="仿宋_GB2312" w:cs="仿宋_GB2312"/>
          <w:b w:val="0"/>
          <w:bCs/>
          <w:color w:val="000000"/>
          <w:kern w:val="0"/>
          <w:sz w:val="32"/>
          <w:szCs w:val="32"/>
          <w:highlight w:val="none"/>
          <w:shd w:val="clear" w:color="auto" w:fill="FFFFFF"/>
          <w:lang w:val="en-US" w:eastAsia="zh-CN"/>
        </w:rPr>
        <w:t>51.49%</w:t>
      </w:r>
      <w:r>
        <w:rPr>
          <w:rFonts w:hint="eastAsia" w:ascii="仿宋_GB2312" w:hAnsi="仿宋_GB2312" w:eastAsia="仿宋_GB2312" w:cs="仿宋_GB2312"/>
          <w:b w:val="0"/>
          <w:bCs/>
          <w:color w:val="000000"/>
          <w:kern w:val="0"/>
          <w:sz w:val="32"/>
          <w:szCs w:val="32"/>
          <w:highlight w:val="none"/>
          <w:shd w:val="clear" w:color="auto" w:fill="FFFFFF"/>
          <w:lang w:val="zh-CN" w:eastAsia="zh-CN"/>
        </w:rPr>
        <w:t>。（自评得</w:t>
      </w:r>
      <w:r>
        <w:rPr>
          <w:rFonts w:hint="eastAsia" w:ascii="仿宋_GB2312" w:hAnsi="仿宋_GB2312" w:eastAsia="仿宋_GB2312" w:cs="仿宋_GB2312"/>
          <w:b w:val="0"/>
          <w:bCs/>
          <w:color w:val="000000"/>
          <w:kern w:val="0"/>
          <w:sz w:val="32"/>
          <w:szCs w:val="32"/>
          <w:highlight w:val="none"/>
          <w:shd w:val="clear" w:color="auto" w:fill="FFFFFF"/>
          <w:lang w:val="en-US" w:eastAsia="zh-CN"/>
        </w:rPr>
        <w:t>2.75</w:t>
      </w:r>
      <w:r>
        <w:rPr>
          <w:rFonts w:hint="eastAsia" w:ascii="仿宋_GB2312" w:hAnsi="仿宋_GB2312" w:eastAsia="仿宋_GB2312" w:cs="仿宋_GB2312"/>
          <w:b w:val="0"/>
          <w:bCs/>
          <w:color w:val="000000"/>
          <w:kern w:val="0"/>
          <w:sz w:val="32"/>
          <w:szCs w:val="32"/>
          <w:highlight w:val="none"/>
          <w:shd w:val="clear" w:color="auto" w:fill="FFFFFF"/>
          <w:lang w:val="zh-CN" w:eastAsia="zh-CN"/>
        </w:rPr>
        <w:t>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default" w:ascii="Times New Roman" w:hAnsi="Times New Roman" w:eastAsia="楷体_GB2312" w:cs="Times New Roman"/>
          <w:b w:val="0"/>
          <w:bCs w:val="0"/>
          <w:color w:val="auto"/>
          <w:kern w:val="0"/>
          <w:sz w:val="32"/>
          <w:szCs w:val="32"/>
          <w:highlight w:val="none"/>
          <w:shd w:val="clear" w:color="auto" w:fill="FFFFFF"/>
          <w:lang w:val="zh-CN"/>
        </w:rPr>
      </w:pPr>
      <w:r>
        <w:rPr>
          <w:rFonts w:hint="eastAsia" w:ascii="Times New Roman" w:hAnsi="Times New Roman" w:eastAsia="楷体_GB2312" w:cs="Times New Roman"/>
          <w:b w:val="0"/>
          <w:bCs w:val="0"/>
          <w:color w:val="auto"/>
          <w:kern w:val="0"/>
          <w:sz w:val="32"/>
          <w:szCs w:val="32"/>
          <w:highlight w:val="none"/>
          <w:shd w:val="clear" w:color="auto" w:fill="FFFFFF"/>
          <w:lang w:val="zh-CN" w:eastAsia="zh-CN" w:bidi="ar-SA"/>
        </w:rPr>
        <w:t>（二）</w:t>
      </w:r>
      <w:r>
        <w:rPr>
          <w:rFonts w:hint="default" w:ascii="Times New Roman" w:hAnsi="Times New Roman" w:eastAsia="楷体_GB2312" w:cs="Times New Roman"/>
          <w:b w:val="0"/>
          <w:bCs w:val="0"/>
          <w:color w:val="auto"/>
          <w:kern w:val="0"/>
          <w:sz w:val="32"/>
          <w:szCs w:val="32"/>
          <w:highlight w:val="none"/>
          <w:shd w:val="clear" w:color="auto" w:fill="FFFFFF"/>
          <w:lang w:val="zh-CN"/>
        </w:rPr>
        <w:t>部门预算项目绩效分析</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yellow"/>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2024年学校特定目标类项目总数29个（含上年结转），主要包含部门年初预算项目20个（教育收费资金安排19个、代管资金项目1个），年中追加中央、省、市级专项项目9个（其中“2024年学生资助补助经费中央转移支付”、“2024年中央现代职业教育质量提升计划中央转移支付”2个项目已按省教育厅要求单独开展项目绩效自评）。2024全年项目涉及预算总金额11364.88万元，1—12月预算执行总体进度为80%，其中预算结余率大于10%的项目共计12个。</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2" w:firstLineChars="200"/>
        <w:contextualSpacing/>
        <w:textAlignment w:val="auto"/>
        <w:rPr>
          <w:rFonts w:hint="eastAsia" w:ascii="仿宋_GB2312" w:hAnsi="仿宋_GB2312" w:eastAsia="仿宋_GB2312" w:cs="仿宋_GB2312"/>
          <w:b/>
          <w:bCs w:val="0"/>
          <w:color w:val="000000"/>
          <w:kern w:val="0"/>
          <w:sz w:val="32"/>
          <w:szCs w:val="32"/>
          <w:shd w:val="clear" w:color="auto" w:fill="FFFFFF"/>
          <w:lang w:val="zh-CN" w:eastAsia="zh-CN"/>
        </w:rPr>
      </w:pPr>
      <w:r>
        <w:rPr>
          <w:rFonts w:hint="eastAsia" w:ascii="仿宋_GB2312" w:hAnsi="仿宋_GB2312" w:eastAsia="仿宋_GB2312" w:cs="仿宋_GB2312"/>
          <w:b/>
          <w:bCs w:val="0"/>
          <w:color w:val="000000"/>
          <w:kern w:val="0"/>
          <w:sz w:val="32"/>
          <w:szCs w:val="32"/>
          <w:shd w:val="clear" w:color="auto" w:fill="FFFFFF"/>
          <w:lang w:val="zh-CN" w:eastAsia="zh-CN"/>
        </w:rPr>
        <w:t>1.项目决策。</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contextualSpacing/>
        <w:textAlignment w:val="auto"/>
        <w:rPr>
          <w:rFonts w:hint="eastAsia" w:ascii="仿宋_GB2312" w:hAnsi="仿宋_GB2312" w:eastAsia="仿宋_GB2312" w:cs="仿宋_GB2312"/>
          <w:b w:val="0"/>
          <w:bCs/>
          <w:color w:val="000000"/>
          <w:kern w:val="0"/>
          <w:sz w:val="32"/>
          <w:szCs w:val="32"/>
          <w:shd w:val="clear" w:color="auto" w:fill="FFFFFF"/>
          <w:lang w:val="zh-CN" w:eastAsia="zh-CN"/>
        </w:rPr>
      </w:pPr>
      <w:r>
        <w:rPr>
          <w:rFonts w:hint="eastAsia" w:ascii="仿宋_GB2312" w:hAnsi="仿宋_GB2312" w:eastAsia="仿宋_GB2312" w:cs="仿宋_GB2312"/>
          <w:b w:val="0"/>
          <w:bCs/>
          <w:color w:val="000000"/>
          <w:kern w:val="0"/>
          <w:sz w:val="32"/>
          <w:szCs w:val="32"/>
          <w:shd w:val="clear" w:color="auto" w:fill="FFFFFF"/>
          <w:lang w:val="zh-CN" w:eastAsia="zh-CN"/>
        </w:rPr>
        <w:t>根据《关于编制2024年学校预算的通知》（川北幼专校〔2023〕57 号），学校2024年所有特定目标类项目均开展项目事前评估，经计划财务处汇总并报学校校长办公会及党委会审议，最后根据市财政局统一工作安排，按时在财政预算一体化系统中完成项目入库、预算编报等工作。在绩效目标编制过程中，尽量做到绩效目标设置科学合理、规范完整、量化细化、预算匹配，并不断完善绩效管理有关措施办法，对预算项目支出全面实施绩效目标管理。经自评发现，学校20</w:t>
      </w:r>
      <w:r>
        <w:rPr>
          <w:rFonts w:hint="eastAsia" w:ascii="仿宋_GB2312" w:hAnsi="仿宋_GB2312" w:eastAsia="仿宋_GB2312" w:cs="仿宋_GB2312"/>
          <w:b w:val="0"/>
          <w:bCs/>
          <w:color w:val="000000"/>
          <w:kern w:val="0"/>
          <w:sz w:val="32"/>
          <w:szCs w:val="32"/>
          <w:shd w:val="clear" w:color="auto" w:fill="FFFFFF"/>
          <w:lang w:val="en-US" w:eastAsia="zh-CN"/>
        </w:rPr>
        <w:t>24</w:t>
      </w:r>
      <w:r>
        <w:rPr>
          <w:rFonts w:hint="eastAsia" w:ascii="仿宋_GB2312" w:hAnsi="仿宋_GB2312" w:eastAsia="仿宋_GB2312" w:cs="仿宋_GB2312"/>
          <w:b w:val="0"/>
          <w:bCs/>
          <w:color w:val="000000"/>
          <w:kern w:val="0"/>
          <w:sz w:val="32"/>
          <w:szCs w:val="32"/>
          <w:shd w:val="clear" w:color="auto" w:fill="FFFFFF"/>
          <w:lang w:val="zh-CN" w:eastAsia="zh-CN"/>
        </w:rPr>
        <w:t>年“2024年智慧图书馆项目（二期）、2024年校史馆装修”项目未实施，绩效目标与计划期内的任务量安排不相匹配。（自评得11</w:t>
      </w:r>
      <w:r>
        <w:rPr>
          <w:rFonts w:hint="eastAsia" w:ascii="仿宋_GB2312" w:hAnsi="仿宋_GB2312" w:eastAsia="仿宋_GB2312" w:cs="仿宋_GB2312"/>
          <w:b w:val="0"/>
          <w:bCs/>
          <w:color w:val="000000"/>
          <w:kern w:val="0"/>
          <w:sz w:val="32"/>
          <w:szCs w:val="32"/>
          <w:shd w:val="clear" w:color="auto" w:fill="FFFFFF"/>
          <w:lang w:val="en-US" w:eastAsia="zh-CN"/>
        </w:rPr>
        <w:t>.63</w:t>
      </w:r>
      <w:r>
        <w:rPr>
          <w:rFonts w:hint="eastAsia" w:ascii="仿宋_GB2312" w:hAnsi="仿宋_GB2312" w:eastAsia="仿宋_GB2312" w:cs="仿宋_GB2312"/>
          <w:b w:val="0"/>
          <w:bCs/>
          <w:color w:val="000000"/>
          <w:kern w:val="0"/>
          <w:sz w:val="32"/>
          <w:szCs w:val="32"/>
          <w:shd w:val="clear" w:color="auto" w:fill="FFFFFF"/>
          <w:lang w:val="zh-CN" w:eastAsia="zh-CN"/>
        </w:rPr>
        <w:t>分）</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2" w:firstLineChars="200"/>
        <w:contextualSpacing/>
        <w:textAlignment w:val="auto"/>
        <w:rPr>
          <w:rFonts w:hint="eastAsia" w:ascii="仿宋_GB2312" w:hAnsi="仿宋_GB2312" w:eastAsia="仿宋_GB2312" w:cs="仿宋_GB2312"/>
          <w:b/>
          <w:bCs w:val="0"/>
          <w:color w:val="000000"/>
          <w:kern w:val="0"/>
          <w:sz w:val="32"/>
          <w:szCs w:val="32"/>
          <w:shd w:val="clear" w:color="auto" w:fill="FFFFFF"/>
          <w:lang w:val="zh-CN" w:eastAsia="zh-CN"/>
        </w:rPr>
      </w:pPr>
      <w:r>
        <w:rPr>
          <w:rFonts w:hint="eastAsia" w:ascii="仿宋_GB2312" w:hAnsi="仿宋_GB2312" w:eastAsia="仿宋_GB2312" w:cs="仿宋_GB2312"/>
          <w:b/>
          <w:bCs w:val="0"/>
          <w:color w:val="000000"/>
          <w:kern w:val="0"/>
          <w:sz w:val="32"/>
          <w:szCs w:val="32"/>
          <w:shd w:val="clear" w:color="auto" w:fill="FFFFFF"/>
          <w:lang w:val="zh-CN" w:eastAsia="zh-CN"/>
        </w:rPr>
        <w:t>2.项目执行</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contextualSpacing/>
        <w:textAlignment w:val="auto"/>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仿宋_GB2312" w:hAnsi="仿宋_GB2312" w:eastAsia="仿宋_GB2312" w:cs="仿宋_GB2312"/>
          <w:b w:val="0"/>
          <w:bCs w:val="0"/>
          <w:color w:val="auto"/>
          <w:kern w:val="0"/>
          <w:position w:val="0"/>
          <w:sz w:val="32"/>
          <w:szCs w:val="32"/>
          <w:highlight w:val="none"/>
          <w:lang w:val="zh-CN" w:eastAsia="zh-CN" w:bidi="ar-SA"/>
        </w:rPr>
        <w:t>学校已建立预算费用报销一体化系统，通过信息化手段将预算申报、执行和报销整合一体，学校计划财务处以及项目负责人均可以通过该平台实时查询项目预算执行的动态情况，实现对项目的动态全过程管理，并确保项目实际列支内容均与绩效目标设置方向基本相符。与此同时，学校计划财务处每季度定时统计学校项目执行情况，并通过校内0A系统向全校项目负责人发送项目执行进度提醒书，强化项目负责人预算执行责任意识，对执行进度滞后的项目加大督促力度。经统计，202</w:t>
      </w:r>
      <w:r>
        <w:rPr>
          <w:rFonts w:hint="eastAsia" w:ascii="仿宋_GB2312" w:hAnsi="仿宋_GB2312" w:eastAsia="仿宋_GB2312" w:cs="仿宋_GB2312"/>
          <w:b w:val="0"/>
          <w:bCs w:val="0"/>
          <w:color w:val="auto"/>
          <w:kern w:val="0"/>
          <w:position w:val="0"/>
          <w:sz w:val="32"/>
          <w:szCs w:val="32"/>
          <w:highlight w:val="none"/>
          <w:lang w:val="en-US" w:eastAsia="zh-CN" w:bidi="ar-SA"/>
        </w:rPr>
        <w:t>4</w:t>
      </w:r>
      <w:r>
        <w:rPr>
          <w:rFonts w:hint="eastAsia" w:ascii="仿宋_GB2312" w:hAnsi="仿宋_GB2312" w:eastAsia="仿宋_GB2312" w:cs="仿宋_GB2312"/>
          <w:b w:val="0"/>
          <w:bCs w:val="0"/>
          <w:color w:val="auto"/>
          <w:kern w:val="0"/>
          <w:position w:val="0"/>
          <w:sz w:val="32"/>
          <w:szCs w:val="32"/>
          <w:highlight w:val="none"/>
          <w:lang w:val="zh-CN" w:eastAsia="zh-CN" w:bidi="ar-SA"/>
        </w:rPr>
        <w:t>年预算结余率小于10%的项目数量为</w:t>
      </w:r>
      <w:r>
        <w:rPr>
          <w:rFonts w:hint="eastAsia" w:ascii="仿宋_GB2312" w:hAnsi="仿宋_GB2312" w:eastAsia="仿宋_GB2312" w:cs="仿宋_GB2312"/>
          <w:b w:val="0"/>
          <w:bCs w:val="0"/>
          <w:color w:val="auto"/>
          <w:kern w:val="0"/>
          <w:position w:val="0"/>
          <w:sz w:val="32"/>
          <w:szCs w:val="32"/>
          <w:highlight w:val="none"/>
          <w:lang w:val="en-US" w:eastAsia="zh-CN" w:bidi="ar-SA"/>
        </w:rPr>
        <w:t>17</w:t>
      </w:r>
      <w:r>
        <w:rPr>
          <w:rFonts w:hint="eastAsia" w:ascii="仿宋_GB2312" w:hAnsi="仿宋_GB2312" w:eastAsia="仿宋_GB2312" w:cs="仿宋_GB2312"/>
          <w:b w:val="0"/>
          <w:bCs w:val="0"/>
          <w:color w:val="auto"/>
          <w:kern w:val="0"/>
          <w:position w:val="0"/>
          <w:sz w:val="32"/>
          <w:szCs w:val="32"/>
          <w:highlight w:val="none"/>
          <w:lang w:val="zh-CN" w:eastAsia="zh-CN" w:bidi="ar-SA"/>
        </w:rPr>
        <w:t>个（自评得分2.34）。</w:t>
      </w:r>
    </w:p>
    <w:p>
      <w:pPr>
        <w:keepNext w:val="0"/>
        <w:keepLines w:val="0"/>
        <w:pageBreakBefore w:val="0"/>
        <w:widowControl w:val="0"/>
        <w:kinsoku/>
        <w:wordWrap/>
        <w:overflowPunct/>
        <w:topLinePunct w:val="0"/>
        <w:autoSpaceDE/>
        <w:autoSpaceDN/>
        <w:bidi w:val="0"/>
        <w:adjustRightInd w:val="0"/>
        <w:snapToGrid w:val="0"/>
        <w:spacing w:line="560" w:lineRule="exact"/>
        <w:ind w:firstLine="642" w:firstLineChars="200"/>
        <w:contextualSpacing/>
        <w:jc w:val="left"/>
        <w:textAlignment w:val="auto"/>
        <w:outlineLvl w:val="9"/>
        <w:rPr>
          <w:rFonts w:hint="eastAsia" w:ascii="仿宋_GB2312" w:hAnsi="仿宋_GB2312" w:eastAsia="仿宋_GB2312" w:cs="仿宋_GB2312"/>
          <w:b/>
          <w:bCs/>
          <w:color w:val="auto"/>
          <w:kern w:val="0"/>
          <w:position w:val="0"/>
          <w:sz w:val="32"/>
          <w:szCs w:val="32"/>
          <w:highlight w:val="none"/>
          <w:lang w:val="en-US" w:eastAsia="zh-CN" w:bidi="ar-SA"/>
        </w:rPr>
      </w:pPr>
      <w:r>
        <w:rPr>
          <w:rFonts w:hint="eastAsia" w:ascii="仿宋_GB2312" w:hAnsi="仿宋_GB2312" w:eastAsia="仿宋_GB2312" w:cs="仿宋_GB2312"/>
          <w:b/>
          <w:bCs/>
          <w:color w:val="auto"/>
          <w:kern w:val="0"/>
          <w:position w:val="0"/>
          <w:sz w:val="32"/>
          <w:szCs w:val="32"/>
          <w:highlight w:val="none"/>
          <w:lang w:val="en-US" w:eastAsia="zh-CN" w:bidi="ar-SA"/>
        </w:rPr>
        <w:t>3.目标实现</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2024年学校较好了完成各项特定工作任务，教学质量得到提升，办学条件得到改善，学校良性可持续发展。各项目绩效基本完成，存在资金结余较大，结余率偏高的情况，主要原因一是政府采购项目流程较多，时间跨度较长；二是部分年中追加的专项项目资金下达时间较晚。2024年部门预算特定目标类项目绩效目标设置数量指标共63个，实际完成56个，完成率88.89%。完成绩效目标效益指标的部门预算特定目标类项目数量20个。（自评得10.23分）</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contextualSpacing/>
        <w:jc w:val="both"/>
        <w:textAlignment w:val="auto"/>
        <w:outlineLvl w:val="9"/>
        <w:rPr>
          <w:rFonts w:hint="eastAsia" w:ascii="楷体_GB2312" w:hAnsi="楷体_GB2312" w:eastAsia="楷体_GB2312" w:cs="楷体_GB2312"/>
          <w:b w:val="0"/>
          <w:bCs w:val="0"/>
          <w:color w:val="auto"/>
          <w:kern w:val="0"/>
          <w:position w:val="0"/>
          <w:sz w:val="32"/>
          <w:szCs w:val="32"/>
          <w:highlight w:val="none"/>
          <w:lang w:val="en-US" w:eastAsia="zh-CN" w:bidi="ar-SA"/>
        </w:rPr>
      </w:pPr>
      <w:r>
        <w:rPr>
          <w:rFonts w:hint="eastAsia" w:ascii="楷体_GB2312" w:hAnsi="楷体_GB2312" w:eastAsia="楷体_GB2312" w:cs="楷体_GB2312"/>
          <w:b w:val="0"/>
          <w:bCs w:val="0"/>
          <w:color w:val="auto"/>
          <w:kern w:val="0"/>
          <w:position w:val="0"/>
          <w:sz w:val="32"/>
          <w:szCs w:val="32"/>
          <w:highlight w:val="none"/>
          <w:lang w:val="en-US" w:eastAsia="zh-CN" w:bidi="ar-SA"/>
        </w:rPr>
        <w:t>（三）重点领域绩效分析</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eastAsia" w:ascii="楷体_GB2312" w:hAnsi="楷体_GB2312" w:eastAsia="楷体_GB2312" w:cs="楷体_GB2312"/>
          <w:b w:val="0"/>
          <w:bCs w:val="0"/>
          <w:color w:val="auto"/>
          <w:kern w:val="0"/>
          <w:position w:val="0"/>
          <w:sz w:val="32"/>
          <w:szCs w:val="32"/>
          <w:highlight w:val="none"/>
          <w:lang w:val="zh-CN"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根据</w:t>
      </w:r>
      <w:bookmarkStart w:id="89" w:name="OLE_LINK10"/>
      <w:r>
        <w:rPr>
          <w:rFonts w:hint="eastAsia" w:ascii="仿宋_GB2312" w:hAnsi="仿宋_GB2312" w:eastAsia="仿宋_GB2312" w:cs="仿宋_GB2312"/>
          <w:b w:val="0"/>
          <w:bCs w:val="0"/>
          <w:color w:val="auto"/>
          <w:kern w:val="0"/>
          <w:position w:val="0"/>
          <w:sz w:val="32"/>
          <w:szCs w:val="32"/>
          <w:highlight w:val="none"/>
          <w:lang w:val="en-US" w:eastAsia="zh-CN" w:bidi="ar-SA"/>
        </w:rPr>
        <w:t>市财政局关于开展2024年重点绩效评价问题整改工作的要求</w:t>
      </w:r>
      <w:bookmarkEnd w:id="89"/>
      <w:r>
        <w:rPr>
          <w:rFonts w:hint="eastAsia" w:ascii="仿宋_GB2312" w:hAnsi="仿宋_GB2312" w:eastAsia="仿宋_GB2312" w:cs="仿宋_GB2312"/>
          <w:b w:val="0"/>
          <w:bCs w:val="0"/>
          <w:color w:val="auto"/>
          <w:kern w:val="0"/>
          <w:position w:val="0"/>
          <w:sz w:val="32"/>
          <w:szCs w:val="32"/>
          <w:highlight w:val="none"/>
          <w:lang w:val="en-US" w:eastAsia="zh-CN" w:bidi="ar-SA"/>
        </w:rPr>
        <w:t xml:space="preserve">，2024年12月，我校针对政府采购项目绩效评价中发现的问题进行了系统梳理和整改。主要问题包括“政采贷”政策落实率低、项目执行进度慢、采购意向发布较晚、合同执行效率不高、废标率偏高以及绩效目标管理不规范等。为提高绩效管理水平，我校采取了一系列整改措施：一是加强政策宣传和流程优化，确保“政采贷”政策有效落实；二是通过信息化手段（如预算绩效管理系统）强化预算执行动态监控，并将执行情况纳入部门考核；三是优化采购计划管理，提前发布采购意向，提高招标文件质量，降低废标率；四是完善绩效目标编制和评估机制，确保事前绩效评估全覆盖。通过以上措施，我校将进一步规范预算绩效管理流程，提升资金使用效益，促进学校高质量发展。 </w:t>
      </w:r>
      <w:r>
        <w:rPr>
          <w:rFonts w:hint="eastAsia" w:ascii="楷体_GB2312" w:hAnsi="楷体_GB2312" w:eastAsia="楷体_GB2312" w:cs="楷体_GB2312"/>
          <w:b w:val="0"/>
          <w:bCs w:val="0"/>
          <w:color w:val="auto"/>
          <w:kern w:val="0"/>
          <w:position w:val="0"/>
          <w:sz w:val="32"/>
          <w:szCs w:val="32"/>
          <w:highlight w:val="none"/>
          <w:lang w:val="en-US" w:eastAsia="zh-CN" w:bidi="ar-SA"/>
        </w:rPr>
        <w:br w:type="textWrapping"/>
      </w:r>
      <w:r>
        <w:rPr>
          <w:rFonts w:hint="eastAsia" w:ascii="楷体_GB2312" w:hAnsi="楷体_GB2312" w:eastAsia="楷体_GB2312" w:cs="楷体_GB2312"/>
          <w:b w:val="0"/>
          <w:bCs w:val="0"/>
          <w:color w:val="auto"/>
          <w:kern w:val="0"/>
          <w:position w:val="0"/>
          <w:sz w:val="32"/>
          <w:szCs w:val="32"/>
          <w:highlight w:val="none"/>
          <w:lang w:val="en-US" w:eastAsia="zh-CN" w:bidi="ar-SA"/>
        </w:rPr>
        <w:t xml:space="preserve">   </w:t>
      </w:r>
      <w:r>
        <w:rPr>
          <w:rFonts w:hint="eastAsia" w:ascii="楷体_GB2312" w:hAnsi="楷体_GB2312" w:eastAsia="楷体_GB2312" w:cs="楷体_GB2312"/>
          <w:b w:val="0"/>
          <w:bCs w:val="0"/>
          <w:color w:val="auto"/>
          <w:kern w:val="0"/>
          <w:position w:val="0"/>
          <w:sz w:val="32"/>
          <w:szCs w:val="32"/>
          <w:highlight w:val="none"/>
          <w:lang w:val="zh-CN" w:eastAsia="zh-CN" w:bidi="ar-SA"/>
        </w:rPr>
        <w:t>（四）绩效结果应用情况</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1.内部应用。2024年，我校持续深化预算绩效管理改革，进一步完善"预算编制有目标、执行有监控、完成有评价、结果有反馈、反馈有应用"的全链条管理机制。将项目预算执行情况与部门绩效考核挂钩，强化绩效评价结果在预算安排、资源配置中的导向作用，推动各部门提升预算管理水平和资金使用效益。</w:t>
      </w:r>
    </w:p>
    <w:p>
      <w:pPr>
        <w:keepNext w:val="0"/>
        <w:keepLines w:val="0"/>
        <w:pageBreakBefore w:val="0"/>
        <w:numPr>
          <w:ilvl w:val="0"/>
          <w:numId w:val="0"/>
        </w:numPr>
        <w:kinsoku/>
        <w:wordWrap/>
        <w:overflowPunct/>
        <w:topLinePunct w:val="0"/>
        <w:autoSpaceDE/>
        <w:autoSpaceDN/>
        <w:bidi w:val="0"/>
        <w:snapToGrid w:val="0"/>
        <w:spacing w:line="560" w:lineRule="exact"/>
        <w:ind w:firstLine="640" w:firstLineChars="200"/>
        <w:textAlignment w:val="auto"/>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lang w:val="en-US" w:eastAsia="zh-CN" w:bidi="ar-SA"/>
        </w:rPr>
        <w:t>2.</w:t>
      </w:r>
      <w:r>
        <w:rPr>
          <w:rFonts w:hint="eastAsia" w:ascii="仿宋_GB2312" w:hAnsi="仿宋_GB2312" w:eastAsia="仿宋_GB2312" w:cs="仿宋_GB2312"/>
          <w:b w:val="0"/>
          <w:bCs w:val="0"/>
          <w:color w:val="auto"/>
          <w:kern w:val="0"/>
          <w:position w:val="0"/>
          <w:sz w:val="32"/>
          <w:szCs w:val="32"/>
          <w:highlight w:val="none"/>
          <w:lang w:val="en-US" w:eastAsia="zh-CN" w:bidi="ar-SA"/>
        </w:rPr>
        <w:t>信息公开。学校严格按照市财政局统一工作部署，突出重点，细化公开内容，不断提高信息公开的质量和实效。我校按时将2024年初预算项目绩效批复表同部门预算一并公开在广元市人民政府官网以及我校门户网站。并将部门整体支出绩效自评报告、项目绩效自评报告同 2024年决算信息一并公开在广元市人民政府官网以及我校门户网站。</w:t>
      </w:r>
    </w:p>
    <w:p>
      <w:pPr>
        <w:keepNext w:val="0"/>
        <w:keepLines w:val="0"/>
        <w:pageBreakBefore w:val="0"/>
        <w:numPr>
          <w:ilvl w:val="0"/>
          <w:numId w:val="0"/>
        </w:numPr>
        <w:kinsoku/>
        <w:wordWrap/>
        <w:overflowPunct/>
        <w:topLinePunct w:val="0"/>
        <w:autoSpaceDE/>
        <w:autoSpaceDN/>
        <w:bidi w:val="0"/>
        <w:snapToGrid w:val="0"/>
        <w:spacing w:line="560" w:lineRule="exact"/>
        <w:ind w:firstLine="640" w:firstLineChars="200"/>
        <w:textAlignment w:val="auto"/>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3.整改反馈。针对2024年重点绩效评价指出的问题，建立问题整改清单。将"政采贷"政策嵌入招标文件模板，优化采购意向发布时间节点，完善合同履约监管机制等。整改情况已形成专题报告报送市财政局，并将评价结果应用于2025年政府采购预算编制，实现绩效管理闭环。</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default" w:ascii="Times New Roman" w:hAnsi="Times New Roman" w:eastAsia="黑体" w:cs="Times New Roman"/>
          <w:b w:val="0"/>
          <w:bCs w:val="0"/>
          <w:color w:val="auto"/>
          <w:kern w:val="0"/>
          <w:sz w:val="32"/>
          <w:szCs w:val="32"/>
          <w:highlight w:val="none"/>
          <w:shd w:val="clear" w:color="auto" w:fill="FFFFFF"/>
        </w:rPr>
      </w:pPr>
      <w:bookmarkStart w:id="90" w:name="OLE_LINK11"/>
      <w:r>
        <w:rPr>
          <w:rFonts w:hint="default" w:ascii="Times New Roman" w:hAnsi="Times New Roman" w:eastAsia="黑体" w:cs="Times New Roman"/>
          <w:b w:val="0"/>
          <w:bCs w:val="0"/>
          <w:color w:val="auto"/>
          <w:kern w:val="0"/>
          <w:sz w:val="32"/>
          <w:szCs w:val="32"/>
          <w:highlight w:val="none"/>
          <w:shd w:val="clear" w:color="auto" w:fill="FFFFFF"/>
          <w:lang w:eastAsia="zh-CN"/>
        </w:rPr>
        <w:t>四、</w:t>
      </w:r>
      <w:r>
        <w:rPr>
          <w:rFonts w:hint="default" w:ascii="Times New Roman" w:hAnsi="Times New Roman" w:eastAsia="黑体" w:cs="Times New Roman"/>
          <w:b w:val="0"/>
          <w:bCs w:val="0"/>
          <w:color w:val="auto"/>
          <w:kern w:val="0"/>
          <w:sz w:val="32"/>
          <w:szCs w:val="32"/>
          <w:highlight w:val="none"/>
          <w:shd w:val="clear" w:color="auto" w:fill="FFFFFF"/>
        </w:rPr>
        <w:t>评价结论及建议</w:t>
      </w:r>
    </w:p>
    <w:p>
      <w:pPr>
        <w:keepNext w:val="0"/>
        <w:keepLines w:val="0"/>
        <w:pageBreakBefore w:val="0"/>
        <w:numPr>
          <w:ilvl w:val="0"/>
          <w:numId w:val="0"/>
        </w:numPr>
        <w:kinsoku/>
        <w:wordWrap/>
        <w:overflowPunct/>
        <w:topLinePunct w:val="0"/>
        <w:autoSpaceDE/>
        <w:autoSpaceDN/>
        <w:bidi w:val="0"/>
        <w:snapToGrid w:val="0"/>
        <w:spacing w:line="560" w:lineRule="exact"/>
        <w:ind w:firstLine="640" w:firstLineChars="200"/>
        <w:textAlignment w:val="auto"/>
        <w:rPr>
          <w:rFonts w:hint="default" w:ascii="仿宋_GB2312" w:hAnsi="仿宋_GB2312" w:eastAsia="仿宋_GB2312" w:cs="仿宋_GB2312"/>
          <w:b w:val="0"/>
          <w:bCs w:val="0"/>
          <w:color w:val="auto"/>
          <w:kern w:val="0"/>
          <w:position w:val="0"/>
          <w:sz w:val="32"/>
          <w:szCs w:val="32"/>
          <w:highlight w:val="none"/>
          <w:lang w:val="en-US" w:eastAsia="zh-CN" w:bidi="ar-SA"/>
        </w:rPr>
      </w:pPr>
      <w:r>
        <w:rPr>
          <w:rFonts w:hint="eastAsia" w:ascii="楷体_GB2312" w:hAnsi="楷体_GB2312" w:eastAsia="楷体_GB2312" w:cs="楷体_GB2312"/>
          <w:b w:val="0"/>
          <w:bCs w:val="0"/>
          <w:color w:val="auto"/>
          <w:kern w:val="0"/>
          <w:position w:val="0"/>
          <w:sz w:val="32"/>
          <w:szCs w:val="32"/>
          <w:highlight w:val="none"/>
          <w:lang w:val="zh-CN" w:eastAsia="zh-CN" w:bidi="ar-SA"/>
        </w:rPr>
        <w:t>（一）评价结论。</w:t>
      </w:r>
      <w:r>
        <w:rPr>
          <w:rFonts w:hint="default" w:ascii="仿宋_GB2312" w:hAnsi="仿宋_GB2312" w:eastAsia="仿宋_GB2312" w:cs="仿宋_GB2312"/>
          <w:b w:val="0"/>
          <w:bCs w:val="0"/>
          <w:color w:val="auto"/>
          <w:kern w:val="0"/>
          <w:position w:val="0"/>
          <w:sz w:val="32"/>
          <w:szCs w:val="32"/>
          <w:highlight w:val="none"/>
          <w:lang w:val="en-US" w:eastAsia="zh-CN" w:bidi="ar-SA"/>
        </w:rPr>
        <w:t>2024年，我校部门预算绩效管理工作总体规范有效，预算编制科学合理，绩效目标设定符合学校发展规划和年度重点工作任务，资金使用效益显著提升。通过加强全过程预算绩效管理，财务和资产管理水平进一步提高，绩效信息公开及时完整。针对财政部门和审计检查发现的问题，我校积极落实整改，确保资金使用规范高效。经综合自评，2024年学校整体支出绩效自评得分为</w:t>
      </w:r>
      <w:r>
        <w:rPr>
          <w:rFonts w:hint="eastAsia" w:ascii="仿宋_GB2312" w:hAnsi="仿宋_GB2312" w:eastAsia="仿宋_GB2312" w:cs="仿宋_GB2312"/>
          <w:b w:val="0"/>
          <w:bCs w:val="0"/>
          <w:color w:val="auto"/>
          <w:kern w:val="0"/>
          <w:position w:val="0"/>
          <w:sz w:val="32"/>
          <w:szCs w:val="32"/>
          <w:highlight w:val="none"/>
          <w:lang w:val="en-US" w:eastAsia="zh-CN" w:bidi="ar-SA"/>
        </w:rPr>
        <w:t>91.28</w:t>
      </w:r>
      <w:r>
        <w:rPr>
          <w:rFonts w:hint="default" w:ascii="仿宋_GB2312" w:hAnsi="仿宋_GB2312" w:eastAsia="仿宋_GB2312" w:cs="仿宋_GB2312"/>
          <w:b w:val="0"/>
          <w:bCs w:val="0"/>
          <w:color w:val="auto"/>
          <w:kern w:val="0"/>
          <w:position w:val="0"/>
          <w:sz w:val="32"/>
          <w:szCs w:val="32"/>
          <w:highlight w:val="none"/>
          <w:lang w:val="en-US" w:eastAsia="zh-CN" w:bidi="ar-SA"/>
        </w:rPr>
        <w:t>分，绩效管理水平持续优化。</w:t>
      </w:r>
    </w:p>
    <w:p>
      <w:pPr>
        <w:keepNext w:val="0"/>
        <w:keepLines w:val="0"/>
        <w:pageBreakBefore w:val="0"/>
        <w:widowControl w:val="0"/>
        <w:shd w:val="clear" w:color="auto" w:fill="auto"/>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default" w:ascii="Times New Roman" w:hAnsi="Times New Roman" w:eastAsia="仿宋_GB2312" w:cs="Times New Roman"/>
          <w:b w:val="0"/>
          <w:bCs w:val="0"/>
          <w:color w:val="auto"/>
          <w:kern w:val="0"/>
          <w:position w:val="0"/>
          <w:sz w:val="32"/>
          <w:szCs w:val="32"/>
          <w:highlight w:val="none"/>
          <w:lang w:val="en-US" w:eastAsia="zh-CN" w:bidi="ar-SA"/>
        </w:rPr>
      </w:pPr>
      <w:r>
        <w:rPr>
          <w:rFonts w:hint="default" w:ascii="Times New Roman" w:hAnsi="Times New Roman" w:eastAsia="楷体_GB2312" w:cs="Times New Roman"/>
          <w:b w:val="0"/>
          <w:bCs w:val="0"/>
          <w:color w:val="auto"/>
          <w:kern w:val="0"/>
          <w:sz w:val="32"/>
          <w:szCs w:val="32"/>
          <w:highlight w:val="none"/>
          <w:shd w:val="clear" w:color="auto" w:fill="FFFFFF"/>
          <w:lang w:val="zh-CN"/>
        </w:rPr>
        <w:t>（二）存在问题。</w:t>
      </w:r>
      <w:r>
        <w:rPr>
          <w:rFonts w:hint="default" w:ascii="Times New Roman" w:hAnsi="Times New Roman" w:eastAsia="仿宋_GB2312" w:cs="Times New Roman"/>
          <w:b w:val="0"/>
          <w:bCs w:val="0"/>
          <w:color w:val="auto"/>
          <w:kern w:val="0"/>
          <w:position w:val="0"/>
          <w:sz w:val="32"/>
          <w:szCs w:val="32"/>
          <w:highlight w:val="none"/>
          <w:lang w:val="en-US" w:eastAsia="zh-CN" w:bidi="ar-SA"/>
        </w:rPr>
        <w:t>部分项目预算执行进度滞后，尤其是政府采购项目跨年度执行现象较为突出，影响资金使用效率。个别项目绩效指标设置不够科学，量化程度不足，难以全面准确反映项目实施效果。</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contextualSpacing/>
        <w:jc w:val="left"/>
        <w:textAlignment w:val="auto"/>
        <w:outlineLvl w:val="9"/>
        <w:rPr>
          <w:rFonts w:hint="default" w:ascii="Times New Roman" w:hAnsi="Times New Roman" w:eastAsia="仿宋_GB2312" w:cs="Times New Roman"/>
          <w:b w:val="0"/>
          <w:bCs w:val="0"/>
          <w:color w:val="auto"/>
          <w:kern w:val="0"/>
          <w:position w:val="0"/>
          <w:sz w:val="32"/>
          <w:szCs w:val="32"/>
          <w:highlight w:val="none"/>
          <w:lang w:val="en-US" w:eastAsia="zh-CN" w:bidi="ar-SA"/>
        </w:rPr>
      </w:pPr>
      <w:r>
        <w:rPr>
          <w:rFonts w:hint="default" w:ascii="Times New Roman" w:hAnsi="Times New Roman" w:eastAsia="楷体_GB2312" w:cs="Times New Roman"/>
          <w:b w:val="0"/>
          <w:bCs w:val="0"/>
          <w:color w:val="auto"/>
          <w:kern w:val="0"/>
          <w:sz w:val="32"/>
          <w:szCs w:val="32"/>
          <w:highlight w:val="none"/>
          <w:shd w:val="clear" w:color="auto" w:fill="FFFFFF"/>
          <w:lang w:val="zh-CN" w:eastAsia="zh-CN"/>
        </w:rPr>
        <w:t>（三）改进建议。</w:t>
      </w:r>
      <w:bookmarkStart w:id="91" w:name="_Hlk110546638"/>
      <w:r>
        <w:rPr>
          <w:rFonts w:hint="default" w:ascii="Times New Roman" w:hAnsi="Times New Roman" w:eastAsia="仿宋_GB2312" w:cs="Times New Roman"/>
          <w:b w:val="0"/>
          <w:bCs w:val="0"/>
          <w:color w:val="auto"/>
          <w:kern w:val="0"/>
          <w:position w:val="0"/>
          <w:sz w:val="32"/>
          <w:szCs w:val="32"/>
          <w:highlight w:val="none"/>
          <w:lang w:val="en-US" w:eastAsia="zh-CN" w:bidi="ar-SA"/>
        </w:rPr>
        <w:t>一建立预算执行动态监控机制，加快资金支付进度；加强绩效目标编制培训，提升指标设置科学性；加大惠企政策宣传执行力度，定期开展效果评估，确保政策落地见效。</w:t>
      </w:r>
    </w:p>
    <w:bookmarkEnd w:id="90"/>
    <w:bookmarkEnd w:id="91"/>
    <w:p>
      <w:pPr>
        <w:pStyle w:val="8"/>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eastAsia="仿宋_GB2312" w:cs="Times New Roman"/>
          <w:kern w:val="2"/>
          <w:sz w:val="32"/>
          <w:szCs w:val="32"/>
          <w:u w:val="none"/>
          <w:lang w:val="zh-CN" w:eastAsia="zh-CN" w:bidi="ar"/>
        </w:rPr>
      </w:pP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Times New Roman" w:hAnsi="Times New Roman" w:eastAsia="仿宋_GB2312" w:cs="Times New Roman"/>
          <w:kern w:val="2"/>
          <w:sz w:val="32"/>
          <w:szCs w:val="32"/>
          <w:u w:val="none"/>
          <w:lang w:val="en-US" w:eastAsia="zh-CN" w:bidi="ar"/>
        </w:rPr>
        <w:sectPr>
          <w:pgSz w:w="11906" w:h="16838"/>
          <w:pgMar w:top="1440" w:right="1800" w:bottom="1440" w:left="1800" w:header="851" w:footer="992" w:gutter="0"/>
          <w:pgNumType w:fmt="decimal" w:start="1"/>
          <w:cols w:space="425" w:num="1"/>
          <w:docGrid w:type="lines" w:linePitch="312" w:charSpace="0"/>
        </w:sectPr>
      </w:pPr>
      <w:r>
        <w:rPr>
          <w:rFonts w:hint="eastAsia" w:ascii="Times New Roman" w:hAnsi="Times New Roman" w:eastAsia="仿宋_GB2312" w:cs="Times New Roman"/>
          <w:kern w:val="2"/>
          <w:sz w:val="32"/>
          <w:szCs w:val="32"/>
          <w:u w:val="none"/>
          <w:lang w:val="zh-CN" w:eastAsia="zh-CN" w:bidi="ar"/>
        </w:rPr>
        <w:t>附表：</w:t>
      </w:r>
      <w:r>
        <w:rPr>
          <w:rFonts w:hint="eastAsia" w:ascii="Times New Roman" w:hAnsi="Times New Roman" w:eastAsia="仿宋_GB2312" w:cs="Times New Roman"/>
          <w:kern w:val="2"/>
          <w:sz w:val="32"/>
          <w:szCs w:val="32"/>
          <w:u w:val="none"/>
          <w:lang w:val="en-US" w:eastAsia="zh-CN" w:bidi="ar"/>
        </w:rPr>
        <w:t>部门预算项目支出绩效自评表（2024年度）</w:t>
      </w:r>
    </w:p>
    <w:p>
      <w:pPr>
        <w:rPr>
          <w:rFonts w:hint="eastAsia"/>
          <w:lang w:val="en-US" w:eastAsia="zh-CN"/>
        </w:rPr>
      </w:pPr>
      <w:r>
        <w:rPr>
          <w:rFonts w:hint="eastAsia"/>
          <w:lang w:val="en-US" w:eastAsia="zh-CN"/>
        </w:rPr>
        <w:t xml:space="preserve">  </w:t>
      </w:r>
    </w:p>
    <w:tbl>
      <w:tblPr>
        <w:tblStyle w:val="16"/>
        <w:tblW w:w="13275" w:type="dxa"/>
        <w:tblInd w:w="48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90"/>
        <w:gridCol w:w="1460"/>
        <w:gridCol w:w="1050"/>
        <w:gridCol w:w="1238"/>
        <w:gridCol w:w="900"/>
        <w:gridCol w:w="749"/>
        <w:gridCol w:w="1338"/>
        <w:gridCol w:w="1063"/>
        <w:gridCol w:w="836"/>
        <w:gridCol w:w="1079"/>
        <w:gridCol w:w="28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327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28"/>
                <w:szCs w:val="28"/>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12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人员经费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8" w:hRule="atLeast"/>
        </w:trPr>
        <w:tc>
          <w:tcPr>
            <w:tcW w:w="2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2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川北幼儿师范高等专科学校部门</w:t>
            </w:r>
          </w:p>
        </w:tc>
        <w:tc>
          <w:tcPr>
            <w:tcW w:w="106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47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川北幼儿师范高等专科学校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4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2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58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5"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2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58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工资及时保障并按月及时发放；社保按月及时缴纳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7"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12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每月按时发放工资、缴纳社保、公积金等费用。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9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11,408.60</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11,465.48</w:t>
            </w:r>
          </w:p>
        </w:tc>
        <w:tc>
          <w:tcPr>
            <w:tcW w:w="29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10,821.61</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94.38%</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28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学校人员经费使用生均经费和教育收费资金统筹安排，财政不予清算，2024年预算申报时对新进人员人数预测不够精准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10,560.10</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10,616.98</w:t>
            </w:r>
          </w:p>
        </w:tc>
        <w:tc>
          <w:tcPr>
            <w:tcW w:w="29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10,444.53</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98.38%</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848.50</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848.50</w:t>
            </w:r>
          </w:p>
        </w:tc>
        <w:tc>
          <w:tcPr>
            <w:tcW w:w="29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377.08</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44.45%</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9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9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848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4"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258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严格执行相关政策，每月按时发放工资、缴纳社保、公积金等费用。自评得分99分。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6"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258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人员经费预算需进一步提高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7"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258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制定预算管理办法，通过制度的刚性约束提高规范化管理，提高预算精准率和执行率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53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项目负责人：王泽</w:t>
            </w:r>
          </w:p>
        </w:tc>
        <w:tc>
          <w:tcPr>
            <w:tcW w:w="793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财务负责人：祖祥凯</w:t>
            </w:r>
          </w:p>
        </w:tc>
      </w:tr>
    </w:tbl>
    <w:p>
      <w:pPr>
        <w:rPr>
          <w:rFonts w:hint="default"/>
          <w:lang w:val="en-US" w:eastAsia="zh-CN"/>
        </w:rPr>
        <w:sectPr>
          <w:pgSz w:w="16838" w:h="11906" w:orient="landscape"/>
          <w:pgMar w:top="1800" w:right="1440" w:bottom="1800" w:left="1440" w:header="851" w:footer="992" w:gutter="0"/>
          <w:pgNumType w:fmt="decimal"/>
          <w:cols w:space="425" w:num="1"/>
          <w:docGrid w:type="lines" w:linePitch="312" w:charSpace="0"/>
        </w:sectPr>
      </w:pPr>
    </w:p>
    <w:tbl>
      <w:tblPr>
        <w:tblStyle w:val="16"/>
        <w:tblpPr w:leftFromText="180" w:rightFromText="180" w:vertAnchor="text" w:horzAnchor="page" w:tblpX="1928" w:tblpY="620"/>
        <w:tblOverlap w:val="never"/>
        <w:tblW w:w="1327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69"/>
        <w:gridCol w:w="1069"/>
        <w:gridCol w:w="1077"/>
        <w:gridCol w:w="1206"/>
        <w:gridCol w:w="1066"/>
        <w:gridCol w:w="1067"/>
        <w:gridCol w:w="1066"/>
        <w:gridCol w:w="1075"/>
        <w:gridCol w:w="1067"/>
        <w:gridCol w:w="1066"/>
        <w:gridCol w:w="24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32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28"/>
                <w:szCs w:val="28"/>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13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1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4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川北幼儿师范高等专科学校部门</w:t>
            </w:r>
          </w:p>
        </w:tc>
        <w:tc>
          <w:tcPr>
            <w:tcW w:w="107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45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川北幼儿师范高等专科学校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0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4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56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4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56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全年学校行政办公、教育教学活动正常开展。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13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坚决落实过紧日子要求，在保障学校行政办公、教育教学活动正常开展的同时，严控一般性支出。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31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4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3,362.39</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3,868.99</w:t>
            </w:r>
          </w:p>
        </w:tc>
        <w:tc>
          <w:tcPr>
            <w:tcW w:w="31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2,707.11</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69.97%</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w:t>
            </w:r>
          </w:p>
        </w:tc>
        <w:tc>
          <w:tcPr>
            <w:tcW w:w="24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物业管理费、教工食堂食材采购等非定额公用经费政府采购项目由于按学年度申报，剩余部分须等2025年春季学期完成支付。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610.49</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610.49</w:t>
            </w:r>
          </w:p>
        </w:tc>
        <w:tc>
          <w:tcPr>
            <w:tcW w:w="31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610.49</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2,751.90</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3,258.50</w:t>
            </w:r>
          </w:p>
        </w:tc>
        <w:tc>
          <w:tcPr>
            <w:tcW w:w="31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2,096.62</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64.34%</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1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1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4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4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30.03%</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w:t>
            </w:r>
          </w:p>
        </w:tc>
        <w:tc>
          <w:tcPr>
            <w:tcW w:w="24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物业管理费、教工食堂食材采购等公用经费政府采购项目由于按学年度申报，剩余部分须等2025年春季学期完成支付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5" w:hRule="atLeast"/>
        </w:trPr>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4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4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69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44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220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2024年学校行政办公、教育教学活动正常开展，学校良性发展，自评得分85分。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220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公用经费预算准确性有待进一步提高。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220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制定预算管理办法，通过制度的刚性约束提高预算执行规范化管理，提高执行率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4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项目负责人：祖祥凯</w:t>
            </w:r>
          </w:p>
        </w:tc>
        <w:tc>
          <w:tcPr>
            <w:tcW w:w="778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财务负责人：祖祥凯</w:t>
            </w:r>
          </w:p>
        </w:tc>
      </w:tr>
    </w:tbl>
    <w:p>
      <w:pPr>
        <w:pStyle w:val="2"/>
        <w:rPr>
          <w:rFonts w:hint="eastAsia"/>
          <w:lang w:val="en-US" w:eastAsia="zh-CN"/>
        </w:rPr>
      </w:pPr>
      <w:r>
        <w:rPr>
          <w:rFonts w:hint="eastAsia"/>
          <w:lang w:val="en-US" w:eastAsia="zh-CN"/>
        </w:rPr>
        <w:t xml:space="preserve">  </w:t>
      </w:r>
    </w:p>
    <w:p>
      <w:pPr>
        <w:pStyle w:val="2"/>
        <w:rPr>
          <w:rFonts w:hint="default"/>
          <w:lang w:val="en-US" w:eastAsia="zh-CN"/>
        </w:rPr>
        <w:sectPr>
          <w:pgSz w:w="16838" w:h="11906" w:orient="landscape"/>
          <w:pgMar w:top="1800" w:right="1440" w:bottom="1800" w:left="1440" w:header="851" w:footer="992" w:gutter="0"/>
          <w:pgNumType w:fmt="decimal"/>
          <w:cols w:space="425" w:num="1"/>
          <w:docGrid w:type="lines" w:linePitch="312" w:charSpace="0"/>
        </w:sectPr>
      </w:pPr>
    </w:p>
    <w:tbl>
      <w:tblPr>
        <w:tblStyle w:val="16"/>
        <w:tblpPr w:leftFromText="180" w:rightFromText="180" w:vertAnchor="text" w:horzAnchor="page" w:tblpX="1515" w:tblpY="325"/>
        <w:tblOverlap w:val="never"/>
        <w:tblW w:w="1395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40"/>
        <w:gridCol w:w="1042"/>
        <w:gridCol w:w="1300"/>
        <w:gridCol w:w="2125"/>
        <w:gridCol w:w="675"/>
        <w:gridCol w:w="925"/>
        <w:gridCol w:w="668"/>
        <w:gridCol w:w="1080"/>
        <w:gridCol w:w="540"/>
        <w:gridCol w:w="540"/>
        <w:gridCol w:w="42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4" w:hRule="atLeast"/>
        </w:trPr>
        <w:tc>
          <w:tcPr>
            <w:tcW w:w="1395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28"/>
                <w:szCs w:val="28"/>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7" w:hRule="atLeast"/>
        </w:trPr>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206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51080021T000000053119-普通话测试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4" w:hRule="atLeast"/>
        </w:trPr>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69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川北幼儿师范高等专科学校部门</w:t>
            </w:r>
          </w:p>
        </w:tc>
        <w:tc>
          <w:tcPr>
            <w:tcW w:w="10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 （盖章）</w:t>
            </w:r>
          </w:p>
        </w:tc>
        <w:tc>
          <w:tcPr>
            <w:tcW w:w="5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川北幼儿师范高等专科学校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0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69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637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69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全年完成普通话水平测试6次，预计测试人数10000人次。2、进行普通话水平测试前培训5-6次，根据情况分线上、线下进行。3、根据国家语委要求进行“推普周”活动1次。4、举办“三美”即美文、美语、美书进系部活动5次。5、根据（国语普测（2021）3号文件）文件要求，学校对现有普通话测试系统进行新版本的升级。</w:t>
            </w:r>
          </w:p>
        </w:tc>
        <w:tc>
          <w:tcPr>
            <w:tcW w:w="637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全年完成普通话水平测试6次，测试人数6175人次。2、进行普通话水平测试前线上培训5次。3、根据国家语委要求进行九月份“推普周”活动1次。4、举办“三美”即美文、美语、美书进学院活动5次。5、根据（国语普测（2021）3号文件）文件要求，学校对现有普通话测试系统于三月份已完成新版本的升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206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全年完成普通话水平测试6次，测试人数6175人次。2、进行普通话水平测试前线上培训5次。3、根据国家语委要求进行九月份“推普周”活动1次。4、举办“三美”即美文、美语、美书进学院活动5次。5、根据（国语普测（2021）3号文件）文件要求，学校对现有普通话测试系统于三月份已完成新版本的升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2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25.00</w:t>
            </w:r>
          </w:p>
        </w:tc>
        <w:tc>
          <w:tcPr>
            <w:tcW w:w="2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25.00</w:t>
            </w:r>
          </w:p>
        </w:tc>
        <w:tc>
          <w:tcPr>
            <w:tcW w:w="22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2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25.00</w:t>
            </w:r>
          </w:p>
        </w:tc>
        <w:tc>
          <w:tcPr>
            <w:tcW w:w="2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25.00</w:t>
            </w:r>
          </w:p>
        </w:tc>
        <w:tc>
          <w:tcPr>
            <w:tcW w:w="22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1"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1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3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普通话水平测试前培训</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6</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2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进行“推普周”活动</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2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8"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举办“三美”活动</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5</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2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普通话测试次数</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6175</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4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因上半年进行系统升级，与单招、专升本考试时间发生冲突，学生参测率不高。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普通话测试完成时间</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2024</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2024</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2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提高师生普通话水平</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优</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2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师生满意度</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95</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2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普通话测试费支出</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w:t>
            </w:r>
          </w:p>
        </w:tc>
        <w:tc>
          <w:tcPr>
            <w:tcW w:w="42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2" w:hRule="atLeast"/>
        </w:trPr>
        <w:tc>
          <w:tcPr>
            <w:tcW w:w="86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94</w:t>
            </w:r>
          </w:p>
        </w:tc>
        <w:tc>
          <w:tcPr>
            <w:tcW w:w="421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trPr>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206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2024年度，我校普通话水平测试站在四川省普通话水平测试中心的业务指导下，在学校领导的关注和监督下，较为圆满的完成了年初制订的测试计划，取得了进一步的经济效益和社会效益。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9" w:hRule="atLeast"/>
        </w:trPr>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206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我校普通话水平测试站是于2013年建成，测试设备已经使用了将近10年，某些设备跟不上测试系统的更新换代。测试仅为只有14个，远远满足不了我校广大师生的普通话水平测试的要求。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trPr>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206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1.学校要充分利用《现代汉语》、《普通话与教师口语》等课程，加大对学生的普通话培训力度，提高普通话水平合格率。</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2.通过开展中华经典诵读、诗文名篇朗诵、演讲、辩论赛、讲故事、主持人大赛等语言类活动，促使学生练普通话，提升普通话水平。</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3.更新测试设备，以满足新的测试系统的要求。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59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项目负责人：陈柯</w:t>
            </w:r>
          </w:p>
        </w:tc>
        <w:tc>
          <w:tcPr>
            <w:tcW w:w="796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财务负责人：祖祥凯</w:t>
            </w:r>
          </w:p>
        </w:tc>
      </w:tr>
    </w:tbl>
    <w:p>
      <w:pPr>
        <w:pStyle w:val="2"/>
        <w:rPr>
          <w:rFonts w:hint="eastAsia" w:ascii="Times New Roman" w:hAnsi="Times New Roman" w:eastAsia="黑体" w:cs="黑体"/>
          <w:color w:val="auto"/>
          <w:kern w:val="0"/>
          <w:sz w:val="32"/>
          <w:szCs w:val="32"/>
          <w:highlight w:val="none"/>
          <w:shd w:val="clear" w:color="auto" w:fill="FFFFFF"/>
          <w:lang w:val="zh-CN"/>
        </w:rPr>
        <w:sectPr>
          <w:footerReference r:id="rId8" w:type="first"/>
          <w:footerReference r:id="rId7" w:type="default"/>
          <w:pgSz w:w="16838" w:h="11906" w:orient="landscape"/>
          <w:pgMar w:top="1800" w:right="1440" w:bottom="1800" w:left="1440" w:header="851" w:footer="992" w:gutter="0"/>
          <w:pgNumType w:fmt="decimal"/>
          <w:cols w:space="425" w:num="1"/>
          <w:titlePg/>
          <w:docGrid w:type="lines" w:linePitch="312" w:charSpace="0"/>
        </w:sectPr>
      </w:pPr>
    </w:p>
    <w:tbl>
      <w:tblPr>
        <w:tblStyle w:val="16"/>
        <w:tblW w:w="1393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35"/>
        <w:gridCol w:w="1020"/>
        <w:gridCol w:w="960"/>
        <w:gridCol w:w="1380"/>
        <w:gridCol w:w="1035"/>
        <w:gridCol w:w="930"/>
        <w:gridCol w:w="1500"/>
        <w:gridCol w:w="1020"/>
        <w:gridCol w:w="1125"/>
        <w:gridCol w:w="1035"/>
        <w:gridCol w:w="28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393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28"/>
                <w:szCs w:val="28"/>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88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51080022T000006399649-高层次人才工作补助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8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川北幼儿师范高等专科学校部门</w:t>
            </w:r>
          </w:p>
        </w:tc>
        <w:tc>
          <w:tcPr>
            <w:tcW w:w="102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50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川北幼儿师范高等专科学校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8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60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8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按时发放人才引进工作补助</w:t>
            </w:r>
          </w:p>
        </w:tc>
        <w:tc>
          <w:tcPr>
            <w:tcW w:w="60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88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2024年2月6日，市财政局印发《关于下达市级财政专项资金的通知》（广财社〔2024〕18号），划拨第十至十四批引进高层次人才工作补助专项资金12.3万元，学校已按相关工作要求在相应人员每月工资中发放。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10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34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8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12.30</w:t>
            </w:r>
          </w:p>
        </w:tc>
        <w:tc>
          <w:tcPr>
            <w:tcW w:w="34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12.30</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8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年中预算调整说明：财政专项拨款。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12.30</w:t>
            </w:r>
          </w:p>
        </w:tc>
        <w:tc>
          <w:tcPr>
            <w:tcW w:w="34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12.30</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4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4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4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2" w:hRule="atLeast"/>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8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bl>
    <w:p>
      <w:pPr>
        <w:jc w:val="center"/>
        <w:rPr>
          <w:rFonts w:hint="eastAsia" w:ascii="宋体" w:hAnsi="宋体" w:eastAsia="宋体" w:cs="宋体"/>
          <w:i w:val="0"/>
          <w:iCs w:val="0"/>
          <w:color w:val="000000"/>
          <w:sz w:val="18"/>
          <w:szCs w:val="18"/>
          <w:u w:val="none"/>
        </w:rPr>
        <w:sectPr>
          <w:footerReference r:id="rId10" w:type="first"/>
          <w:footerReference r:id="rId9" w:type="default"/>
          <w:pgSz w:w="16838" w:h="11906" w:orient="landscape"/>
          <w:pgMar w:top="1800" w:right="1440" w:bottom="1800" w:left="1440" w:header="851" w:footer="992" w:gutter="0"/>
          <w:pgNumType w:fmt="decimal"/>
          <w:cols w:space="425" w:num="1"/>
          <w:titlePg/>
          <w:docGrid w:type="lines" w:linePitch="312" w:charSpace="0"/>
        </w:sectPr>
      </w:pPr>
    </w:p>
    <w:tbl>
      <w:tblPr>
        <w:tblStyle w:val="16"/>
        <w:tblW w:w="1393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35"/>
        <w:gridCol w:w="1020"/>
        <w:gridCol w:w="960"/>
        <w:gridCol w:w="1380"/>
        <w:gridCol w:w="1035"/>
        <w:gridCol w:w="930"/>
        <w:gridCol w:w="1500"/>
        <w:gridCol w:w="1020"/>
        <w:gridCol w:w="1125"/>
        <w:gridCol w:w="1035"/>
        <w:gridCol w:w="28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35" w:type="dxa"/>
            <w:vMerge w:val="restart"/>
            <w:tcBorders>
              <w:top w:val="single" w:color="000000" w:sz="4" w:space="0"/>
              <w:left w:val="single" w:color="000000" w:sz="4" w:space="0"/>
              <w:right w:val="single" w:color="000000" w:sz="4" w:space="0"/>
            </w:tcBorders>
            <w:shd w:val="clear" w:color="auto" w:fill="auto"/>
            <w:vAlign w:val="center"/>
          </w:tcPr>
          <w:p>
            <w:pPr>
              <w:pStyle w:val="2"/>
              <w:rPr>
                <w:rFonts w:hint="eastAsia"/>
              </w:rPr>
            </w:pP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人才引进人数</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8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工作补助发放时间</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按月发放</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按月发放</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8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对健全学校师资建设的持续影响程度</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w:t>
            </w:r>
          </w:p>
        </w:tc>
        <w:tc>
          <w:tcPr>
            <w:tcW w:w="28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引进人才满意度</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8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trPr>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工作补助标准</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元/人.月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500元/人.月</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8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888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w:t>
            </w:r>
          </w:p>
        </w:tc>
        <w:tc>
          <w:tcPr>
            <w:tcW w:w="289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8" w:hRule="atLeast"/>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290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已按相关工作要求在相应人员每月工资中发放，自评分99分。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2" w:hRule="atLeast"/>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290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290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0" w:hRule="atLeast"/>
        </w:trPr>
        <w:tc>
          <w:tcPr>
            <w:tcW w:w="543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项目负责人：王泽</w:t>
            </w:r>
          </w:p>
        </w:tc>
        <w:tc>
          <w:tcPr>
            <w:tcW w:w="850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财务负责人：祖祥凯</w:t>
            </w:r>
          </w:p>
        </w:tc>
      </w:tr>
    </w:tbl>
    <w:p>
      <w:pPr>
        <w:rPr>
          <w:rFonts w:hint="eastAsia"/>
          <w:lang w:val="zh-CN"/>
        </w:rPr>
        <w:sectPr>
          <w:footerReference r:id="rId12" w:type="first"/>
          <w:footerReference r:id="rId11" w:type="default"/>
          <w:pgSz w:w="16838" w:h="11906" w:orient="landscape"/>
          <w:pgMar w:top="1800" w:right="1440" w:bottom="1800" w:left="1440" w:header="851" w:footer="992" w:gutter="0"/>
          <w:pgNumType w:fmt="decimal"/>
          <w:cols w:space="425" w:num="1"/>
          <w:docGrid w:type="lines" w:linePitch="312" w:charSpace="0"/>
        </w:sectPr>
      </w:pPr>
    </w:p>
    <w:tbl>
      <w:tblPr>
        <w:tblStyle w:val="16"/>
        <w:tblW w:w="13875" w:type="dxa"/>
        <w:tblInd w:w="15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91"/>
        <w:gridCol w:w="1079"/>
        <w:gridCol w:w="1079"/>
        <w:gridCol w:w="1242"/>
        <w:gridCol w:w="869"/>
        <w:gridCol w:w="825"/>
        <w:gridCol w:w="1199"/>
        <w:gridCol w:w="1080"/>
        <w:gridCol w:w="1079"/>
        <w:gridCol w:w="914"/>
        <w:gridCol w:w="34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387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28"/>
                <w:szCs w:val="28"/>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1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7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51080024T000011629745-公开引进高层次人才安家补助和工作补助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1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21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川北幼儿师范高等专科学校部门</w:t>
            </w:r>
          </w:p>
        </w:tc>
        <w:tc>
          <w:tcPr>
            <w:tcW w:w="10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541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川北幼儿师范高等专科学校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0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21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649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21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保障公开引进急需紧缺高层次人才安家补助及工作补助及时足额发放。</w:t>
            </w:r>
          </w:p>
        </w:tc>
        <w:tc>
          <w:tcPr>
            <w:tcW w:w="649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Style w:val="37"/>
                <w:lang w:val="en-US" w:eastAsia="zh-CN" w:bidi="ar"/>
              </w:rPr>
              <w:t>已按广财教</w:t>
            </w:r>
            <w:r>
              <w:rPr>
                <w:rStyle w:val="38"/>
                <w:lang w:val="en-US" w:eastAsia="zh-CN" w:bidi="ar"/>
              </w:rPr>
              <w:t>〔</w:t>
            </w:r>
            <w:r>
              <w:rPr>
                <w:rStyle w:val="37"/>
                <w:lang w:val="en-US" w:eastAsia="zh-CN" w:bidi="ar"/>
              </w:rPr>
              <w:t>2024</w:t>
            </w:r>
            <w:r>
              <w:rPr>
                <w:rStyle w:val="38"/>
                <w:lang w:val="en-US" w:eastAsia="zh-CN" w:bidi="ar"/>
              </w:rPr>
              <w:t>〕</w:t>
            </w:r>
            <w:r>
              <w:rPr>
                <w:rStyle w:val="37"/>
                <w:lang w:val="en-US" w:eastAsia="zh-CN" w:bidi="ar"/>
              </w:rPr>
              <w:t>113号文件要求及时核发。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7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2024年11月29日，市财政局印发《关于下达市级财政专项资金的通知》（广财教〔2024〕113号），2024年12月，学校按要求核发第十六批引进高层次人才安家补助95万元，第十五、十六批引进高层人才岗位补助9万元，第十一至十四批引进高层次人才岗位补助10.8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8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4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114.80</w:t>
            </w:r>
          </w:p>
        </w:tc>
        <w:tc>
          <w:tcPr>
            <w:tcW w:w="28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114.80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4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年中预算调整说明：财政专项拨款，学校年初未预算。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114.80</w:t>
            </w:r>
          </w:p>
        </w:tc>
        <w:tc>
          <w:tcPr>
            <w:tcW w:w="28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114.80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8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0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4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补助发放人数</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11人</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4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师资队伍结构进一步优化，硕士以上学位教职工占比</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60.40%</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4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补助发放时间</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12个月</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4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提升学校综合人才素质</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w:t>
            </w:r>
          </w:p>
        </w:tc>
        <w:tc>
          <w:tcPr>
            <w:tcW w:w="34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引进人才满意度</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4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0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硕士安家补助标准</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80000</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元/人</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80000元/人</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4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博士安家补助标准</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150000</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元/人</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15000元/人</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4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硕士岗位补助标准</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元/月</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500元/人.月</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4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博士岗位补助标准</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元/月</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1000元/人.月</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4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46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34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7" w:hRule="atLeast"/>
        </w:trPr>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278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已按广财教〔2024〕113号文件要求及时准确核发，自评分98分。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7" w:hRule="atLeast"/>
        </w:trPr>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278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278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7" w:hRule="atLeast"/>
        </w:trPr>
        <w:tc>
          <w:tcPr>
            <w:tcW w:w="53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项目负责人：王泽</w:t>
            </w:r>
          </w:p>
        </w:tc>
        <w:tc>
          <w:tcPr>
            <w:tcW w:w="851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财务负责人：祖祥凯</w:t>
            </w:r>
          </w:p>
        </w:tc>
      </w:tr>
    </w:tbl>
    <w:p>
      <w:pPr>
        <w:pStyle w:val="24"/>
        <w:outlineLvl w:val="9"/>
        <w:rPr>
          <w:rFonts w:hint="eastAsia"/>
          <w:lang w:val="zh-CN"/>
        </w:rPr>
        <w:sectPr>
          <w:pgSz w:w="16838" w:h="11906" w:orient="landscape"/>
          <w:pgMar w:top="1800" w:right="1440" w:bottom="1800" w:left="1440" w:header="851" w:footer="992" w:gutter="0"/>
          <w:pgNumType w:fmt="decimal"/>
          <w:cols w:space="425" w:num="1"/>
          <w:titlePg/>
          <w:docGrid w:type="lines" w:linePitch="312" w:charSpace="0"/>
        </w:sectPr>
      </w:pPr>
    </w:p>
    <w:tbl>
      <w:tblPr>
        <w:tblStyle w:val="16"/>
        <w:tblW w:w="1393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29"/>
        <w:gridCol w:w="1139"/>
        <w:gridCol w:w="1140"/>
        <w:gridCol w:w="1172"/>
        <w:gridCol w:w="960"/>
        <w:gridCol w:w="975"/>
        <w:gridCol w:w="1048"/>
        <w:gridCol w:w="977"/>
        <w:gridCol w:w="930"/>
        <w:gridCol w:w="900"/>
        <w:gridCol w:w="37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93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28"/>
                <w:szCs w:val="28"/>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0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8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51080023T000008823449-广元市科技拔尖人才2022年岗位激励奖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0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2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川北幼儿师范高等专科学校部门</w:t>
            </w:r>
          </w:p>
        </w:tc>
        <w:tc>
          <w:tcPr>
            <w:tcW w:w="977"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55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川北幼儿师范高等专科学校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9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1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2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65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1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2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按时发放科技拔尖人才岗位奖励金,调动科学技术工作者的积极性和创造性。</w:t>
            </w:r>
          </w:p>
        </w:tc>
        <w:tc>
          <w:tcPr>
            <w:tcW w:w="65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已按要求及时准确核发。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8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2024年10月底，市财政局下发《关于下达广元市第十届科技拔尖人才2024年度岗位激励资金的通知》，划拨我校专项资金7200元。2024年11月25日，核发曹斌。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9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9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0.72</w:t>
            </w:r>
          </w:p>
        </w:tc>
        <w:tc>
          <w:tcPr>
            <w:tcW w:w="29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0.72</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7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学校年初未预算，财政专项拨款。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0.72</w:t>
            </w:r>
          </w:p>
        </w:tc>
        <w:tc>
          <w:tcPr>
            <w:tcW w:w="29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0.72</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9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1" w:hRule="atLeast"/>
        </w:trPr>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9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9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9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补助科技拔尖人才人数</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1人</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7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发放时间</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1年</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7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0" w:hRule="atLeast"/>
        </w:trPr>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有效持续激励科学技术工作者的积极性和创造性</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7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科技拔尖人才满意度</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7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科技拔尖激励补助资金月标准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元/月</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600元/月</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7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3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7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00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按照市财政局《关于下达广元市第十届科技拔尖人才2024年度岗位激励资金的通知》要求，及时准确足额核发，自评分100分。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9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00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9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00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53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项目负责人：王泽</w:t>
            </w:r>
          </w:p>
        </w:tc>
        <w:tc>
          <w:tcPr>
            <w:tcW w:w="859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财务负责人：祖祥凯</w:t>
            </w:r>
          </w:p>
        </w:tc>
      </w:tr>
    </w:tbl>
    <w:p>
      <w:pPr>
        <w:rPr>
          <w:rFonts w:hint="eastAsia"/>
          <w:lang w:val="zh-CN"/>
        </w:rPr>
        <w:sectPr>
          <w:pgSz w:w="16838" w:h="11906" w:orient="landscape"/>
          <w:pgMar w:top="1800" w:right="1440" w:bottom="1800" w:left="1440" w:header="851" w:footer="992" w:gutter="0"/>
          <w:pgNumType w:fmt="decimal"/>
          <w:cols w:space="425" w:num="1"/>
          <w:titlePg/>
          <w:docGrid w:type="lines" w:linePitch="312" w:charSpace="0"/>
        </w:sectPr>
      </w:pPr>
    </w:p>
    <w:tbl>
      <w:tblPr>
        <w:tblStyle w:val="16"/>
        <w:tblW w:w="1392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00"/>
        <w:gridCol w:w="1338"/>
        <w:gridCol w:w="100"/>
        <w:gridCol w:w="1100"/>
        <w:gridCol w:w="1538"/>
        <w:gridCol w:w="675"/>
        <w:gridCol w:w="800"/>
        <w:gridCol w:w="912"/>
        <w:gridCol w:w="988"/>
        <w:gridCol w:w="625"/>
        <w:gridCol w:w="1014"/>
        <w:gridCol w:w="42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3926"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28"/>
                <w:szCs w:val="28"/>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0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88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51080023T000008470865-产教融合实训基地建设项目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0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0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川北幼儿师范高等专科学校部门</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58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川北幼儿师范高等专科学校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43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0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68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5"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3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0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项目概算批复金额为12447.51万元，24年校内预算为176.46万元，预计上半年取得施工许可证，实现开工并支付债券利息、设计费、图纸审查费、咨询费等。    </w:t>
            </w:r>
          </w:p>
        </w:tc>
        <w:tc>
          <w:tcPr>
            <w:tcW w:w="68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2024年取得项目施工许可证，完成基础部分施工，按时支付债券利息、设计费、图纸审查费、咨询费等，较好的完成了年度目标。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3"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88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项目建设内容为新建康复实训中心 11284 平方米，配套附属设施建设及设备购置等。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3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242.75</w:t>
            </w:r>
          </w:p>
        </w:tc>
        <w:tc>
          <w:tcPr>
            <w:tcW w:w="23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242.64</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99.96%</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2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3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242.75</w:t>
            </w:r>
          </w:p>
        </w:tc>
        <w:tc>
          <w:tcPr>
            <w:tcW w:w="23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242.64</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99.96%</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3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23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3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建设面积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11284</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平方米</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11284</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42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3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主控项目质量合格率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100</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42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3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项目完成时间</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2026</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2026年之前完成</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2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3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基础设施明显改善满足师生教学、学习、生活需求</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优</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2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3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生态效益指标</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项目建设过程中，建设垃圾及污水处理及时妥当</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优</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2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3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建筑使用年限</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50</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2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师生对项目的满意程度</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96</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2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预算年度内项目投资</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176.46</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242.75</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w:t>
            </w:r>
          </w:p>
        </w:tc>
        <w:tc>
          <w:tcPr>
            <w:tcW w:w="4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项目进度超预期。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0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663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96</w:t>
            </w:r>
          </w:p>
        </w:tc>
        <w:tc>
          <w:tcPr>
            <w:tcW w:w="423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32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宋体" w:hAnsi="宋体" w:eastAsia="宋体" w:cs="宋体"/>
                <w:i w:val="0"/>
                <w:iCs w:val="0"/>
                <w:color w:val="000000"/>
                <w:kern w:val="0"/>
                <w:sz w:val="18"/>
                <w:szCs w:val="18"/>
                <w:u w:val="none"/>
                <w:lang w:val="en-US" w:eastAsia="zh-CN" w:bidi="ar"/>
              </w:rPr>
              <w:t>本项目为建设学校产教融合实训基地，有助于提升教学质量，培养更多康养、医护类高技术人才，从而扩大知名度，推进广元市高等教育发展进程，助力广元市康养生态旅游名市创建。项目自评总分96分。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19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198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宋体" w:hAnsi="宋体" w:eastAsia="宋体" w:cs="宋体"/>
                <w:i w:val="0"/>
                <w:iCs w:val="0"/>
                <w:color w:val="000000"/>
                <w:kern w:val="0"/>
                <w:sz w:val="18"/>
                <w:szCs w:val="18"/>
                <w:u w:val="none"/>
                <w:lang w:val="en-US" w:eastAsia="zh-CN" w:bidi="ar"/>
              </w:rPr>
              <w:t>项目进度超预期，存在年中调整资金预算情况。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19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198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宋体" w:hAnsi="宋体" w:eastAsia="宋体" w:cs="宋体"/>
                <w:i w:val="0"/>
                <w:iCs w:val="0"/>
                <w:color w:val="000000"/>
                <w:kern w:val="0"/>
                <w:sz w:val="18"/>
                <w:szCs w:val="18"/>
                <w:u w:val="none"/>
                <w:lang w:val="en-US" w:eastAsia="zh-CN" w:bidi="ar"/>
              </w:rPr>
              <w:t>吸取经验教训，在列预算时更为合理考虑项目未来的进度。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535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项目负责人：黄博</w:t>
            </w:r>
          </w:p>
        </w:tc>
        <w:tc>
          <w:tcPr>
            <w:tcW w:w="85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财务负责人：祖祥凯</w:t>
            </w:r>
          </w:p>
        </w:tc>
      </w:tr>
    </w:tbl>
    <w:p>
      <w:pPr>
        <w:pStyle w:val="24"/>
        <w:outlineLvl w:val="9"/>
        <w:rPr>
          <w:rFonts w:hint="eastAsia"/>
          <w:lang w:val="zh-CN"/>
        </w:rPr>
        <w:sectPr>
          <w:pgSz w:w="16838" w:h="11906" w:orient="landscape"/>
          <w:pgMar w:top="1800" w:right="1440" w:bottom="1800" w:left="1440" w:header="851" w:footer="992" w:gutter="0"/>
          <w:pgNumType w:fmt="decimal"/>
          <w:cols w:space="425" w:num="1"/>
          <w:titlePg/>
          <w:docGrid w:type="lines" w:linePitch="312" w:charSpace="0"/>
        </w:sectPr>
      </w:pPr>
    </w:p>
    <w:tbl>
      <w:tblPr>
        <w:tblStyle w:val="16"/>
        <w:tblW w:w="1397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92"/>
        <w:gridCol w:w="1047"/>
        <w:gridCol w:w="1184"/>
        <w:gridCol w:w="1304"/>
        <w:gridCol w:w="1079"/>
        <w:gridCol w:w="1079"/>
        <w:gridCol w:w="1393"/>
        <w:gridCol w:w="1072"/>
        <w:gridCol w:w="1079"/>
        <w:gridCol w:w="1079"/>
        <w:gridCol w:w="27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397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hint="eastAsia" w:ascii="黑体" w:hAnsi="宋体" w:eastAsia="黑体" w:cs="黑体"/>
                <w:b/>
                <w:bCs/>
                <w:i w:val="0"/>
                <w:iCs w:val="0"/>
                <w:color w:val="000000"/>
                <w:kern w:val="0"/>
                <w:sz w:val="28"/>
                <w:szCs w:val="28"/>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9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203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51080025T000012124548-川北幼专北校区（原广元市委党校）维修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0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川北幼儿师范高等专科学校部门</w:t>
            </w:r>
          </w:p>
        </w:tc>
        <w:tc>
          <w:tcPr>
            <w:tcW w:w="107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492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川北幼儿师范高等专科学校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0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0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599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0" w:hRule="atLeast"/>
        </w:trPr>
        <w:tc>
          <w:tcPr>
            <w:tcW w:w="8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0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为充分发挥北校区（原市委党校雪峰校区）功能，满足教育教学工作需要，拟实施北校区维修项目，维修内容包括广元市心理健康教育中心建设、教学办公用房维修、招待所维修、食堂屋面防水处理。本年计划完成施工图设计、预算编制、财政评审、施工招标等工作，及时支付工程款及待摊费用。</w:t>
            </w:r>
          </w:p>
        </w:tc>
        <w:tc>
          <w:tcPr>
            <w:tcW w:w="599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本年按照计划顺利完成项目施工图设计、预算编制、财政评审、施工招标等工作，并及时支付了工程款及待摊费用。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8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203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在北校区实施广元市心理健康教育中心建设、教学办公用房维修、原市委党校招待所维修、食堂维修四个项目，项目总预算约393.68万元。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8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35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324.72</w:t>
            </w:r>
          </w:p>
        </w:tc>
        <w:tc>
          <w:tcPr>
            <w:tcW w:w="35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120.57</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37.13%</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7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因政府采购项目占用预算资金312.33万元，根据该合同条款，大部分费用的支付节点未到，所以预算执行率偏低。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8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5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324.72</w:t>
            </w:r>
          </w:p>
        </w:tc>
        <w:tc>
          <w:tcPr>
            <w:tcW w:w="35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120.57</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37.13%</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5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35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8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3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维修楼栋数量</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13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幢</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4</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7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主控项目质量合格率</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3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7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项目完成时间</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13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7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8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北校区建筑利用程度提高，为师生提供更适宜的教学生活环境，提升学校知名度</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13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优</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7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8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生态效益指标</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安全文明施工，减少环境污染</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13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优</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7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1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学生满意度</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13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97</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7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教师满意度</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13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96</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7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预算年度内项目成本</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393.68</w:t>
            </w:r>
          </w:p>
        </w:tc>
        <w:tc>
          <w:tcPr>
            <w:tcW w:w="13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120.57</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7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05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7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08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根据师生员工教育教学工作需要，实施北校区维修项目，建设内容包括广元市心理健康教育中心建设、教学办公用房维修、招待所维修、食堂屋面防水处理，项目的实施为师生提供了更多舒适的校园教学、办公环境，有利于空间资源的充分利用。项目自评总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08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因政府采购项目占用预算资金312.33万元，根据该合同条款，大部分费用的支付节点未到，所以预算执行率偏低。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08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加快推进项目进度，按照合同约定及时支付费用。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50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项目负责人：黄博</w:t>
            </w:r>
          </w:p>
        </w:tc>
        <w:tc>
          <w:tcPr>
            <w:tcW w:w="847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财务负责人：祖祥凯</w:t>
            </w:r>
          </w:p>
        </w:tc>
      </w:tr>
    </w:tbl>
    <w:p>
      <w:pPr>
        <w:rPr>
          <w:rFonts w:hint="eastAsia"/>
          <w:lang w:val="zh-CN"/>
        </w:rPr>
        <w:sectPr>
          <w:pgSz w:w="16838" w:h="11906" w:orient="landscape"/>
          <w:pgMar w:top="1800" w:right="1440" w:bottom="1800" w:left="1440" w:header="851" w:footer="992" w:gutter="0"/>
          <w:pgNumType w:fmt="decimal"/>
          <w:cols w:space="425" w:num="1"/>
          <w:titlePg/>
          <w:docGrid w:type="lines" w:linePitch="312" w:charSpace="0"/>
        </w:sectPr>
      </w:pPr>
    </w:p>
    <w:tbl>
      <w:tblPr>
        <w:tblStyle w:val="16"/>
        <w:tblW w:w="1395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99"/>
        <w:gridCol w:w="1788"/>
        <w:gridCol w:w="1079"/>
        <w:gridCol w:w="1275"/>
        <w:gridCol w:w="931"/>
        <w:gridCol w:w="795"/>
        <w:gridCol w:w="1289"/>
        <w:gridCol w:w="990"/>
        <w:gridCol w:w="1080"/>
        <w:gridCol w:w="975"/>
        <w:gridCol w:w="28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8" w:hRule="atLeast"/>
        </w:trPr>
        <w:tc>
          <w:tcPr>
            <w:tcW w:w="1395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18"/>
                <w:szCs w:val="18"/>
                <w:u w:val="none"/>
              </w:rPr>
            </w:pPr>
            <w:r>
              <w:rPr>
                <w:rFonts w:hint="eastAsia" w:ascii="黑体" w:hAnsi="宋体" w:eastAsia="黑体" w:cs="黑体"/>
                <w:b/>
                <w:bCs/>
                <w:i w:val="0"/>
                <w:iCs w:val="0"/>
                <w:color w:val="000000"/>
                <w:kern w:val="0"/>
                <w:sz w:val="28"/>
                <w:szCs w:val="28"/>
                <w:u w:val="none"/>
                <w:lang w:val="en-US" w:eastAsia="zh-CN" w:bidi="ar"/>
              </w:rPr>
              <w:t>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6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项目名称</w:t>
            </w:r>
          </w:p>
        </w:tc>
        <w:tc>
          <w:tcPr>
            <w:tcW w:w="1126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51080025T000012156701-市委党校雪峰校区租赁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6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主管部门</w:t>
            </w:r>
          </w:p>
        </w:tc>
        <w:tc>
          <w:tcPr>
            <w:tcW w:w="536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川北幼儿师范高等专科学校部门</w:t>
            </w:r>
          </w:p>
        </w:tc>
        <w:tc>
          <w:tcPr>
            <w:tcW w:w="99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实施单位 （盖章）</w:t>
            </w:r>
          </w:p>
        </w:tc>
        <w:tc>
          <w:tcPr>
            <w:tcW w:w="49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川北幼儿师范高等专科学校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项目基本情况</w:t>
            </w:r>
          </w:p>
        </w:tc>
        <w:tc>
          <w:tcPr>
            <w:tcW w:w="17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1.项目年度目标完成情况</w:t>
            </w:r>
          </w:p>
        </w:tc>
        <w:tc>
          <w:tcPr>
            <w:tcW w:w="536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项目年度目标</w:t>
            </w:r>
          </w:p>
        </w:tc>
        <w:tc>
          <w:tcPr>
            <w:tcW w:w="58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i w:val="0"/>
                <w:iCs w:val="0"/>
                <w:color w:val="000000"/>
                <w:sz w:val="18"/>
                <w:szCs w:val="18"/>
                <w:u w:val="none"/>
              </w:rPr>
            </w:pPr>
          </w:p>
        </w:tc>
        <w:tc>
          <w:tcPr>
            <w:tcW w:w="1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i w:val="0"/>
                <w:iCs w:val="0"/>
                <w:color w:val="000000"/>
                <w:sz w:val="18"/>
                <w:szCs w:val="18"/>
                <w:u w:val="none"/>
              </w:rPr>
            </w:pPr>
          </w:p>
        </w:tc>
        <w:tc>
          <w:tcPr>
            <w:tcW w:w="536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按照双方协商一致结果，完成租赁合同的签订及2024年租赁费支付，保障川北幼专北校区（原市委党校雪峰校区）2024年投入正常使用。</w:t>
            </w:r>
          </w:p>
        </w:tc>
        <w:tc>
          <w:tcPr>
            <w:tcW w:w="58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在2024年，经过双方协商一致，完成了租赁合同的签订，学校向市委党校支付了2024年3月1日至2025年2月28日一年的租金210万元。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i w:val="0"/>
                <w:iCs w:val="0"/>
                <w:color w:val="000000"/>
                <w:sz w:val="18"/>
                <w:szCs w:val="18"/>
                <w:u w:val="none"/>
              </w:rPr>
            </w:pP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2.项目实施内容及过程概述</w:t>
            </w:r>
          </w:p>
        </w:tc>
        <w:tc>
          <w:tcPr>
            <w:tcW w:w="1126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合同签订后，按照约定向对方支付租赁费用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8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预算执行情况（10分）</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年度预算数（万元）</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年初预算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调整后预算数</w:t>
            </w:r>
          </w:p>
        </w:tc>
        <w:tc>
          <w:tcPr>
            <w:tcW w:w="30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预算执行数</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预算执行率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权重</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得分</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总额</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210.00</w:t>
            </w:r>
          </w:p>
        </w:tc>
        <w:tc>
          <w:tcPr>
            <w:tcW w:w="30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210.00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28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其中：财政资金</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30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2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财政专户管理资金</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210.00</w:t>
            </w:r>
          </w:p>
        </w:tc>
        <w:tc>
          <w:tcPr>
            <w:tcW w:w="30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210.00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2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单位资金</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30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2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其他资金</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iCs/>
                <w:color w:val="000000"/>
                <w:sz w:val="18"/>
                <w:szCs w:val="18"/>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iCs/>
                <w:color w:val="000000"/>
                <w:sz w:val="18"/>
                <w:szCs w:val="18"/>
                <w:u w:val="none"/>
              </w:rPr>
            </w:pPr>
          </w:p>
        </w:tc>
        <w:tc>
          <w:tcPr>
            <w:tcW w:w="30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iCs/>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iCs/>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2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8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绩效指标（90分）</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一级指标</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二级指标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三级指标</w:t>
            </w:r>
          </w:p>
        </w:tc>
        <w:tc>
          <w:tcPr>
            <w:tcW w:w="9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指标性质</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指标值</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度量单位</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完成值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权重</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得分</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7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产出指标</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数量指标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租赁校区面积</w:t>
            </w:r>
          </w:p>
        </w:tc>
        <w:tc>
          <w:tcPr>
            <w:tcW w:w="9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22845</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平方米</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iCs/>
                <w:color w:val="000000"/>
                <w:sz w:val="18"/>
                <w:szCs w:val="18"/>
                <w:u w:val="none"/>
              </w:rPr>
            </w:pPr>
            <w:r>
              <w:rPr>
                <w:rFonts w:hint="eastAsia" w:asciiTheme="minorEastAsia" w:hAnsiTheme="minorEastAsia" w:eastAsiaTheme="minorEastAsia" w:cstheme="minorEastAsia"/>
                <w:i/>
                <w:iCs/>
                <w:color w:val="000000"/>
                <w:kern w:val="0"/>
                <w:sz w:val="18"/>
                <w:szCs w:val="18"/>
                <w:u w:val="none"/>
                <w:lang w:val="en-US" w:eastAsia="zh-CN" w:bidi="ar"/>
              </w:rPr>
              <w:t>22845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20</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时效指标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项目完成时间</w:t>
            </w:r>
          </w:p>
        </w:tc>
        <w:tc>
          <w:tcPr>
            <w:tcW w:w="9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12</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月</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iCs/>
                <w:color w:val="000000"/>
                <w:sz w:val="18"/>
                <w:szCs w:val="18"/>
                <w:u w:val="none"/>
              </w:rPr>
            </w:pPr>
            <w:r>
              <w:rPr>
                <w:rFonts w:hint="eastAsia" w:asciiTheme="minorEastAsia" w:hAnsiTheme="minorEastAsia" w:eastAsiaTheme="minorEastAsia" w:cstheme="minorEastAsia"/>
                <w:i/>
                <w:iCs/>
                <w:color w:val="000000"/>
                <w:kern w:val="0"/>
                <w:sz w:val="18"/>
                <w:szCs w:val="18"/>
                <w:u w:val="none"/>
                <w:lang w:val="en-US" w:eastAsia="zh-CN" w:bidi="ar"/>
              </w:rPr>
              <w:t>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20</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trPr>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7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效益指标</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社会效益指标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扩大教学场地，改善办学环境，更好的服务于师生。</w:t>
            </w:r>
          </w:p>
        </w:tc>
        <w:tc>
          <w:tcPr>
            <w:tcW w:w="9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定性</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优</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iCs/>
                <w:color w:val="000000"/>
                <w:sz w:val="18"/>
                <w:szCs w:val="18"/>
                <w:u w:val="none"/>
              </w:rPr>
            </w:pPr>
            <w:r>
              <w:rPr>
                <w:rFonts w:hint="eastAsia" w:asciiTheme="minorEastAsia" w:hAnsiTheme="minorEastAsia" w:eastAsiaTheme="minorEastAsia" w:cstheme="minorEastAsia"/>
                <w:i/>
                <w:iCs/>
                <w:color w:val="000000"/>
                <w:kern w:val="0"/>
                <w:sz w:val="18"/>
                <w:szCs w:val="18"/>
                <w:u w:val="none"/>
                <w:lang w:val="en-US" w:eastAsia="zh-CN" w:bidi="ar"/>
              </w:rPr>
              <w:t>优</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0" w:hRule="atLeast"/>
        </w:trPr>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可持续发展指标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为学校将来办学环境打造提供基础条件，促进学校发展建设。</w:t>
            </w:r>
          </w:p>
        </w:tc>
        <w:tc>
          <w:tcPr>
            <w:tcW w:w="9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定性</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优</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iCs/>
                <w:color w:val="000000"/>
                <w:sz w:val="18"/>
                <w:szCs w:val="18"/>
                <w:u w:val="none"/>
              </w:rPr>
            </w:pPr>
            <w:r>
              <w:rPr>
                <w:rFonts w:hint="eastAsia" w:asciiTheme="minorEastAsia" w:hAnsiTheme="minorEastAsia" w:eastAsiaTheme="minorEastAsia" w:cstheme="minorEastAsia"/>
                <w:i/>
                <w:iCs/>
                <w:color w:val="000000"/>
                <w:kern w:val="0"/>
                <w:sz w:val="18"/>
                <w:szCs w:val="18"/>
                <w:u w:val="none"/>
                <w:lang w:val="en-US" w:eastAsia="zh-CN" w:bidi="ar"/>
              </w:rPr>
              <w:t>优</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7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满意度指标</w:t>
            </w:r>
          </w:p>
        </w:tc>
        <w:tc>
          <w:tcPr>
            <w:tcW w:w="10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服务对象满意度指标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学生满意度</w:t>
            </w:r>
          </w:p>
        </w:tc>
        <w:tc>
          <w:tcPr>
            <w:tcW w:w="9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95</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iCs/>
                <w:color w:val="000000"/>
                <w:sz w:val="18"/>
                <w:szCs w:val="18"/>
                <w:u w:val="none"/>
              </w:rPr>
            </w:pPr>
            <w:r>
              <w:rPr>
                <w:rFonts w:hint="eastAsia" w:asciiTheme="minorEastAsia" w:hAnsiTheme="minorEastAsia" w:eastAsiaTheme="minorEastAsia" w:cstheme="minorEastAsia"/>
                <w:i/>
                <w:iCs/>
                <w:color w:val="000000"/>
                <w:kern w:val="0"/>
                <w:sz w:val="18"/>
                <w:szCs w:val="18"/>
                <w:u w:val="none"/>
                <w:lang w:val="en-US" w:eastAsia="zh-CN" w:bidi="ar"/>
              </w:rPr>
              <w:t>95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4</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教师满意度</w:t>
            </w:r>
          </w:p>
        </w:tc>
        <w:tc>
          <w:tcPr>
            <w:tcW w:w="9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95</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iCs/>
                <w:color w:val="000000"/>
                <w:sz w:val="18"/>
                <w:szCs w:val="18"/>
                <w:u w:val="none"/>
              </w:rPr>
            </w:pPr>
            <w:r>
              <w:rPr>
                <w:rFonts w:hint="eastAsia" w:asciiTheme="minorEastAsia" w:hAnsiTheme="minorEastAsia" w:eastAsiaTheme="minorEastAsia" w:cstheme="minorEastAsia"/>
                <w:i/>
                <w:iCs/>
                <w:color w:val="000000"/>
                <w:kern w:val="0"/>
                <w:sz w:val="18"/>
                <w:szCs w:val="18"/>
                <w:u w:val="none"/>
                <w:lang w:val="en-US" w:eastAsia="zh-CN" w:bidi="ar"/>
              </w:rPr>
              <w:t>95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4</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成本指标</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经济成本指标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预算年度内支付租赁费</w:t>
            </w:r>
          </w:p>
        </w:tc>
        <w:tc>
          <w:tcPr>
            <w:tcW w:w="9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210</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万元</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iCs/>
                <w:color w:val="000000"/>
                <w:sz w:val="18"/>
                <w:szCs w:val="18"/>
                <w:u w:val="none"/>
              </w:rPr>
            </w:pPr>
            <w:r>
              <w:rPr>
                <w:rFonts w:hint="eastAsia" w:asciiTheme="minorEastAsia" w:hAnsiTheme="minorEastAsia" w:eastAsiaTheme="minorEastAsia" w:cstheme="minorEastAsia"/>
                <w:i/>
                <w:iCs/>
                <w:color w:val="000000"/>
                <w:kern w:val="0"/>
                <w:sz w:val="18"/>
                <w:szCs w:val="18"/>
                <w:u w:val="none"/>
                <w:lang w:val="en-US" w:eastAsia="zh-CN" w:bidi="ar"/>
              </w:rPr>
              <w:t>210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20</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04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合计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98</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评价结论</w:t>
            </w:r>
          </w:p>
        </w:tc>
        <w:tc>
          <w:tcPr>
            <w:tcW w:w="1305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通过实施市委党校校区租赁项目，学校新增占地面积22845平方米，成功拓展了教学区与学生生活区的物理空间。这一举措不仅有效缓解了教学及生活空间不足的困境，更通过硬件设施的提质升级，显著提升了整体办学条件，为师生打造了更为优质的教学生态环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存在问题</w:t>
            </w:r>
          </w:p>
        </w:tc>
        <w:tc>
          <w:tcPr>
            <w:tcW w:w="1305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租用市委党校校区后需加强后期配套服务，方便老师教学工作的开展以及学生住宿条件的提升，进一步提高师生满意度。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改进措施</w:t>
            </w:r>
          </w:p>
        </w:tc>
        <w:tc>
          <w:tcPr>
            <w:tcW w:w="1305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加强教学相关设备的配置，维修改造学生宿舍，食堂，加强基础设施建设，提升学校办学水平。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97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项目负责人：李勇</w:t>
            </w:r>
          </w:p>
        </w:tc>
        <w:tc>
          <w:tcPr>
            <w:tcW w:w="797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财务负责人：祖祥凯</w:t>
            </w:r>
          </w:p>
        </w:tc>
      </w:tr>
    </w:tbl>
    <w:p>
      <w:pPr>
        <w:pStyle w:val="24"/>
        <w:outlineLvl w:val="9"/>
        <w:rPr>
          <w:rFonts w:hint="eastAsia"/>
          <w:lang w:val="zh-CN"/>
        </w:rPr>
        <w:sectPr>
          <w:pgSz w:w="16838" w:h="11906" w:orient="landscape"/>
          <w:pgMar w:top="1800" w:right="1440" w:bottom="1800" w:left="1440" w:header="851" w:footer="992" w:gutter="0"/>
          <w:pgNumType w:fmt="decimal"/>
          <w:cols w:space="425" w:num="1"/>
          <w:titlePg/>
          <w:docGrid w:type="lines" w:linePitch="312" w:charSpace="0"/>
        </w:sectPr>
      </w:pPr>
    </w:p>
    <w:tbl>
      <w:tblPr>
        <w:tblStyle w:val="16"/>
        <w:tblW w:w="1398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70"/>
        <w:gridCol w:w="1035"/>
        <w:gridCol w:w="855"/>
        <w:gridCol w:w="1335"/>
        <w:gridCol w:w="885"/>
        <w:gridCol w:w="765"/>
        <w:gridCol w:w="1485"/>
        <w:gridCol w:w="2325"/>
        <w:gridCol w:w="780"/>
        <w:gridCol w:w="945"/>
        <w:gridCol w:w="27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398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28"/>
                <w:szCs w:val="28"/>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208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51080022T000004937598-成人教育经费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3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川北幼儿师范高等专科学校部门</w:t>
            </w:r>
          </w:p>
        </w:tc>
        <w:tc>
          <w:tcPr>
            <w:tcW w:w="2325"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44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川北幼儿师范高等专科学校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0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3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67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8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325"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我校举办的成人学历继续教育办学旨在为广大学生服务，通过学历提升，专业技能强化，提升毕业生就业平台和就业率。每年学历继续教育学生人数达到1000余人，成人教育经费主要用于教师课时费、监考费、日常教学管理等费用，合理规划资金使用范围，提高资金使用效率。</w:t>
            </w:r>
          </w:p>
        </w:tc>
        <w:tc>
          <w:tcPr>
            <w:tcW w:w="6758"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2024年度联合举办的自考本科学生为984人，联合办学费主要来源于学费，主要用于支付课时费、监考费、成教干事津贴等费用，合理规划资金使用范围，提高资金使用效率。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208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我校举办的学历继续教育主要有成人高等教育、高等教育自学考试两种，由于生源萎缩，2024年度，成人高等教育未招到新生，但高等教育自学考试发展态势良好。每学期开学，继续教育部牵头召开继续教育工作专题会议，按照国家招生政策，对各教学院（部）进行成人学历教育招生工作的指导、服务。督促各院（部）开展自考助学工作。严格选拔任课教师，严格学生考勤，严把教学质量关，增强助学工作的实效性，提高考试过关率，吸引更多的学生参加高等教育自学考试。在学籍管理工作中，秉承“坚持原则，秉公办事，一丝不苟”的原则,准确完成了各类数据上报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8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31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26.00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26.00</w:t>
            </w:r>
          </w:p>
        </w:tc>
        <w:tc>
          <w:tcPr>
            <w:tcW w:w="31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15.61</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27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预算编制科学性不足，导致预算与业务需求存在偏差。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1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26.00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26.00</w:t>
            </w:r>
          </w:p>
        </w:tc>
        <w:tc>
          <w:tcPr>
            <w:tcW w:w="31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15.61</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1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31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学历教育教育学生人数</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984</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w:t>
            </w:r>
          </w:p>
        </w:tc>
        <w:tc>
          <w:tcPr>
            <w:tcW w:w="2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校外培训机构较多，部分生源流失。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学历继续教育学生毕业率</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33</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33</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学历继续教育学生修业年限</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3</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收取学历继续教育学费收入</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54</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162.67</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学历继续教育学生就业率</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90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4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学历继续教育教学质量提升程度</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持续提升</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定性描述</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主要体现在教学模式多元化、线上线下混合式教学体系，有效增强学习体验。质量监控方面，依托信息化平台、完善过程性考核、毕业答辩的多维度评价体系。社会认可度亦随教学质量提升逐步提高，为学生职业发展提供有力支撑。</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学生满意度</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95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教师满意度</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96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教师课时费支出成本</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8.6</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0" w:type="auto"/>
            <w:tcBorders>
              <w:top w:val="nil"/>
              <w:left w:val="nil"/>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微软雅黑" w:hAnsi="微软雅黑" w:eastAsia="微软雅黑" w:cs="微软雅黑"/>
                <w:i w:val="0"/>
                <w:iCs w:val="0"/>
                <w:color w:val="000000"/>
                <w:kern w:val="0"/>
                <w:sz w:val="16"/>
                <w:szCs w:val="16"/>
                <w:u w:val="none"/>
                <w:lang w:val="en-US" w:eastAsia="zh-CN" w:bidi="ar"/>
              </w:rPr>
              <w:t>0.6396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2"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教师监考费支出成本</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5.2</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0" w:type="auto"/>
            <w:tcBorders>
              <w:top w:val="single" w:color="000000" w:sz="4" w:space="0"/>
              <w:left w:val="nil"/>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8.9794</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我校承办了2024年4月高等教育自学考试统考，监考费共计6.94万元，由市教育考试院下拨至我校。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日常教学管理业务成本</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12.2</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0" w:type="auto"/>
            <w:tcBorders>
              <w:top w:val="single" w:color="000000" w:sz="4" w:space="0"/>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5.991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trPr>
        <w:tc>
          <w:tcPr>
            <w:tcW w:w="95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92</w:t>
            </w:r>
          </w:p>
        </w:tc>
        <w:tc>
          <w:tcPr>
            <w:tcW w:w="270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9"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11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我校的成人高等教育逐渐萎缩，但高等教育自学考试发展空间较大。自评得分92分。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7"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11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1.校外教育机构的不正当竞争，导致我校的招生显得有些被动；2.各系部和班主任老师、助学任课老师的积极性还没有充分调动起来。总体而言，我校学历继续教育的规模效益还没有充分彰显。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11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按照国家招生政策，做好对各学院成教招生工作的指导、服务、考核；实施目标管理，划分校、院、班三级招生目标，并进行严格考评；多渠道、多形式加大招生宣传力度，建立健全激励考核机制，充分调动全校教职员工参与成教、支持成教的积极性，努力扩大成教规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2" w:hRule="atLeast"/>
        </w:trPr>
        <w:tc>
          <w:tcPr>
            <w:tcW w:w="49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0"/>
                <w:szCs w:val="20"/>
                <w:u w:val="none"/>
              </w:rPr>
            </w:pPr>
            <w:r>
              <w:rPr>
                <w:rFonts w:hint="eastAsia" w:ascii="黑体" w:hAnsi="黑体" w:eastAsia="黑体" w:cs="黑体"/>
                <w:i w:val="0"/>
                <w:iCs w:val="0"/>
                <w:color w:val="000000"/>
                <w:kern w:val="0"/>
                <w:sz w:val="20"/>
                <w:szCs w:val="20"/>
                <w:u w:val="none"/>
                <w:lang w:val="en-US" w:eastAsia="zh-CN" w:bidi="ar"/>
              </w:rPr>
              <w:t>项目负责人：赵丽</w:t>
            </w:r>
          </w:p>
        </w:tc>
        <w:tc>
          <w:tcPr>
            <w:tcW w:w="900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0"/>
                <w:szCs w:val="20"/>
                <w:u w:val="none"/>
              </w:rPr>
            </w:pPr>
            <w:r>
              <w:rPr>
                <w:rFonts w:hint="eastAsia" w:ascii="黑体" w:hAnsi="黑体" w:eastAsia="黑体" w:cs="黑体"/>
                <w:i w:val="0"/>
                <w:iCs w:val="0"/>
                <w:color w:val="000000"/>
                <w:kern w:val="0"/>
                <w:sz w:val="20"/>
                <w:szCs w:val="20"/>
                <w:u w:val="none"/>
                <w:lang w:val="en-US" w:eastAsia="zh-CN" w:bidi="ar"/>
              </w:rPr>
              <w:t>财务负责人：祖祥凯</w:t>
            </w:r>
          </w:p>
        </w:tc>
      </w:tr>
    </w:tbl>
    <w:p>
      <w:pPr>
        <w:rPr>
          <w:rFonts w:hint="eastAsia"/>
          <w:lang w:val="zh-CN"/>
        </w:rPr>
        <w:sectPr>
          <w:pgSz w:w="16838" w:h="11906" w:orient="landscape"/>
          <w:pgMar w:top="1800" w:right="1440" w:bottom="1800" w:left="1440" w:header="851" w:footer="992" w:gutter="0"/>
          <w:pgNumType w:fmt="decimal"/>
          <w:cols w:space="425" w:num="1"/>
          <w:titlePg/>
          <w:docGrid w:type="lines" w:linePitch="312" w:charSpace="0"/>
        </w:sectPr>
      </w:pPr>
    </w:p>
    <w:tbl>
      <w:tblPr>
        <w:tblStyle w:val="16"/>
        <w:tblW w:w="1398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4"/>
        <w:gridCol w:w="1191"/>
        <w:gridCol w:w="1228"/>
        <w:gridCol w:w="1934"/>
        <w:gridCol w:w="1080"/>
        <w:gridCol w:w="1080"/>
        <w:gridCol w:w="1050"/>
        <w:gridCol w:w="1080"/>
        <w:gridCol w:w="885"/>
        <w:gridCol w:w="840"/>
        <w:gridCol w:w="27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398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28"/>
                <w:szCs w:val="28"/>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0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91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51080021T000000053269-教学及保障设备购置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20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37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川北幼儿师范高等专科学校部门</w:t>
            </w:r>
          </w:p>
        </w:tc>
        <w:tc>
          <w:tcPr>
            <w:tcW w:w="108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446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川北幼儿师范高等专科学校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1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37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554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40"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1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37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保障学校正常教学运行，购置教学及教辅设施设备。非政府采购：图书打包机7.16万、继教教学桌椅6.72万、学生食堂设备维护更换20万、扫地车3万、人文唤马剪纸教学展示2万、人文教学设备6.84万、人文麻柳刺绣传习坊28万、其他设备3.48万。政府采购：教学电脑30万、弱电管网改造165万、操场音箱45万、复印机扫描仪空调机16.2万、图书馆窗帘60万、电钢琴31万、婴幼儿模型85万、虚拟实训室150万、智慧多功能实训室71.6万、图书馆报告厅建设61.75万。</w:t>
            </w:r>
          </w:p>
        </w:tc>
        <w:tc>
          <w:tcPr>
            <w:tcW w:w="554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学校正常教学有效保障，所有设施设备采购有序进行，但部分项目由于是政府采购项目，须经市财政局备案并纳入政府采购中心进行集中采购，因此项目采购时间跨度较长，个别项目资金执行进度较慢。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91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学校设置政府采购管理办公室，专门负责贯彻国家采购与招投标的方针政策和法律法规，执行学校招投标工作的相关规章制度，对采购项目的招标投标工作进行组织、协调、指导和监督；完成招标的采购项目。各个采购项目由业务部门提交招标办，完成招标工作后由中标单位实施，经学校国资验收合格后履行付款程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8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3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7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793.07</w:t>
            </w:r>
          </w:p>
        </w:tc>
        <w:tc>
          <w:tcPr>
            <w:tcW w:w="19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935.93</w:t>
            </w:r>
          </w:p>
        </w:tc>
        <w:tc>
          <w:tcPr>
            <w:tcW w:w="3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272.51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29.12%</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7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学校正常教学有效保障，所有设施设备采购有序进行，部分项目由于需要走政府采购流程，周期较长，资金执行进度较慢。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3"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793.07</w:t>
            </w:r>
          </w:p>
        </w:tc>
        <w:tc>
          <w:tcPr>
            <w:tcW w:w="19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935.93</w:t>
            </w:r>
          </w:p>
        </w:tc>
        <w:tc>
          <w:tcPr>
            <w:tcW w:w="3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272.51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29.12%</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7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1"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2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9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采购教学用多功能一体机数量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15</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7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采购教学用台式计算机数量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43</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43</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7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采购教学用便携式计算机数量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7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采购空调机数量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7</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7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实训室建设数量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2</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7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3"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9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采购设备质量验收合格率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98</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7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9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设备采购完成时间</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2024</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2024</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7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2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9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学生专业能力及实验操作水平提升程度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进一步提升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7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图书馆阅读及办公环境改善程度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7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0"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通过弱电管网改造，地下空间利用提升程度，校园环境美化程度。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较大提升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60%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7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正在施工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教学硬件水平提升程度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进一步提升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7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2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9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学生满意度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7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老师满意度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7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6"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9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2024年教学及保障设备购置成本</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793.07</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272.51</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5.8</w:t>
            </w:r>
          </w:p>
        </w:tc>
        <w:tc>
          <w:tcPr>
            <w:tcW w:w="27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52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76.8</w:t>
            </w:r>
          </w:p>
        </w:tc>
        <w:tc>
          <w:tcPr>
            <w:tcW w:w="273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1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该项目自评分76.8分。由于政府采购项目须经市财政局备案并纳入政府采购中心进行集中采购，因此项目采购时间跨度较长，个别项目资金执行进度较慢。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9" w:hRule="atLeast"/>
        </w:trPr>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1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项目监管工作有待进一步加强。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1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加强项目事中监控，强化目负责人预算执行责任意识，对执行进度滞后的项目加大督促力度。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3" w:hRule="atLeast"/>
        </w:trPr>
        <w:tc>
          <w:tcPr>
            <w:tcW w:w="631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项目负责人：杨婧怡</w:t>
            </w:r>
          </w:p>
        </w:tc>
        <w:tc>
          <w:tcPr>
            <w:tcW w:w="767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财务负责人：祖祥凯</w:t>
            </w:r>
          </w:p>
        </w:tc>
      </w:tr>
    </w:tbl>
    <w:p>
      <w:pPr>
        <w:pStyle w:val="24"/>
        <w:outlineLvl w:val="9"/>
        <w:rPr>
          <w:rFonts w:hint="eastAsia"/>
          <w:lang w:val="zh-CN"/>
        </w:rPr>
        <w:sectPr>
          <w:pgSz w:w="16838" w:h="11906" w:orient="landscape"/>
          <w:pgMar w:top="1800" w:right="1440" w:bottom="1800" w:left="1440" w:header="851" w:footer="992" w:gutter="0"/>
          <w:pgNumType w:fmt="decimal"/>
          <w:cols w:space="425" w:num="1"/>
          <w:titlePg/>
          <w:docGrid w:type="lines" w:linePitch="312" w:charSpace="0"/>
        </w:sectPr>
      </w:pPr>
    </w:p>
    <w:tbl>
      <w:tblPr>
        <w:tblStyle w:val="16"/>
        <w:tblW w:w="1395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98"/>
        <w:gridCol w:w="1080"/>
        <w:gridCol w:w="1223"/>
        <w:gridCol w:w="1387"/>
        <w:gridCol w:w="933"/>
        <w:gridCol w:w="1080"/>
        <w:gridCol w:w="1975"/>
        <w:gridCol w:w="1080"/>
        <w:gridCol w:w="741"/>
        <w:gridCol w:w="776"/>
        <w:gridCol w:w="27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1395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9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97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51080021T000000053153-科研及高层次人才引进经费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59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川北幼儿师范高等专科学校部门</w:t>
            </w:r>
          </w:p>
        </w:tc>
        <w:tc>
          <w:tcPr>
            <w:tcW w:w="10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42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川北幼儿师范高等专科学校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8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59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53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40" w:hRule="atLeast"/>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59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高层次人才引进贯彻《广元市创新创业人才特殊支持十条措施（试行）》及学校《高层次人才引进与管理办法（试行）》、《川北幼儿师范高等专科学校学校内部分配制度改革方案》等文件精神，确保学校引进的高层次人才安家补助、工作补助等政策待遇落实到位。2.积极宣传与动员，加强课题过程管理，做好课题规范指导；继续做好学术工作，鼓励教师多做科研、多发文章；继续提高学报的编辑和办刊水平，扩大学校影响。</w:t>
            </w:r>
          </w:p>
        </w:tc>
        <w:tc>
          <w:tcPr>
            <w:tcW w:w="53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 xml:space="preserve"> 1.贯彻落实学校引进的高层次人才安家补助、工作补助等政策待遇；2.按照程序发放科研奖励，充分发挥科研带动作用。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97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认真组织开展学校自主招聘，积极配合做好上下半年公开考核招聘、市级高层次人才引进相关工作，及时足额发放引进人才安家补助、工作补助，确保相关政策待遇落实到位；2.科研成果奖励经教职工个人申报、科研处统计核实、学校学术委员会评议审定、校内公示无异议等程序，报学校党委会批准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8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39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204.00</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284.00</w:t>
            </w:r>
          </w:p>
        </w:tc>
        <w:tc>
          <w:tcPr>
            <w:tcW w:w="39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224.29</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78.97%</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27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预算执行未达100%主要原因是广元地域、经济待遇、科研学术发展平台受限。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7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204.00</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284.00</w:t>
            </w:r>
          </w:p>
        </w:tc>
        <w:tc>
          <w:tcPr>
            <w:tcW w:w="39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224.29</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78.97%</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7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7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c>
          <w:tcPr>
            <w:tcW w:w="39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7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8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2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发表论文数量</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1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8"/>
                <w:szCs w:val="18"/>
                <w:u w:val="none"/>
              </w:rPr>
            </w:pPr>
            <w:r>
              <w:rPr>
                <w:rFonts w:hint="eastAsia" w:ascii="微软雅黑" w:hAnsi="微软雅黑" w:eastAsia="微软雅黑" w:cs="微软雅黑"/>
                <w:i/>
                <w:iCs/>
                <w:color w:val="000000"/>
                <w:kern w:val="0"/>
                <w:sz w:val="18"/>
                <w:szCs w:val="18"/>
                <w:u w:val="none"/>
                <w:lang w:val="en-US" w:eastAsia="zh-CN" w:bidi="ar"/>
              </w:rPr>
              <w:t>88</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7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引进博士研究生</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1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8"/>
                <w:szCs w:val="18"/>
                <w:u w:val="none"/>
              </w:rPr>
            </w:pPr>
            <w:r>
              <w:rPr>
                <w:rFonts w:hint="eastAsia" w:ascii="微软雅黑" w:hAnsi="微软雅黑" w:eastAsia="微软雅黑" w:cs="微软雅黑"/>
                <w:i/>
                <w:iCs/>
                <w:color w:val="000000"/>
                <w:kern w:val="0"/>
                <w:sz w:val="18"/>
                <w:szCs w:val="18"/>
                <w:u w:val="none"/>
                <w:lang w:val="en-US" w:eastAsia="zh-CN" w:bidi="ar"/>
              </w:rPr>
              <w:t>1</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7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获得省级科研课题数量</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1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8"/>
                <w:szCs w:val="18"/>
                <w:u w:val="none"/>
              </w:rPr>
            </w:pPr>
            <w:r>
              <w:rPr>
                <w:rFonts w:hint="eastAsia" w:ascii="微软雅黑" w:hAnsi="微软雅黑" w:eastAsia="微软雅黑" w:cs="微软雅黑"/>
                <w:i/>
                <w:iCs/>
                <w:color w:val="000000"/>
                <w:kern w:val="0"/>
                <w:sz w:val="18"/>
                <w:szCs w:val="18"/>
                <w:u w:val="none"/>
                <w:lang w:val="en-US" w:eastAsia="zh-CN" w:bidi="ar"/>
              </w:rPr>
              <w:t>10</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7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校内学报刊物出版期数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1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期</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8"/>
                <w:szCs w:val="18"/>
                <w:u w:val="none"/>
              </w:rPr>
            </w:pPr>
            <w:r>
              <w:rPr>
                <w:rFonts w:hint="eastAsia" w:ascii="微软雅黑" w:hAnsi="微软雅黑" w:eastAsia="微软雅黑" w:cs="微软雅黑"/>
                <w:i/>
                <w:iCs/>
                <w:color w:val="000000"/>
                <w:kern w:val="0"/>
                <w:sz w:val="18"/>
                <w:szCs w:val="18"/>
                <w:u w:val="none"/>
                <w:lang w:val="en-US" w:eastAsia="zh-CN" w:bidi="ar"/>
              </w:rPr>
              <w:t>2</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7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科研课题结题数量</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8"/>
                <w:szCs w:val="18"/>
                <w:u w:val="none"/>
              </w:rPr>
            </w:pPr>
            <w:r>
              <w:rPr>
                <w:rFonts w:hint="eastAsia" w:ascii="微软雅黑" w:hAnsi="微软雅黑" w:eastAsia="微软雅黑" w:cs="微软雅黑"/>
                <w:i/>
                <w:iCs/>
                <w:color w:val="000000"/>
                <w:kern w:val="0"/>
                <w:sz w:val="18"/>
                <w:szCs w:val="18"/>
                <w:u w:val="none"/>
                <w:lang w:val="en-US" w:eastAsia="zh-CN" w:bidi="ar"/>
              </w:rPr>
              <w:t>35</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7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编写专著与教材数量</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1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本</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8"/>
                <w:szCs w:val="18"/>
                <w:u w:val="none"/>
              </w:rPr>
            </w:pPr>
            <w:r>
              <w:rPr>
                <w:rFonts w:hint="eastAsia" w:ascii="微软雅黑" w:hAnsi="微软雅黑" w:eastAsia="微软雅黑" w:cs="微软雅黑"/>
                <w:i/>
                <w:iCs/>
                <w:color w:val="000000"/>
                <w:kern w:val="0"/>
                <w:sz w:val="18"/>
                <w:szCs w:val="18"/>
                <w:u w:val="none"/>
                <w:lang w:val="en-US" w:eastAsia="zh-CN" w:bidi="ar"/>
              </w:rPr>
              <w:t>7</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7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高层次人才入职率</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8"/>
                <w:szCs w:val="18"/>
                <w:u w:val="none"/>
              </w:rPr>
            </w:pPr>
            <w:r>
              <w:rPr>
                <w:rFonts w:hint="eastAsia" w:ascii="微软雅黑" w:hAnsi="微软雅黑" w:eastAsia="微软雅黑" w:cs="微软雅黑"/>
                <w:i/>
                <w:iCs/>
                <w:color w:val="000000"/>
                <w:kern w:val="0"/>
                <w:sz w:val="18"/>
                <w:szCs w:val="18"/>
                <w:u w:val="none"/>
                <w:lang w:val="en-US" w:eastAsia="zh-CN" w:bidi="ar"/>
              </w:rPr>
              <w:t>100</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7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2024</w:t>
            </w:r>
          </w:p>
        </w:tc>
        <w:tc>
          <w:tcPr>
            <w:tcW w:w="1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8"/>
                <w:szCs w:val="18"/>
                <w:u w:val="none"/>
              </w:rPr>
            </w:pPr>
            <w:r>
              <w:rPr>
                <w:rFonts w:hint="eastAsia" w:ascii="微软雅黑" w:hAnsi="微软雅黑" w:eastAsia="微软雅黑" w:cs="微软雅黑"/>
                <w:i/>
                <w:iCs/>
                <w:color w:val="000000"/>
                <w:kern w:val="0"/>
                <w:sz w:val="18"/>
                <w:szCs w:val="18"/>
                <w:u w:val="none"/>
                <w:lang w:val="en-US" w:eastAsia="zh-CN" w:bidi="ar"/>
              </w:rPr>
              <w:t>12月</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7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4" w:hRule="atLeast"/>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2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学校综合人才素质提升程度</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进一步提升</w:t>
            </w:r>
          </w:p>
        </w:tc>
        <w:tc>
          <w:tcPr>
            <w:tcW w:w="19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8"/>
                <w:szCs w:val="18"/>
                <w:u w:val="none"/>
              </w:rPr>
            </w:pPr>
            <w:r>
              <w:rPr>
                <w:rFonts w:hint="eastAsia" w:ascii="微软雅黑" w:hAnsi="微软雅黑" w:eastAsia="微软雅黑" w:cs="微软雅黑"/>
                <w:i/>
                <w:iCs/>
                <w:color w:val="000000"/>
                <w:kern w:val="0"/>
                <w:sz w:val="18"/>
                <w:szCs w:val="18"/>
                <w:u w:val="none"/>
                <w:lang w:val="en-US" w:eastAsia="zh-CN" w:bidi="ar"/>
              </w:rPr>
              <w:t>有效提高</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7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学校科研和教学水平提升程度，科研服务社会能力水平</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进一步提升</w:t>
            </w:r>
          </w:p>
        </w:tc>
        <w:tc>
          <w:tcPr>
            <w:tcW w:w="19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8"/>
                <w:szCs w:val="18"/>
                <w:u w:val="none"/>
              </w:rPr>
            </w:pPr>
            <w:r>
              <w:rPr>
                <w:rFonts w:hint="eastAsia" w:ascii="微软雅黑" w:hAnsi="微软雅黑" w:eastAsia="微软雅黑" w:cs="微软雅黑"/>
                <w:i/>
                <w:iCs/>
                <w:color w:val="000000"/>
                <w:kern w:val="0"/>
                <w:sz w:val="18"/>
                <w:szCs w:val="18"/>
                <w:u w:val="none"/>
                <w:lang w:val="en-US" w:eastAsia="zh-CN" w:bidi="ar"/>
              </w:rPr>
              <w:t>有效提升</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7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教职工满意度</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8"/>
                <w:szCs w:val="18"/>
                <w:u w:val="none"/>
              </w:rPr>
            </w:pPr>
            <w:r>
              <w:rPr>
                <w:rFonts w:hint="eastAsia" w:ascii="微软雅黑" w:hAnsi="微软雅黑" w:eastAsia="微软雅黑" w:cs="微软雅黑"/>
                <w:i/>
                <w:iCs/>
                <w:color w:val="000000"/>
                <w:kern w:val="0"/>
                <w:sz w:val="18"/>
                <w:szCs w:val="18"/>
                <w:u w:val="none"/>
                <w:lang w:val="en-US" w:eastAsia="zh-CN" w:bidi="ar"/>
              </w:rPr>
              <w:t>93</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7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60" w:hRule="atLeast"/>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2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高层次人才引进成本</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159</w:t>
            </w:r>
          </w:p>
        </w:tc>
        <w:tc>
          <w:tcPr>
            <w:tcW w:w="1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89.61</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2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2023年下自主招聘费用、2024年上半年自主招聘工作人员劳务费、陈杰安家补助、考核招聘考录人员工作补助、学校师资人才引进宣传宣讲等多项师资人才引进支出均未列入该预算项目。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科研成本</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125</w:t>
            </w:r>
          </w:p>
        </w:tc>
        <w:tc>
          <w:tcPr>
            <w:tcW w:w="1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8"/>
                <w:szCs w:val="18"/>
                <w:u w:val="none"/>
              </w:rPr>
            </w:pPr>
            <w:r>
              <w:rPr>
                <w:rFonts w:hint="eastAsia" w:ascii="微软雅黑" w:hAnsi="微软雅黑" w:eastAsia="微软雅黑" w:cs="微软雅黑"/>
                <w:i/>
                <w:iCs/>
                <w:color w:val="000000"/>
                <w:kern w:val="0"/>
                <w:sz w:val="18"/>
                <w:szCs w:val="18"/>
                <w:u w:val="none"/>
                <w:lang w:val="en-US" w:eastAsia="zh-CN" w:bidi="ar"/>
              </w:rPr>
              <w:t>117.43</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27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65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277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05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项目自评总分95分。由于广元地域、经济待遇、科研学术发展平台受限，导致引进博士、教授难度增加，资金支出未达预算。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6"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05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学校人才引进工作需要进一步优化。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05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进一步加大工作力度，改进工作方式方法，力争实现博士、教授等高层次人才引进目标任务，提高项目资金执行率。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5" w:hRule="atLeast"/>
        </w:trPr>
        <w:tc>
          <w:tcPr>
            <w:tcW w:w="552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项目负责人：王全民、王泽</w:t>
            </w:r>
          </w:p>
        </w:tc>
        <w:tc>
          <w:tcPr>
            <w:tcW w:w="843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财务负责人：祖祥凯</w:t>
            </w:r>
          </w:p>
        </w:tc>
      </w:tr>
    </w:tbl>
    <w:p>
      <w:pPr>
        <w:rPr>
          <w:rFonts w:hint="eastAsia"/>
          <w:lang w:val="zh-CN"/>
        </w:rPr>
        <w:sectPr>
          <w:pgSz w:w="16838" w:h="11906" w:orient="landscape"/>
          <w:pgMar w:top="1800" w:right="1440" w:bottom="1800" w:left="1440" w:header="851" w:footer="992" w:gutter="0"/>
          <w:pgNumType w:fmt="decimal"/>
          <w:cols w:space="425" w:num="1"/>
          <w:titlePg/>
          <w:docGrid w:type="lines" w:linePitch="312" w:charSpace="0"/>
        </w:sectPr>
      </w:pPr>
    </w:p>
    <w:tbl>
      <w:tblPr>
        <w:tblStyle w:val="16"/>
        <w:tblW w:w="1393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36"/>
        <w:gridCol w:w="979"/>
        <w:gridCol w:w="1184"/>
        <w:gridCol w:w="1677"/>
        <w:gridCol w:w="887"/>
        <w:gridCol w:w="788"/>
        <w:gridCol w:w="887"/>
        <w:gridCol w:w="1057"/>
        <w:gridCol w:w="1065"/>
        <w:gridCol w:w="1065"/>
        <w:gridCol w:w="34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393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28"/>
                <w:szCs w:val="28"/>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202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51080022T000005165539-图书馆及校史馆建设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42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川北幼儿师范高等专科学校部门</w:t>
            </w:r>
          </w:p>
        </w:tc>
        <w:tc>
          <w:tcPr>
            <w:tcW w:w="1057"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5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川北幼儿师范高等专科学校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9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42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66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42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项目概算批复金额为13062.39万元，24年校内预算为2730万元，本年度计划启动财务决算，支付工程款、设计费、监理费、咨询费等。</w:t>
            </w:r>
          </w:p>
        </w:tc>
        <w:tc>
          <w:tcPr>
            <w:tcW w:w="66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本年度已启动财务决算，并顺利完成工程款、设计费、监理费、咨询费等费用支付。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6" w:hRule="atLeast"/>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202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拟新建图书馆24224平方米、校史馆1246平方米，及其配套附属设备设施。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5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4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2,659.10</w:t>
            </w:r>
          </w:p>
        </w:tc>
        <w:tc>
          <w:tcPr>
            <w:tcW w:w="25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2,647.92</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99.58%</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4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2,659.10</w:t>
            </w:r>
          </w:p>
        </w:tc>
        <w:tc>
          <w:tcPr>
            <w:tcW w:w="25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2,647.92</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99.58%</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25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4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建设（质保）面积</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25470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平方米</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25470</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4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主控项目质量合格率</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100</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4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质保时间</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24</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4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0" w:hRule="atLeast"/>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基础设施明显改善满足师生教学、学习、生活需求</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优</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4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生态效益指标</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增加校园建筑面积和绿化面积，有益于师生身心健康</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优</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4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建筑使用年限</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50</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4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师生满意度</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97</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4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预算年度内项目投资</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2730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2647.920759</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4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39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4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00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项目的实施增加了学校教学教辅用房建筑面积，建成现代化的图书馆，为师生提供更为舒适的学习和办公环境，同时也提升了学校的整体形象。项目自评总分100分。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00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财务决算工作进度较缓慢。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00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积极配合学校计财处和财政局财评中心，对财评中心审核中提疑的地方仔细研究、尽快做出回复。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566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项目负责人：黄博</w:t>
            </w:r>
          </w:p>
        </w:tc>
        <w:tc>
          <w:tcPr>
            <w:tcW w:w="82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财务负责人：祖祥凯</w:t>
            </w:r>
          </w:p>
        </w:tc>
      </w:tr>
    </w:tbl>
    <w:p>
      <w:pPr>
        <w:pStyle w:val="24"/>
        <w:outlineLvl w:val="9"/>
        <w:rPr>
          <w:rFonts w:hint="eastAsia"/>
          <w:lang w:val="zh-CN"/>
        </w:rPr>
        <w:sectPr>
          <w:pgSz w:w="16838" w:h="11906" w:orient="landscape"/>
          <w:pgMar w:top="1800" w:right="1440" w:bottom="1800" w:left="1440" w:header="851" w:footer="992" w:gutter="0"/>
          <w:pgNumType w:fmt="decimal"/>
          <w:cols w:space="425" w:num="1"/>
          <w:titlePg/>
          <w:docGrid w:type="lines" w:linePitch="312" w:charSpace="0"/>
        </w:sectPr>
      </w:pPr>
    </w:p>
    <w:tbl>
      <w:tblPr>
        <w:tblStyle w:val="16"/>
        <w:tblW w:w="1395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30"/>
        <w:gridCol w:w="1005"/>
        <w:gridCol w:w="1080"/>
        <w:gridCol w:w="1455"/>
        <w:gridCol w:w="1080"/>
        <w:gridCol w:w="1080"/>
        <w:gridCol w:w="795"/>
        <w:gridCol w:w="1080"/>
        <w:gridCol w:w="915"/>
        <w:gridCol w:w="900"/>
        <w:gridCol w:w="36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395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28"/>
                <w:szCs w:val="28"/>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9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201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51080024T000010997938-校史馆装修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4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川北幼儿师范高等专科学校部门</w:t>
            </w:r>
          </w:p>
        </w:tc>
        <w:tc>
          <w:tcPr>
            <w:tcW w:w="108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54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川北幼儿师范高等专科学校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4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652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00" w:hRule="atLeast"/>
        </w:trPr>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4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通过策划文案、空间设计、平面设计、展厅多媒体系统设计及服务、施工图纸深化设计，使得川北幼专校史馆整体定位，主题鲜明，主线逻辑关系合理，使参观人员明确感受到学校历史与文化的价值及贡献。</w:t>
            </w:r>
          </w:p>
        </w:tc>
        <w:tc>
          <w:tcPr>
            <w:tcW w:w="652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2025年3月，立项；2、2025年4月，完成校级论证；3、2025年5月，完成需求论证；4、2025年5月，政府采购报备；5、2025年6月，政府采购中心审核。6、2025年7月，挂网采购。7、2025年8月，开标评审。8、2025年9月，装修、供货。9、2026年11月，验收、付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0" w:hRule="atLeast"/>
        </w:trPr>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201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川北幼儿师范高等专科学校校史馆装修设计布展服务的建设，是川北幼专贯彻落实国家教育强国战略，四川教育强省战略和服务广元区域城市发展定位的重要载体，是学校校史和文化的综合展示窗口，有利于展示学校形象，对于川北幼专建设全国一流院校的发展，具有积极的推动作用，是学校的编年史，是展现学校发展历史、展示学校办学历程与不同时代学校面貌的浓缩。是学校传统与校园文化集中表现的舞台；是学校教育教案成果的荣誉展览室；更是学校文化建设的重要载体，学校办学思想不断发展的源泉；也是激励师生共同成长的重要土壤，是实施素质教育的重要基基地。是坚持特色发展，主动服务国家战略和服务地方发展需求，为建设教育强国、教育强省贡献更大力量。其中校史馆装修设计（含设计（展陈大纲编撰）；监理；造价服务；审计；图审）预算总金额：35万元，校史馆装修预算总金额：265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9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300.00</w:t>
            </w:r>
          </w:p>
        </w:tc>
        <w:tc>
          <w:tcPr>
            <w:tcW w:w="29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36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因校史馆展陈大纲梳理撰写具有困难，经过调研同类型高校校史馆设计，大纲文案撰写工作量巨大，短时间难以实施。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9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300.00</w:t>
            </w:r>
          </w:p>
        </w:tc>
        <w:tc>
          <w:tcPr>
            <w:tcW w:w="29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9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9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9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校史馆装修面积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1280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平方米</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3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校史馆装修质量验收合格率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3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校史馆装修完成时间</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3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0" w:hRule="atLeast"/>
        </w:trPr>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校园文化建设及地方文化传承创新提升程度，推出文艺精品和文化产品，服务地方经济发展。</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进一步提升，更好服务地方经济发展</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3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充分利用校史馆平台，展现“负重自强，开拓进取”的学校精神，学校社会影响力及美誉度提升程度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进一步提升</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3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办学历史档案得以长久保存，助力校园文化传承与保护。</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长久持续影响</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3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师生满意度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3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校史馆装修、展示、美化成本</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3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50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363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5" w:hRule="atLeast"/>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02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结合校史馆总体策划设计和校史梳理情况，计划在2025-2026年完成校史馆的装修，包含校史馆设计策划服务、硬装布展施工、软装布展陈列、软硬件设备与系统、数字多媒体等，让校史馆成为具备校史展示、爱国教育、文化传承、学科融合、内部培训等多功能于一体的综合文化空间，2024年属于前期筹划阶段，暂未实施得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1" w:hRule="atLeast"/>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02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本年度已进行了相关校史资料的征集和整理，形成了初步的文案，但在具体调研中，发现前期设计工作周期较长，还需进一步细化和打磨，导致项目进程缓慢。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02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根据项目目标，构建绩效指标体系。这些指标应涵盖项目质量、进度、成本、社会效益等多个方面。例如，质量指标包括设计创新性、施工质量、材料环保性等；进度指标包括各阶段完成时间、里程碑节点达成率等；成本指标则关注预算控制情况、资金使用效率等；社会效益指标则考察项目对学校形象提升、师生满意度提高等方面的影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55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项目负责人：宋清君</w:t>
            </w:r>
          </w:p>
        </w:tc>
        <w:tc>
          <w:tcPr>
            <w:tcW w:w="840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财务负责人：祖祥凯</w:t>
            </w:r>
          </w:p>
        </w:tc>
      </w:tr>
    </w:tbl>
    <w:p>
      <w:pPr>
        <w:rPr>
          <w:rFonts w:hint="eastAsia"/>
          <w:lang w:val="zh-CN"/>
        </w:rPr>
        <w:sectPr>
          <w:pgSz w:w="16838" w:h="11906" w:orient="landscape"/>
          <w:pgMar w:top="1800" w:right="1440" w:bottom="1800" w:left="1440" w:header="851" w:footer="992" w:gutter="0"/>
          <w:pgNumType w:fmt="decimal"/>
          <w:cols w:space="425" w:num="1"/>
          <w:titlePg/>
          <w:docGrid w:type="lines" w:linePitch="312" w:charSpace="0"/>
        </w:sectPr>
      </w:pPr>
    </w:p>
    <w:tbl>
      <w:tblPr>
        <w:tblStyle w:val="16"/>
        <w:tblW w:w="1396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40"/>
        <w:gridCol w:w="1079"/>
        <w:gridCol w:w="1079"/>
        <w:gridCol w:w="1948"/>
        <w:gridCol w:w="734"/>
        <w:gridCol w:w="884"/>
        <w:gridCol w:w="972"/>
        <w:gridCol w:w="1228"/>
        <w:gridCol w:w="1079"/>
        <w:gridCol w:w="1079"/>
        <w:gridCol w:w="30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396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28"/>
                <w:szCs w:val="28"/>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9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204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51080021T000000053262-信息化建设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61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川北幼儿师范高等专科学校部门</w:t>
            </w:r>
          </w:p>
        </w:tc>
        <w:tc>
          <w:tcPr>
            <w:tcW w:w="1228"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51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川北幼儿师范高等专科学校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0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61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64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8"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61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实现校园服务一站式办理，达到建立事务办理全过程管控机制，解决跨业务系统事务办理等问题，提高事务办理效率；运用信息化手段提升教学教务管理质量。</w:t>
            </w:r>
          </w:p>
        </w:tc>
        <w:tc>
          <w:tcPr>
            <w:tcW w:w="64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非政府采购项目中，部分信息化管理系统及实训平台类项目已全部实施完毕，但仍有少数项目处于中期执行阶段。政府采购的三个大型教学及财务平台项目均推进至中期左右，尚未完全落地。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204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国产办公软件服务项目已实施，已完成支付50%的款项。等保测评服务项目已完成，病毒安全防护系统由于项目调整无法实施。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5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362.00</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560.10</w:t>
            </w:r>
          </w:p>
        </w:tc>
        <w:tc>
          <w:tcPr>
            <w:tcW w:w="25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212.91</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38.01%</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30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政府采购项目流程，周期较长，资金执行进度较慢。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0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362.00</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560.10</w:t>
            </w:r>
          </w:p>
        </w:tc>
        <w:tc>
          <w:tcPr>
            <w:tcW w:w="25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212.91</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38.01%</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0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0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5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0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1"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0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建设教学资源库</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完成等保二级测评学校重要信息系统数量</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5</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学院教学实训软件采购数量</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套</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8</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购置瑞星杀毒软件扩容包（客户端）授权数量</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由于项目调整，无法实施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采购项目质量达标率</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98</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办公及教学电脑病毒防护安全正常运行保障率</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90</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项目完成时间</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2024</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2024</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0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建设教学软件平台，实现一体化教学，提升学生技能操作能力。</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较大提升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0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建设预算绩效管理系统，实现校内预算精细化精准化管理，绩效目标全过程线上实时监控，提高预算资金使用效率。</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基本实现</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采购车辆出入口管理系统，智慧化规范管理进出校园车辆，提升校园环境安全程度。</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较大提升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学校整体信息化水平提升程度</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较大提升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0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学生满意度</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90</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教师满意度</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90</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0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教学资源库建设成本</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75</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4.69</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大数据财务应用教学云平台采购成本</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44.68</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非政府采购信息化建设项目成本</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132.37</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税务综合平台软件采购成本</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17.29</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76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83</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4" w:hRule="atLeast"/>
        </w:trPr>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12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部分项目已完成，但整体执行进度不均衡，政府采购项目推进较慢。自评得分83分。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1" w:hRule="atLeast"/>
        </w:trPr>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12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after="180" w:afterAutospacing="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部分项目执行滞后，政府采购项目进度不足50%，管理效率有待提升。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6" w:hRule="atLeast"/>
        </w:trPr>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12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after="180" w:afterAutospacing="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加强进度督导，优化采购流程，强化过程管理，确保按期完成。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6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项目负责人：杨婧怡</w:t>
            </w:r>
          </w:p>
        </w:tc>
        <w:tc>
          <w:tcPr>
            <w:tcW w:w="828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财务负责人：祖祥凯</w:t>
            </w:r>
          </w:p>
        </w:tc>
      </w:tr>
    </w:tbl>
    <w:p>
      <w:pPr>
        <w:pStyle w:val="24"/>
        <w:outlineLvl w:val="9"/>
        <w:rPr>
          <w:rFonts w:hint="eastAsia"/>
          <w:lang w:val="zh-CN"/>
        </w:rPr>
        <w:sectPr>
          <w:pgSz w:w="16838" w:h="11906" w:orient="landscape"/>
          <w:pgMar w:top="1800" w:right="1440" w:bottom="1800" w:left="1440" w:header="851" w:footer="992" w:gutter="0"/>
          <w:pgNumType w:fmt="decimal"/>
          <w:cols w:space="425" w:num="1"/>
          <w:titlePg/>
          <w:docGrid w:type="lines" w:linePitch="312" w:charSpace="0"/>
        </w:sectPr>
      </w:pPr>
    </w:p>
    <w:tbl>
      <w:tblPr>
        <w:tblStyle w:val="16"/>
        <w:tblW w:w="1395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58"/>
        <w:gridCol w:w="941"/>
        <w:gridCol w:w="1078"/>
        <w:gridCol w:w="1886"/>
        <w:gridCol w:w="600"/>
        <w:gridCol w:w="837"/>
        <w:gridCol w:w="1375"/>
        <w:gridCol w:w="963"/>
        <w:gridCol w:w="766"/>
        <w:gridCol w:w="912"/>
        <w:gridCol w:w="36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395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28"/>
                <w:szCs w:val="28"/>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20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51080023T000008470878-学前教育实习实训中心建设项目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1" w:hRule="atLeast"/>
        </w:trPr>
        <w:tc>
          <w:tcPr>
            <w:tcW w:w="18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7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川北幼儿师范高等专科学校部门</w:t>
            </w:r>
          </w:p>
        </w:tc>
        <w:tc>
          <w:tcPr>
            <w:tcW w:w="96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53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川北幼儿师范高等专科学校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9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7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627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0"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7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2023年完成初步设计、造价公司编制预算、财评、施工招标等准备工作，预计下半年开工并支付设计费、图纸审查费、咨询费、进度款等工程款共计500万元。  </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2024年完成基础部分施工，并开始主体部分施工，支付工程进度款和待摊费用（含图纸审查费、咨询费、设计费）预计投资486.29万元。</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项目预计2026年竣工。</w:t>
            </w:r>
          </w:p>
        </w:tc>
        <w:tc>
          <w:tcPr>
            <w:tcW w:w="627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2024年按计划完成了基础、主体部分施工，按时支付了工程进度款和待摊费用（含图纸审查费、咨询费、设计费）。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5"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20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新建学前教育实习实训中心6603平方米及配套附属设施等。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8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486.29</w:t>
            </w:r>
          </w:p>
        </w:tc>
        <w:tc>
          <w:tcPr>
            <w:tcW w:w="1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816.95</w:t>
            </w:r>
          </w:p>
        </w:tc>
        <w:tc>
          <w:tcPr>
            <w:tcW w:w="28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813.75</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99.61%</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6"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486.29</w:t>
            </w:r>
          </w:p>
        </w:tc>
        <w:tc>
          <w:tcPr>
            <w:tcW w:w="1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816.95</w:t>
            </w:r>
          </w:p>
        </w:tc>
        <w:tc>
          <w:tcPr>
            <w:tcW w:w="28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813.75</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99.61%</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8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8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建设面积</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6600</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平方米</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6603</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36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主控项目质量合格率</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36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项目完成时间</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2026</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2025</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师生教学环境改善程度</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较大改善</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好</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6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1"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生态效益指标</w:t>
            </w:r>
          </w:p>
        </w:tc>
        <w:tc>
          <w:tcPr>
            <w:tcW w:w="1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项目建设过程中，建设垃圾及污水处理及时妥当</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好</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6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1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建筑使用年限</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50</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0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教师满意度</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95</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6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学生满意度</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95</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6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预算年度内项目投资</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486.29</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813.75</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w:t>
            </w:r>
          </w:p>
        </w:tc>
        <w:tc>
          <w:tcPr>
            <w:tcW w:w="3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项目进度超预期。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63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36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299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项目建成后，将形成融教学、生产、实习服务等功能于一体的实习实训基地，促进教育事业的发展，有利于满足社会各界对教育事业的要求。项目自评总分98分。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8" w:hRule="atLeast"/>
        </w:trPr>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299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项目进度超预期，存在年中调整资金预算情况。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8" w:hRule="atLeast"/>
        </w:trPr>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299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吸取经验教训，在列预算时更为合理考虑项目未来的进度。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46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项目负责人：黄博</w:t>
            </w:r>
          </w:p>
        </w:tc>
        <w:tc>
          <w:tcPr>
            <w:tcW w:w="848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财务负责人：祖祥凯</w:t>
            </w:r>
          </w:p>
        </w:tc>
      </w:tr>
    </w:tbl>
    <w:p>
      <w:pPr>
        <w:rPr>
          <w:rFonts w:hint="eastAsia"/>
          <w:lang w:val="zh-CN"/>
        </w:rPr>
        <w:sectPr>
          <w:pgSz w:w="16838" w:h="11906" w:orient="landscape"/>
          <w:pgMar w:top="1800" w:right="1440" w:bottom="1800" w:left="1440" w:header="851" w:footer="992" w:gutter="0"/>
          <w:pgNumType w:fmt="decimal"/>
          <w:cols w:space="425" w:num="1"/>
          <w:titlePg/>
          <w:docGrid w:type="lines" w:linePitch="312" w:charSpace="0"/>
        </w:sectPr>
      </w:pPr>
    </w:p>
    <w:tbl>
      <w:tblPr>
        <w:tblStyle w:val="16"/>
        <w:tblW w:w="1396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18"/>
        <w:gridCol w:w="1119"/>
        <w:gridCol w:w="1126"/>
        <w:gridCol w:w="1963"/>
        <w:gridCol w:w="975"/>
        <w:gridCol w:w="762"/>
        <w:gridCol w:w="1125"/>
        <w:gridCol w:w="855"/>
        <w:gridCol w:w="840"/>
        <w:gridCol w:w="914"/>
        <w:gridCol w:w="32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396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28"/>
                <w:szCs w:val="28"/>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1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82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51080024T000011970394-学生宿舍改造提升建设项目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1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95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川北幼儿师范高等专科学校部门</w:t>
            </w:r>
          </w:p>
        </w:tc>
        <w:tc>
          <w:tcPr>
            <w:tcW w:w="85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50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川北幼儿师范高等专科学校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0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95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58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62" w:hRule="atLeast"/>
        </w:trPr>
        <w:tc>
          <w:tcPr>
            <w:tcW w:w="10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95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计划对川北幼专校内5栋学生宿舍进行改造，改造总建筑面积三万余平方米，主要内容包括防水、给排水、强弱电、墙地面改造、完善热水、通风、消防系统等，学生宿舍改造提升项目估算总投资3830万元。2024年预算投入125万元，主要用于前期准备工作，支付前期可研编制、设计费等。</w:t>
            </w:r>
          </w:p>
        </w:tc>
        <w:tc>
          <w:tcPr>
            <w:tcW w:w="58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本年度完成了部分前期服务采购和可研编制、一案两书编制、初步设计等前期准备工作，项目成功申请并纳入地方政府专项债储备库，顺利支付可研编制、设计费等。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10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82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对川北幼儿师范高等专科学校内5栋学生宿舍进行改造，改造总建筑面积39428平方米。主要内容包括防水、给排水、强弱电、墙地面改造等，并完善热水、通风、消防系统等。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0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8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2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125.00</w:t>
            </w:r>
          </w:p>
        </w:tc>
        <w:tc>
          <w:tcPr>
            <w:tcW w:w="28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33.39</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26.71%</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32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因政府采购项目占用预算资金98.95万元，根据该合同条款，大部分费用的支付节点未到，所以预算执行率偏低。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0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2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trPr>
        <w:tc>
          <w:tcPr>
            <w:tcW w:w="10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125.00</w:t>
            </w:r>
          </w:p>
        </w:tc>
        <w:tc>
          <w:tcPr>
            <w:tcW w:w="28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33.39</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26.71%</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2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2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8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2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2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改造学生宿舍楼栋数量</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2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0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改造总建筑面积</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39400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平方米</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39400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32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项目预计2027年结束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0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主控项目质量合格率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32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10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施工期限</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24</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2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trPr>
        <w:tc>
          <w:tcPr>
            <w:tcW w:w="10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学校知名度得到提升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一定提升</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优</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2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生态效益指标</w:t>
            </w: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改善校园环境，益于师生身心健康</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优</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2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7" w:hRule="atLeast"/>
        </w:trPr>
        <w:tc>
          <w:tcPr>
            <w:tcW w:w="10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具备较好发展前景，符合学校长远规划</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优</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2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trPr>
        <w:tc>
          <w:tcPr>
            <w:tcW w:w="10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学生满意度</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96</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2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项目总投资额</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3830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3830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2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项目预计2027年结束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94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32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294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项目的实施将有效改善学生宿舍的居住环境，提高学生校园生活质量，是学校提升办学条件的一项重要举措。项目自评总分98分。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294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政府采购项目占用预算资金98.95万元，根据该合同条款，大部分费用的支付节点未到，所以预算执行率偏低。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trPr>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294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加快推进项目进度，按照合同约定及时支付费用。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620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项目负责人：黄博</w:t>
            </w:r>
          </w:p>
        </w:tc>
        <w:tc>
          <w:tcPr>
            <w:tcW w:w="776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财务负责人：祖祥凯</w:t>
            </w:r>
          </w:p>
        </w:tc>
      </w:tr>
    </w:tbl>
    <w:p>
      <w:pPr>
        <w:pStyle w:val="24"/>
        <w:outlineLvl w:val="9"/>
        <w:rPr>
          <w:rFonts w:hint="eastAsia"/>
          <w:lang w:val="zh-CN"/>
        </w:rPr>
        <w:sectPr>
          <w:pgSz w:w="16838" w:h="11906" w:orient="landscape"/>
          <w:pgMar w:top="1800" w:right="1440" w:bottom="1800" w:left="1440" w:header="851" w:footer="992" w:gutter="0"/>
          <w:pgNumType w:fmt="decimal"/>
          <w:cols w:space="425" w:num="1"/>
          <w:titlePg/>
          <w:docGrid w:type="lines" w:linePitch="312" w:charSpace="0"/>
        </w:sectPr>
      </w:pPr>
    </w:p>
    <w:tbl>
      <w:tblPr>
        <w:tblStyle w:val="16"/>
        <w:tblW w:w="1395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09"/>
        <w:gridCol w:w="1110"/>
        <w:gridCol w:w="1215"/>
        <w:gridCol w:w="1291"/>
        <w:gridCol w:w="776"/>
        <w:gridCol w:w="687"/>
        <w:gridCol w:w="592"/>
        <w:gridCol w:w="1246"/>
        <w:gridCol w:w="912"/>
        <w:gridCol w:w="1088"/>
        <w:gridCol w:w="42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395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28"/>
                <w:szCs w:val="28"/>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9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203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51080022T000004937589-学校图书馆图书购置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56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川北幼儿师范高等专科学校部门</w:t>
            </w:r>
          </w:p>
        </w:tc>
        <w:tc>
          <w:tcPr>
            <w:tcW w:w="1246"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62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川北幼儿师范高等专科学校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1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56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74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0" w:hRule="atLeast"/>
        </w:trPr>
        <w:tc>
          <w:tcPr>
            <w:tcW w:w="8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56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保证采购图书质量达标，所选图书适合学校人才培养和教学科研发展需求，提升图书馆信息资源文化服务能力。</w:t>
            </w:r>
          </w:p>
        </w:tc>
        <w:tc>
          <w:tcPr>
            <w:tcW w:w="74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受2023-2024年新馆搬迁、旧馆闭馆、智慧图书馆项目建设、图书采购没有货物堆放场地等诸多不可抗力客观制约因素影响，积极落实前置性工作，形成项目技术参数及商务要求，保证所供图书质量，开展读者荐书，对学校各院部公开征集书目清单，按照川北幼专校〔2024〕72号文件《川北幼专图书馆文献资源管理办法》《川北幼专图书馆纸质图书及纸质期刊正版查证管理办法》工作流程审核和学校招标办相关政采制度，经书目查重后确定适合学校人才培养和教学科研发展和满足读者需求的预采书目清单。提交项目执行申报书，展开公开招投标工作。2024年底及其后继续落实该项目相继事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0" w:hRule="atLeast"/>
        </w:trPr>
        <w:tc>
          <w:tcPr>
            <w:tcW w:w="8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203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年1-6月实施项目调研及前置性准备工作：形成项目技术参数及商务要求，完成院部师生选书，经书目查重后确定预采书目清单；6月11日提交项目执行申报书，在发布招标公告前的审核阶段集多方意见修改申报书内容；8月6日四川政采网发布招标公告；8月27日项目开标，9月12日签订合同，合同编号202471。24年持续推进项目，11月29日按合同完成中标折扣价款图书补采的院部选书及查重，并按合同履行180天内到货要求；完成验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8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0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80.00</w:t>
            </w: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80.00</w:t>
            </w:r>
          </w:p>
        </w:tc>
        <w:tc>
          <w:tcPr>
            <w:tcW w:w="20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32.00</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40.00%</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2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受2023-2024年新馆搬迁、旧馆闭馆、智慧图书馆项目建设、图书采购没有货物堆放场地等诸多不可抗力客观制约因素影响，2024年度图书采购项目被迫推迟实施，项目于2024年8月6日发布公开招标公告，8月27日开标，9月12日签订合同。按照招标文件约定，签订合同之日起180天内完成供货，项目合同结转顺延到2025年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0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8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80.00</w:t>
            </w: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80.00</w:t>
            </w:r>
          </w:p>
        </w:tc>
        <w:tc>
          <w:tcPr>
            <w:tcW w:w="20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32.00</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40.00%</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8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0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8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0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8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83" w:hRule="atLeast"/>
        </w:trPr>
        <w:tc>
          <w:tcPr>
            <w:tcW w:w="8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购置图书数量</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3.2</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万册</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3.2</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2023-2024年新馆搬迁、旧馆闭馆、智慧图书馆项目建设、图书采购没有货物堆放场地等诸多客观制约因素，2024年度图书采购项目被迫推迟实施，受图书招标报价不可控因素和图书市场价格波动不可控因素双重影响，实际供书数量为28980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图书质量符合要求</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质量完全达标</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质量完全达标</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2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85" w:hRule="atLeast"/>
        </w:trPr>
        <w:tc>
          <w:tcPr>
            <w:tcW w:w="8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项目完成时间</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2024</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40.00%</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4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受2023-2024年新馆搬迁、旧馆闭馆、智慧图书馆项目建设、图书采购没有货物堆放场地等诸多不可抗力客观制约因素影响，2024年度图书采购项目被迫推迟实施，项目于2024年8月6日发布公开招标公告，8月27日开标，9月12日签订合同。按照招标文件内容约定，签订合同之日起180天内完成供货，项目合同结转顺延到2025年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学校专业人才培养促进程度</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较大促进</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较大促进</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2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师生阅读量提升率</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100.00%</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2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2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学生满意度</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99.99%</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2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0" w:hRule="atLeast"/>
        </w:trPr>
        <w:tc>
          <w:tcPr>
            <w:tcW w:w="8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教师满意度</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99.99%</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2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4" w:hRule="atLeast"/>
        </w:trPr>
        <w:tc>
          <w:tcPr>
            <w:tcW w:w="8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图书购置成本</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100.00%</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2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72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94</w:t>
            </w:r>
          </w:p>
        </w:tc>
        <w:tc>
          <w:tcPr>
            <w:tcW w:w="42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6" w:hRule="atLeast"/>
        </w:trPr>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14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严格按照立项要求开展2024年图书购置项目招标工作，完全能够按照项目顺延落实全部采购计划，并结合学校图书馆建设进度，完全实现项目目标任务。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14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受2023-2024年新馆搬迁、旧馆闭馆、智慧图书馆项目建设、图书采购没有货物堆放场地等诸多不可抗力客观制约因素影响，2024年度图书采购项目被迫推迟实施，项目合同结转顺延到2025年结项。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2" w:hRule="atLeast"/>
        </w:trPr>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14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复盘项目流程，总结经验，提前启动项目实施准备前置性工作，提前做好可预见性风险规避措施，尽可能减小不可抗力因素带来的影响；2.统筹规划，准确落实与项目相衔接的各个环节，避免单个环节遗漏带来的整体滞后，确保项目目标按期实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520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项目负责人：任颖</w:t>
            </w:r>
          </w:p>
        </w:tc>
        <w:tc>
          <w:tcPr>
            <w:tcW w:w="875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财务负责人：祖祥凯</w:t>
            </w:r>
          </w:p>
        </w:tc>
      </w:tr>
    </w:tbl>
    <w:p>
      <w:pPr>
        <w:rPr>
          <w:rFonts w:hint="eastAsia"/>
          <w:lang w:val="zh-CN"/>
        </w:rPr>
        <w:sectPr>
          <w:pgSz w:w="16838" w:h="11906" w:orient="landscape"/>
          <w:pgMar w:top="1800" w:right="1440" w:bottom="1800" w:left="1440" w:header="851" w:footer="992" w:gutter="0"/>
          <w:pgNumType w:fmt="decimal"/>
          <w:cols w:space="425" w:num="1"/>
          <w:titlePg/>
          <w:docGrid w:type="lines" w:linePitch="312" w:charSpace="0"/>
        </w:sectPr>
      </w:pPr>
    </w:p>
    <w:tbl>
      <w:tblPr>
        <w:tblStyle w:val="16"/>
        <w:tblW w:w="1393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41"/>
        <w:gridCol w:w="1105"/>
        <w:gridCol w:w="1037"/>
        <w:gridCol w:w="1977"/>
        <w:gridCol w:w="941"/>
        <w:gridCol w:w="687"/>
        <w:gridCol w:w="850"/>
        <w:gridCol w:w="1188"/>
        <w:gridCol w:w="650"/>
        <w:gridCol w:w="675"/>
        <w:gridCol w:w="38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393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28"/>
                <w:szCs w:val="28"/>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0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89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51080022T000004937591-智慧图书馆建设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0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49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川北幼儿师范高等专科学校部门</w:t>
            </w:r>
          </w:p>
        </w:tc>
        <w:tc>
          <w:tcPr>
            <w:tcW w:w="1188"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52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川北幼儿师范高等专科学校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3" w:hRule="atLeast"/>
        </w:trPr>
        <w:tc>
          <w:tcPr>
            <w:tcW w:w="9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1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49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64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8" w:hRule="atLeast"/>
        </w:trPr>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1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49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照“统一规划、分步实施、整合资源、共享数据、突出应用”的原则，围绕图书馆管理与服务需求，建设覆盖具体建设内容包括智慧图书馆数据库、应用支撑系统、智慧图书馆管理平台、数据处理与存储系统、网络与信息安全系统、图书馆信息化配套设施系统、智能化系统以及中心机房工程，完成项目结项。</w:t>
            </w:r>
          </w:p>
        </w:tc>
        <w:tc>
          <w:tcPr>
            <w:tcW w:w="64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到2024年底已严格按照项目招标文件及合同，已按要求建成覆盖具体建设内容包括智慧图书馆数据库、应用支撑系统、智慧图书馆管理平台、数据处理与存储系统、网络与信息安全系统、图书馆信息化配套设施系统、智能化系统以及中心机房工程，并成功投入使用，完成项目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6" w:hRule="atLeast"/>
        </w:trPr>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89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项目建成智慧图书馆数据库、应用支撑系统、智慧图书馆管理平台、数据处理与存储系统、网络与信息安全系统、图书馆信息化配套设施系统、智能化系统以及中心机房工程，完成项目结项。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9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47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 w:hRule="atLeast"/>
        </w:trPr>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631.29</w:t>
            </w:r>
          </w:p>
        </w:tc>
        <w:tc>
          <w:tcPr>
            <w:tcW w:w="247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631.29</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8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47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8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9" w:hRule="atLeast"/>
        </w:trPr>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631.29</w:t>
            </w:r>
          </w:p>
        </w:tc>
        <w:tc>
          <w:tcPr>
            <w:tcW w:w="247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631.29</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8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47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8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47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8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9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0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采购读者自助区及数字资料体验区信息化配套设备</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种</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38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建设图书馆指挥中心信息化系统</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套</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38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建设应用支持平台</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套</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38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建设公共广播系统</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套</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38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建设综合布线系统</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套</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38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建设数据处理和存储系统</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套</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38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建设RFID图书管理系统</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套</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38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建设门禁控制系统</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套</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38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建设视频监控系统</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套</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38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建设网络系统</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套</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38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建设中心机房设备间</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38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建设图书馆大厅显示系统</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套</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38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建设图书馆综合管理平台</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套</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38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采购设备系统质量合格率</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38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项目完成时间</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8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10" w:hRule="atLeast"/>
        </w:trPr>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保障图书馆正常开展藏书、借阅、自习、办公等活动，提升学校图书馆智能化信息化建设服务水平。</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8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trPr>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1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配套设施使用年限</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8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trPr>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0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教职工满意度</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8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trPr>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学生进馆学习、阅读体验满意度</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8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预算年度内智慧图书馆建设支出成本</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631.293586</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8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72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88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299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严格按照立项要求、招标文件、项目合同完成项目建设，并经过政府采购专家组验收合格，完成全部款项支付，达成项目目标任务。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95" w:hRule="atLeast"/>
        </w:trPr>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299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2022年7月1日获市发改委立项，8月8日市经信局技术评审通过，11月14日市财政局财评通过，2023年4月10日开标、8月7日签合同、9月6日进场施工。合同建设周期2023年8月7日至12月7日，因6个不可抗力因素延期：1.甲方图书馆土建交钥匙延期，导致项目进场延期至2023年9月6日；2.甲方2023年图书馆书架家具招标项目到位延期，导致旧图书馆搬迁图书上架被迫延迟至2024年3月3日启动、乙方图书芯片加工顺延至6月完成；3.乙方部分供货在2023年春节期间延迟；4.甲方图书馆使用功能调整，2024年3月闸机位置相应调整，乙方闸机换货、安装、调试延迟至2024年5月；5.项目具备试运行条件时，时值2024年6月底甲方学校放暑假，没有试运行学生主体，甲方卫生保障也无法跟上，试运行延期；6.2024年9月3日甲方开馆试运行，发现乙方建设还存在少量问题，整改、调试、测试后于2024年9月27日通过政府采购履约验收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299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1.克服困难，加强业务技术能力学习；2.加强相关招投标法律法规规程学习；3.积极预判该项目可能涉及到的综合问题，提前进行预判处理。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00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项目负责人：任颖</w:t>
            </w:r>
          </w:p>
        </w:tc>
        <w:tc>
          <w:tcPr>
            <w:tcW w:w="793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财务负责人：祖祥凯</w:t>
            </w:r>
          </w:p>
        </w:tc>
      </w:tr>
    </w:tbl>
    <w:p>
      <w:pPr>
        <w:pStyle w:val="24"/>
        <w:outlineLvl w:val="9"/>
        <w:rPr>
          <w:rFonts w:hint="eastAsia"/>
          <w:lang w:val="zh-CN"/>
        </w:rPr>
        <w:sectPr>
          <w:pgSz w:w="16838" w:h="11906" w:orient="landscape"/>
          <w:pgMar w:top="1800" w:right="1440" w:bottom="1800" w:left="1440" w:header="851" w:footer="992" w:gutter="0"/>
          <w:pgNumType w:fmt="decimal"/>
          <w:cols w:space="425" w:num="1"/>
          <w:titlePg/>
          <w:docGrid w:type="lines" w:linePitch="312" w:charSpace="0"/>
        </w:sectPr>
      </w:pPr>
    </w:p>
    <w:tbl>
      <w:tblPr>
        <w:tblStyle w:val="16"/>
        <w:tblW w:w="1395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88"/>
        <w:gridCol w:w="1027"/>
        <w:gridCol w:w="1073"/>
        <w:gridCol w:w="2088"/>
        <w:gridCol w:w="787"/>
        <w:gridCol w:w="838"/>
        <w:gridCol w:w="1012"/>
        <w:gridCol w:w="1038"/>
        <w:gridCol w:w="549"/>
        <w:gridCol w:w="788"/>
        <w:gridCol w:w="40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395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28"/>
                <w:szCs w:val="28"/>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17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223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51080024T000011133289-智慧图书馆项目（二期）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17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79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川北幼儿师范高等专科学校部门</w:t>
            </w:r>
          </w:p>
        </w:tc>
        <w:tc>
          <w:tcPr>
            <w:tcW w:w="1038"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54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川北幼儿师范高等专科学校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6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0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79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64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0"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79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2024年立项的智慧图书馆项目（二期）预算文件编号CBYZ202404052，建设内容为智慧图书馆项目（二期）的图书馆6间会议室部分，后经幼专校会〔2024〕8期校长办公会议纪要议定：智慧图书馆项目（二期）暂不实施，同意图书馆办公区会议室信息化建设内容单独立项实施，经费预算30.6387 万元，幼专委会〔2024〕10 期党委会议纪要议定：由于智慧图书馆项目（二期）暂不实施，为保证图书馆办公区会议室按期正常投入使用，经咨询市财政局，同意图书馆办公区会议室信息化建设内容单独立项实施，经费预算 30.6387万元。目前，单独立项的图书馆办公区会议室信息化建设工作，按照川北幼专校〔2025〕17 号文件附件6《2025 年结转类项目预算项目》2024 年图书馆会议室建设项目（预算文件编号20254012304001）实施。</w:t>
            </w:r>
          </w:p>
        </w:tc>
        <w:tc>
          <w:tcPr>
            <w:tcW w:w="64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按照幼专校会〔2024〕8期校长办公会议纪要、幼专委会〔2024〕10 期党委会议纪要，经咨询市财政局，同意智慧图书馆项目（二期）（预算文件编号CBYZ202404052）暂不实施。图书馆会议室建设按照川北幼专校〔2025〕17 号文件附件6 2025 年结转类项目预算项目“2024 年图书馆会议室建设项目（预算文件编号20254012304001）”单独立项实施。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223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按照幼专校会〔2024〕8期校长办公会议纪要、幼专委会〔2024〕10 期党委会议纪要，经咨询市财政局，同意智慧图书馆项目（二期）（预算文件编号CBYZ202404052）暂不实施。图书馆会议室建设按照川北幼专校〔2025〕17 号文件附件6 2025 年结转类项目预算项目“2024 年图书馆会议室建设项目（预算文件编号20254012304001）”单独立项实施。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6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0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0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2"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0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51.64</w:t>
            </w:r>
          </w:p>
        </w:tc>
        <w:tc>
          <w:tcPr>
            <w:tcW w:w="20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51.64</w:t>
            </w:r>
          </w:p>
        </w:tc>
        <w:tc>
          <w:tcPr>
            <w:tcW w:w="26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40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按照幼专校会〔2024〕8期校长办公会议纪要、幼专委会〔2024〕10 期党委会议纪要，经咨询市财政局，同意智慧图书馆项目（二期）（预算文件编号CBYZ202404052）暂不实施。图书馆会议室建设按照川北幼专校〔2025〕17 号文件附件6 2025 年结转类项目预算项目“2024 年图书馆会议室建设项目（预算文件编号20254012304001）”单独立项实施。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6"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0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0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0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51.64</w:t>
            </w:r>
          </w:p>
        </w:tc>
        <w:tc>
          <w:tcPr>
            <w:tcW w:w="20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51.64</w:t>
            </w:r>
          </w:p>
        </w:tc>
        <w:tc>
          <w:tcPr>
            <w:tcW w:w="26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0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0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6"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0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c>
          <w:tcPr>
            <w:tcW w:w="20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c>
          <w:tcPr>
            <w:tcW w:w="26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0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0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0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0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0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采购LED显示屏数量</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5.92</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平方米</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0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采购液晶显示器数量</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0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1"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0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采购设备验收合格率</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0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0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智慧图书馆项目（会议室建设）完成时间</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2024</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0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2"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0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0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图书馆读者服务体验感及阅读环境改善程度</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较大提升</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0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1"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20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智慧校园建设推进程度</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有效推进</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0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9"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0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0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师生满意度</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0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0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0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智慧图书馆项目（会议室建设）成本</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51.64</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0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855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4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智慧图书馆项目（二期）暂不实施。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8" w:hRule="atLeast"/>
        </w:trPr>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26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8"/>
                <w:szCs w:val="18"/>
                <w:u w:val="none"/>
              </w:rPr>
            </w:pPr>
            <w:r>
              <w:rPr>
                <w:rFonts w:hint="eastAsia" w:ascii="微软雅黑" w:hAnsi="微软雅黑" w:eastAsia="微软雅黑" w:cs="微软雅黑"/>
                <w:i/>
                <w:iCs/>
                <w:color w:val="000000"/>
                <w:kern w:val="0"/>
                <w:sz w:val="18"/>
                <w:szCs w:val="18"/>
                <w:u w:val="none"/>
                <w:lang w:val="en-US" w:eastAsia="zh-CN" w:bidi="ar"/>
              </w:rPr>
              <w:t>按照幼专校会〔2024〕8期校长办公会议纪要、幼专委会〔2024〕10 期党委会议纪要，经咨询市财政局，同意智慧图书馆项目（二期）（预算文件编号CBYZ202404052）暂不实施。图书馆会议室建设按照川北幼专校〔2025〕17 号文件附件6 2025 年结转类项目预算项目“2024 年图书馆会议室建设项目（预算文件编号20254012304001）”单独立项实施。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0" w:hRule="atLeast"/>
        </w:trPr>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26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8"/>
                <w:szCs w:val="18"/>
                <w:u w:val="none"/>
              </w:rPr>
            </w:pPr>
            <w:r>
              <w:rPr>
                <w:rFonts w:hint="eastAsia" w:ascii="微软雅黑" w:hAnsi="微软雅黑" w:eastAsia="微软雅黑" w:cs="微软雅黑"/>
                <w:i/>
                <w:iCs/>
                <w:color w:val="000000"/>
                <w:kern w:val="0"/>
                <w:sz w:val="18"/>
                <w:szCs w:val="18"/>
                <w:u w:val="none"/>
                <w:lang w:val="en-US" w:eastAsia="zh-CN" w:bidi="ar"/>
              </w:rPr>
              <w:t>按照幼专校会〔2024〕8期校长办公会议纪要、幼专委会〔2024〕10 期党委会议纪要，经咨询市财政局，同意智慧图书馆项目（二期）（预算文件编号CBYZ202404052）暂不实施。图书馆会议室建设按照川北幼专校〔2025〕17 号文件附件6 2025 年结转类项目预算项目“2024 年图书馆会议室建设项目（预算文件编号20254012304001）”单独立项实施。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7" w:hRule="atLeast"/>
        </w:trPr>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26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8"/>
                <w:szCs w:val="18"/>
                <w:u w:val="none"/>
              </w:rPr>
            </w:pPr>
            <w:r>
              <w:rPr>
                <w:rFonts w:hint="eastAsia" w:ascii="微软雅黑" w:hAnsi="微软雅黑" w:eastAsia="微软雅黑" w:cs="微软雅黑"/>
                <w:i/>
                <w:iCs/>
                <w:color w:val="000000"/>
                <w:kern w:val="0"/>
                <w:sz w:val="18"/>
                <w:szCs w:val="18"/>
                <w:u w:val="none"/>
                <w:lang w:val="en-US" w:eastAsia="zh-CN" w:bidi="ar"/>
              </w:rPr>
              <w:t>按照幼专校会〔2024〕8期校长办公会议纪要、幼专委会〔2024〕10 期党委会议纪要，经咨询市财政局，同意智慧图书馆项目（二期）（预算文件编号CBYZ202404052）暂不实施。图书馆会议室建设按照川北幼专校〔2025〕17 号文件附件6 2025 年结转类项目预算项目“2024 年图书馆会议室建设项目（预算文件编号20254012304001）”单独立项实施。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7" w:hRule="atLeast"/>
        </w:trPr>
        <w:tc>
          <w:tcPr>
            <w:tcW w:w="566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项目负责人：任颖</w:t>
            </w:r>
          </w:p>
        </w:tc>
        <w:tc>
          <w:tcPr>
            <w:tcW w:w="828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财务负责人：祖祥凯</w:t>
            </w:r>
          </w:p>
        </w:tc>
      </w:tr>
    </w:tbl>
    <w:p>
      <w:pPr>
        <w:rPr>
          <w:rFonts w:hint="eastAsia"/>
          <w:lang w:val="zh-CN"/>
        </w:rPr>
        <w:sectPr>
          <w:pgSz w:w="16838" w:h="11906" w:orient="landscape"/>
          <w:pgMar w:top="1800" w:right="1440" w:bottom="1800" w:left="1440" w:header="851" w:footer="992" w:gutter="0"/>
          <w:pgNumType w:fmt="decimal"/>
          <w:cols w:space="425" w:num="1"/>
          <w:titlePg/>
          <w:docGrid w:type="lines" w:linePitch="312" w:charSpace="0"/>
        </w:sectPr>
      </w:pPr>
    </w:p>
    <w:tbl>
      <w:tblPr>
        <w:tblStyle w:val="16"/>
        <w:tblW w:w="1395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90"/>
        <w:gridCol w:w="1080"/>
        <w:gridCol w:w="795"/>
        <w:gridCol w:w="1440"/>
        <w:gridCol w:w="971"/>
        <w:gridCol w:w="837"/>
        <w:gridCol w:w="1063"/>
        <w:gridCol w:w="909"/>
        <w:gridCol w:w="1080"/>
        <w:gridCol w:w="1080"/>
        <w:gridCol w:w="37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395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28"/>
                <w:szCs w:val="28"/>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88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51080023T000008474186-助学金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10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川北幼儿师范高等专科学校部门</w:t>
            </w:r>
          </w:p>
        </w:tc>
        <w:tc>
          <w:tcPr>
            <w:tcW w:w="909"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58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川北幼儿师范高等专科学校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10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67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2"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10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发放学校勤工助学金、少数民族补助、技能大赛奖助学金等，切实减轻学生家庭经济负担，激励学生成长成才。</w:t>
            </w:r>
          </w:p>
        </w:tc>
        <w:tc>
          <w:tcPr>
            <w:tcW w:w="67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按时完成学校勤工助学金、少数民族补助发放以及火车票优惠卡申购等工作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3"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88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勤工助学金发放：每学期初学工部资助中心根据相关文件通知各院部提交用工申请，根据所报岗位学生人数进行分配，确定助学岗位后按实际助学工作时间，按月统计发放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8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7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150.00</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150.00</w:t>
            </w:r>
          </w:p>
        </w:tc>
        <w:tc>
          <w:tcPr>
            <w:tcW w:w="28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150.00</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7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7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150.00</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150.00</w:t>
            </w:r>
          </w:p>
        </w:tc>
        <w:tc>
          <w:tcPr>
            <w:tcW w:w="28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150.00</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7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7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8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7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7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7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勤工助学金补助学生人数</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392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37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各院部和部门的勤工助学岗位申请总数未达到指标值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少数民族生活补助学生人数</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1680</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1680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7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助学金发放时限</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2024</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2024</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7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减轻困难学生经济压力，激励学生成长成才</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7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7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家长满意度</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7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学生满意度</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7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7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校内助学金三等奖标准</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180</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元/人</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7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校内助学金二等奖标准</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240</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元/人</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7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校内助学金一等奖标准</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元/人</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7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助学金补助支出金额</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52</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37.934</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7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w:t>
            </w:r>
          </w:p>
        </w:tc>
        <w:tc>
          <w:tcPr>
            <w:tcW w:w="370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72"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296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勤工助学部工作一直是以人为本，以身作则，以关心服务每一位学生的宗旨，本学期我们在上级领导下完成好一项项工作，具体事例有以下3点:</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1、对申请岗位的学生做好信息登记，建立QQ联系群，按部门需求匹配申请助学岗位的学生；</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2、为岗位安排工作的开展提供依据，确保按需分配岗位，帮助需要勤工助学的学生在完成学业之余做好相关勤工助学工作；</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3、随着新生的加入，原本有限的岗位越发供不应求，难以满足同学们的需要。这就需要我部人员在充分了解申请勤工助学岗位的贫困生的情况下，对勤工助学岗位合理审慎的安排，使真正贫困的学子得到及时的帮助。在岗位安排上，我们选择面试的方式，在面试中选出有责任心和工作热情的学生上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8"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296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发放助学金过程中，因学生提供的个人信息和银行卡信息有误，使打款次数增加、到账时间滞后。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7"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296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 资助中心加强与财务处以及各院部学管干事的联系，出现助学金打卡失败相关问题及时跟进除了，提高效率；各院部要明确责任、提高效率，及时通知到相关辅导员、班主任，并将所需相关信息及时反馈到资助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2" w:hRule="atLeast"/>
        </w:trPr>
        <w:tc>
          <w:tcPr>
            <w:tcW w:w="52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项目负责人：罗宇</w:t>
            </w:r>
          </w:p>
        </w:tc>
        <w:tc>
          <w:tcPr>
            <w:tcW w:w="86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财务负责人：祖祥凯</w:t>
            </w:r>
          </w:p>
        </w:tc>
      </w:tr>
    </w:tbl>
    <w:p>
      <w:pPr>
        <w:pStyle w:val="24"/>
        <w:outlineLvl w:val="9"/>
        <w:rPr>
          <w:rFonts w:hint="eastAsia"/>
          <w:lang w:val="zh-CN"/>
        </w:rPr>
        <w:sectPr>
          <w:pgSz w:w="16838" w:h="11906" w:orient="landscape"/>
          <w:pgMar w:top="1800" w:right="1440" w:bottom="1800" w:left="1440" w:header="851" w:footer="992" w:gutter="0"/>
          <w:pgNumType w:fmt="decimal"/>
          <w:cols w:space="425" w:num="1"/>
          <w:titlePg/>
          <w:docGrid w:type="lines" w:linePitch="312" w:charSpace="0"/>
        </w:sectPr>
      </w:pPr>
    </w:p>
    <w:tbl>
      <w:tblPr>
        <w:tblStyle w:val="16"/>
        <w:tblW w:w="1397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44"/>
        <w:gridCol w:w="1087"/>
        <w:gridCol w:w="1079"/>
        <w:gridCol w:w="1249"/>
        <w:gridCol w:w="959"/>
        <w:gridCol w:w="750"/>
        <w:gridCol w:w="1034"/>
        <w:gridCol w:w="1079"/>
        <w:gridCol w:w="1079"/>
        <w:gridCol w:w="1079"/>
        <w:gridCol w:w="363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397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hint="eastAsia" w:ascii="黑体" w:hAnsi="宋体" w:eastAsia="黑体" w:cs="黑体"/>
                <w:b/>
                <w:bCs/>
                <w:i w:val="0"/>
                <w:iCs w:val="0"/>
                <w:color w:val="000000"/>
                <w:kern w:val="0"/>
                <w:sz w:val="28"/>
                <w:szCs w:val="28"/>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2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94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51080023T000008522419-代管培训奖补及工作经费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07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川北幼儿师范高等专科学校部门</w:t>
            </w:r>
          </w:p>
        </w:tc>
        <w:tc>
          <w:tcPr>
            <w:tcW w:w="1079"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57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川北幼儿师范高等专科学校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5" w:hRule="atLeast"/>
        </w:trPr>
        <w:tc>
          <w:tcPr>
            <w:tcW w:w="9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0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07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68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07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保障学校教学活动正常开展，改善办学条件，提高办学水平.</w:t>
            </w:r>
          </w:p>
        </w:tc>
        <w:tc>
          <w:tcPr>
            <w:tcW w:w="68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全年学校教学活动正常开展，办学条件得到改善，办学水平有所提高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94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该经费主要为上缴财政代管的各类非同级财政拨款收入，使用时走财政代管拨付程序。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400.00</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400.00</w:t>
            </w:r>
          </w:p>
        </w:tc>
        <w:tc>
          <w:tcPr>
            <w:tcW w:w="2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250.38</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62.59%</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36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年初预算不够精准，由于先使用一般公共预算以及财政专户管理资金，导致该资金执行率较低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400.00</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400.00</w:t>
            </w:r>
          </w:p>
        </w:tc>
        <w:tc>
          <w:tcPr>
            <w:tcW w:w="2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250.38</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62.59%</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2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9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受益中职学生人数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287</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287</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资金使用率</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62.59%</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36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2024</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2024</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6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提升学校知名度</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优</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有效提高教师教学及科研积极性</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优</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师生满意度</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95%</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2024年工作经费支出成本</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250.38</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6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18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92</w:t>
            </w:r>
          </w:p>
        </w:tc>
        <w:tc>
          <w:tcPr>
            <w:tcW w:w="363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8" w:hRule="atLeast"/>
        </w:trPr>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03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2024年学校教学活动正常开展，办学条件得到改善，办学水平有所提高。自评得分92分。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03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预算精准度有待提高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03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学校正在采购预算绩效管理一体化系统，通过加强信息化手段，提高预算编制准确率。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531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项目负责人：杨婧怡</w:t>
            </w:r>
          </w:p>
        </w:tc>
        <w:tc>
          <w:tcPr>
            <w:tcW w:w="865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财务负责人：祖祥凯</w:t>
            </w:r>
          </w:p>
        </w:tc>
      </w:tr>
    </w:tbl>
    <w:p>
      <w:pPr>
        <w:rPr>
          <w:rFonts w:hint="eastAsia"/>
          <w:lang w:val="zh-CN"/>
        </w:rPr>
        <w:sectPr>
          <w:pgSz w:w="16838" w:h="11906" w:orient="landscape"/>
          <w:pgMar w:top="1800" w:right="1440" w:bottom="1800" w:left="1440" w:header="851" w:footer="992" w:gutter="0"/>
          <w:pgNumType w:fmt="decimal"/>
          <w:cols w:space="425" w:num="1"/>
          <w:titlePg/>
          <w:docGrid w:type="lines" w:linePitch="312" w:charSpace="0"/>
        </w:sectPr>
      </w:pPr>
    </w:p>
    <w:tbl>
      <w:tblPr>
        <w:tblStyle w:val="16"/>
        <w:tblW w:w="1398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26"/>
        <w:gridCol w:w="1100"/>
        <w:gridCol w:w="382"/>
        <w:gridCol w:w="893"/>
        <w:gridCol w:w="1517"/>
        <w:gridCol w:w="1883"/>
        <w:gridCol w:w="1462"/>
        <w:gridCol w:w="163"/>
        <w:gridCol w:w="975"/>
        <w:gridCol w:w="387"/>
        <w:gridCol w:w="43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3988" w:type="dxa"/>
            <w:gridSpan w:val="11"/>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32"/>
                <w:szCs w:val="32"/>
                <w:u w:val="none"/>
              </w:rPr>
            </w:pPr>
            <w:r>
              <w:rPr>
                <w:rFonts w:hint="eastAsia" w:ascii="方正小标宋简体" w:hAnsi="方正小标宋简体" w:eastAsia="方正小标宋简体" w:cs="方正小标宋简体"/>
                <w:i w:val="0"/>
                <w:iCs w:val="0"/>
                <w:color w:val="000000"/>
                <w:kern w:val="0"/>
                <w:sz w:val="28"/>
                <w:szCs w:val="28"/>
                <w:u w:val="none"/>
                <w:lang w:val="en-US" w:eastAsia="zh-CN" w:bidi="ar"/>
              </w:rPr>
              <w:t>川北幼儿师范高等专科学校中央转移支付绩效自评表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3988" w:type="dxa"/>
            <w:gridSpan w:val="11"/>
            <w:tcBorders>
              <w:top w:val="nil"/>
              <w:left w:val="nil"/>
              <w:bottom w:val="single" w:color="000000" w:sz="4" w:space="0"/>
              <w:right w:val="nil"/>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4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转移支付（项目）名称</w:t>
            </w:r>
          </w:p>
        </w:tc>
        <w:tc>
          <w:tcPr>
            <w:tcW w:w="1158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2024年学生资助补助经费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1" w:hRule="atLeast"/>
        </w:trPr>
        <w:tc>
          <w:tcPr>
            <w:tcW w:w="24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中央主管部门</w:t>
            </w:r>
          </w:p>
        </w:tc>
        <w:tc>
          <w:tcPr>
            <w:tcW w:w="1158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教育部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5" w:hRule="atLeast"/>
        </w:trPr>
        <w:tc>
          <w:tcPr>
            <w:tcW w:w="24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地方主管部门</w:t>
            </w:r>
          </w:p>
        </w:tc>
        <w:tc>
          <w:tcPr>
            <w:tcW w:w="42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广元市教育局</w:t>
            </w:r>
          </w:p>
        </w:tc>
        <w:tc>
          <w:tcPr>
            <w:tcW w:w="16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资金使用单位</w:t>
            </w:r>
          </w:p>
        </w:tc>
        <w:tc>
          <w:tcPr>
            <w:tcW w:w="56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川北幼儿师范高等专科学校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40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资金投入情况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（万元）</w:t>
            </w:r>
          </w:p>
        </w:tc>
        <w:tc>
          <w:tcPr>
            <w:tcW w:w="24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全年预算数（A）</w:t>
            </w:r>
          </w:p>
        </w:tc>
        <w:tc>
          <w:tcPr>
            <w:tcW w:w="26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全年执行数（B）</w:t>
            </w:r>
          </w:p>
        </w:tc>
        <w:tc>
          <w:tcPr>
            <w:tcW w:w="46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预算执行率（B/A×100%)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3" w:hRule="atLeast"/>
        </w:trPr>
        <w:tc>
          <w:tcPr>
            <w:tcW w:w="240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4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1333.46</w:t>
            </w:r>
          </w:p>
        </w:tc>
        <w:tc>
          <w:tcPr>
            <w:tcW w:w="26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1285.165</w:t>
            </w:r>
          </w:p>
        </w:tc>
        <w:tc>
          <w:tcPr>
            <w:tcW w:w="46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8" w:hRule="atLeast"/>
        </w:trPr>
        <w:tc>
          <w:tcPr>
            <w:tcW w:w="240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4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r>
              <w:rPr>
                <w:rStyle w:val="43"/>
                <w:lang w:val="en-US" w:eastAsia="zh-CN" w:bidi="ar"/>
              </w:rPr>
              <w:t>其中：中央财政资金</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1147.04</w:t>
            </w:r>
          </w:p>
        </w:tc>
        <w:tc>
          <w:tcPr>
            <w:tcW w:w="26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1098.745</w:t>
            </w:r>
          </w:p>
        </w:tc>
        <w:tc>
          <w:tcPr>
            <w:tcW w:w="46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3" w:hRule="atLeast"/>
        </w:trPr>
        <w:tc>
          <w:tcPr>
            <w:tcW w:w="240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4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r>
              <w:rPr>
                <w:rStyle w:val="43"/>
                <w:lang w:val="en-US" w:eastAsia="zh-CN" w:bidi="ar"/>
              </w:rPr>
              <w:t xml:space="preserve">      地方财政资金</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186.42</w:t>
            </w:r>
          </w:p>
        </w:tc>
        <w:tc>
          <w:tcPr>
            <w:tcW w:w="26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186.42</w:t>
            </w:r>
          </w:p>
        </w:tc>
        <w:tc>
          <w:tcPr>
            <w:tcW w:w="46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6" w:hRule="atLeast"/>
        </w:trPr>
        <w:tc>
          <w:tcPr>
            <w:tcW w:w="240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4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r>
              <w:rPr>
                <w:rStyle w:val="44"/>
                <w:lang w:val="en-US" w:eastAsia="zh-CN" w:bidi="ar"/>
              </w:rPr>
              <w:t xml:space="preserve">  其他资金</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6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6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6" w:hRule="atLeast"/>
        </w:trPr>
        <w:tc>
          <w:tcPr>
            <w:tcW w:w="240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资金管理情况</w:t>
            </w:r>
          </w:p>
        </w:tc>
        <w:tc>
          <w:tcPr>
            <w:tcW w:w="24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44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情况说明</w:t>
            </w:r>
          </w:p>
        </w:tc>
        <w:tc>
          <w:tcPr>
            <w:tcW w:w="46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存在问题和改进措施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40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4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分配科学性</w:t>
            </w:r>
          </w:p>
        </w:tc>
        <w:tc>
          <w:tcPr>
            <w:tcW w:w="44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资金分配科学合理</w:t>
            </w:r>
          </w:p>
        </w:tc>
        <w:tc>
          <w:tcPr>
            <w:tcW w:w="46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240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4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下达及时性</w:t>
            </w:r>
          </w:p>
        </w:tc>
        <w:tc>
          <w:tcPr>
            <w:tcW w:w="44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资金下达及时</w:t>
            </w:r>
          </w:p>
        </w:tc>
        <w:tc>
          <w:tcPr>
            <w:tcW w:w="46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trPr>
        <w:tc>
          <w:tcPr>
            <w:tcW w:w="240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4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拨付合规性</w:t>
            </w:r>
          </w:p>
        </w:tc>
        <w:tc>
          <w:tcPr>
            <w:tcW w:w="44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资金支付合规，不存在违规情况</w:t>
            </w:r>
          </w:p>
        </w:tc>
        <w:tc>
          <w:tcPr>
            <w:tcW w:w="46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trPr>
        <w:tc>
          <w:tcPr>
            <w:tcW w:w="240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4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使用规范性</w:t>
            </w:r>
          </w:p>
        </w:tc>
        <w:tc>
          <w:tcPr>
            <w:tcW w:w="44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资金使用规范，无资金截留、挤占、挪用或擅自调整等问题</w:t>
            </w:r>
          </w:p>
        </w:tc>
        <w:tc>
          <w:tcPr>
            <w:tcW w:w="46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5" w:hRule="atLeast"/>
        </w:trPr>
        <w:tc>
          <w:tcPr>
            <w:tcW w:w="240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4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执行准确性</w:t>
            </w:r>
          </w:p>
        </w:tc>
        <w:tc>
          <w:tcPr>
            <w:tcW w:w="44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资金执行率较高</w:t>
            </w:r>
          </w:p>
        </w:tc>
        <w:tc>
          <w:tcPr>
            <w:tcW w:w="46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因学生社保卡未激活导致存在打卡失败情况；今后工作中提前通知、督促学生,办理激活社保卡金融功能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0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4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预算绩效管理情况</w:t>
            </w:r>
          </w:p>
        </w:tc>
        <w:tc>
          <w:tcPr>
            <w:tcW w:w="44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按时开展事前绩效评估、事中绩效监控和事后绩效评价</w:t>
            </w:r>
          </w:p>
        </w:tc>
        <w:tc>
          <w:tcPr>
            <w:tcW w:w="46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4" w:hRule="atLeast"/>
        </w:trPr>
        <w:tc>
          <w:tcPr>
            <w:tcW w:w="240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4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支出责任履行情况</w:t>
            </w:r>
          </w:p>
        </w:tc>
        <w:tc>
          <w:tcPr>
            <w:tcW w:w="44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按时完成资助工作</w:t>
            </w:r>
          </w:p>
        </w:tc>
        <w:tc>
          <w:tcPr>
            <w:tcW w:w="46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7" w:hRule="atLeast"/>
        </w:trPr>
        <w:tc>
          <w:tcPr>
            <w:tcW w:w="926"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总体目标完成情况</w:t>
            </w:r>
          </w:p>
        </w:tc>
        <w:tc>
          <w:tcPr>
            <w:tcW w:w="5775" w:type="dxa"/>
            <w:gridSpan w:val="5"/>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总体目标</w:t>
            </w:r>
          </w:p>
        </w:tc>
        <w:tc>
          <w:tcPr>
            <w:tcW w:w="7287" w:type="dxa"/>
            <w:gridSpan w:val="5"/>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9" w:hRule="atLeast"/>
        </w:trPr>
        <w:tc>
          <w:tcPr>
            <w:tcW w:w="92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7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1.严格按照资助政策，为地方普通高等学校家庭经济困难学生发放国家助学金；2.认真做好国家奖学金评选工作；3.为应征入伍服义务兵役做好学费补偿、国家助学贷款代偿及学费减免工作</w:t>
            </w:r>
          </w:p>
        </w:tc>
        <w:tc>
          <w:tcPr>
            <w:tcW w:w="72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1.已完成大专国家奖助学金发放工作；2.已按时完成应征入伍服义务兵学费补偿国家助学金贷款代偿和学费补偿工作，部分入伍学生银行卡信息预留错误，核实后进行补打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trPr>
        <w:tc>
          <w:tcPr>
            <w:tcW w:w="926"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绩效指标</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指标</w:t>
            </w:r>
          </w:p>
        </w:tc>
        <w:tc>
          <w:tcPr>
            <w:tcW w:w="12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34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1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全年实际完成值</w:t>
            </w:r>
          </w:p>
        </w:tc>
        <w:tc>
          <w:tcPr>
            <w:tcW w:w="4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未完成原因和改进措施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标</w:t>
            </w:r>
          </w:p>
        </w:tc>
        <w:tc>
          <w:tcPr>
            <w:tcW w:w="127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34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高职国家助学金春季资助人数</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≥2978</w:t>
            </w:r>
          </w:p>
        </w:tc>
        <w:tc>
          <w:tcPr>
            <w:tcW w:w="1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2978</w:t>
            </w:r>
          </w:p>
        </w:tc>
        <w:tc>
          <w:tcPr>
            <w:tcW w:w="4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2" w:hRule="atLeast"/>
        </w:trPr>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4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高职国家助学金秋季资助人数</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≥2978</w:t>
            </w:r>
          </w:p>
        </w:tc>
        <w:tc>
          <w:tcPr>
            <w:tcW w:w="1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2978</w:t>
            </w:r>
          </w:p>
        </w:tc>
        <w:tc>
          <w:tcPr>
            <w:tcW w:w="4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trPr>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4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高职国家奖学金全年资助人数</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≥20</w:t>
            </w:r>
          </w:p>
        </w:tc>
        <w:tc>
          <w:tcPr>
            <w:tcW w:w="1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4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4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高职国家励志奖学金资助人数</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≥315</w:t>
            </w:r>
          </w:p>
        </w:tc>
        <w:tc>
          <w:tcPr>
            <w:tcW w:w="1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315</w:t>
            </w:r>
          </w:p>
        </w:tc>
        <w:tc>
          <w:tcPr>
            <w:tcW w:w="4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7" w:hRule="atLeast"/>
        </w:trPr>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4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中职免学费春季资助人数</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≥143</w:t>
            </w:r>
          </w:p>
        </w:tc>
        <w:tc>
          <w:tcPr>
            <w:tcW w:w="1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143</w:t>
            </w:r>
          </w:p>
        </w:tc>
        <w:tc>
          <w:tcPr>
            <w:tcW w:w="4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4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应征入伍学费减免和助学贷款代偿人数</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≥80</w:t>
            </w:r>
          </w:p>
        </w:tc>
        <w:tc>
          <w:tcPr>
            <w:tcW w:w="1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w:t>
            </w:r>
          </w:p>
        </w:tc>
        <w:tc>
          <w:tcPr>
            <w:tcW w:w="4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34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落实国家、省、市各项学生资助政策</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w:t>
            </w:r>
          </w:p>
        </w:tc>
        <w:tc>
          <w:tcPr>
            <w:tcW w:w="1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w:t>
            </w:r>
          </w:p>
        </w:tc>
        <w:tc>
          <w:tcPr>
            <w:tcW w:w="4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trPr>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7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34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春季国家助学金发放时间</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6月底之前</w:t>
            </w:r>
          </w:p>
        </w:tc>
        <w:tc>
          <w:tcPr>
            <w:tcW w:w="1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6月底之前</w:t>
            </w:r>
          </w:p>
        </w:tc>
        <w:tc>
          <w:tcPr>
            <w:tcW w:w="4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4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秋季国家助学金发放时间</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12月底之前</w:t>
            </w:r>
          </w:p>
        </w:tc>
        <w:tc>
          <w:tcPr>
            <w:tcW w:w="1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12月底之前</w:t>
            </w:r>
          </w:p>
        </w:tc>
        <w:tc>
          <w:tcPr>
            <w:tcW w:w="4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trPr>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7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34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国家助学金资助标准</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3300元/人年</w:t>
            </w:r>
          </w:p>
        </w:tc>
        <w:tc>
          <w:tcPr>
            <w:tcW w:w="1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3700元/人年</w:t>
            </w:r>
          </w:p>
        </w:tc>
        <w:tc>
          <w:tcPr>
            <w:tcW w:w="4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2024年秋季学期根据政策按新标准执行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1" w:hRule="atLeast"/>
        </w:trPr>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4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国家励志奖学金资助标准</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5000元/人年</w:t>
            </w:r>
          </w:p>
        </w:tc>
        <w:tc>
          <w:tcPr>
            <w:tcW w:w="1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6000元/人年</w:t>
            </w:r>
          </w:p>
        </w:tc>
        <w:tc>
          <w:tcPr>
            <w:tcW w:w="4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2024年秋季学期根据政策按新标准执行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9" w:hRule="atLeast"/>
        </w:trPr>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4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国家奖学金资助标准</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8000元/人年</w:t>
            </w:r>
          </w:p>
        </w:tc>
        <w:tc>
          <w:tcPr>
            <w:tcW w:w="1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10000元/人年</w:t>
            </w:r>
          </w:p>
        </w:tc>
        <w:tc>
          <w:tcPr>
            <w:tcW w:w="4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2024年秋季学期根据政策按新标准执行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指标</w:t>
            </w:r>
          </w:p>
        </w:tc>
        <w:tc>
          <w:tcPr>
            <w:tcW w:w="34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减轻家庭经济困难学生经济压力</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w:t>
            </w:r>
          </w:p>
        </w:tc>
        <w:tc>
          <w:tcPr>
            <w:tcW w:w="1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w:t>
            </w:r>
          </w:p>
        </w:tc>
        <w:tc>
          <w:tcPr>
            <w:tcW w:w="4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可持续影响指标</w:t>
            </w:r>
          </w:p>
        </w:tc>
        <w:tc>
          <w:tcPr>
            <w:tcW w:w="34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持续做好学生资助工作</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w:t>
            </w:r>
          </w:p>
        </w:tc>
        <w:tc>
          <w:tcPr>
            <w:tcW w:w="1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w:t>
            </w:r>
          </w:p>
        </w:tc>
        <w:tc>
          <w:tcPr>
            <w:tcW w:w="4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trPr>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7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满意度指标</w:t>
            </w:r>
          </w:p>
        </w:tc>
        <w:tc>
          <w:tcPr>
            <w:tcW w:w="34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学生满意度</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≥90%</w:t>
            </w:r>
          </w:p>
        </w:tc>
        <w:tc>
          <w:tcPr>
            <w:tcW w:w="1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≥90%</w:t>
            </w:r>
          </w:p>
        </w:tc>
        <w:tc>
          <w:tcPr>
            <w:tcW w:w="4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5" w:hRule="atLeast"/>
        </w:trPr>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4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家长满意度</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≥90%</w:t>
            </w:r>
          </w:p>
        </w:tc>
        <w:tc>
          <w:tcPr>
            <w:tcW w:w="1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≥90%</w:t>
            </w:r>
          </w:p>
        </w:tc>
        <w:tc>
          <w:tcPr>
            <w:tcW w:w="4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w:t>
            </w:r>
          </w:p>
        </w:tc>
        <w:tc>
          <w:tcPr>
            <w:tcW w:w="1306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bl>
    <w:p>
      <w:pPr>
        <w:pStyle w:val="24"/>
        <w:outlineLvl w:val="9"/>
        <w:rPr>
          <w:rFonts w:hint="eastAsia"/>
          <w:lang w:val="zh-CN"/>
        </w:rPr>
        <w:sectPr>
          <w:pgSz w:w="16838" w:h="11906" w:orient="landscape"/>
          <w:pgMar w:top="1800" w:right="1440" w:bottom="1800" w:left="1440" w:header="851" w:footer="992" w:gutter="0"/>
          <w:pgNumType w:fmt="decimal"/>
          <w:cols w:space="425" w:num="1"/>
          <w:titlePg/>
          <w:docGrid w:type="lines" w:linePitch="312" w:charSpace="0"/>
        </w:sectPr>
      </w:pPr>
    </w:p>
    <w:tbl>
      <w:tblPr>
        <w:tblStyle w:val="16"/>
        <w:tblW w:w="1397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76"/>
        <w:gridCol w:w="900"/>
        <w:gridCol w:w="333"/>
        <w:gridCol w:w="1329"/>
        <w:gridCol w:w="1080"/>
        <w:gridCol w:w="1830"/>
        <w:gridCol w:w="300"/>
        <w:gridCol w:w="1161"/>
        <w:gridCol w:w="300"/>
        <w:gridCol w:w="1783"/>
        <w:gridCol w:w="300"/>
        <w:gridCol w:w="34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13976" w:type="dxa"/>
            <w:gridSpan w:val="12"/>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32"/>
                <w:szCs w:val="32"/>
                <w:u w:val="none"/>
              </w:rPr>
            </w:pPr>
            <w:r>
              <w:rPr>
                <w:rFonts w:hint="eastAsia" w:ascii="方正小标宋简体" w:hAnsi="方正小标宋简体" w:eastAsia="方正小标宋简体" w:cs="方正小标宋简体"/>
                <w:i w:val="0"/>
                <w:iCs w:val="0"/>
                <w:color w:val="000000"/>
                <w:kern w:val="0"/>
                <w:sz w:val="28"/>
                <w:szCs w:val="28"/>
                <w:u w:val="none"/>
                <w:lang w:val="en-US" w:eastAsia="zh-CN" w:bidi="ar"/>
              </w:rPr>
              <w:t>川北幼儿师范高等专科学校中央转移支付绩效自评表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13976" w:type="dxa"/>
            <w:gridSpan w:val="12"/>
            <w:tcBorders>
              <w:top w:val="nil"/>
              <w:left w:val="nil"/>
              <w:bottom w:val="single" w:color="000000" w:sz="4" w:space="0"/>
              <w:right w:val="nil"/>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3" w:hRule="atLeast"/>
        </w:trPr>
        <w:tc>
          <w:tcPr>
            <w:tcW w:w="24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转移支付（项目）名称</w:t>
            </w:r>
          </w:p>
        </w:tc>
        <w:tc>
          <w:tcPr>
            <w:tcW w:w="115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2024年中央现代职业教育质量提升计划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4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中央主管部门</w:t>
            </w:r>
          </w:p>
        </w:tc>
        <w:tc>
          <w:tcPr>
            <w:tcW w:w="115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教育部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24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地方主管部门</w:t>
            </w:r>
          </w:p>
        </w:tc>
        <w:tc>
          <w:tcPr>
            <w:tcW w:w="423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广元市教育局</w:t>
            </w:r>
          </w:p>
        </w:tc>
        <w:tc>
          <w:tcPr>
            <w:tcW w:w="14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资金使用单位</w:t>
            </w:r>
          </w:p>
        </w:tc>
        <w:tc>
          <w:tcPr>
            <w:tcW w:w="58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川北幼儿师范高等专科学校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40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资金投入情况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（万元）</w:t>
            </w:r>
          </w:p>
        </w:tc>
        <w:tc>
          <w:tcPr>
            <w:tcW w:w="24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全年预算数（A）</w:t>
            </w:r>
          </w:p>
        </w:tc>
        <w:tc>
          <w:tcPr>
            <w:tcW w:w="354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全年执行数（B）</w:t>
            </w:r>
          </w:p>
        </w:tc>
        <w:tc>
          <w:tcPr>
            <w:tcW w:w="37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预算执行率（B/A×100%)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240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4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571.8</w:t>
            </w:r>
          </w:p>
        </w:tc>
        <w:tc>
          <w:tcPr>
            <w:tcW w:w="354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571.8</w:t>
            </w:r>
          </w:p>
        </w:tc>
        <w:tc>
          <w:tcPr>
            <w:tcW w:w="37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240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4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r>
              <w:rPr>
                <w:rStyle w:val="45"/>
                <w:lang w:val="en-US" w:eastAsia="zh-CN" w:bidi="ar"/>
              </w:rPr>
              <w:t>其中：中央财政资金</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571.8</w:t>
            </w:r>
          </w:p>
        </w:tc>
        <w:tc>
          <w:tcPr>
            <w:tcW w:w="354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288.49</w:t>
            </w:r>
          </w:p>
        </w:tc>
        <w:tc>
          <w:tcPr>
            <w:tcW w:w="37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240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4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r>
              <w:rPr>
                <w:rStyle w:val="45"/>
                <w:lang w:val="en-US" w:eastAsia="zh-CN" w:bidi="ar"/>
              </w:rPr>
              <w:t xml:space="preserve">      地方财政资金</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54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7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240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4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r>
              <w:rPr>
                <w:rStyle w:val="46"/>
                <w:lang w:val="en-US" w:eastAsia="zh-CN" w:bidi="ar"/>
              </w:rPr>
              <w:t xml:space="preserve">  其他资金</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54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7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240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资金管理情况</w:t>
            </w:r>
          </w:p>
        </w:tc>
        <w:tc>
          <w:tcPr>
            <w:tcW w:w="24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53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情况说明</w:t>
            </w:r>
          </w:p>
        </w:tc>
        <w:tc>
          <w:tcPr>
            <w:tcW w:w="37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存在问题和改进措施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4" w:hRule="atLeast"/>
        </w:trPr>
        <w:tc>
          <w:tcPr>
            <w:tcW w:w="240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4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分配科学性</w:t>
            </w:r>
          </w:p>
        </w:tc>
        <w:tc>
          <w:tcPr>
            <w:tcW w:w="53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资金分配科学合理</w:t>
            </w:r>
          </w:p>
        </w:tc>
        <w:tc>
          <w:tcPr>
            <w:tcW w:w="37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6" w:hRule="atLeast"/>
        </w:trPr>
        <w:tc>
          <w:tcPr>
            <w:tcW w:w="240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4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下达及时性</w:t>
            </w:r>
          </w:p>
        </w:tc>
        <w:tc>
          <w:tcPr>
            <w:tcW w:w="53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资金下达及时</w:t>
            </w:r>
          </w:p>
        </w:tc>
        <w:tc>
          <w:tcPr>
            <w:tcW w:w="37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3" w:hRule="atLeast"/>
        </w:trPr>
        <w:tc>
          <w:tcPr>
            <w:tcW w:w="240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4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拨付合规性</w:t>
            </w:r>
          </w:p>
        </w:tc>
        <w:tc>
          <w:tcPr>
            <w:tcW w:w="53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资金支付合规，不存在违规情况</w:t>
            </w:r>
          </w:p>
        </w:tc>
        <w:tc>
          <w:tcPr>
            <w:tcW w:w="37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trPr>
        <w:tc>
          <w:tcPr>
            <w:tcW w:w="240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4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使用规范性</w:t>
            </w:r>
          </w:p>
        </w:tc>
        <w:tc>
          <w:tcPr>
            <w:tcW w:w="53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资金使用规范，无资金截留、挤占、挪用或擅自调整等问题</w:t>
            </w:r>
          </w:p>
        </w:tc>
        <w:tc>
          <w:tcPr>
            <w:tcW w:w="37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240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4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执行准确性</w:t>
            </w:r>
          </w:p>
        </w:tc>
        <w:tc>
          <w:tcPr>
            <w:tcW w:w="53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当年资金执行数较低，资金结转金额较大</w:t>
            </w:r>
          </w:p>
        </w:tc>
        <w:tc>
          <w:tcPr>
            <w:tcW w:w="37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个别政府采购项目实施进度较慢，2025年将加快项目推进，提高资金执行率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5" w:hRule="atLeast"/>
        </w:trPr>
        <w:tc>
          <w:tcPr>
            <w:tcW w:w="240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4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预算绩效管理情况</w:t>
            </w:r>
          </w:p>
        </w:tc>
        <w:tc>
          <w:tcPr>
            <w:tcW w:w="53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按时开展事前绩效评估、事中绩效监控和事后绩效评价</w:t>
            </w:r>
          </w:p>
        </w:tc>
        <w:tc>
          <w:tcPr>
            <w:tcW w:w="37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9" w:hRule="atLeast"/>
        </w:trPr>
        <w:tc>
          <w:tcPr>
            <w:tcW w:w="240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4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支出责任履行情况</w:t>
            </w:r>
          </w:p>
        </w:tc>
        <w:tc>
          <w:tcPr>
            <w:tcW w:w="53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按照上级下达和学校配套资金统筹安排项目，根据项目进度按时履行支出责任。</w:t>
            </w:r>
          </w:p>
        </w:tc>
        <w:tc>
          <w:tcPr>
            <w:tcW w:w="37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1" w:hRule="atLeast"/>
        </w:trPr>
        <w:tc>
          <w:tcPr>
            <w:tcW w:w="1176"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总体目标完成情况</w:t>
            </w:r>
          </w:p>
        </w:tc>
        <w:tc>
          <w:tcPr>
            <w:tcW w:w="5472" w:type="dxa"/>
            <w:gridSpan w:val="5"/>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总体目标</w:t>
            </w:r>
          </w:p>
        </w:tc>
        <w:tc>
          <w:tcPr>
            <w:tcW w:w="7328" w:type="dxa"/>
            <w:gridSpan w:val="6"/>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17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47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1.职业教育生均拨款保障水平只增不减；2.办学条件得到改善；3.特色高水平专业建设全面推进；      </w:t>
            </w:r>
          </w:p>
        </w:tc>
        <w:tc>
          <w:tcPr>
            <w:tcW w:w="732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1.2024年财政生均拨款得到有效保障；2.学校办学条件进一步改善；3.学校特色高水平专业建设有效推进。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绩效指标</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指标</w:t>
            </w:r>
          </w:p>
        </w:tc>
        <w:tc>
          <w:tcPr>
            <w:tcW w:w="16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3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4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0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全年实际完成值</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未完成原因和改进措施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标</w:t>
            </w:r>
          </w:p>
        </w:tc>
        <w:tc>
          <w:tcPr>
            <w:tcW w:w="166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3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篮球地面改造</w:t>
            </w:r>
          </w:p>
        </w:tc>
        <w:tc>
          <w:tcPr>
            <w:tcW w:w="14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≥3000平方米</w:t>
            </w:r>
          </w:p>
        </w:tc>
        <w:tc>
          <w:tcPr>
            <w:tcW w:w="20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3000平方米</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7" w:hRule="atLeast"/>
        </w:trPr>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实训室建设</w:t>
            </w:r>
          </w:p>
        </w:tc>
        <w:tc>
          <w:tcPr>
            <w:tcW w:w="14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=2个</w:t>
            </w:r>
          </w:p>
        </w:tc>
        <w:tc>
          <w:tcPr>
            <w:tcW w:w="20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=2个</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5" w:hRule="atLeast"/>
        </w:trPr>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图书购置</w:t>
            </w:r>
          </w:p>
        </w:tc>
        <w:tc>
          <w:tcPr>
            <w:tcW w:w="14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≥3万册</w:t>
            </w:r>
          </w:p>
        </w:tc>
        <w:tc>
          <w:tcPr>
            <w:tcW w:w="20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4.9万册</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1" w:hRule="atLeast"/>
        </w:trPr>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信息化建设软件购置</w:t>
            </w:r>
          </w:p>
        </w:tc>
        <w:tc>
          <w:tcPr>
            <w:tcW w:w="14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=2套</w:t>
            </w:r>
          </w:p>
        </w:tc>
        <w:tc>
          <w:tcPr>
            <w:tcW w:w="20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0套</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完成政府采购招标，2025年完成建设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8" w:hRule="atLeast"/>
        </w:trPr>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学生公寓寝室门和卫浴门更换数量</w:t>
            </w:r>
          </w:p>
        </w:tc>
        <w:tc>
          <w:tcPr>
            <w:tcW w:w="14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=576扇</w:t>
            </w:r>
          </w:p>
        </w:tc>
        <w:tc>
          <w:tcPr>
            <w:tcW w:w="20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567扇</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1+X证书制度种子教师培训人数</w:t>
            </w:r>
          </w:p>
        </w:tc>
        <w:tc>
          <w:tcPr>
            <w:tcW w:w="14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≤20人</w:t>
            </w:r>
          </w:p>
        </w:tc>
        <w:tc>
          <w:tcPr>
            <w:tcW w:w="20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20人</w:t>
            </w:r>
          </w:p>
        </w:tc>
        <w:tc>
          <w:tcPr>
            <w:tcW w:w="3484" w:type="dxa"/>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名师团队培养数量</w:t>
            </w:r>
          </w:p>
        </w:tc>
        <w:tc>
          <w:tcPr>
            <w:tcW w:w="14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=2个</w:t>
            </w:r>
          </w:p>
        </w:tc>
        <w:tc>
          <w:tcPr>
            <w:tcW w:w="20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2个</w:t>
            </w:r>
          </w:p>
        </w:tc>
        <w:tc>
          <w:tcPr>
            <w:tcW w:w="3484" w:type="dxa"/>
            <w:tcBorders>
              <w:top w:val="single" w:color="000000" w:sz="4" w:space="0"/>
              <w:left w:val="nil"/>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3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采购质量合格率</w:t>
            </w:r>
          </w:p>
        </w:tc>
        <w:tc>
          <w:tcPr>
            <w:tcW w:w="14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w:t>
            </w:r>
          </w:p>
        </w:tc>
        <w:tc>
          <w:tcPr>
            <w:tcW w:w="20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3484" w:type="dxa"/>
            <w:tcBorders>
              <w:top w:val="single" w:color="000000" w:sz="4" w:space="0"/>
              <w:left w:val="nil"/>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培训内容完善度</w:t>
            </w:r>
          </w:p>
        </w:tc>
        <w:tc>
          <w:tcPr>
            <w:tcW w:w="14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20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3484" w:type="dxa"/>
            <w:tcBorders>
              <w:top w:val="single" w:color="000000" w:sz="4" w:space="0"/>
              <w:left w:val="nil"/>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7" w:hRule="atLeast"/>
        </w:trPr>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培训合格率</w:t>
            </w:r>
          </w:p>
        </w:tc>
        <w:tc>
          <w:tcPr>
            <w:tcW w:w="14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0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3484" w:type="dxa"/>
            <w:tcBorders>
              <w:top w:val="single" w:color="000000" w:sz="4" w:space="0"/>
              <w:left w:val="nil"/>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3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完成时间</w:t>
            </w:r>
          </w:p>
        </w:tc>
        <w:tc>
          <w:tcPr>
            <w:tcW w:w="14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≤24个月</w:t>
            </w:r>
          </w:p>
        </w:tc>
        <w:tc>
          <w:tcPr>
            <w:tcW w:w="20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24个月</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3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资金使用成本</w:t>
            </w:r>
          </w:p>
        </w:tc>
        <w:tc>
          <w:tcPr>
            <w:tcW w:w="14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≤571.8万元</w:t>
            </w:r>
          </w:p>
        </w:tc>
        <w:tc>
          <w:tcPr>
            <w:tcW w:w="20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288.49万元</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资金使用率</w:t>
            </w:r>
          </w:p>
        </w:tc>
        <w:tc>
          <w:tcPr>
            <w:tcW w:w="14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≥98%</w:t>
            </w:r>
          </w:p>
        </w:tc>
        <w:tc>
          <w:tcPr>
            <w:tcW w:w="20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个别政府采购项目实施进度较慢，2025年将加快项目推进，提高资金使用率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 w:hRule="atLeast"/>
        </w:trPr>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标</w:t>
            </w:r>
          </w:p>
        </w:tc>
        <w:tc>
          <w:tcPr>
            <w:tcW w:w="16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3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职业教育受益学生</w:t>
            </w:r>
          </w:p>
        </w:tc>
        <w:tc>
          <w:tcPr>
            <w:tcW w:w="14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≥8000人</w:t>
            </w:r>
          </w:p>
        </w:tc>
        <w:tc>
          <w:tcPr>
            <w:tcW w:w="20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≥9000人</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trPr>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3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职业教育学校平均就业率</w:t>
            </w:r>
          </w:p>
        </w:tc>
        <w:tc>
          <w:tcPr>
            <w:tcW w:w="14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提升</w:t>
            </w:r>
          </w:p>
        </w:tc>
        <w:tc>
          <w:tcPr>
            <w:tcW w:w="20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得到提升</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5" w:hRule="atLeast"/>
        </w:trPr>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学校专业建设水平</w:t>
            </w:r>
          </w:p>
        </w:tc>
        <w:tc>
          <w:tcPr>
            <w:tcW w:w="14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提升</w:t>
            </w:r>
          </w:p>
        </w:tc>
        <w:tc>
          <w:tcPr>
            <w:tcW w:w="20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得到提升</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可持续影响指标</w:t>
            </w:r>
          </w:p>
        </w:tc>
        <w:tc>
          <w:tcPr>
            <w:tcW w:w="3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学校办学条件得到改善</w:t>
            </w:r>
          </w:p>
        </w:tc>
        <w:tc>
          <w:tcPr>
            <w:tcW w:w="14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有效改善</w:t>
            </w:r>
          </w:p>
        </w:tc>
        <w:tc>
          <w:tcPr>
            <w:tcW w:w="20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有效改善</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66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满意度指标</w:t>
            </w:r>
          </w:p>
        </w:tc>
        <w:tc>
          <w:tcPr>
            <w:tcW w:w="3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学生满意度</w:t>
            </w:r>
          </w:p>
        </w:tc>
        <w:tc>
          <w:tcPr>
            <w:tcW w:w="14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0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9" w:hRule="atLeast"/>
        </w:trPr>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参训教师满意度</w:t>
            </w:r>
          </w:p>
        </w:tc>
        <w:tc>
          <w:tcPr>
            <w:tcW w:w="14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0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98%</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w:t>
            </w:r>
          </w:p>
        </w:tc>
        <w:tc>
          <w:tcPr>
            <w:tcW w:w="128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bl>
    <w:p>
      <w:pPr>
        <w:rPr>
          <w:rFonts w:hint="eastAsia"/>
          <w:lang w:val="zh-CN"/>
        </w:rPr>
        <w:sectPr>
          <w:pgSz w:w="16838" w:h="11906" w:orient="landscape"/>
          <w:pgMar w:top="1800" w:right="1440" w:bottom="1800" w:left="1440" w:header="851" w:footer="992" w:gutter="0"/>
          <w:pgNumType w:fmt="decimal"/>
          <w:cols w:space="425" w:num="1"/>
          <w:titlePg/>
          <w:docGrid w:type="lines" w:linePitch="312" w:charSpace="0"/>
        </w:sectPr>
      </w:pPr>
    </w:p>
    <w:p>
      <w:pPr>
        <w:pStyle w:val="2"/>
        <w:rPr>
          <w:rFonts w:hint="eastAsia" w:ascii="黑体" w:hAnsi="黑体" w:eastAsia="黑体" w:cs="黑体"/>
          <w:color w:val="auto"/>
          <w:kern w:val="0"/>
          <w:sz w:val="32"/>
          <w:szCs w:val="32"/>
          <w:highlight w:val="none"/>
          <w:shd w:val="clear" w:color="auto" w:fill="FFFFFF"/>
          <w:lang w:val="en-US" w:eastAsia="zh-CN"/>
        </w:rPr>
      </w:pPr>
      <w:bookmarkStart w:id="92" w:name="_Toc2372_WPSOffice_Level2"/>
      <w:bookmarkStart w:id="93" w:name="_Toc9284_WPSOffice_Level2"/>
      <w:bookmarkStart w:id="94" w:name="_Toc6372_WPSOffice_Level2"/>
      <w:bookmarkStart w:id="95" w:name="_Toc4290_WPSOffice_Level2"/>
      <w:r>
        <w:rPr>
          <w:rFonts w:hint="eastAsia" w:ascii="黑体" w:hAnsi="黑体" w:eastAsia="黑体" w:cs="黑体"/>
          <w:color w:val="auto"/>
          <w:kern w:val="0"/>
          <w:sz w:val="32"/>
          <w:szCs w:val="32"/>
          <w:highlight w:val="none"/>
          <w:shd w:val="clear" w:color="auto" w:fill="FFFFFF"/>
          <w:lang w:val="zh-CN"/>
        </w:rPr>
        <w:t>附件</w:t>
      </w:r>
      <w:r>
        <w:rPr>
          <w:rFonts w:hint="eastAsia" w:ascii="黑体" w:hAnsi="黑体" w:eastAsia="黑体" w:cs="黑体"/>
          <w:color w:val="auto"/>
          <w:kern w:val="0"/>
          <w:sz w:val="32"/>
          <w:szCs w:val="32"/>
          <w:highlight w:val="none"/>
          <w:shd w:val="clear" w:color="auto" w:fill="FFFFFF"/>
          <w:lang w:val="en-US" w:eastAsia="zh-CN"/>
        </w:rPr>
        <w:t>2-1</w:t>
      </w:r>
    </w:p>
    <w:p>
      <w:pPr>
        <w:pStyle w:val="36"/>
        <w:widowControl w:val="0"/>
        <w:spacing w:before="0" w:after="0" w:line="578" w:lineRule="exact"/>
        <w:jc w:val="center"/>
        <w:rPr>
          <w:rFonts w:hint="eastAsia" w:ascii="方正小标宋简体" w:hAnsi="方正小标宋简体" w:eastAsia="方正小标宋简体" w:cs="方正小标宋简体"/>
          <w:b w:val="0"/>
          <w:bCs w:val="0"/>
          <w:color w:val="auto"/>
          <w:kern w:val="2"/>
          <w:sz w:val="44"/>
          <w:szCs w:val="44"/>
          <w:lang w:val="en-US" w:eastAsia="zh-CN"/>
        </w:rPr>
      </w:pPr>
      <w:r>
        <w:rPr>
          <w:rFonts w:hint="eastAsia" w:ascii="方正小标宋简体" w:hAnsi="方正小标宋简体" w:eastAsia="方正小标宋简体" w:cs="方正小标宋简体"/>
          <w:b w:val="0"/>
          <w:bCs w:val="0"/>
          <w:color w:val="auto"/>
          <w:kern w:val="2"/>
          <w:sz w:val="44"/>
          <w:szCs w:val="44"/>
          <w:lang w:val="en-US" w:eastAsia="zh-CN"/>
        </w:rPr>
        <w:t>川北幼儿师范高等专科学校</w:t>
      </w:r>
    </w:p>
    <w:p>
      <w:pPr>
        <w:pStyle w:val="36"/>
        <w:widowControl w:val="0"/>
        <w:spacing w:before="0" w:after="0" w:line="578" w:lineRule="exact"/>
        <w:jc w:val="center"/>
        <w:rPr>
          <w:rFonts w:hint="eastAsia" w:ascii="方正小标宋简体" w:hAnsi="方正小标宋简体" w:eastAsia="方正小标宋简体" w:cs="方正小标宋简体"/>
          <w:b w:val="0"/>
          <w:bCs w:val="0"/>
          <w:color w:val="auto"/>
          <w:spacing w:val="-11"/>
          <w:kern w:val="2"/>
          <w:sz w:val="44"/>
          <w:szCs w:val="44"/>
          <w:lang w:val="en-US" w:eastAsia="zh-CN"/>
        </w:rPr>
      </w:pPr>
      <w:r>
        <w:rPr>
          <w:rFonts w:hint="eastAsia" w:ascii="方正小标宋简体" w:hAnsi="方正小标宋简体" w:eastAsia="方正小标宋简体" w:cs="方正小标宋简体"/>
          <w:b w:val="0"/>
          <w:bCs w:val="0"/>
          <w:color w:val="auto"/>
          <w:kern w:val="2"/>
          <w:sz w:val="44"/>
          <w:szCs w:val="44"/>
          <w:lang w:val="en-US" w:eastAsia="zh-CN"/>
        </w:rPr>
        <w:t>蜀</w:t>
      </w:r>
      <w:r>
        <w:rPr>
          <w:rFonts w:hint="eastAsia" w:ascii="方正小标宋简体" w:hAnsi="方正小标宋简体" w:eastAsia="方正小标宋简体" w:cs="方正小标宋简体"/>
          <w:b w:val="0"/>
          <w:bCs w:val="0"/>
          <w:color w:val="auto"/>
          <w:spacing w:val="-11"/>
          <w:kern w:val="2"/>
          <w:sz w:val="44"/>
          <w:szCs w:val="44"/>
          <w:lang w:val="en-US" w:eastAsia="zh-CN"/>
        </w:rPr>
        <w:t>道文化保护系列活动专项预算</w:t>
      </w:r>
    </w:p>
    <w:p>
      <w:pPr>
        <w:pStyle w:val="36"/>
        <w:widowControl w:val="0"/>
        <w:spacing w:before="0" w:after="0" w:line="578" w:lineRule="exact"/>
        <w:jc w:val="center"/>
        <w:rPr>
          <w:rFonts w:hint="eastAsia" w:ascii="方正小标宋简体" w:hAnsi="方正小标宋简体" w:eastAsia="方正小标宋简体" w:cs="方正小标宋简体"/>
          <w:b w:val="0"/>
          <w:bCs w:val="0"/>
          <w:color w:val="auto"/>
          <w:spacing w:val="-11"/>
          <w:kern w:val="2"/>
          <w:sz w:val="44"/>
          <w:szCs w:val="44"/>
          <w:lang w:val="en-US" w:eastAsia="zh-CN"/>
        </w:rPr>
      </w:pPr>
      <w:r>
        <w:rPr>
          <w:rFonts w:hint="eastAsia" w:ascii="方正小标宋简体" w:hAnsi="方正小标宋简体" w:eastAsia="方正小标宋简体" w:cs="方正小标宋简体"/>
          <w:b w:val="0"/>
          <w:bCs w:val="0"/>
          <w:color w:val="auto"/>
          <w:spacing w:val="-11"/>
          <w:kern w:val="2"/>
          <w:sz w:val="44"/>
          <w:szCs w:val="44"/>
          <w:lang w:val="en-US" w:eastAsia="zh-CN"/>
        </w:rPr>
        <w:t>项目绩效评价报告</w:t>
      </w:r>
    </w:p>
    <w:p>
      <w:pPr>
        <w:spacing w:before="12" w:after="12"/>
        <w:rPr>
          <w:b w:val="0"/>
          <w:bCs w:val="0"/>
        </w:rPr>
      </w:pPr>
    </w:p>
    <w:p>
      <w:pPr>
        <w:pStyle w:val="5"/>
        <w:keepNext w:val="0"/>
        <w:keepLines w:val="0"/>
        <w:pageBreakBefore w:val="0"/>
        <w:kinsoku/>
        <w:wordWrap/>
        <w:overflowPunct/>
        <w:topLinePunct w:val="0"/>
        <w:autoSpaceDE/>
        <w:autoSpaceDN/>
        <w:bidi w:val="0"/>
        <w:adjustRightInd/>
        <w:snapToGrid/>
        <w:spacing w:before="0" w:after="0" w:line="560" w:lineRule="exact"/>
        <w:ind w:firstLine="720" w:firstLineChars="200"/>
        <w:textAlignment w:val="auto"/>
        <w:rPr>
          <w:rFonts w:hint="eastAsia" w:ascii="黑体" w:hAnsi="黑体" w:eastAsia="黑体" w:cs="黑体"/>
          <w:b w:val="0"/>
          <w:bCs w:val="0"/>
          <w:color w:val="000000"/>
          <w:sz w:val="36"/>
          <w:szCs w:val="36"/>
          <w:lang w:val="zh-CN" w:eastAsia="zh-CN"/>
        </w:rPr>
      </w:pPr>
      <w:bookmarkStart w:id="96" w:name="_Toc19282"/>
      <w:r>
        <w:rPr>
          <w:rFonts w:hint="eastAsia" w:ascii="黑体" w:hAnsi="黑体" w:eastAsia="黑体" w:cs="黑体"/>
          <w:b w:val="0"/>
          <w:bCs w:val="0"/>
          <w:color w:val="000000"/>
          <w:sz w:val="36"/>
          <w:szCs w:val="36"/>
          <w:lang w:val="zh-CN" w:eastAsia="zh-CN"/>
        </w:rPr>
        <w:t>一、基本情况</w:t>
      </w:r>
      <w:bookmarkEnd w:id="96"/>
    </w:p>
    <w:p>
      <w:pPr>
        <w:pStyle w:val="6"/>
        <w:keepNext w:val="0"/>
        <w:keepLines w:val="0"/>
        <w:pageBreakBefore w:val="0"/>
        <w:kinsoku/>
        <w:wordWrap/>
        <w:overflowPunct/>
        <w:topLinePunct w:val="0"/>
        <w:autoSpaceDE/>
        <w:autoSpaceDN/>
        <w:bidi w:val="0"/>
        <w:adjustRightInd/>
        <w:snapToGrid/>
        <w:spacing w:before="0" w:after="0" w:line="560" w:lineRule="exact"/>
        <w:ind w:firstLine="640" w:firstLineChars="200"/>
        <w:textAlignment w:val="auto"/>
        <w:rPr>
          <w:b w:val="0"/>
          <w:bCs w:val="0"/>
        </w:rPr>
      </w:pPr>
      <w:r>
        <w:rPr>
          <w:rFonts w:hint="eastAsia" w:ascii="楷体_GB2312" w:hAnsi="仿宋" w:eastAsia="楷体_GB2312" w:cs="仿宋_GB2312"/>
          <w:b w:val="0"/>
          <w:bCs w:val="0"/>
          <w:kern w:val="2"/>
          <w:sz w:val="32"/>
          <w:szCs w:val="32"/>
          <w:shd w:val="clear" w:color="auto" w:fill="FFFFFF"/>
          <w:lang w:val="en-US" w:eastAsia="zh-CN" w:bidi="ar-SA"/>
        </w:rPr>
        <w:t>（一）项目单位基本情况</w:t>
      </w:r>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仿宋_GB2312"/>
          <w:b w:val="0"/>
          <w:bCs w:val="0"/>
          <w:kern w:val="2"/>
          <w:sz w:val="32"/>
          <w:szCs w:val="32"/>
          <w:shd w:val="clear" w:color="auto" w:fill="FFFFFF"/>
          <w:lang w:eastAsia="zh-CN"/>
        </w:rPr>
      </w:pPr>
      <w:r>
        <w:rPr>
          <w:rFonts w:hint="eastAsia" w:ascii="仿宋_GB2312" w:hAnsi="仿宋" w:eastAsia="仿宋_GB2312" w:cs="仿宋_GB2312"/>
          <w:b w:val="0"/>
          <w:bCs w:val="0"/>
          <w:kern w:val="2"/>
          <w:sz w:val="32"/>
          <w:szCs w:val="32"/>
          <w:shd w:val="clear" w:color="auto" w:fill="FFFFFF"/>
          <w:lang w:eastAsia="zh-CN"/>
        </w:rPr>
        <w:t>川北幼儿师范高等专科学校成立文化艺术工作委员会，由校长张廷鑫任组长，分管艺术教育的副校长任副组长，办公室设在艺术与教育学院。学校积极支持文化艺术发展，选派艺术教师和学生参加各级舞蹈培训及文艺活动。利用课余时间和节假日，组织学生开展各类文艺创作和演出活动，负责组队参加省市文艺比赛和演出。</w:t>
      </w:r>
    </w:p>
    <w:p>
      <w:pPr>
        <w:pStyle w:val="6"/>
        <w:keepNext w:val="0"/>
        <w:keepLines w:val="0"/>
        <w:pageBreakBefore w:val="0"/>
        <w:kinsoku/>
        <w:wordWrap/>
        <w:overflowPunct/>
        <w:topLinePunct w:val="0"/>
        <w:autoSpaceDE/>
        <w:autoSpaceDN/>
        <w:bidi w:val="0"/>
        <w:adjustRightInd/>
        <w:snapToGrid/>
        <w:spacing w:before="0" w:after="0" w:line="560" w:lineRule="exact"/>
        <w:ind w:firstLine="640" w:firstLineChars="200"/>
        <w:textAlignment w:val="auto"/>
        <w:rPr>
          <w:rFonts w:hint="eastAsia" w:ascii="楷体_GB2312" w:hAnsi="仿宋" w:eastAsia="楷体_GB2312" w:cs="仿宋_GB2312"/>
          <w:b w:val="0"/>
          <w:bCs w:val="0"/>
          <w:kern w:val="2"/>
          <w:sz w:val="32"/>
          <w:szCs w:val="32"/>
          <w:shd w:val="clear" w:color="auto" w:fill="FFFFFF"/>
          <w:lang w:val="en-US" w:eastAsia="zh-CN" w:bidi="ar-SA"/>
        </w:rPr>
      </w:pPr>
      <w:r>
        <w:rPr>
          <w:rFonts w:hint="eastAsia" w:ascii="楷体_GB2312" w:hAnsi="仿宋" w:eastAsia="楷体_GB2312" w:cs="仿宋_GB2312"/>
          <w:b w:val="0"/>
          <w:bCs w:val="0"/>
          <w:kern w:val="2"/>
          <w:sz w:val="32"/>
          <w:szCs w:val="32"/>
          <w:shd w:val="clear" w:color="auto" w:fill="FFFFFF"/>
          <w:lang w:val="en-US" w:eastAsia="zh-CN" w:bidi="ar-SA"/>
        </w:rPr>
        <w:t>（二）项目基本情况</w:t>
      </w:r>
    </w:p>
    <w:p>
      <w:pPr>
        <w:keepNext w:val="0"/>
        <w:keepLines w:val="0"/>
        <w:pageBreakBefore w:val="0"/>
        <w:kinsoku/>
        <w:wordWrap/>
        <w:overflowPunct/>
        <w:topLinePunct w:val="0"/>
        <w:autoSpaceDE/>
        <w:autoSpaceDN/>
        <w:bidi w:val="0"/>
        <w:adjustRightInd/>
        <w:snapToGrid/>
        <w:spacing w:before="0" w:after="0" w:line="560" w:lineRule="exact"/>
        <w:ind w:firstLine="640" w:firstLineChars="200"/>
        <w:jc w:val="left"/>
        <w:textAlignment w:val="auto"/>
        <w:rPr>
          <w:b w:val="0"/>
          <w:bCs w:val="0"/>
        </w:rPr>
      </w:pPr>
      <w:r>
        <w:rPr>
          <w:rFonts w:hint="eastAsia" w:ascii="仿宋_GB2312" w:hAnsi="仿宋" w:eastAsia="仿宋_GB2312" w:cs="仿宋_GB2312"/>
          <w:b w:val="0"/>
          <w:bCs w:val="0"/>
          <w:kern w:val="2"/>
          <w:sz w:val="32"/>
          <w:szCs w:val="32"/>
          <w:shd w:val="clear" w:color="auto" w:fill="FFFFFF"/>
          <w:lang w:eastAsia="zh-CN"/>
        </w:rPr>
        <w:t>根据《关于推进学校文化艺术发展的指导意见》（教体艺〔2020〕8号）及省市教育厅相关文件要求，省教育厅安排文艺创作及晚会专项资金</w:t>
      </w:r>
      <w:r>
        <w:rPr>
          <w:rFonts w:hint="eastAsia" w:ascii="仿宋_GB2312" w:hAnsi="仿宋" w:eastAsia="仿宋_GB2312" w:cs="仿宋_GB2312"/>
          <w:b w:val="0"/>
          <w:bCs w:val="0"/>
          <w:kern w:val="2"/>
          <w:sz w:val="32"/>
          <w:szCs w:val="32"/>
          <w:shd w:val="clear" w:color="auto" w:fill="FFFFFF"/>
          <w:lang w:val="en-US" w:eastAsia="zh-CN"/>
        </w:rPr>
        <w:t>2</w:t>
      </w:r>
      <w:r>
        <w:rPr>
          <w:rFonts w:hint="eastAsia" w:ascii="仿宋_GB2312" w:hAnsi="仿宋" w:eastAsia="仿宋_GB2312" w:cs="仿宋_GB2312"/>
          <w:b w:val="0"/>
          <w:bCs w:val="0"/>
          <w:kern w:val="2"/>
          <w:sz w:val="32"/>
          <w:szCs w:val="32"/>
          <w:shd w:val="clear" w:color="auto" w:fill="FFFFFF"/>
          <w:lang w:eastAsia="zh-CN"/>
        </w:rPr>
        <w:t>0万元。主要用于推进我校蜀道舞蹈文艺作品创作及文艺晚会活动开展，促进学校艺术教育改革，提升学生艺术素养和创作能力。</w:t>
      </w:r>
    </w:p>
    <w:p>
      <w:pPr>
        <w:pStyle w:val="6"/>
        <w:keepNext w:val="0"/>
        <w:keepLines w:val="0"/>
        <w:pageBreakBefore w:val="0"/>
        <w:kinsoku/>
        <w:wordWrap/>
        <w:overflowPunct/>
        <w:topLinePunct w:val="0"/>
        <w:autoSpaceDE/>
        <w:autoSpaceDN/>
        <w:bidi w:val="0"/>
        <w:adjustRightInd/>
        <w:snapToGrid/>
        <w:spacing w:before="0" w:after="0" w:line="560" w:lineRule="exact"/>
        <w:ind w:firstLine="640" w:firstLineChars="200"/>
        <w:textAlignment w:val="auto"/>
        <w:rPr>
          <w:rFonts w:hint="eastAsia" w:ascii="楷体_GB2312" w:hAnsi="仿宋" w:eastAsia="楷体_GB2312" w:cs="仿宋_GB2312"/>
          <w:b w:val="0"/>
          <w:bCs w:val="0"/>
          <w:kern w:val="2"/>
          <w:sz w:val="32"/>
          <w:szCs w:val="32"/>
          <w:shd w:val="clear" w:color="auto" w:fill="FFFFFF"/>
          <w:lang w:val="en-US" w:eastAsia="zh-CN" w:bidi="ar-SA"/>
        </w:rPr>
      </w:pPr>
      <w:r>
        <w:rPr>
          <w:rFonts w:hint="eastAsia" w:ascii="楷体_GB2312" w:hAnsi="仿宋" w:eastAsia="楷体_GB2312" w:cs="仿宋_GB2312"/>
          <w:b w:val="0"/>
          <w:bCs w:val="0"/>
          <w:kern w:val="2"/>
          <w:sz w:val="32"/>
          <w:szCs w:val="32"/>
          <w:shd w:val="clear" w:color="auto" w:fill="FFFFFF"/>
          <w:lang w:val="en-US" w:eastAsia="zh-CN" w:bidi="ar-SA"/>
        </w:rPr>
        <w:t>（三）绩效目标完成情况</w:t>
      </w:r>
    </w:p>
    <w:p>
      <w:pPr>
        <w:keepNext w:val="0"/>
        <w:keepLines w:val="0"/>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ascii="仿宋_GB2312" w:hAnsi="仿宋" w:eastAsia="仿宋_GB2312" w:cs="仿宋_GB2312"/>
          <w:b w:val="0"/>
          <w:bCs w:val="0"/>
          <w:kern w:val="2"/>
          <w:sz w:val="32"/>
          <w:szCs w:val="32"/>
          <w:shd w:val="clear" w:color="auto" w:fill="FFFFFF"/>
          <w:lang w:eastAsia="zh-CN"/>
        </w:rPr>
      </w:pPr>
      <w:r>
        <w:rPr>
          <w:rFonts w:hint="eastAsia" w:ascii="仿宋_GB2312" w:hAnsi="仿宋" w:eastAsia="仿宋_GB2312" w:cs="仿宋_GB2312"/>
          <w:b w:val="0"/>
          <w:bCs w:val="0"/>
          <w:kern w:val="2"/>
          <w:sz w:val="32"/>
          <w:szCs w:val="32"/>
          <w:shd w:val="clear" w:color="auto" w:fill="FFFFFF"/>
          <w:lang w:val="en-US" w:eastAsia="zh-CN"/>
        </w:rPr>
        <w:t>1.</w:t>
      </w:r>
      <w:r>
        <w:rPr>
          <w:rFonts w:hint="eastAsia" w:ascii="仿宋_GB2312" w:hAnsi="仿宋" w:eastAsia="仿宋_GB2312" w:cs="仿宋_GB2312"/>
          <w:b w:val="0"/>
          <w:bCs w:val="0"/>
          <w:kern w:val="2"/>
          <w:sz w:val="32"/>
          <w:szCs w:val="32"/>
          <w:shd w:val="clear" w:color="auto" w:fill="FFFFFF"/>
          <w:lang w:eastAsia="zh-CN"/>
        </w:rPr>
        <w:t>在学校统一领导和各部门配合下，基本完成了文艺创作及晚会各项目标：</w:t>
      </w:r>
    </w:p>
    <w:p>
      <w:pPr>
        <w:keepNext w:val="0"/>
        <w:keepLines w:val="0"/>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ascii="仿宋_GB2312" w:hAnsi="仿宋" w:eastAsia="仿宋_GB2312" w:cs="仿宋_GB2312"/>
          <w:b w:val="0"/>
          <w:bCs w:val="0"/>
          <w:kern w:val="2"/>
          <w:sz w:val="32"/>
          <w:szCs w:val="32"/>
          <w:shd w:val="clear" w:color="auto" w:fill="FFFFFF"/>
          <w:lang w:eastAsia="zh-CN"/>
        </w:rPr>
      </w:pPr>
      <w:r>
        <w:rPr>
          <w:rFonts w:hint="eastAsia" w:ascii="仿宋_GB2312" w:hAnsi="仿宋" w:eastAsia="仿宋_GB2312" w:cs="仿宋_GB2312"/>
          <w:b w:val="0"/>
          <w:bCs w:val="0"/>
          <w:kern w:val="2"/>
          <w:sz w:val="32"/>
          <w:szCs w:val="32"/>
          <w:shd w:val="clear" w:color="auto" w:fill="FFFFFF"/>
          <w:lang w:val="en-US" w:eastAsia="zh-CN"/>
        </w:rPr>
        <w:t>2.</w:t>
      </w:r>
      <w:r>
        <w:rPr>
          <w:rFonts w:hint="eastAsia" w:ascii="仿宋_GB2312" w:hAnsi="仿宋" w:eastAsia="仿宋_GB2312" w:cs="仿宋_GB2312"/>
          <w:b w:val="0"/>
          <w:bCs w:val="0"/>
          <w:kern w:val="2"/>
          <w:sz w:val="32"/>
          <w:szCs w:val="32"/>
          <w:shd w:val="clear" w:color="auto" w:fill="FFFFFF"/>
          <w:lang w:eastAsia="zh-CN"/>
        </w:rPr>
        <w:t>完成蜀道舞蹈文艺作品创作，展现地方文化特色；</w:t>
      </w:r>
    </w:p>
    <w:p>
      <w:pPr>
        <w:keepNext w:val="0"/>
        <w:keepLines w:val="0"/>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ascii="仿宋_GB2312" w:hAnsi="仿宋" w:eastAsia="仿宋_GB2312" w:cs="仿宋_GB2312"/>
          <w:b w:val="0"/>
          <w:bCs w:val="0"/>
          <w:kern w:val="2"/>
          <w:sz w:val="32"/>
          <w:szCs w:val="32"/>
          <w:shd w:val="clear" w:color="auto" w:fill="FFFFFF"/>
          <w:lang w:eastAsia="zh-CN"/>
        </w:rPr>
      </w:pPr>
      <w:r>
        <w:rPr>
          <w:rFonts w:hint="eastAsia" w:ascii="仿宋_GB2312" w:hAnsi="仿宋" w:eastAsia="仿宋_GB2312" w:cs="仿宋_GB2312"/>
          <w:b w:val="0"/>
          <w:bCs w:val="0"/>
          <w:kern w:val="2"/>
          <w:sz w:val="32"/>
          <w:szCs w:val="32"/>
          <w:shd w:val="clear" w:color="auto" w:fill="FFFFFF"/>
          <w:lang w:val="en-US" w:eastAsia="zh-CN"/>
        </w:rPr>
        <w:t>3.</w:t>
      </w:r>
      <w:r>
        <w:rPr>
          <w:rFonts w:hint="eastAsia" w:ascii="仿宋_GB2312" w:hAnsi="仿宋" w:eastAsia="仿宋_GB2312" w:cs="仿宋_GB2312"/>
          <w:b w:val="0"/>
          <w:bCs w:val="0"/>
          <w:kern w:val="2"/>
          <w:sz w:val="32"/>
          <w:szCs w:val="32"/>
          <w:shd w:val="clear" w:color="auto" w:fill="FFFFFF"/>
          <w:lang w:eastAsia="zh-CN"/>
        </w:rPr>
        <w:t>举办校级文艺晚会，丰富校园文化生活；</w:t>
      </w:r>
    </w:p>
    <w:p>
      <w:pPr>
        <w:keepNext w:val="0"/>
        <w:keepLines w:val="0"/>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ascii="仿宋_GB2312" w:hAnsi="仿宋" w:eastAsia="仿宋_GB2312" w:cs="仿宋_GB2312"/>
          <w:b w:val="0"/>
          <w:bCs w:val="0"/>
          <w:kern w:val="2"/>
          <w:sz w:val="32"/>
          <w:szCs w:val="32"/>
          <w:shd w:val="clear" w:color="auto" w:fill="FFFFFF"/>
          <w:lang w:eastAsia="zh-CN"/>
        </w:rPr>
      </w:pPr>
      <w:r>
        <w:rPr>
          <w:rFonts w:hint="eastAsia" w:ascii="仿宋_GB2312" w:hAnsi="仿宋" w:eastAsia="仿宋_GB2312" w:cs="仿宋_GB2312"/>
          <w:b w:val="0"/>
          <w:bCs w:val="0"/>
          <w:kern w:val="2"/>
          <w:sz w:val="32"/>
          <w:szCs w:val="32"/>
          <w:shd w:val="clear" w:color="auto" w:fill="FFFFFF"/>
          <w:lang w:val="en-US" w:eastAsia="zh-CN"/>
        </w:rPr>
        <w:t>4.</w:t>
      </w:r>
      <w:r>
        <w:rPr>
          <w:rFonts w:hint="eastAsia" w:ascii="仿宋_GB2312" w:hAnsi="仿宋" w:eastAsia="仿宋_GB2312" w:cs="仿宋_GB2312"/>
          <w:b w:val="0"/>
          <w:bCs w:val="0"/>
          <w:kern w:val="2"/>
          <w:sz w:val="32"/>
          <w:szCs w:val="32"/>
          <w:shd w:val="clear" w:color="auto" w:fill="FFFFFF"/>
          <w:lang w:eastAsia="zh-CN"/>
        </w:rPr>
        <w:t>提升学生艺术表演和创作能力；</w:t>
      </w:r>
    </w:p>
    <w:p>
      <w:pPr>
        <w:keepNext w:val="0"/>
        <w:keepLines w:val="0"/>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ascii="仿宋_GB2312" w:hAnsi="仿宋" w:eastAsia="仿宋_GB2312" w:cs="仿宋_GB2312"/>
          <w:b w:val="0"/>
          <w:bCs w:val="0"/>
          <w:kern w:val="2"/>
          <w:sz w:val="32"/>
          <w:szCs w:val="32"/>
          <w:shd w:val="clear" w:color="auto" w:fill="FFFFFF"/>
          <w:lang w:eastAsia="zh-CN"/>
        </w:rPr>
      </w:pPr>
      <w:r>
        <w:rPr>
          <w:rFonts w:hint="eastAsia" w:ascii="仿宋_GB2312" w:hAnsi="仿宋" w:eastAsia="仿宋_GB2312" w:cs="仿宋_GB2312"/>
          <w:b w:val="0"/>
          <w:bCs w:val="0"/>
          <w:kern w:val="2"/>
          <w:sz w:val="32"/>
          <w:szCs w:val="32"/>
          <w:shd w:val="clear" w:color="auto" w:fill="FFFFFF"/>
          <w:lang w:val="en-US" w:eastAsia="zh-CN"/>
        </w:rPr>
        <w:t>5.</w:t>
      </w:r>
      <w:r>
        <w:rPr>
          <w:rFonts w:hint="eastAsia" w:ascii="仿宋_GB2312" w:hAnsi="仿宋" w:eastAsia="仿宋_GB2312" w:cs="仿宋_GB2312"/>
          <w:b w:val="0"/>
          <w:bCs w:val="0"/>
          <w:kern w:val="2"/>
          <w:sz w:val="32"/>
          <w:szCs w:val="32"/>
          <w:shd w:val="clear" w:color="auto" w:fill="FFFFFF"/>
          <w:lang w:eastAsia="zh-CN"/>
        </w:rPr>
        <w:t>组队参加省市文艺比赛，展示学校艺术教育成果；</w:t>
      </w:r>
    </w:p>
    <w:p>
      <w:pPr>
        <w:keepNext w:val="0"/>
        <w:keepLines w:val="0"/>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ascii="仿宋_GB2312" w:hAnsi="仿宋" w:eastAsia="仿宋_GB2312" w:cs="仿宋_GB2312"/>
          <w:b w:val="0"/>
          <w:bCs w:val="0"/>
          <w:kern w:val="2"/>
          <w:sz w:val="32"/>
          <w:szCs w:val="32"/>
          <w:shd w:val="clear" w:color="auto" w:fill="FFFFFF"/>
          <w:lang w:eastAsia="zh-CN"/>
        </w:rPr>
      </w:pPr>
      <w:r>
        <w:rPr>
          <w:rFonts w:hint="eastAsia" w:ascii="仿宋_GB2312" w:hAnsi="仿宋" w:eastAsia="仿宋_GB2312" w:cs="仿宋_GB2312"/>
          <w:b w:val="0"/>
          <w:bCs w:val="0"/>
          <w:kern w:val="2"/>
          <w:sz w:val="32"/>
          <w:szCs w:val="32"/>
          <w:shd w:val="clear" w:color="auto" w:fill="FFFFFF"/>
          <w:lang w:val="en-US" w:eastAsia="zh-CN"/>
        </w:rPr>
        <w:t>6.</w:t>
      </w:r>
      <w:r>
        <w:rPr>
          <w:rFonts w:hint="eastAsia" w:ascii="仿宋_GB2312" w:hAnsi="仿宋" w:eastAsia="仿宋_GB2312" w:cs="仿宋_GB2312"/>
          <w:b w:val="0"/>
          <w:bCs w:val="0"/>
          <w:kern w:val="2"/>
          <w:sz w:val="32"/>
          <w:szCs w:val="32"/>
          <w:shd w:val="clear" w:color="auto" w:fill="FFFFFF"/>
          <w:lang w:eastAsia="zh-CN"/>
        </w:rPr>
        <w:t>形成良好的校园艺术氛围，促进学生全面发展。</w:t>
      </w:r>
    </w:p>
    <w:p>
      <w:pPr>
        <w:pStyle w:val="6"/>
        <w:keepNext w:val="0"/>
        <w:keepLines w:val="0"/>
        <w:pageBreakBefore w:val="0"/>
        <w:kinsoku/>
        <w:wordWrap/>
        <w:overflowPunct/>
        <w:topLinePunct w:val="0"/>
        <w:autoSpaceDE/>
        <w:autoSpaceDN/>
        <w:bidi w:val="0"/>
        <w:adjustRightInd/>
        <w:snapToGrid/>
        <w:spacing w:before="0" w:after="0" w:line="560" w:lineRule="exact"/>
        <w:ind w:firstLine="640" w:firstLineChars="200"/>
        <w:textAlignment w:val="auto"/>
        <w:rPr>
          <w:rFonts w:hint="eastAsia" w:ascii="楷体_GB2312" w:hAnsi="仿宋" w:eastAsia="楷体_GB2312" w:cs="仿宋_GB2312"/>
          <w:b w:val="0"/>
          <w:bCs w:val="0"/>
          <w:kern w:val="2"/>
          <w:sz w:val="32"/>
          <w:szCs w:val="32"/>
          <w:shd w:val="clear" w:color="auto" w:fill="FFFFFF"/>
          <w:lang w:val="en-US" w:eastAsia="zh-CN" w:bidi="ar-SA"/>
        </w:rPr>
      </w:pPr>
      <w:r>
        <w:rPr>
          <w:rFonts w:hint="eastAsia" w:ascii="楷体_GB2312" w:hAnsi="仿宋" w:eastAsia="楷体_GB2312" w:cs="仿宋_GB2312"/>
          <w:b w:val="0"/>
          <w:bCs w:val="0"/>
          <w:kern w:val="2"/>
          <w:sz w:val="32"/>
          <w:szCs w:val="32"/>
          <w:shd w:val="clear" w:color="auto" w:fill="FFFFFF"/>
          <w:lang w:val="en-US" w:eastAsia="zh-CN" w:bidi="ar-SA"/>
        </w:rPr>
        <w:t>活动开展情况表：</w:t>
      </w:r>
    </w:p>
    <w:tbl>
      <w:tblPr>
        <w:tblStyle w:val="17"/>
        <w:tblW w:w="4788" w:type="pct"/>
        <w:tblInd w:w="2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08" w:type="dxa"/>
          <w:left w:w="108" w:type="dxa"/>
          <w:bottom w:w="108" w:type="dxa"/>
          <w:right w:w="108" w:type="dxa"/>
        </w:tblCellMar>
      </w:tblPr>
      <w:tblGrid>
        <w:gridCol w:w="740"/>
        <w:gridCol w:w="5272"/>
        <w:gridCol w:w="21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rPr>
          <w:trHeight w:val="400" w:hRule="atLeast"/>
          <w:tblHeader/>
        </w:trPr>
        <w:tc>
          <w:tcPr>
            <w:tcW w:w="453" w:type="pct"/>
            <w:shd w:val="clear" w:color="auto" w:fill="auto"/>
            <w:vAlign w:val="center"/>
          </w:tcPr>
          <w:p>
            <w:pPr>
              <w:spacing w:before="0" w:after="0" w:line="240" w:lineRule="auto"/>
              <w:jc w:val="center"/>
              <w:rPr>
                <w:b w:val="0"/>
                <w:bCs w:val="0"/>
              </w:rPr>
            </w:pPr>
            <w:r>
              <w:rPr>
                <w:rFonts w:ascii="Calibri" w:hAnsi="Calibri"/>
                <w:b w:val="0"/>
                <w:bCs w:val="0"/>
                <w:color w:val="000000"/>
                <w:sz w:val="24"/>
                <w:szCs w:val="24"/>
              </w:rPr>
              <w:t>序号</w:t>
            </w:r>
          </w:p>
        </w:tc>
        <w:tc>
          <w:tcPr>
            <w:tcW w:w="3229" w:type="pct"/>
            <w:shd w:val="clear" w:color="auto" w:fill="auto"/>
            <w:vAlign w:val="center"/>
          </w:tcPr>
          <w:p>
            <w:pPr>
              <w:spacing w:before="0" w:after="0" w:line="240" w:lineRule="auto"/>
              <w:jc w:val="center"/>
              <w:rPr>
                <w:b w:val="0"/>
                <w:bCs w:val="0"/>
              </w:rPr>
            </w:pPr>
            <w:r>
              <w:rPr>
                <w:rFonts w:ascii="Calibri" w:hAnsi="Calibri"/>
                <w:b w:val="0"/>
                <w:bCs w:val="0"/>
                <w:color w:val="000000"/>
                <w:sz w:val="24"/>
                <w:szCs w:val="24"/>
              </w:rPr>
              <w:t>开展活动项目</w:t>
            </w:r>
          </w:p>
        </w:tc>
        <w:tc>
          <w:tcPr>
            <w:tcW w:w="1316" w:type="pct"/>
            <w:shd w:val="clear" w:color="auto" w:fill="auto"/>
            <w:vAlign w:val="center"/>
          </w:tcPr>
          <w:p>
            <w:pPr>
              <w:spacing w:before="0" w:after="0" w:line="240" w:lineRule="auto"/>
              <w:jc w:val="center"/>
              <w:rPr>
                <w:b w:val="0"/>
                <w:bCs w:val="0"/>
              </w:rPr>
            </w:pPr>
            <w:r>
              <w:rPr>
                <w:rFonts w:ascii="Calibri" w:hAnsi="Calibri"/>
                <w:b w:val="0"/>
                <w:bCs w:val="0"/>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08" w:type="dxa"/>
            <w:left w:w="108" w:type="dxa"/>
            <w:bottom w:w="108" w:type="dxa"/>
            <w:right w:w="108" w:type="dxa"/>
          </w:tblCellMar>
        </w:tblPrEx>
        <w:trPr>
          <w:trHeight w:val="400" w:hRule="atLeast"/>
          <w:tblHeader/>
        </w:trPr>
        <w:tc>
          <w:tcPr>
            <w:tcW w:w="453" w:type="pct"/>
            <w:shd w:val="clear" w:color="auto" w:fill="auto"/>
            <w:vAlign w:val="center"/>
          </w:tcPr>
          <w:p>
            <w:pPr>
              <w:spacing w:before="0" w:after="0" w:line="240" w:lineRule="auto"/>
              <w:jc w:val="center"/>
              <w:rPr>
                <w:b w:val="0"/>
                <w:bCs w:val="0"/>
              </w:rPr>
            </w:pPr>
            <w:r>
              <w:rPr>
                <w:rFonts w:ascii="Calibri" w:hAnsi="Calibri"/>
                <w:b w:val="0"/>
                <w:bCs w:val="0"/>
                <w:color w:val="000000"/>
                <w:sz w:val="24"/>
                <w:szCs w:val="24"/>
              </w:rPr>
              <w:t>1</w:t>
            </w:r>
          </w:p>
        </w:tc>
        <w:tc>
          <w:tcPr>
            <w:tcW w:w="3229" w:type="pct"/>
            <w:shd w:val="clear" w:color="auto" w:fill="auto"/>
            <w:vAlign w:val="center"/>
          </w:tcPr>
          <w:p>
            <w:pPr>
              <w:spacing w:before="0" w:after="0" w:line="240" w:lineRule="auto"/>
              <w:jc w:val="center"/>
              <w:rPr>
                <w:b w:val="0"/>
                <w:bCs w:val="0"/>
              </w:rPr>
            </w:pPr>
            <w:r>
              <w:rPr>
                <w:rFonts w:ascii="Calibri" w:hAnsi="Calibri"/>
                <w:b w:val="0"/>
                <w:bCs w:val="0"/>
                <w:color w:val="000000"/>
                <w:sz w:val="24"/>
                <w:szCs w:val="24"/>
              </w:rPr>
              <w:t>蜀道舞蹈作品创作</w:t>
            </w:r>
          </w:p>
        </w:tc>
        <w:tc>
          <w:tcPr>
            <w:tcW w:w="1316" w:type="pct"/>
            <w:shd w:val="clear" w:color="auto" w:fill="auto"/>
            <w:vAlign w:val="center"/>
          </w:tcPr>
          <w:p>
            <w:pPr>
              <w:spacing w:before="0" w:after="0" w:line="240" w:lineRule="auto"/>
              <w:jc w:val="center"/>
              <w:rPr>
                <w:b w:val="0"/>
                <w:bCs w:val="0"/>
              </w:rPr>
            </w:pPr>
            <w:r>
              <w:rPr>
                <w:rFonts w:ascii="Calibri" w:hAnsi="Calibri"/>
                <w:b w:val="0"/>
                <w:bCs w:val="0"/>
                <w:color w:val="000000"/>
                <w:sz w:val="24"/>
                <w:szCs w:val="24"/>
              </w:rPr>
              <w:t>学校主办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08" w:type="dxa"/>
            <w:left w:w="108" w:type="dxa"/>
            <w:bottom w:w="108" w:type="dxa"/>
            <w:right w:w="108" w:type="dxa"/>
          </w:tblCellMar>
        </w:tblPrEx>
        <w:trPr>
          <w:trHeight w:val="400" w:hRule="atLeast"/>
          <w:tblHeader/>
        </w:trPr>
        <w:tc>
          <w:tcPr>
            <w:tcW w:w="453" w:type="pct"/>
            <w:shd w:val="clear" w:color="auto" w:fill="auto"/>
            <w:vAlign w:val="center"/>
          </w:tcPr>
          <w:p>
            <w:pPr>
              <w:spacing w:before="0" w:after="0" w:line="240" w:lineRule="auto"/>
              <w:jc w:val="center"/>
              <w:rPr>
                <w:b w:val="0"/>
                <w:bCs w:val="0"/>
              </w:rPr>
            </w:pPr>
            <w:r>
              <w:rPr>
                <w:rFonts w:ascii="Calibri" w:hAnsi="Calibri"/>
                <w:b w:val="0"/>
                <w:bCs w:val="0"/>
                <w:color w:val="000000"/>
                <w:sz w:val="24"/>
                <w:szCs w:val="24"/>
              </w:rPr>
              <w:t>2</w:t>
            </w:r>
          </w:p>
        </w:tc>
        <w:tc>
          <w:tcPr>
            <w:tcW w:w="3229" w:type="pct"/>
            <w:shd w:val="clear" w:color="auto" w:fill="auto"/>
            <w:vAlign w:val="center"/>
          </w:tcPr>
          <w:p>
            <w:pPr>
              <w:spacing w:before="0" w:after="0" w:line="240" w:lineRule="auto"/>
              <w:jc w:val="center"/>
              <w:rPr>
                <w:b w:val="0"/>
                <w:bCs w:val="0"/>
              </w:rPr>
            </w:pPr>
            <w:r>
              <w:rPr>
                <w:rFonts w:ascii="Calibri" w:hAnsi="Calibri"/>
                <w:b w:val="0"/>
                <w:bCs w:val="0"/>
                <w:color w:val="000000"/>
                <w:sz w:val="24"/>
                <w:szCs w:val="24"/>
              </w:rPr>
              <w:t>参加2023年广元市文艺汇演</w:t>
            </w:r>
          </w:p>
        </w:tc>
        <w:tc>
          <w:tcPr>
            <w:tcW w:w="1316" w:type="pct"/>
            <w:shd w:val="clear" w:color="auto" w:fill="auto"/>
            <w:vAlign w:val="center"/>
          </w:tcPr>
          <w:p>
            <w:pPr>
              <w:spacing w:before="0" w:after="0" w:line="240" w:lineRule="auto"/>
              <w:jc w:val="center"/>
              <w:rPr>
                <w:b w:val="0"/>
                <w:bCs w:val="0"/>
              </w:rPr>
            </w:pPr>
            <w:r>
              <w:rPr>
                <w:rFonts w:ascii="Calibri" w:hAnsi="Calibri"/>
                <w:b w:val="0"/>
                <w:bCs w:val="0"/>
                <w:color w:val="000000"/>
                <w:sz w:val="24"/>
                <w:szCs w:val="24"/>
              </w:rPr>
              <w:t>市文化局主办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08" w:type="dxa"/>
            <w:left w:w="108" w:type="dxa"/>
            <w:bottom w:w="108" w:type="dxa"/>
            <w:right w:w="108" w:type="dxa"/>
          </w:tblCellMar>
        </w:tblPrEx>
        <w:trPr>
          <w:trHeight w:val="400" w:hRule="atLeast"/>
          <w:tblHeader/>
        </w:trPr>
        <w:tc>
          <w:tcPr>
            <w:tcW w:w="453" w:type="pct"/>
            <w:shd w:val="clear" w:color="auto" w:fill="auto"/>
            <w:vAlign w:val="center"/>
          </w:tcPr>
          <w:p>
            <w:pPr>
              <w:spacing w:before="0" w:after="0" w:line="240" w:lineRule="auto"/>
              <w:jc w:val="center"/>
              <w:rPr>
                <w:b w:val="0"/>
                <w:bCs w:val="0"/>
              </w:rPr>
            </w:pPr>
            <w:r>
              <w:rPr>
                <w:rFonts w:ascii="Calibri" w:hAnsi="Calibri"/>
                <w:b w:val="0"/>
                <w:bCs w:val="0"/>
                <w:color w:val="000000"/>
                <w:sz w:val="24"/>
                <w:szCs w:val="24"/>
              </w:rPr>
              <w:t>3</w:t>
            </w:r>
          </w:p>
        </w:tc>
        <w:tc>
          <w:tcPr>
            <w:tcW w:w="3229" w:type="pct"/>
            <w:shd w:val="clear" w:color="auto" w:fill="auto"/>
            <w:vAlign w:val="center"/>
          </w:tcPr>
          <w:p>
            <w:pPr>
              <w:spacing w:before="0" w:after="0" w:line="240" w:lineRule="auto"/>
              <w:jc w:val="center"/>
              <w:rPr>
                <w:b w:val="0"/>
                <w:bCs w:val="0"/>
              </w:rPr>
            </w:pPr>
            <w:r>
              <w:rPr>
                <w:rFonts w:ascii="Calibri" w:hAnsi="Calibri"/>
                <w:b w:val="0"/>
                <w:bCs w:val="0"/>
                <w:color w:val="000000"/>
                <w:sz w:val="24"/>
                <w:szCs w:val="24"/>
              </w:rPr>
              <w:t>举办校级文艺晚会</w:t>
            </w:r>
          </w:p>
        </w:tc>
        <w:tc>
          <w:tcPr>
            <w:tcW w:w="1316" w:type="pct"/>
            <w:shd w:val="clear" w:color="auto" w:fill="auto"/>
            <w:vAlign w:val="center"/>
          </w:tcPr>
          <w:p>
            <w:pPr>
              <w:spacing w:before="0" w:after="0" w:line="240" w:lineRule="auto"/>
              <w:jc w:val="center"/>
              <w:rPr>
                <w:b w:val="0"/>
                <w:bCs w:val="0"/>
              </w:rPr>
            </w:pPr>
            <w:r>
              <w:rPr>
                <w:rFonts w:ascii="Calibri" w:hAnsi="Calibri"/>
                <w:b w:val="0"/>
                <w:bCs w:val="0"/>
                <w:color w:val="000000"/>
                <w:sz w:val="24"/>
                <w:szCs w:val="24"/>
              </w:rPr>
              <w:t>学校主办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08" w:type="dxa"/>
            <w:left w:w="108" w:type="dxa"/>
            <w:bottom w:w="108" w:type="dxa"/>
            <w:right w:w="108" w:type="dxa"/>
          </w:tblCellMar>
        </w:tblPrEx>
        <w:trPr>
          <w:trHeight w:val="400" w:hRule="atLeast"/>
          <w:tblHeader/>
        </w:trPr>
        <w:tc>
          <w:tcPr>
            <w:tcW w:w="453" w:type="pct"/>
            <w:shd w:val="clear" w:color="auto" w:fill="auto"/>
            <w:vAlign w:val="center"/>
          </w:tcPr>
          <w:p>
            <w:pPr>
              <w:spacing w:before="0" w:after="0" w:line="240" w:lineRule="auto"/>
              <w:jc w:val="center"/>
              <w:rPr>
                <w:b w:val="0"/>
                <w:bCs w:val="0"/>
              </w:rPr>
            </w:pPr>
            <w:r>
              <w:rPr>
                <w:rFonts w:ascii="Calibri" w:hAnsi="Calibri"/>
                <w:b w:val="0"/>
                <w:bCs w:val="0"/>
                <w:color w:val="000000"/>
                <w:sz w:val="24"/>
                <w:szCs w:val="24"/>
              </w:rPr>
              <w:t>4</w:t>
            </w:r>
          </w:p>
        </w:tc>
        <w:tc>
          <w:tcPr>
            <w:tcW w:w="3229" w:type="pct"/>
            <w:shd w:val="clear" w:color="auto" w:fill="auto"/>
            <w:vAlign w:val="center"/>
          </w:tcPr>
          <w:p>
            <w:pPr>
              <w:spacing w:before="0" w:after="0" w:line="240" w:lineRule="auto"/>
              <w:jc w:val="center"/>
              <w:rPr>
                <w:b w:val="0"/>
                <w:bCs w:val="0"/>
              </w:rPr>
            </w:pPr>
            <w:r>
              <w:rPr>
                <w:rFonts w:ascii="Calibri" w:hAnsi="Calibri"/>
                <w:b w:val="0"/>
                <w:bCs w:val="0"/>
                <w:color w:val="000000"/>
                <w:sz w:val="24"/>
                <w:szCs w:val="24"/>
              </w:rPr>
              <w:t>参加四川省大学生艺术节舞蹈比赛</w:t>
            </w:r>
          </w:p>
        </w:tc>
        <w:tc>
          <w:tcPr>
            <w:tcW w:w="1316" w:type="pct"/>
            <w:shd w:val="clear" w:color="auto" w:fill="auto"/>
            <w:vAlign w:val="center"/>
          </w:tcPr>
          <w:p>
            <w:pPr>
              <w:spacing w:before="0" w:after="0" w:line="240" w:lineRule="auto"/>
              <w:jc w:val="center"/>
              <w:rPr>
                <w:b w:val="0"/>
                <w:bCs w:val="0"/>
              </w:rPr>
            </w:pPr>
            <w:r>
              <w:rPr>
                <w:rFonts w:ascii="Calibri" w:hAnsi="Calibri"/>
                <w:b w:val="0"/>
                <w:bCs w:val="0"/>
                <w:color w:val="000000"/>
                <w:sz w:val="24"/>
                <w:szCs w:val="24"/>
              </w:rPr>
              <w:t>省教育厅主办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08" w:type="dxa"/>
            <w:left w:w="108" w:type="dxa"/>
            <w:bottom w:w="108" w:type="dxa"/>
            <w:right w:w="108" w:type="dxa"/>
          </w:tblCellMar>
        </w:tblPrEx>
        <w:trPr>
          <w:trHeight w:val="400" w:hRule="atLeast"/>
          <w:tblHeader/>
        </w:trPr>
        <w:tc>
          <w:tcPr>
            <w:tcW w:w="453" w:type="pct"/>
            <w:shd w:val="clear" w:color="auto" w:fill="auto"/>
            <w:vAlign w:val="center"/>
          </w:tcPr>
          <w:p>
            <w:pPr>
              <w:spacing w:before="0" w:after="0" w:line="240" w:lineRule="auto"/>
              <w:jc w:val="center"/>
              <w:rPr>
                <w:b w:val="0"/>
                <w:bCs w:val="0"/>
              </w:rPr>
            </w:pPr>
            <w:r>
              <w:rPr>
                <w:rFonts w:ascii="Calibri" w:hAnsi="Calibri"/>
                <w:b w:val="0"/>
                <w:bCs w:val="0"/>
                <w:color w:val="000000"/>
                <w:sz w:val="24"/>
                <w:szCs w:val="24"/>
              </w:rPr>
              <w:t>5</w:t>
            </w:r>
          </w:p>
        </w:tc>
        <w:tc>
          <w:tcPr>
            <w:tcW w:w="3229" w:type="pct"/>
            <w:shd w:val="clear" w:color="auto" w:fill="auto"/>
            <w:vAlign w:val="center"/>
          </w:tcPr>
          <w:p>
            <w:pPr>
              <w:spacing w:before="0" w:after="0" w:line="240" w:lineRule="auto"/>
              <w:jc w:val="center"/>
              <w:rPr>
                <w:b w:val="0"/>
                <w:bCs w:val="0"/>
              </w:rPr>
            </w:pPr>
            <w:r>
              <w:rPr>
                <w:rFonts w:ascii="Calibri" w:hAnsi="Calibri"/>
                <w:b w:val="0"/>
                <w:bCs w:val="0"/>
                <w:color w:val="000000"/>
                <w:sz w:val="24"/>
                <w:szCs w:val="24"/>
              </w:rPr>
              <w:t>组织学生参加舞蹈创作培训班</w:t>
            </w:r>
          </w:p>
        </w:tc>
        <w:tc>
          <w:tcPr>
            <w:tcW w:w="1316" w:type="pct"/>
            <w:shd w:val="clear" w:color="auto" w:fill="auto"/>
            <w:vAlign w:val="center"/>
          </w:tcPr>
          <w:p>
            <w:pPr>
              <w:spacing w:before="0" w:after="0" w:line="240" w:lineRule="auto"/>
              <w:jc w:val="center"/>
              <w:rPr>
                <w:b w:val="0"/>
                <w:bCs w:val="0"/>
              </w:rPr>
            </w:pPr>
            <w:r>
              <w:rPr>
                <w:rFonts w:ascii="Calibri" w:hAnsi="Calibri"/>
                <w:b w:val="0"/>
                <w:bCs w:val="0"/>
                <w:color w:val="000000"/>
                <w:sz w:val="24"/>
                <w:szCs w:val="24"/>
              </w:rPr>
              <w:t>学校主办</w:t>
            </w:r>
          </w:p>
        </w:tc>
      </w:tr>
    </w:tbl>
    <w:p>
      <w:pPr>
        <w:pStyle w:val="6"/>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textAlignment w:val="auto"/>
        <w:rPr>
          <w:rFonts w:hint="eastAsia" w:ascii="黑体" w:hAnsi="黑体" w:eastAsia="黑体" w:cs="黑体"/>
          <w:b w:val="0"/>
          <w:bCs w:val="0"/>
          <w:kern w:val="2"/>
          <w:sz w:val="32"/>
          <w:szCs w:val="32"/>
          <w:shd w:val="clear" w:color="auto" w:fill="FFFFFF"/>
          <w:lang w:val="en-US" w:eastAsia="zh-CN" w:bidi="ar-SA"/>
        </w:rPr>
      </w:pPr>
      <w:r>
        <w:rPr>
          <w:rFonts w:hint="eastAsia" w:ascii="黑体" w:hAnsi="黑体" w:eastAsia="黑体" w:cs="黑体"/>
          <w:b w:val="0"/>
          <w:bCs w:val="0"/>
          <w:kern w:val="2"/>
          <w:sz w:val="32"/>
          <w:szCs w:val="32"/>
          <w:shd w:val="clear" w:color="auto" w:fill="FFFFFF"/>
          <w:lang w:val="en-US" w:eastAsia="zh-CN" w:bidi="ar-SA"/>
        </w:rPr>
        <w:t>二、项目资金使用与管理情况</w:t>
      </w:r>
    </w:p>
    <w:p>
      <w:pPr>
        <w:pStyle w:val="6"/>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val="0"/>
          <w:bCs w:val="0"/>
          <w:kern w:val="0"/>
          <w:sz w:val="32"/>
          <w:szCs w:val="32"/>
          <w:lang w:val="en-US" w:eastAsia="zh-CN" w:bidi="ar-SA"/>
        </w:rPr>
        <w:t>1.项目资金使用情况</w:t>
      </w:r>
    </w:p>
    <w:p>
      <w:pPr>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left"/>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kern w:val="0"/>
          <w:sz w:val="32"/>
          <w:szCs w:val="32"/>
          <w:lang w:val="en-US" w:eastAsia="zh-CN" w:bidi="ar-SA"/>
        </w:rPr>
        <w:t>2023年11月直接拨付学校。项目资金拨付及使用明细如下</w:t>
      </w:r>
      <w:r>
        <w:rPr>
          <w:rFonts w:hint="eastAsia" w:ascii="仿宋_GB2312" w:hAnsi="仿宋_GB2312" w:eastAsia="仿宋_GB2312" w:cs="仿宋_GB2312"/>
          <w:b w:val="0"/>
          <w:bCs w:val="0"/>
          <w:color w:val="000000"/>
          <w:sz w:val="24"/>
          <w:szCs w:val="24"/>
        </w:rPr>
        <w:t>：</w:t>
      </w:r>
    </w:p>
    <w:tbl>
      <w:tblPr>
        <w:tblStyle w:val="17"/>
        <w:tblW w:w="4825" w:type="pct"/>
        <w:tblInd w:w="1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08" w:type="dxa"/>
          <w:left w:w="108" w:type="dxa"/>
          <w:bottom w:w="108" w:type="dxa"/>
          <w:right w:w="108" w:type="dxa"/>
        </w:tblCellMar>
      </w:tblPr>
      <w:tblGrid>
        <w:gridCol w:w="701"/>
        <w:gridCol w:w="3324"/>
        <w:gridCol w:w="2596"/>
        <w:gridCol w:w="16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rPr>
          <w:trHeight w:val="306" w:hRule="atLeast"/>
          <w:tblHeader/>
        </w:trPr>
        <w:tc>
          <w:tcPr>
            <w:tcW w:w="426" w:type="pct"/>
            <w:shd w:val="clear" w:color="auto" w:fill="auto"/>
            <w:vAlign w:val="center"/>
          </w:tcPr>
          <w:p>
            <w:pPr>
              <w:spacing w:before="0" w:after="0" w:line="240" w:lineRule="auto"/>
              <w:jc w:val="center"/>
              <w:rPr>
                <w:b w:val="0"/>
                <w:bCs w:val="0"/>
              </w:rPr>
            </w:pPr>
            <w:r>
              <w:rPr>
                <w:rFonts w:ascii="Calibri" w:hAnsi="Calibri"/>
                <w:b w:val="0"/>
                <w:bCs w:val="0"/>
                <w:color w:val="000000"/>
                <w:sz w:val="24"/>
                <w:szCs w:val="24"/>
              </w:rPr>
              <w:t>序号</w:t>
            </w:r>
          </w:p>
        </w:tc>
        <w:tc>
          <w:tcPr>
            <w:tcW w:w="2020" w:type="pct"/>
            <w:shd w:val="clear" w:color="auto" w:fill="auto"/>
            <w:vAlign w:val="center"/>
          </w:tcPr>
          <w:p>
            <w:pPr>
              <w:spacing w:before="0" w:after="0" w:line="240" w:lineRule="auto"/>
              <w:jc w:val="center"/>
              <w:rPr>
                <w:b w:val="0"/>
                <w:bCs w:val="0"/>
              </w:rPr>
            </w:pPr>
            <w:r>
              <w:rPr>
                <w:rFonts w:ascii="Calibri" w:hAnsi="Calibri"/>
                <w:b w:val="0"/>
                <w:bCs w:val="0"/>
                <w:color w:val="000000"/>
                <w:sz w:val="24"/>
                <w:szCs w:val="24"/>
              </w:rPr>
              <w:t>具体项目</w:t>
            </w:r>
          </w:p>
        </w:tc>
        <w:tc>
          <w:tcPr>
            <w:tcW w:w="1578" w:type="pct"/>
            <w:shd w:val="clear" w:color="auto" w:fill="auto"/>
            <w:vAlign w:val="center"/>
          </w:tcPr>
          <w:p>
            <w:pPr>
              <w:spacing w:before="0" w:after="0" w:line="240" w:lineRule="auto"/>
              <w:jc w:val="center"/>
              <w:rPr>
                <w:b w:val="0"/>
                <w:bCs w:val="0"/>
              </w:rPr>
            </w:pPr>
            <w:r>
              <w:rPr>
                <w:rFonts w:ascii="Calibri" w:hAnsi="Calibri"/>
                <w:b w:val="0"/>
                <w:bCs w:val="0"/>
                <w:color w:val="000000"/>
                <w:sz w:val="24"/>
                <w:szCs w:val="24"/>
              </w:rPr>
              <w:t>经费（</w:t>
            </w:r>
            <w:r>
              <w:rPr>
                <w:rFonts w:hint="eastAsia" w:eastAsia="宋体"/>
                <w:b w:val="0"/>
                <w:bCs w:val="0"/>
                <w:color w:val="000000"/>
                <w:sz w:val="24"/>
                <w:szCs w:val="24"/>
                <w:lang w:val="en-US" w:eastAsia="zh-CN"/>
              </w:rPr>
              <w:t>万</w:t>
            </w:r>
            <w:r>
              <w:rPr>
                <w:rFonts w:ascii="Calibri" w:hAnsi="Calibri"/>
                <w:b w:val="0"/>
                <w:bCs w:val="0"/>
                <w:color w:val="000000"/>
                <w:sz w:val="24"/>
                <w:szCs w:val="24"/>
              </w:rPr>
              <w:t>元）</w:t>
            </w:r>
          </w:p>
        </w:tc>
        <w:tc>
          <w:tcPr>
            <w:tcW w:w="974" w:type="pct"/>
            <w:shd w:val="clear" w:color="auto" w:fill="auto"/>
            <w:vAlign w:val="center"/>
          </w:tcPr>
          <w:p>
            <w:pPr>
              <w:spacing w:before="0" w:after="0" w:line="240" w:lineRule="auto"/>
              <w:jc w:val="center"/>
              <w:rPr>
                <w:b w:val="0"/>
                <w:bCs w:val="0"/>
              </w:rPr>
            </w:pPr>
            <w:r>
              <w:rPr>
                <w:rFonts w:ascii="Calibri" w:hAnsi="Calibri"/>
                <w:b w:val="0"/>
                <w:bCs w:val="0"/>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08" w:type="dxa"/>
            <w:left w:w="108" w:type="dxa"/>
            <w:bottom w:w="108" w:type="dxa"/>
            <w:right w:w="108" w:type="dxa"/>
          </w:tblCellMar>
        </w:tblPrEx>
        <w:trPr>
          <w:trHeight w:val="421" w:hRule="atLeast"/>
          <w:tblHeader/>
        </w:trPr>
        <w:tc>
          <w:tcPr>
            <w:tcW w:w="426" w:type="pct"/>
            <w:shd w:val="clear" w:color="auto" w:fill="auto"/>
            <w:vAlign w:val="center"/>
          </w:tcPr>
          <w:p>
            <w:pPr>
              <w:spacing w:before="0" w:after="0" w:line="240" w:lineRule="auto"/>
              <w:jc w:val="center"/>
              <w:rPr>
                <w:rFonts w:hint="eastAsia" w:eastAsia="宋体"/>
                <w:b w:val="0"/>
                <w:bCs w:val="0"/>
                <w:lang w:val="en-US" w:eastAsia="zh-CN"/>
              </w:rPr>
            </w:pPr>
            <w:r>
              <w:rPr>
                <w:rFonts w:hint="eastAsia"/>
                <w:b w:val="0"/>
                <w:bCs w:val="0"/>
                <w:lang w:val="en-US" w:eastAsia="zh-CN"/>
              </w:rPr>
              <w:t>1</w:t>
            </w:r>
          </w:p>
        </w:tc>
        <w:tc>
          <w:tcPr>
            <w:tcW w:w="2020" w:type="pct"/>
            <w:shd w:val="clear" w:color="auto" w:fill="auto"/>
            <w:vAlign w:val="center"/>
          </w:tcPr>
          <w:p>
            <w:pPr>
              <w:pStyle w:val="2"/>
              <w:keepNext w:val="0"/>
              <w:keepLines w:val="0"/>
              <w:pageBreakBefore w:val="0"/>
              <w:widowControl w:val="0"/>
              <w:kinsoku/>
              <w:wordWrap/>
              <w:overflowPunct/>
              <w:topLinePunct w:val="0"/>
              <w:autoSpaceDE/>
              <w:autoSpaceDN/>
              <w:bidi w:val="0"/>
              <w:adjustRightInd/>
              <w:snapToGrid/>
              <w:spacing w:after="0" w:line="340" w:lineRule="exact"/>
              <w:jc w:val="center"/>
              <w:textAlignment w:val="auto"/>
              <w:rPr>
                <w:b w:val="0"/>
                <w:bCs w:val="0"/>
              </w:rPr>
            </w:pPr>
            <w:r>
              <w:rPr>
                <w:rFonts w:hint="eastAsia" w:ascii="仿宋_GB2312" w:eastAsia="仿宋_GB2312" w:cs="Times New Roman"/>
                <w:b w:val="0"/>
                <w:bCs w:val="0"/>
                <w:kern w:val="2"/>
                <w:sz w:val="28"/>
                <w:szCs w:val="28"/>
                <w:lang w:val="en-US" w:eastAsia="zh-CN" w:bidi="ar-SA"/>
              </w:rPr>
              <w:t>蜀道采风</w:t>
            </w:r>
          </w:p>
        </w:tc>
        <w:tc>
          <w:tcPr>
            <w:tcW w:w="1578" w:type="pct"/>
            <w:shd w:val="clear" w:color="auto" w:fill="auto"/>
            <w:vAlign w:val="center"/>
          </w:tcPr>
          <w:p>
            <w:pPr>
              <w:pStyle w:val="2"/>
              <w:keepNext w:val="0"/>
              <w:keepLines w:val="0"/>
              <w:pageBreakBefore w:val="0"/>
              <w:widowControl w:val="0"/>
              <w:kinsoku/>
              <w:wordWrap/>
              <w:overflowPunct/>
              <w:topLinePunct w:val="0"/>
              <w:autoSpaceDE/>
              <w:autoSpaceDN/>
              <w:bidi w:val="0"/>
              <w:adjustRightInd/>
              <w:snapToGrid/>
              <w:spacing w:after="0" w:line="340" w:lineRule="exact"/>
              <w:jc w:val="center"/>
              <w:textAlignment w:val="auto"/>
              <w:rPr>
                <w:b w:val="0"/>
                <w:bCs w:val="0"/>
              </w:rPr>
            </w:pPr>
            <w:r>
              <w:rPr>
                <w:rFonts w:hint="eastAsia" w:ascii="仿宋_GB2312" w:eastAsia="仿宋_GB2312" w:cs="仿宋_GB2312"/>
                <w:b w:val="0"/>
                <w:bCs w:val="0"/>
                <w:color w:val="000000"/>
                <w:kern w:val="0"/>
                <w:sz w:val="28"/>
                <w:szCs w:val="28"/>
                <w:vertAlign w:val="baseline"/>
                <w:lang w:val="en-US" w:eastAsia="zh-CN" w:bidi="ar-SA"/>
              </w:rPr>
              <w:t>2</w:t>
            </w:r>
          </w:p>
        </w:tc>
        <w:tc>
          <w:tcPr>
            <w:tcW w:w="974" w:type="pct"/>
            <w:shd w:val="clear" w:color="auto" w:fill="auto"/>
            <w:vAlign w:val="center"/>
          </w:tcPr>
          <w:p>
            <w:pPr>
              <w:spacing w:before="0" w:after="0" w:line="240" w:lineRule="auto"/>
              <w:jc w:val="center"/>
              <w:rPr>
                <w:b w:val="0"/>
                <w:bCs w:val="0"/>
              </w:rPr>
            </w:pPr>
            <w:r>
              <w:rPr>
                <w:rFonts w:ascii="Calibri" w:hAnsi="Calibri"/>
                <w:b w:val="0"/>
                <w:bCs w:val="0"/>
                <w:color w:val="000000"/>
                <w:sz w:val="24"/>
                <w:szCs w:val="24"/>
              </w:rPr>
              <w:t>专项资金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08" w:type="dxa"/>
            <w:left w:w="108" w:type="dxa"/>
            <w:bottom w:w="108" w:type="dxa"/>
            <w:right w:w="108" w:type="dxa"/>
          </w:tblCellMar>
        </w:tblPrEx>
        <w:trPr>
          <w:trHeight w:val="290" w:hRule="atLeast"/>
          <w:tblHeader/>
        </w:trPr>
        <w:tc>
          <w:tcPr>
            <w:tcW w:w="426" w:type="pct"/>
            <w:shd w:val="clear" w:color="auto" w:fill="auto"/>
            <w:vAlign w:val="center"/>
          </w:tcPr>
          <w:p>
            <w:pPr>
              <w:spacing w:before="0" w:after="0" w:line="240" w:lineRule="auto"/>
              <w:jc w:val="center"/>
              <w:rPr>
                <w:b w:val="0"/>
                <w:bCs w:val="0"/>
              </w:rPr>
            </w:pPr>
            <w:r>
              <w:rPr>
                <w:rFonts w:ascii="Calibri" w:hAnsi="Calibri"/>
                <w:b w:val="0"/>
                <w:bCs w:val="0"/>
                <w:color w:val="000000"/>
                <w:sz w:val="24"/>
                <w:szCs w:val="24"/>
              </w:rPr>
              <w:t>2</w:t>
            </w:r>
          </w:p>
        </w:tc>
        <w:tc>
          <w:tcPr>
            <w:tcW w:w="2020" w:type="pct"/>
            <w:shd w:val="clear" w:color="auto" w:fill="auto"/>
            <w:vAlign w:val="center"/>
          </w:tcPr>
          <w:p>
            <w:pPr>
              <w:pStyle w:val="2"/>
              <w:keepNext w:val="0"/>
              <w:keepLines w:val="0"/>
              <w:pageBreakBefore w:val="0"/>
              <w:widowControl w:val="0"/>
              <w:kinsoku/>
              <w:wordWrap/>
              <w:overflowPunct/>
              <w:topLinePunct w:val="0"/>
              <w:autoSpaceDE/>
              <w:autoSpaceDN/>
              <w:bidi w:val="0"/>
              <w:adjustRightInd/>
              <w:snapToGrid/>
              <w:spacing w:after="0" w:line="340" w:lineRule="exact"/>
              <w:jc w:val="center"/>
              <w:textAlignment w:val="auto"/>
              <w:rPr>
                <w:b w:val="0"/>
                <w:bCs w:val="0"/>
              </w:rPr>
            </w:pPr>
            <w:r>
              <w:rPr>
                <w:rFonts w:hint="eastAsia" w:ascii="仿宋_GB2312" w:eastAsia="仿宋_GB2312" w:cs="仿宋_GB2312"/>
                <w:b w:val="0"/>
                <w:bCs w:val="0"/>
                <w:color w:val="000000"/>
                <w:kern w:val="0"/>
                <w:sz w:val="28"/>
                <w:szCs w:val="28"/>
                <w:vertAlign w:val="baseline"/>
                <w:lang w:val="en-US" w:eastAsia="zh-CN" w:bidi="ar-SA"/>
              </w:rPr>
              <w:t>作品创作</w:t>
            </w:r>
          </w:p>
        </w:tc>
        <w:tc>
          <w:tcPr>
            <w:tcW w:w="1578" w:type="pct"/>
            <w:shd w:val="clear" w:color="auto" w:fill="auto"/>
            <w:vAlign w:val="center"/>
          </w:tcPr>
          <w:p>
            <w:pPr>
              <w:pStyle w:val="2"/>
              <w:keepNext w:val="0"/>
              <w:keepLines w:val="0"/>
              <w:pageBreakBefore w:val="0"/>
              <w:widowControl w:val="0"/>
              <w:kinsoku/>
              <w:wordWrap/>
              <w:overflowPunct/>
              <w:topLinePunct w:val="0"/>
              <w:autoSpaceDE/>
              <w:autoSpaceDN/>
              <w:bidi w:val="0"/>
              <w:adjustRightInd/>
              <w:snapToGrid/>
              <w:spacing w:after="0" w:line="340" w:lineRule="exact"/>
              <w:jc w:val="center"/>
              <w:textAlignment w:val="auto"/>
              <w:rPr>
                <w:b w:val="0"/>
                <w:bCs w:val="0"/>
              </w:rPr>
            </w:pPr>
            <w:r>
              <w:rPr>
                <w:rFonts w:hint="eastAsia" w:ascii="仿宋_GB2312" w:eastAsia="仿宋_GB2312" w:cs="仿宋_GB2312"/>
                <w:b w:val="0"/>
                <w:bCs w:val="0"/>
                <w:color w:val="000000"/>
                <w:kern w:val="0"/>
                <w:sz w:val="28"/>
                <w:szCs w:val="28"/>
                <w:vertAlign w:val="baseline"/>
                <w:lang w:val="en-US" w:eastAsia="zh-CN" w:bidi="ar-SA"/>
              </w:rPr>
              <w:t>4</w:t>
            </w:r>
          </w:p>
        </w:tc>
        <w:tc>
          <w:tcPr>
            <w:tcW w:w="974" w:type="pct"/>
            <w:shd w:val="clear" w:color="auto" w:fill="auto"/>
            <w:vAlign w:val="center"/>
          </w:tcPr>
          <w:p>
            <w:pPr>
              <w:spacing w:before="0" w:after="0" w:line="240" w:lineRule="auto"/>
              <w:jc w:val="center"/>
              <w:rPr>
                <w:b w:val="0"/>
                <w:bCs w:val="0"/>
              </w:rPr>
            </w:pPr>
            <w:r>
              <w:rPr>
                <w:rFonts w:ascii="Calibri" w:hAnsi="Calibri"/>
                <w:b w:val="0"/>
                <w:bCs w:val="0"/>
                <w:color w:val="000000"/>
                <w:sz w:val="24"/>
                <w:szCs w:val="24"/>
              </w:rPr>
              <w:t>专项资金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08" w:type="dxa"/>
            <w:left w:w="108" w:type="dxa"/>
            <w:bottom w:w="108" w:type="dxa"/>
            <w:right w:w="108" w:type="dxa"/>
          </w:tblCellMar>
        </w:tblPrEx>
        <w:trPr>
          <w:trHeight w:val="23" w:hRule="atLeast"/>
          <w:tblHeader/>
        </w:trPr>
        <w:tc>
          <w:tcPr>
            <w:tcW w:w="426" w:type="pct"/>
            <w:shd w:val="clear" w:color="auto" w:fill="auto"/>
            <w:vAlign w:val="center"/>
          </w:tcPr>
          <w:p>
            <w:pPr>
              <w:spacing w:before="0" w:after="0" w:line="240" w:lineRule="auto"/>
              <w:jc w:val="center"/>
              <w:rPr>
                <w:b w:val="0"/>
                <w:bCs w:val="0"/>
              </w:rPr>
            </w:pPr>
            <w:r>
              <w:rPr>
                <w:rFonts w:ascii="Calibri" w:hAnsi="Calibri"/>
                <w:b w:val="0"/>
                <w:bCs w:val="0"/>
                <w:color w:val="000000"/>
                <w:sz w:val="24"/>
                <w:szCs w:val="24"/>
              </w:rPr>
              <w:t>3</w:t>
            </w:r>
          </w:p>
        </w:tc>
        <w:tc>
          <w:tcPr>
            <w:tcW w:w="2020" w:type="pct"/>
            <w:shd w:val="clear" w:color="auto" w:fill="auto"/>
            <w:vAlign w:val="center"/>
          </w:tcPr>
          <w:p>
            <w:pPr>
              <w:pStyle w:val="2"/>
              <w:keepNext w:val="0"/>
              <w:keepLines w:val="0"/>
              <w:pageBreakBefore w:val="0"/>
              <w:widowControl w:val="0"/>
              <w:kinsoku/>
              <w:wordWrap/>
              <w:overflowPunct/>
              <w:topLinePunct w:val="0"/>
              <w:autoSpaceDE/>
              <w:autoSpaceDN/>
              <w:bidi w:val="0"/>
              <w:adjustRightInd/>
              <w:snapToGrid/>
              <w:spacing w:after="0" w:line="340" w:lineRule="exact"/>
              <w:jc w:val="center"/>
              <w:textAlignment w:val="auto"/>
              <w:rPr>
                <w:b w:val="0"/>
                <w:bCs w:val="0"/>
              </w:rPr>
            </w:pPr>
            <w:r>
              <w:rPr>
                <w:rFonts w:hint="eastAsia" w:ascii="仿宋_GB2312" w:eastAsia="仿宋_GB2312" w:cs="仿宋_GB2312"/>
                <w:b w:val="0"/>
                <w:bCs w:val="0"/>
                <w:color w:val="000000"/>
                <w:kern w:val="0"/>
                <w:sz w:val="28"/>
                <w:szCs w:val="28"/>
                <w:vertAlign w:val="baseline"/>
                <w:lang w:val="en-US" w:eastAsia="zh-CN" w:bidi="ar-SA"/>
              </w:rPr>
              <w:t>音乐制作</w:t>
            </w:r>
          </w:p>
        </w:tc>
        <w:tc>
          <w:tcPr>
            <w:tcW w:w="1578" w:type="pct"/>
            <w:shd w:val="clear" w:color="auto" w:fill="auto"/>
            <w:vAlign w:val="center"/>
          </w:tcPr>
          <w:p>
            <w:pPr>
              <w:pStyle w:val="2"/>
              <w:keepNext w:val="0"/>
              <w:keepLines w:val="0"/>
              <w:pageBreakBefore w:val="0"/>
              <w:widowControl w:val="0"/>
              <w:kinsoku/>
              <w:wordWrap/>
              <w:overflowPunct/>
              <w:topLinePunct w:val="0"/>
              <w:autoSpaceDE/>
              <w:autoSpaceDN/>
              <w:bidi w:val="0"/>
              <w:adjustRightInd/>
              <w:snapToGrid/>
              <w:spacing w:after="0" w:line="340" w:lineRule="exact"/>
              <w:jc w:val="center"/>
              <w:textAlignment w:val="auto"/>
              <w:rPr>
                <w:b w:val="0"/>
                <w:bCs w:val="0"/>
              </w:rPr>
            </w:pPr>
            <w:r>
              <w:rPr>
                <w:rFonts w:hint="eastAsia" w:ascii="仿宋_GB2312" w:eastAsia="仿宋_GB2312" w:cs="仿宋_GB2312"/>
                <w:b w:val="0"/>
                <w:bCs w:val="0"/>
                <w:color w:val="000000"/>
                <w:kern w:val="0"/>
                <w:sz w:val="28"/>
                <w:szCs w:val="28"/>
                <w:vertAlign w:val="baseline"/>
                <w:lang w:val="en-US" w:eastAsia="zh-CN" w:bidi="ar-SA"/>
              </w:rPr>
              <w:t>2</w:t>
            </w:r>
          </w:p>
        </w:tc>
        <w:tc>
          <w:tcPr>
            <w:tcW w:w="974" w:type="pct"/>
            <w:shd w:val="clear" w:color="auto" w:fill="auto"/>
            <w:vAlign w:val="center"/>
          </w:tcPr>
          <w:p>
            <w:pPr>
              <w:spacing w:before="0" w:after="0" w:line="240" w:lineRule="auto"/>
              <w:jc w:val="center"/>
              <w:rPr>
                <w:b w:val="0"/>
                <w:bCs w:val="0"/>
              </w:rPr>
            </w:pPr>
            <w:r>
              <w:rPr>
                <w:rFonts w:ascii="Calibri" w:hAnsi="Calibri"/>
                <w:b w:val="0"/>
                <w:bCs w:val="0"/>
                <w:color w:val="000000"/>
                <w:sz w:val="24"/>
                <w:szCs w:val="24"/>
              </w:rPr>
              <w:t>专项资金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08" w:type="dxa"/>
            <w:left w:w="108" w:type="dxa"/>
            <w:bottom w:w="108" w:type="dxa"/>
            <w:right w:w="108" w:type="dxa"/>
          </w:tblCellMar>
        </w:tblPrEx>
        <w:trPr>
          <w:trHeight w:val="428" w:hRule="atLeast"/>
          <w:tblHeader/>
        </w:trPr>
        <w:tc>
          <w:tcPr>
            <w:tcW w:w="426" w:type="pct"/>
            <w:shd w:val="clear" w:color="auto" w:fill="auto"/>
            <w:vAlign w:val="center"/>
          </w:tcPr>
          <w:p>
            <w:pPr>
              <w:spacing w:before="0" w:after="0" w:line="240" w:lineRule="auto"/>
              <w:jc w:val="center"/>
              <w:rPr>
                <w:rFonts w:hint="eastAsia" w:eastAsia="宋体"/>
                <w:b w:val="0"/>
                <w:bCs w:val="0"/>
                <w:lang w:val="en-US" w:eastAsia="zh-CN"/>
              </w:rPr>
            </w:pPr>
            <w:r>
              <w:rPr>
                <w:rFonts w:hint="eastAsia" w:eastAsia="宋体"/>
                <w:b w:val="0"/>
                <w:bCs w:val="0"/>
                <w:lang w:val="en-US" w:eastAsia="zh-CN"/>
              </w:rPr>
              <w:t>4</w:t>
            </w:r>
          </w:p>
        </w:tc>
        <w:tc>
          <w:tcPr>
            <w:tcW w:w="2020" w:type="pct"/>
            <w:shd w:val="clear" w:color="auto" w:fill="auto"/>
            <w:vAlign w:val="center"/>
          </w:tcPr>
          <w:p>
            <w:pPr>
              <w:pStyle w:val="2"/>
              <w:keepNext w:val="0"/>
              <w:keepLines w:val="0"/>
              <w:pageBreakBefore w:val="0"/>
              <w:widowControl w:val="0"/>
              <w:kinsoku/>
              <w:wordWrap/>
              <w:overflowPunct/>
              <w:topLinePunct w:val="0"/>
              <w:autoSpaceDE/>
              <w:autoSpaceDN/>
              <w:bidi w:val="0"/>
              <w:adjustRightInd/>
              <w:snapToGrid/>
              <w:spacing w:after="0" w:line="340" w:lineRule="exact"/>
              <w:jc w:val="center"/>
              <w:textAlignment w:val="auto"/>
              <w:rPr>
                <w:b w:val="0"/>
                <w:bCs w:val="0"/>
              </w:rPr>
            </w:pPr>
            <w:r>
              <w:rPr>
                <w:rFonts w:hint="eastAsia" w:ascii="仿宋_GB2312" w:eastAsia="仿宋_GB2312" w:cs="Times New Roman"/>
                <w:b w:val="0"/>
                <w:bCs w:val="0"/>
                <w:kern w:val="2"/>
                <w:sz w:val="28"/>
                <w:szCs w:val="28"/>
                <w:lang w:val="en-US" w:eastAsia="zh-CN" w:bidi="ar-SA"/>
              </w:rPr>
              <w:t>服装、道具</w:t>
            </w:r>
          </w:p>
        </w:tc>
        <w:tc>
          <w:tcPr>
            <w:tcW w:w="1578" w:type="pct"/>
            <w:shd w:val="clear" w:color="auto" w:fill="auto"/>
            <w:vAlign w:val="center"/>
          </w:tcPr>
          <w:p>
            <w:pPr>
              <w:pStyle w:val="2"/>
              <w:keepNext w:val="0"/>
              <w:keepLines w:val="0"/>
              <w:pageBreakBefore w:val="0"/>
              <w:widowControl w:val="0"/>
              <w:kinsoku/>
              <w:wordWrap/>
              <w:overflowPunct/>
              <w:topLinePunct w:val="0"/>
              <w:autoSpaceDE/>
              <w:autoSpaceDN/>
              <w:bidi w:val="0"/>
              <w:adjustRightInd/>
              <w:snapToGrid/>
              <w:spacing w:after="0" w:line="340" w:lineRule="exact"/>
              <w:jc w:val="center"/>
              <w:textAlignment w:val="auto"/>
              <w:rPr>
                <w:b w:val="0"/>
                <w:bCs w:val="0"/>
              </w:rPr>
            </w:pPr>
            <w:r>
              <w:rPr>
                <w:rFonts w:hint="eastAsia" w:ascii="仿宋_GB2312" w:eastAsia="仿宋_GB2312" w:cs="仿宋_GB2312"/>
                <w:b w:val="0"/>
                <w:bCs w:val="0"/>
                <w:color w:val="000000"/>
                <w:kern w:val="0"/>
                <w:sz w:val="28"/>
                <w:szCs w:val="28"/>
                <w:vertAlign w:val="baseline"/>
                <w:lang w:val="en-US" w:eastAsia="zh-CN" w:bidi="ar-SA"/>
              </w:rPr>
              <w:t>4</w:t>
            </w:r>
          </w:p>
        </w:tc>
        <w:tc>
          <w:tcPr>
            <w:tcW w:w="974" w:type="pct"/>
            <w:shd w:val="clear" w:color="auto" w:fill="auto"/>
            <w:vAlign w:val="center"/>
          </w:tcPr>
          <w:p>
            <w:pPr>
              <w:spacing w:before="0" w:after="0" w:line="240" w:lineRule="auto"/>
              <w:jc w:val="center"/>
              <w:rPr>
                <w:b w:val="0"/>
                <w:bCs w:val="0"/>
              </w:rPr>
            </w:pPr>
            <w:r>
              <w:rPr>
                <w:rFonts w:hint="eastAsia"/>
                <w:b w:val="0"/>
                <w:bCs w:val="0"/>
              </w:rPr>
              <w:t>专项资金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08" w:type="dxa"/>
            <w:left w:w="108" w:type="dxa"/>
            <w:bottom w:w="108" w:type="dxa"/>
            <w:right w:w="108" w:type="dxa"/>
          </w:tblCellMar>
        </w:tblPrEx>
        <w:trPr>
          <w:trHeight w:val="23" w:hRule="atLeast"/>
          <w:tblHeader/>
        </w:trPr>
        <w:tc>
          <w:tcPr>
            <w:tcW w:w="426" w:type="pct"/>
            <w:shd w:val="clear" w:color="auto" w:fill="auto"/>
            <w:vAlign w:val="center"/>
          </w:tcPr>
          <w:p>
            <w:pPr>
              <w:spacing w:before="0" w:after="0" w:line="240" w:lineRule="auto"/>
              <w:jc w:val="center"/>
              <w:rPr>
                <w:rFonts w:hint="eastAsia" w:ascii="Calibri" w:hAnsi="Calibri" w:eastAsia="宋体"/>
                <w:b w:val="0"/>
                <w:bCs w:val="0"/>
                <w:color w:val="000000"/>
                <w:sz w:val="24"/>
                <w:szCs w:val="24"/>
                <w:lang w:val="en-US" w:eastAsia="zh-CN"/>
              </w:rPr>
            </w:pPr>
            <w:r>
              <w:rPr>
                <w:rFonts w:hint="eastAsia" w:eastAsia="宋体"/>
                <w:b w:val="0"/>
                <w:bCs w:val="0"/>
                <w:color w:val="000000"/>
                <w:sz w:val="24"/>
                <w:szCs w:val="24"/>
                <w:lang w:val="en-US" w:eastAsia="zh-CN"/>
              </w:rPr>
              <w:t>5</w:t>
            </w:r>
          </w:p>
        </w:tc>
        <w:tc>
          <w:tcPr>
            <w:tcW w:w="2020" w:type="pct"/>
            <w:shd w:val="clear" w:color="auto" w:fill="auto"/>
            <w:vAlign w:val="center"/>
          </w:tcPr>
          <w:p>
            <w:pPr>
              <w:pStyle w:val="2"/>
              <w:keepNext w:val="0"/>
              <w:keepLines w:val="0"/>
              <w:pageBreakBefore w:val="0"/>
              <w:widowControl w:val="0"/>
              <w:kinsoku/>
              <w:wordWrap/>
              <w:overflowPunct/>
              <w:topLinePunct w:val="0"/>
              <w:autoSpaceDE/>
              <w:autoSpaceDN/>
              <w:bidi w:val="0"/>
              <w:adjustRightInd/>
              <w:snapToGrid/>
              <w:spacing w:after="0" w:line="340" w:lineRule="exact"/>
              <w:jc w:val="center"/>
              <w:textAlignment w:val="auto"/>
              <w:rPr>
                <w:b w:val="0"/>
                <w:bCs w:val="0"/>
              </w:rPr>
            </w:pPr>
            <w:r>
              <w:rPr>
                <w:rFonts w:hint="eastAsia" w:ascii="仿宋_GB2312" w:eastAsia="仿宋_GB2312" w:cs="Times New Roman"/>
                <w:b w:val="0"/>
                <w:bCs w:val="0"/>
                <w:kern w:val="2"/>
                <w:sz w:val="28"/>
                <w:szCs w:val="28"/>
                <w:lang w:val="en-US" w:eastAsia="zh-CN" w:bidi="ar-SA"/>
              </w:rPr>
              <w:t>舞美灯光</w:t>
            </w:r>
          </w:p>
        </w:tc>
        <w:tc>
          <w:tcPr>
            <w:tcW w:w="1578" w:type="pct"/>
            <w:shd w:val="clear" w:color="auto" w:fill="auto"/>
            <w:vAlign w:val="center"/>
          </w:tcPr>
          <w:p>
            <w:pPr>
              <w:pStyle w:val="2"/>
              <w:keepNext w:val="0"/>
              <w:keepLines w:val="0"/>
              <w:pageBreakBefore w:val="0"/>
              <w:widowControl w:val="0"/>
              <w:kinsoku/>
              <w:wordWrap/>
              <w:overflowPunct/>
              <w:topLinePunct w:val="0"/>
              <w:autoSpaceDE/>
              <w:autoSpaceDN/>
              <w:bidi w:val="0"/>
              <w:adjustRightInd/>
              <w:snapToGrid/>
              <w:spacing w:after="0" w:line="340" w:lineRule="exact"/>
              <w:jc w:val="center"/>
              <w:textAlignment w:val="auto"/>
              <w:rPr>
                <w:rFonts w:ascii="Calibri" w:hAnsi="Calibri"/>
                <w:b w:val="0"/>
                <w:bCs w:val="0"/>
                <w:color w:val="000000"/>
                <w:sz w:val="24"/>
                <w:szCs w:val="24"/>
              </w:rPr>
            </w:pPr>
            <w:r>
              <w:rPr>
                <w:rFonts w:hint="eastAsia" w:ascii="仿宋_GB2312" w:eastAsia="仿宋_GB2312" w:cs="仿宋_GB2312"/>
                <w:b w:val="0"/>
                <w:bCs w:val="0"/>
                <w:color w:val="000000"/>
                <w:kern w:val="0"/>
                <w:sz w:val="28"/>
                <w:szCs w:val="28"/>
                <w:vertAlign w:val="baseline"/>
                <w:lang w:val="en-US" w:eastAsia="zh-CN" w:bidi="ar-SA"/>
              </w:rPr>
              <w:t>2</w:t>
            </w:r>
          </w:p>
        </w:tc>
        <w:tc>
          <w:tcPr>
            <w:tcW w:w="974" w:type="pct"/>
            <w:shd w:val="clear" w:color="auto" w:fill="auto"/>
            <w:vAlign w:val="center"/>
          </w:tcPr>
          <w:p>
            <w:pPr>
              <w:spacing w:before="0" w:after="0" w:line="240" w:lineRule="auto"/>
              <w:jc w:val="center"/>
              <w:rPr>
                <w:b w:val="0"/>
                <w:bCs w:val="0"/>
              </w:rPr>
            </w:pPr>
            <w:r>
              <w:rPr>
                <w:rFonts w:hint="eastAsia"/>
                <w:b w:val="0"/>
                <w:bCs w:val="0"/>
              </w:rPr>
              <w:t>专项资金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08" w:type="dxa"/>
            <w:left w:w="108" w:type="dxa"/>
            <w:bottom w:w="108" w:type="dxa"/>
            <w:right w:w="108" w:type="dxa"/>
          </w:tblCellMar>
        </w:tblPrEx>
        <w:trPr>
          <w:trHeight w:val="23" w:hRule="atLeast"/>
          <w:tblHeader/>
        </w:trPr>
        <w:tc>
          <w:tcPr>
            <w:tcW w:w="426" w:type="pct"/>
            <w:shd w:val="clear" w:color="auto" w:fill="auto"/>
            <w:vAlign w:val="center"/>
          </w:tcPr>
          <w:p>
            <w:pPr>
              <w:spacing w:before="0" w:after="0" w:line="240" w:lineRule="auto"/>
              <w:jc w:val="center"/>
              <w:rPr>
                <w:rFonts w:hint="eastAsia" w:ascii="Calibri" w:hAnsi="Calibri" w:eastAsia="宋体"/>
                <w:b w:val="0"/>
                <w:bCs w:val="0"/>
                <w:color w:val="000000"/>
                <w:sz w:val="24"/>
                <w:szCs w:val="24"/>
                <w:lang w:val="en-US" w:eastAsia="zh-CN"/>
              </w:rPr>
            </w:pPr>
            <w:r>
              <w:rPr>
                <w:rFonts w:hint="eastAsia" w:eastAsia="宋体"/>
                <w:b w:val="0"/>
                <w:bCs w:val="0"/>
                <w:color w:val="000000"/>
                <w:sz w:val="24"/>
                <w:szCs w:val="24"/>
                <w:lang w:val="en-US" w:eastAsia="zh-CN"/>
              </w:rPr>
              <w:t>6</w:t>
            </w:r>
          </w:p>
        </w:tc>
        <w:tc>
          <w:tcPr>
            <w:tcW w:w="2020" w:type="pct"/>
            <w:shd w:val="clear" w:color="auto" w:fill="auto"/>
            <w:vAlign w:val="center"/>
          </w:tcPr>
          <w:p>
            <w:pPr>
              <w:pStyle w:val="2"/>
              <w:keepNext w:val="0"/>
              <w:keepLines w:val="0"/>
              <w:pageBreakBefore w:val="0"/>
              <w:widowControl w:val="0"/>
              <w:kinsoku/>
              <w:wordWrap/>
              <w:overflowPunct/>
              <w:topLinePunct w:val="0"/>
              <w:autoSpaceDE/>
              <w:autoSpaceDN/>
              <w:bidi w:val="0"/>
              <w:adjustRightInd/>
              <w:snapToGrid/>
              <w:spacing w:after="0" w:line="340" w:lineRule="exact"/>
              <w:jc w:val="center"/>
              <w:textAlignment w:val="auto"/>
              <w:rPr>
                <w:b w:val="0"/>
                <w:bCs w:val="0"/>
              </w:rPr>
            </w:pPr>
            <w:r>
              <w:rPr>
                <w:rFonts w:hint="eastAsia" w:ascii="仿宋_GB2312" w:eastAsia="仿宋_GB2312" w:cs="Times New Roman"/>
                <w:b w:val="0"/>
                <w:bCs w:val="0"/>
                <w:kern w:val="2"/>
                <w:sz w:val="28"/>
                <w:szCs w:val="28"/>
                <w:lang w:val="en-US" w:eastAsia="zh-CN" w:bidi="ar-SA"/>
              </w:rPr>
              <w:t>劳务</w:t>
            </w:r>
          </w:p>
        </w:tc>
        <w:tc>
          <w:tcPr>
            <w:tcW w:w="1578" w:type="pct"/>
            <w:shd w:val="clear" w:color="auto" w:fill="auto"/>
            <w:vAlign w:val="center"/>
          </w:tcPr>
          <w:p>
            <w:pPr>
              <w:pStyle w:val="2"/>
              <w:keepNext w:val="0"/>
              <w:keepLines w:val="0"/>
              <w:pageBreakBefore w:val="0"/>
              <w:widowControl w:val="0"/>
              <w:kinsoku/>
              <w:wordWrap/>
              <w:overflowPunct/>
              <w:topLinePunct w:val="0"/>
              <w:autoSpaceDE/>
              <w:autoSpaceDN/>
              <w:bidi w:val="0"/>
              <w:adjustRightInd/>
              <w:snapToGrid/>
              <w:spacing w:after="0" w:line="340" w:lineRule="exact"/>
              <w:jc w:val="center"/>
              <w:textAlignment w:val="auto"/>
              <w:rPr>
                <w:rFonts w:ascii="Calibri" w:hAnsi="Calibri"/>
                <w:b w:val="0"/>
                <w:bCs w:val="0"/>
                <w:color w:val="000000"/>
                <w:sz w:val="24"/>
                <w:szCs w:val="24"/>
              </w:rPr>
            </w:pPr>
            <w:r>
              <w:rPr>
                <w:rFonts w:hint="eastAsia" w:ascii="仿宋_GB2312" w:eastAsia="仿宋_GB2312" w:cs="仿宋_GB2312"/>
                <w:b w:val="0"/>
                <w:bCs w:val="0"/>
                <w:color w:val="000000"/>
                <w:kern w:val="0"/>
                <w:sz w:val="28"/>
                <w:szCs w:val="28"/>
                <w:vertAlign w:val="baseline"/>
                <w:lang w:val="en-US" w:eastAsia="zh-CN" w:bidi="ar-SA"/>
              </w:rPr>
              <w:t>4</w:t>
            </w:r>
          </w:p>
        </w:tc>
        <w:tc>
          <w:tcPr>
            <w:tcW w:w="974" w:type="pct"/>
            <w:shd w:val="clear" w:color="auto" w:fill="auto"/>
            <w:vAlign w:val="center"/>
          </w:tcPr>
          <w:p>
            <w:pPr>
              <w:spacing w:before="0" w:after="0" w:line="240" w:lineRule="auto"/>
              <w:jc w:val="center"/>
              <w:rPr>
                <w:b w:val="0"/>
                <w:bCs w:val="0"/>
              </w:rPr>
            </w:pPr>
            <w:r>
              <w:rPr>
                <w:rFonts w:hint="eastAsia"/>
                <w:b w:val="0"/>
                <w:bCs w:val="0"/>
              </w:rPr>
              <w:t>专项资金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08" w:type="dxa"/>
            <w:left w:w="108" w:type="dxa"/>
            <w:bottom w:w="108" w:type="dxa"/>
            <w:right w:w="108" w:type="dxa"/>
          </w:tblCellMar>
        </w:tblPrEx>
        <w:trPr>
          <w:trHeight w:val="23" w:hRule="atLeast"/>
          <w:tblHeader/>
        </w:trPr>
        <w:tc>
          <w:tcPr>
            <w:tcW w:w="426" w:type="pct"/>
            <w:shd w:val="clear" w:color="auto" w:fill="auto"/>
            <w:vAlign w:val="center"/>
          </w:tcPr>
          <w:p>
            <w:pPr>
              <w:spacing w:before="0" w:after="0" w:line="240" w:lineRule="auto"/>
              <w:jc w:val="center"/>
              <w:rPr>
                <w:rFonts w:hint="eastAsia" w:ascii="Calibri" w:hAnsi="Calibri" w:eastAsia="宋体"/>
                <w:b w:val="0"/>
                <w:bCs w:val="0"/>
                <w:color w:val="000000"/>
                <w:sz w:val="24"/>
                <w:szCs w:val="24"/>
                <w:lang w:val="en-US" w:eastAsia="zh-CN"/>
              </w:rPr>
            </w:pPr>
            <w:r>
              <w:rPr>
                <w:rFonts w:hint="eastAsia" w:eastAsia="宋体"/>
                <w:b w:val="0"/>
                <w:bCs w:val="0"/>
                <w:color w:val="000000"/>
                <w:sz w:val="24"/>
                <w:szCs w:val="24"/>
                <w:lang w:val="en-US" w:eastAsia="zh-CN"/>
              </w:rPr>
              <w:t>7</w:t>
            </w:r>
          </w:p>
        </w:tc>
        <w:tc>
          <w:tcPr>
            <w:tcW w:w="2020" w:type="pct"/>
            <w:shd w:val="clear" w:color="auto" w:fill="auto"/>
            <w:vAlign w:val="center"/>
          </w:tcPr>
          <w:p>
            <w:pPr>
              <w:pStyle w:val="2"/>
              <w:keepNext w:val="0"/>
              <w:keepLines w:val="0"/>
              <w:pageBreakBefore w:val="0"/>
              <w:widowControl w:val="0"/>
              <w:kinsoku/>
              <w:wordWrap/>
              <w:overflowPunct/>
              <w:topLinePunct w:val="0"/>
              <w:autoSpaceDE/>
              <w:autoSpaceDN/>
              <w:bidi w:val="0"/>
              <w:adjustRightInd/>
              <w:snapToGrid/>
              <w:spacing w:after="0" w:line="340" w:lineRule="exact"/>
              <w:jc w:val="center"/>
              <w:textAlignment w:val="auto"/>
              <w:rPr>
                <w:b w:val="0"/>
                <w:bCs w:val="0"/>
              </w:rPr>
            </w:pPr>
            <w:r>
              <w:rPr>
                <w:rFonts w:hint="eastAsia" w:ascii="仿宋_GB2312" w:eastAsia="仿宋_GB2312" w:cs="Times New Roman"/>
                <w:b w:val="0"/>
                <w:bCs w:val="0"/>
                <w:kern w:val="2"/>
                <w:sz w:val="28"/>
                <w:szCs w:val="28"/>
                <w:lang w:val="en-US" w:eastAsia="zh-CN" w:bidi="ar-SA"/>
              </w:rPr>
              <w:t>摄像、化妆</w:t>
            </w:r>
          </w:p>
        </w:tc>
        <w:tc>
          <w:tcPr>
            <w:tcW w:w="1578" w:type="pct"/>
            <w:shd w:val="clear" w:color="auto" w:fill="auto"/>
            <w:vAlign w:val="center"/>
          </w:tcPr>
          <w:p>
            <w:pPr>
              <w:pStyle w:val="2"/>
              <w:keepNext w:val="0"/>
              <w:keepLines w:val="0"/>
              <w:pageBreakBefore w:val="0"/>
              <w:widowControl w:val="0"/>
              <w:kinsoku/>
              <w:wordWrap/>
              <w:overflowPunct/>
              <w:topLinePunct w:val="0"/>
              <w:autoSpaceDE/>
              <w:autoSpaceDN/>
              <w:bidi w:val="0"/>
              <w:adjustRightInd/>
              <w:snapToGrid/>
              <w:spacing w:after="0" w:line="340" w:lineRule="exact"/>
              <w:jc w:val="center"/>
              <w:textAlignment w:val="auto"/>
              <w:rPr>
                <w:rFonts w:ascii="Calibri" w:hAnsi="Calibri"/>
                <w:b w:val="0"/>
                <w:bCs w:val="0"/>
                <w:color w:val="000000"/>
                <w:sz w:val="24"/>
                <w:szCs w:val="24"/>
              </w:rPr>
            </w:pPr>
            <w:r>
              <w:rPr>
                <w:rFonts w:hint="eastAsia" w:ascii="仿宋_GB2312" w:eastAsia="仿宋_GB2312" w:cs="仿宋_GB2312"/>
                <w:b w:val="0"/>
                <w:bCs w:val="0"/>
                <w:color w:val="000000"/>
                <w:kern w:val="0"/>
                <w:sz w:val="28"/>
                <w:szCs w:val="28"/>
                <w:vertAlign w:val="baseline"/>
                <w:lang w:val="en-US" w:eastAsia="zh-CN" w:bidi="ar-SA"/>
              </w:rPr>
              <w:t>2</w:t>
            </w:r>
          </w:p>
        </w:tc>
        <w:tc>
          <w:tcPr>
            <w:tcW w:w="974" w:type="pct"/>
            <w:shd w:val="clear" w:color="auto" w:fill="auto"/>
            <w:vAlign w:val="center"/>
          </w:tcPr>
          <w:p>
            <w:pPr>
              <w:spacing w:before="0" w:after="0" w:line="240" w:lineRule="auto"/>
              <w:jc w:val="center"/>
              <w:rPr>
                <w:b w:val="0"/>
                <w:bCs w:val="0"/>
              </w:rPr>
            </w:pPr>
            <w:r>
              <w:rPr>
                <w:rFonts w:hint="eastAsia"/>
                <w:b w:val="0"/>
                <w:bCs w:val="0"/>
              </w:rPr>
              <w:t>专项资金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08" w:type="dxa"/>
            <w:left w:w="108" w:type="dxa"/>
            <w:bottom w:w="108" w:type="dxa"/>
            <w:right w:w="108" w:type="dxa"/>
          </w:tblCellMar>
        </w:tblPrEx>
        <w:trPr>
          <w:trHeight w:val="23" w:hRule="atLeast"/>
          <w:tblHeader/>
        </w:trPr>
        <w:tc>
          <w:tcPr>
            <w:tcW w:w="426" w:type="pct"/>
            <w:shd w:val="clear" w:color="auto" w:fill="auto"/>
            <w:vAlign w:val="center"/>
          </w:tcPr>
          <w:p>
            <w:pPr>
              <w:spacing w:before="0" w:after="0" w:line="240" w:lineRule="auto"/>
              <w:jc w:val="center"/>
              <w:rPr>
                <w:rFonts w:ascii="Calibri" w:hAnsi="Calibri" w:eastAsia="Calibri" w:cs="Times New Roman"/>
                <w:b w:val="0"/>
                <w:bCs w:val="0"/>
                <w:sz w:val="24"/>
                <w:szCs w:val="24"/>
                <w:lang w:val="en-US" w:eastAsia="en-US" w:bidi="ar-SA"/>
              </w:rPr>
            </w:pPr>
            <w:r>
              <w:rPr>
                <w:rFonts w:ascii="Calibri" w:hAnsi="Calibri"/>
                <w:b w:val="0"/>
                <w:bCs w:val="0"/>
                <w:color w:val="000000"/>
                <w:sz w:val="24"/>
                <w:szCs w:val="24"/>
              </w:rPr>
              <w:t>合计</w:t>
            </w:r>
          </w:p>
        </w:tc>
        <w:tc>
          <w:tcPr>
            <w:tcW w:w="2020" w:type="pct"/>
            <w:shd w:val="clear" w:color="auto" w:fill="auto"/>
            <w:vAlign w:val="center"/>
          </w:tcPr>
          <w:p>
            <w:pPr>
              <w:spacing w:before="0" w:after="0" w:line="240" w:lineRule="auto"/>
              <w:jc w:val="center"/>
              <w:rPr>
                <w:rFonts w:ascii="Calibri" w:hAnsi="Calibri" w:eastAsia="Calibri" w:cs="Times New Roman"/>
                <w:b w:val="0"/>
                <w:bCs w:val="0"/>
                <w:sz w:val="24"/>
                <w:szCs w:val="24"/>
                <w:lang w:val="en-US" w:eastAsia="en-US" w:bidi="ar-SA"/>
              </w:rPr>
            </w:pPr>
          </w:p>
        </w:tc>
        <w:tc>
          <w:tcPr>
            <w:tcW w:w="1578" w:type="pct"/>
            <w:shd w:val="clear" w:color="auto" w:fill="auto"/>
            <w:vAlign w:val="center"/>
          </w:tcPr>
          <w:p>
            <w:pPr>
              <w:spacing w:before="0" w:after="0" w:line="240" w:lineRule="auto"/>
              <w:jc w:val="center"/>
              <w:rPr>
                <w:rFonts w:ascii="Calibri" w:hAnsi="Calibri" w:eastAsia="Calibri" w:cs="Times New Roman"/>
                <w:b w:val="0"/>
                <w:bCs w:val="0"/>
                <w:sz w:val="24"/>
                <w:szCs w:val="24"/>
                <w:lang w:val="en-US" w:eastAsia="en-US" w:bidi="ar-SA"/>
              </w:rPr>
            </w:pPr>
            <w:r>
              <w:rPr>
                <w:rFonts w:hint="eastAsia" w:eastAsia="宋体"/>
                <w:b w:val="0"/>
                <w:bCs w:val="0"/>
                <w:color w:val="000000"/>
                <w:sz w:val="24"/>
                <w:szCs w:val="24"/>
                <w:lang w:val="en-US" w:eastAsia="zh-CN"/>
              </w:rPr>
              <w:t>20</w:t>
            </w:r>
          </w:p>
        </w:tc>
        <w:tc>
          <w:tcPr>
            <w:tcW w:w="974" w:type="pct"/>
            <w:shd w:val="clear" w:color="auto" w:fill="auto"/>
            <w:vAlign w:val="center"/>
          </w:tcPr>
          <w:p>
            <w:pPr>
              <w:spacing w:before="0" w:after="0" w:line="240" w:lineRule="auto"/>
              <w:jc w:val="center"/>
              <w:rPr>
                <w:rFonts w:ascii="Calibri" w:hAnsi="Calibri" w:eastAsia="Calibri" w:cs="Times New Roman"/>
                <w:b w:val="0"/>
                <w:bCs w:val="0"/>
                <w:sz w:val="24"/>
                <w:szCs w:val="24"/>
                <w:lang w:val="en-US" w:eastAsia="en-US" w:bidi="ar-SA"/>
              </w:rPr>
            </w:pPr>
          </w:p>
        </w:tc>
      </w:tr>
    </w:tbl>
    <w:p>
      <w:pPr>
        <w:pStyle w:val="6"/>
        <w:keepNext w:val="0"/>
        <w:keepLines w:val="0"/>
        <w:pageBreakBefore w:val="0"/>
        <w:widowControl/>
        <w:kinsoku/>
        <w:wordWrap/>
        <w:overflowPunct/>
        <w:topLinePunct w:val="0"/>
        <w:autoSpaceDE/>
        <w:autoSpaceDN/>
        <w:bidi w:val="0"/>
        <w:adjustRightInd/>
        <w:snapToGrid/>
        <w:spacing w:before="0" w:after="0" w:line="560" w:lineRule="exact"/>
        <w:ind w:firstLine="600" w:firstLineChars="200"/>
        <w:textAlignment w:val="auto"/>
        <w:rPr>
          <w:rFonts w:hint="eastAsia" w:ascii="仿宋_GB2312" w:hAnsi="仿宋_GB2312" w:eastAsia="仿宋_GB2312" w:cs="仿宋_GB2312"/>
          <w:b w:val="0"/>
          <w:bCs w:val="0"/>
          <w:kern w:val="2"/>
          <w:sz w:val="30"/>
          <w:szCs w:val="30"/>
          <w:shd w:val="clear" w:color="auto" w:fill="FFFFFF"/>
          <w:lang w:val="en-US" w:eastAsia="zh-CN" w:bidi="ar-SA"/>
        </w:rPr>
      </w:pPr>
      <w:r>
        <w:rPr>
          <w:rFonts w:hint="eastAsia" w:ascii="仿宋_GB2312" w:hAnsi="仿宋_GB2312" w:eastAsia="仿宋_GB2312" w:cs="仿宋_GB2312"/>
          <w:b w:val="0"/>
          <w:bCs w:val="0"/>
          <w:kern w:val="2"/>
          <w:sz w:val="30"/>
          <w:szCs w:val="30"/>
          <w:shd w:val="clear" w:color="auto" w:fill="FFFFFF"/>
          <w:lang w:val="en-US" w:eastAsia="zh-CN" w:bidi="ar-SA"/>
        </w:rPr>
        <w:t>2.项目资金管理情况</w:t>
      </w:r>
    </w:p>
    <w:p>
      <w:pPr>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left"/>
        <w:textAlignment w:val="auto"/>
        <w:rPr>
          <w:rFonts w:hint="eastAsia"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val="0"/>
          <w:bCs w:val="0"/>
          <w:kern w:val="0"/>
          <w:sz w:val="32"/>
          <w:szCs w:val="32"/>
          <w:lang w:val="en-US" w:eastAsia="zh-CN" w:bidi="ar-SA"/>
        </w:rPr>
        <w:t>根据相关政策文件规定，学校严格按照经费使用制度管理资金，确保拨付程序合规、开支范围明确，相关手续完善。</w:t>
      </w:r>
    </w:p>
    <w:p>
      <w:pPr>
        <w:pStyle w:val="6"/>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textAlignment w:val="auto"/>
        <w:rPr>
          <w:rFonts w:hint="eastAsia" w:ascii="黑体" w:hAnsi="黑体" w:eastAsia="黑体" w:cs="黑体"/>
          <w:b w:val="0"/>
          <w:bCs w:val="0"/>
          <w:kern w:val="2"/>
          <w:sz w:val="32"/>
          <w:szCs w:val="32"/>
          <w:shd w:val="clear" w:color="auto" w:fill="FFFFFF"/>
          <w:lang w:val="en-US" w:eastAsia="zh-CN" w:bidi="ar-SA"/>
        </w:rPr>
      </w:pPr>
      <w:r>
        <w:rPr>
          <w:rFonts w:hint="eastAsia" w:ascii="黑体" w:hAnsi="黑体" w:eastAsia="黑体" w:cs="黑体"/>
          <w:b w:val="0"/>
          <w:bCs w:val="0"/>
          <w:kern w:val="2"/>
          <w:sz w:val="32"/>
          <w:szCs w:val="32"/>
          <w:shd w:val="clear" w:color="auto" w:fill="FFFFFF"/>
          <w:lang w:val="en-US" w:eastAsia="zh-CN" w:bidi="ar-SA"/>
        </w:rPr>
        <w:t>三、项目实施管理情况</w:t>
      </w:r>
    </w:p>
    <w:p>
      <w:pPr>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left"/>
        <w:textAlignment w:val="auto"/>
        <w:rPr>
          <w:rFonts w:hint="eastAsia" w:ascii="仿宋_GB2312" w:hAnsi="仿宋" w:eastAsia="仿宋_GB2312" w:cs="仿宋_GB2312"/>
          <w:b w:val="0"/>
          <w:bCs w:val="0"/>
          <w:kern w:val="0"/>
          <w:sz w:val="32"/>
          <w:szCs w:val="32"/>
          <w:lang w:val="en-US" w:eastAsia="zh-CN" w:bidi="ar-SA"/>
        </w:rPr>
      </w:pPr>
      <w:r>
        <w:rPr>
          <w:rFonts w:hint="eastAsia" w:ascii="仿宋_GB2312" w:hAnsi="仿宋" w:eastAsia="仿宋_GB2312" w:cs="仿宋_GB2312"/>
          <w:b w:val="0"/>
          <w:bCs w:val="0"/>
          <w:kern w:val="0"/>
          <w:sz w:val="32"/>
          <w:szCs w:val="32"/>
          <w:lang w:val="en-US" w:eastAsia="zh-CN" w:bidi="ar-SA"/>
        </w:rPr>
        <w:t>一是领导重视，职责明确：学校党委行政高度重视文化艺术工作，定期召开专题会议研究部署文艺活动开展，将蜀道舞蹈创作列为重点支持项目。二是资源保障：学校现有标准舞蹈排练厅11间，音响灯光设备齐全，基本满足教学及演出需求。专职舞蹈教师8人，其中7人具有省级舞蹈比赛获奖经历。三是活动开展：完成蜀道舞蹈作品创作，展现地方文化特色；举办校级文艺晚会，参与学生达200人次；组织学生参加省市文艺比赛，获得市级比赛一等奖1次、省级比赛一等奖1次。四是宣传推广：通过学校网站、微信公众号等平台宣传文艺活动，提升校园文化影响力。</w:t>
      </w:r>
    </w:p>
    <w:p>
      <w:pPr>
        <w:pStyle w:val="6"/>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textAlignment w:val="auto"/>
        <w:rPr>
          <w:rFonts w:hint="eastAsia" w:ascii="黑体" w:hAnsi="黑体" w:eastAsia="黑体" w:cs="黑体"/>
          <w:b w:val="0"/>
          <w:bCs w:val="0"/>
          <w:kern w:val="2"/>
          <w:sz w:val="32"/>
          <w:szCs w:val="32"/>
          <w:shd w:val="clear" w:color="auto" w:fill="FFFFFF"/>
          <w:lang w:val="en-US" w:eastAsia="zh-CN" w:bidi="ar-SA"/>
        </w:rPr>
      </w:pPr>
      <w:r>
        <w:rPr>
          <w:rFonts w:hint="eastAsia" w:ascii="黑体" w:hAnsi="黑体" w:eastAsia="黑体" w:cs="黑体"/>
          <w:b w:val="0"/>
          <w:bCs w:val="0"/>
          <w:kern w:val="2"/>
          <w:sz w:val="32"/>
          <w:szCs w:val="32"/>
          <w:shd w:val="clear" w:color="auto" w:fill="FFFFFF"/>
          <w:lang w:val="en-US" w:eastAsia="zh-CN" w:bidi="ar-SA"/>
        </w:rPr>
        <w:t>四、绩效评价工作情况</w:t>
      </w:r>
    </w:p>
    <w:p>
      <w:pPr>
        <w:pStyle w:val="6"/>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textAlignment w:val="auto"/>
        <w:rPr>
          <w:rFonts w:hint="eastAsia" w:ascii="楷体_GB2312" w:hAnsi="楷体_GB2312" w:eastAsia="楷体_GB2312" w:cs="楷体_GB2312"/>
          <w:b w:val="0"/>
          <w:bCs w:val="0"/>
        </w:rPr>
      </w:pPr>
      <w:r>
        <w:rPr>
          <w:rFonts w:hint="eastAsia" w:ascii="楷体_GB2312" w:hAnsi="楷体_GB2312" w:eastAsia="楷体_GB2312" w:cs="楷体_GB2312"/>
          <w:b w:val="0"/>
          <w:bCs w:val="0"/>
          <w:color w:val="000000"/>
          <w:sz w:val="32"/>
          <w:szCs w:val="32"/>
        </w:rPr>
        <w:t>（一）绩效评价目的</w:t>
      </w:r>
    </w:p>
    <w:p>
      <w:pPr>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left"/>
        <w:textAlignment w:val="auto"/>
        <w:rPr>
          <w:rFonts w:hint="eastAsia" w:ascii="仿宋_GB2312" w:hAnsi="仿宋" w:eastAsia="仿宋_GB2312" w:cs="仿宋_GB2312"/>
          <w:b w:val="0"/>
          <w:bCs w:val="0"/>
          <w:kern w:val="0"/>
          <w:sz w:val="32"/>
          <w:szCs w:val="32"/>
          <w:lang w:val="en-US" w:eastAsia="zh-CN" w:bidi="ar-SA"/>
        </w:rPr>
      </w:pPr>
      <w:r>
        <w:rPr>
          <w:rFonts w:hint="eastAsia" w:ascii="仿宋_GB2312" w:hAnsi="仿宋" w:eastAsia="仿宋_GB2312" w:cs="仿宋_GB2312"/>
          <w:b w:val="0"/>
          <w:bCs w:val="0"/>
          <w:kern w:val="0"/>
          <w:sz w:val="32"/>
          <w:szCs w:val="32"/>
          <w:lang w:val="en-US" w:eastAsia="zh-CN" w:bidi="ar-SA"/>
        </w:rPr>
        <w:t>通过绩效评价全面分析专项资金分配、使用及管理情况，规范资金使用程序，提高财政资金效益。</w:t>
      </w:r>
    </w:p>
    <w:p>
      <w:pPr>
        <w:pStyle w:val="6"/>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textAlignment w:val="auto"/>
        <w:rPr>
          <w:rFonts w:hint="eastAsia" w:ascii="楷体_GB2312" w:hAnsi="楷体_GB2312" w:eastAsia="楷体_GB2312" w:cs="楷体_GB2312"/>
          <w:b w:val="0"/>
          <w:bCs w:val="0"/>
          <w:color w:val="000000"/>
          <w:sz w:val="32"/>
          <w:szCs w:val="32"/>
        </w:rPr>
      </w:pPr>
      <w:r>
        <w:rPr>
          <w:rFonts w:hint="eastAsia" w:ascii="楷体_GB2312" w:hAnsi="楷体_GB2312" w:eastAsia="楷体_GB2312" w:cs="楷体_GB2312"/>
          <w:b w:val="0"/>
          <w:bCs w:val="0"/>
          <w:color w:val="000000"/>
          <w:sz w:val="32"/>
          <w:szCs w:val="32"/>
        </w:rPr>
        <w:t>（二）绩效评价工作过程</w:t>
      </w:r>
    </w:p>
    <w:p>
      <w:pPr>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left"/>
        <w:textAlignment w:val="auto"/>
        <w:rPr>
          <w:rFonts w:hint="eastAsia" w:ascii="仿宋_GB2312" w:hAnsi="仿宋" w:eastAsia="仿宋_GB2312" w:cs="仿宋_GB2312"/>
          <w:b w:val="0"/>
          <w:bCs w:val="0"/>
          <w:kern w:val="0"/>
          <w:sz w:val="32"/>
          <w:szCs w:val="32"/>
          <w:lang w:val="en-US" w:eastAsia="zh-CN" w:bidi="ar-SA"/>
        </w:rPr>
      </w:pPr>
      <w:r>
        <w:rPr>
          <w:rFonts w:hint="eastAsia" w:ascii="仿宋_GB2312" w:hAnsi="仿宋" w:eastAsia="仿宋_GB2312" w:cs="仿宋_GB2312"/>
          <w:b w:val="0"/>
          <w:bCs w:val="0"/>
          <w:kern w:val="0"/>
          <w:sz w:val="32"/>
          <w:szCs w:val="32"/>
          <w:lang w:val="en-US" w:eastAsia="zh-CN" w:bidi="ar-SA"/>
        </w:rPr>
        <w:t>1.前期准备：成立绩效评价工作组，制定评价方案，设计调查问卷。</w:t>
      </w:r>
    </w:p>
    <w:p>
      <w:pPr>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left"/>
        <w:textAlignment w:val="auto"/>
        <w:rPr>
          <w:rFonts w:hint="eastAsia" w:ascii="仿宋_GB2312" w:hAnsi="仿宋" w:eastAsia="仿宋_GB2312" w:cs="仿宋_GB2312"/>
          <w:b w:val="0"/>
          <w:bCs w:val="0"/>
          <w:kern w:val="0"/>
          <w:sz w:val="32"/>
          <w:szCs w:val="32"/>
          <w:lang w:val="en-US" w:eastAsia="zh-CN" w:bidi="ar-SA"/>
        </w:rPr>
      </w:pPr>
      <w:r>
        <w:rPr>
          <w:rFonts w:hint="eastAsia" w:ascii="仿宋_GB2312" w:hAnsi="仿宋" w:eastAsia="仿宋_GB2312" w:cs="仿宋_GB2312"/>
          <w:b w:val="0"/>
          <w:bCs w:val="0"/>
          <w:kern w:val="0"/>
          <w:sz w:val="32"/>
          <w:szCs w:val="32"/>
          <w:lang w:val="en-US" w:eastAsia="zh-CN" w:bidi="ar-SA"/>
        </w:rPr>
        <w:t>2.实施情况：</w:t>
      </w:r>
    </w:p>
    <w:p>
      <w:pPr>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left"/>
        <w:textAlignment w:val="auto"/>
        <w:rPr>
          <w:rFonts w:hint="eastAsia" w:ascii="仿宋_GB2312" w:hAnsi="仿宋" w:eastAsia="仿宋_GB2312" w:cs="仿宋_GB2312"/>
          <w:b w:val="0"/>
          <w:bCs w:val="0"/>
          <w:kern w:val="0"/>
          <w:sz w:val="32"/>
          <w:szCs w:val="32"/>
          <w:lang w:val="en-US" w:eastAsia="zh-CN" w:bidi="ar-SA"/>
        </w:rPr>
      </w:pPr>
      <w:r>
        <w:rPr>
          <w:rFonts w:hint="eastAsia" w:ascii="仿宋_GB2312" w:hAnsi="仿宋" w:eastAsia="仿宋_GB2312" w:cs="仿宋_GB2312"/>
          <w:b w:val="0"/>
          <w:bCs w:val="0"/>
          <w:kern w:val="0"/>
          <w:sz w:val="32"/>
          <w:szCs w:val="32"/>
          <w:lang w:val="en-US" w:eastAsia="zh-CN" w:bidi="ar-SA"/>
        </w:rPr>
        <w:t>召开座谈会听取项目介绍；</w:t>
      </w:r>
    </w:p>
    <w:p>
      <w:pPr>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left"/>
        <w:textAlignment w:val="auto"/>
        <w:rPr>
          <w:rFonts w:hint="eastAsia" w:ascii="仿宋_GB2312" w:hAnsi="仿宋" w:eastAsia="仿宋_GB2312" w:cs="仿宋_GB2312"/>
          <w:b w:val="0"/>
          <w:bCs w:val="0"/>
          <w:kern w:val="0"/>
          <w:sz w:val="32"/>
          <w:szCs w:val="32"/>
          <w:lang w:val="en-US" w:eastAsia="zh-CN" w:bidi="ar-SA"/>
        </w:rPr>
      </w:pPr>
      <w:r>
        <w:rPr>
          <w:rFonts w:hint="eastAsia" w:ascii="仿宋_GB2312" w:hAnsi="仿宋" w:eastAsia="仿宋_GB2312" w:cs="仿宋_GB2312"/>
          <w:b w:val="0"/>
          <w:bCs w:val="0"/>
          <w:kern w:val="0"/>
          <w:sz w:val="32"/>
          <w:szCs w:val="32"/>
          <w:lang w:val="en-US" w:eastAsia="zh-CN" w:bidi="ar-SA"/>
        </w:rPr>
        <w:t>核查资金使用及相关制度文件；</w:t>
      </w:r>
    </w:p>
    <w:p>
      <w:pPr>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left"/>
        <w:textAlignment w:val="auto"/>
        <w:rPr>
          <w:rFonts w:hint="eastAsia" w:ascii="仿宋_GB2312" w:hAnsi="仿宋" w:eastAsia="仿宋_GB2312" w:cs="仿宋_GB2312"/>
          <w:b w:val="0"/>
          <w:bCs w:val="0"/>
          <w:kern w:val="0"/>
          <w:sz w:val="32"/>
          <w:szCs w:val="32"/>
          <w:lang w:val="en-US" w:eastAsia="zh-CN" w:bidi="ar-SA"/>
        </w:rPr>
      </w:pPr>
      <w:r>
        <w:rPr>
          <w:rFonts w:hint="eastAsia" w:ascii="仿宋_GB2312" w:hAnsi="仿宋" w:eastAsia="仿宋_GB2312" w:cs="仿宋_GB2312"/>
          <w:b w:val="0"/>
          <w:bCs w:val="0"/>
          <w:kern w:val="0"/>
          <w:sz w:val="32"/>
          <w:szCs w:val="32"/>
          <w:lang w:val="en-US" w:eastAsia="zh-CN" w:bidi="ar-SA"/>
        </w:rPr>
        <w:t>实地查看活动开展情况；</w:t>
      </w:r>
    </w:p>
    <w:p>
      <w:pPr>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left"/>
        <w:textAlignment w:val="auto"/>
        <w:rPr>
          <w:rFonts w:hint="eastAsia" w:ascii="仿宋_GB2312" w:hAnsi="仿宋" w:eastAsia="仿宋_GB2312" w:cs="仿宋_GB2312"/>
          <w:b w:val="0"/>
          <w:bCs w:val="0"/>
          <w:kern w:val="0"/>
          <w:sz w:val="32"/>
          <w:szCs w:val="32"/>
          <w:lang w:val="en-US" w:eastAsia="zh-CN" w:bidi="ar-SA"/>
        </w:rPr>
      </w:pPr>
      <w:r>
        <w:rPr>
          <w:rFonts w:hint="eastAsia" w:ascii="仿宋_GB2312" w:hAnsi="仿宋" w:eastAsia="仿宋_GB2312" w:cs="仿宋_GB2312"/>
          <w:b w:val="0"/>
          <w:bCs w:val="0"/>
          <w:kern w:val="0"/>
          <w:sz w:val="32"/>
          <w:szCs w:val="32"/>
          <w:lang w:val="en-US" w:eastAsia="zh-CN" w:bidi="ar-SA"/>
        </w:rPr>
        <w:t>形成绩效自评报告。</w:t>
      </w:r>
    </w:p>
    <w:p>
      <w:pPr>
        <w:pStyle w:val="6"/>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textAlignment w:val="auto"/>
        <w:rPr>
          <w:rFonts w:hint="eastAsia" w:ascii="黑体" w:hAnsi="黑体" w:eastAsia="黑体" w:cs="黑体"/>
          <w:b w:val="0"/>
          <w:bCs w:val="0"/>
          <w:kern w:val="2"/>
          <w:sz w:val="32"/>
          <w:szCs w:val="32"/>
          <w:shd w:val="clear" w:color="auto" w:fill="FFFFFF"/>
          <w:lang w:val="en-US" w:eastAsia="zh-CN" w:bidi="ar-SA"/>
        </w:rPr>
      </w:pPr>
      <w:r>
        <w:rPr>
          <w:rFonts w:hint="eastAsia" w:ascii="黑体" w:hAnsi="黑体" w:eastAsia="黑体" w:cs="黑体"/>
          <w:b w:val="0"/>
          <w:bCs w:val="0"/>
          <w:kern w:val="2"/>
          <w:sz w:val="32"/>
          <w:szCs w:val="32"/>
          <w:shd w:val="clear" w:color="auto" w:fill="FFFFFF"/>
          <w:lang w:val="en-US" w:eastAsia="zh-CN" w:bidi="ar-SA"/>
        </w:rPr>
        <w:t>五、绩效评价结果和主要绩效</w:t>
      </w:r>
    </w:p>
    <w:p>
      <w:pPr>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left"/>
        <w:textAlignment w:val="auto"/>
        <w:rPr>
          <w:rFonts w:hint="eastAsia" w:ascii="仿宋_GB2312" w:hAnsi="仿宋" w:eastAsia="仿宋_GB2312" w:cs="仿宋_GB2312"/>
          <w:b w:val="0"/>
          <w:bCs w:val="0"/>
          <w:kern w:val="0"/>
          <w:sz w:val="32"/>
          <w:szCs w:val="32"/>
          <w:lang w:val="en-US" w:eastAsia="zh-CN" w:bidi="ar-SA"/>
        </w:rPr>
      </w:pPr>
      <w:r>
        <w:rPr>
          <w:rFonts w:hint="eastAsia" w:ascii="仿宋_GB2312" w:hAnsi="仿宋" w:eastAsia="仿宋_GB2312" w:cs="仿宋_GB2312"/>
          <w:b w:val="0"/>
          <w:bCs w:val="0"/>
          <w:kern w:val="0"/>
          <w:sz w:val="32"/>
          <w:szCs w:val="32"/>
          <w:lang w:val="en-US" w:eastAsia="zh-CN" w:bidi="ar-SA"/>
        </w:rPr>
        <w:t>项目整体绩效分值100分，实得96分。主要绩效表现：</w:t>
      </w:r>
    </w:p>
    <w:p>
      <w:pPr>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left"/>
        <w:textAlignment w:val="auto"/>
        <w:rPr>
          <w:rFonts w:hint="eastAsia" w:ascii="仿宋_GB2312" w:hAnsi="仿宋" w:eastAsia="仿宋_GB2312" w:cs="仿宋_GB2312"/>
          <w:b w:val="0"/>
          <w:bCs w:val="0"/>
          <w:kern w:val="0"/>
          <w:sz w:val="32"/>
          <w:szCs w:val="32"/>
          <w:lang w:val="en-US" w:eastAsia="zh-CN" w:bidi="ar-SA"/>
        </w:rPr>
      </w:pPr>
      <w:r>
        <w:rPr>
          <w:rFonts w:hint="eastAsia" w:ascii="仿宋_GB2312" w:hAnsi="仿宋" w:eastAsia="仿宋_GB2312" w:cs="仿宋_GB2312"/>
          <w:b w:val="0"/>
          <w:bCs w:val="0"/>
          <w:kern w:val="0"/>
          <w:sz w:val="32"/>
          <w:szCs w:val="32"/>
          <w:lang w:val="en-US" w:eastAsia="zh-CN" w:bidi="ar-SA"/>
        </w:rPr>
        <w:t>1.完成蜀道舞蹈作品创作，作品具有地方文化特色；</w:t>
      </w:r>
    </w:p>
    <w:p>
      <w:pPr>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left"/>
        <w:textAlignment w:val="auto"/>
        <w:rPr>
          <w:rFonts w:hint="eastAsia" w:ascii="仿宋_GB2312" w:hAnsi="仿宋" w:eastAsia="仿宋_GB2312" w:cs="仿宋_GB2312"/>
          <w:b w:val="0"/>
          <w:bCs w:val="0"/>
          <w:kern w:val="0"/>
          <w:sz w:val="32"/>
          <w:szCs w:val="32"/>
          <w:lang w:val="en-US" w:eastAsia="zh-CN" w:bidi="ar-SA"/>
        </w:rPr>
      </w:pPr>
      <w:r>
        <w:rPr>
          <w:rFonts w:hint="eastAsia" w:ascii="仿宋_GB2312" w:hAnsi="仿宋" w:eastAsia="仿宋_GB2312" w:cs="仿宋_GB2312"/>
          <w:b w:val="0"/>
          <w:bCs w:val="0"/>
          <w:kern w:val="0"/>
          <w:sz w:val="32"/>
          <w:szCs w:val="32"/>
          <w:lang w:val="en-US" w:eastAsia="zh-CN" w:bidi="ar-SA"/>
        </w:rPr>
        <w:t>2.举办校级文艺晚会，参与学生满意度达95%；</w:t>
      </w:r>
    </w:p>
    <w:p>
      <w:pPr>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left"/>
        <w:textAlignment w:val="auto"/>
        <w:rPr>
          <w:rFonts w:hint="eastAsia" w:ascii="仿宋_GB2312" w:hAnsi="仿宋" w:eastAsia="仿宋_GB2312" w:cs="仿宋_GB2312"/>
          <w:b w:val="0"/>
          <w:bCs w:val="0"/>
          <w:kern w:val="0"/>
          <w:sz w:val="32"/>
          <w:szCs w:val="32"/>
          <w:lang w:val="en-US" w:eastAsia="zh-CN" w:bidi="ar-SA"/>
        </w:rPr>
      </w:pPr>
      <w:r>
        <w:rPr>
          <w:rFonts w:hint="eastAsia" w:ascii="仿宋_GB2312" w:hAnsi="仿宋" w:eastAsia="仿宋_GB2312" w:cs="仿宋_GB2312"/>
          <w:b w:val="0"/>
          <w:bCs w:val="0"/>
          <w:kern w:val="0"/>
          <w:sz w:val="32"/>
          <w:szCs w:val="32"/>
          <w:lang w:val="en-US" w:eastAsia="zh-CN" w:bidi="ar-SA"/>
        </w:rPr>
        <w:t>3.学生艺术表演能力显著提升，获得省市比赛奖项；</w:t>
      </w:r>
    </w:p>
    <w:p>
      <w:pPr>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left"/>
        <w:textAlignment w:val="auto"/>
        <w:rPr>
          <w:rFonts w:hint="eastAsia" w:ascii="仿宋_GB2312" w:hAnsi="仿宋" w:eastAsia="仿宋_GB2312" w:cs="仿宋_GB2312"/>
          <w:b w:val="0"/>
          <w:bCs w:val="0"/>
          <w:kern w:val="0"/>
          <w:sz w:val="32"/>
          <w:szCs w:val="32"/>
          <w:lang w:val="en-US" w:eastAsia="zh-CN" w:bidi="ar-SA"/>
        </w:rPr>
      </w:pPr>
      <w:r>
        <w:rPr>
          <w:rFonts w:hint="eastAsia" w:ascii="仿宋_GB2312" w:hAnsi="仿宋" w:eastAsia="仿宋_GB2312" w:cs="仿宋_GB2312"/>
          <w:b w:val="0"/>
          <w:bCs w:val="0"/>
          <w:kern w:val="0"/>
          <w:sz w:val="32"/>
          <w:szCs w:val="32"/>
          <w:lang w:val="en-US" w:eastAsia="zh-CN" w:bidi="ar-SA"/>
        </w:rPr>
        <w:t>4，校园文化艺术氛围浓厚，学生参与积极性高。</w:t>
      </w:r>
    </w:p>
    <w:p>
      <w:pPr>
        <w:pStyle w:val="6"/>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textAlignment w:val="auto"/>
        <w:rPr>
          <w:rFonts w:hint="eastAsia" w:ascii="黑体" w:hAnsi="黑体" w:eastAsia="黑体" w:cs="黑体"/>
          <w:b w:val="0"/>
          <w:bCs w:val="0"/>
          <w:kern w:val="2"/>
          <w:sz w:val="32"/>
          <w:szCs w:val="32"/>
          <w:shd w:val="clear" w:color="auto" w:fill="FFFFFF"/>
          <w:lang w:val="en-US" w:eastAsia="zh-CN" w:bidi="ar-SA"/>
        </w:rPr>
      </w:pPr>
      <w:r>
        <w:rPr>
          <w:rFonts w:hint="eastAsia" w:ascii="黑体" w:hAnsi="黑体" w:eastAsia="黑体" w:cs="黑体"/>
          <w:b w:val="0"/>
          <w:bCs w:val="0"/>
          <w:kern w:val="2"/>
          <w:sz w:val="32"/>
          <w:szCs w:val="32"/>
          <w:shd w:val="clear" w:color="auto" w:fill="FFFFFF"/>
          <w:lang w:val="en-US" w:eastAsia="zh-CN" w:bidi="ar-SA"/>
        </w:rPr>
        <w:t>六、存在的主要问题</w:t>
      </w:r>
    </w:p>
    <w:p>
      <w:pPr>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left"/>
        <w:textAlignment w:val="auto"/>
        <w:rPr>
          <w:rFonts w:hint="eastAsia" w:ascii="仿宋_GB2312" w:hAnsi="仿宋" w:eastAsia="仿宋_GB2312" w:cs="仿宋_GB2312"/>
          <w:b w:val="0"/>
          <w:bCs w:val="0"/>
          <w:kern w:val="0"/>
          <w:sz w:val="32"/>
          <w:szCs w:val="32"/>
          <w:lang w:val="en-US" w:eastAsia="zh-CN" w:bidi="ar-SA"/>
        </w:rPr>
      </w:pPr>
      <w:r>
        <w:rPr>
          <w:rFonts w:hint="eastAsia" w:ascii="仿宋_GB2312" w:hAnsi="仿宋" w:eastAsia="仿宋_GB2312" w:cs="仿宋_GB2312"/>
          <w:b w:val="0"/>
          <w:bCs w:val="0"/>
          <w:kern w:val="0"/>
          <w:sz w:val="32"/>
          <w:szCs w:val="32"/>
          <w:lang w:val="en-US" w:eastAsia="zh-CN" w:bidi="ar-SA"/>
        </w:rPr>
        <w:t>1.设备不足：部分音响灯光设备老化，需更新换代；</w:t>
      </w:r>
    </w:p>
    <w:p>
      <w:pPr>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left"/>
        <w:textAlignment w:val="auto"/>
        <w:rPr>
          <w:rFonts w:hint="eastAsia" w:ascii="仿宋_GB2312" w:hAnsi="仿宋" w:eastAsia="仿宋_GB2312" w:cs="仿宋_GB2312"/>
          <w:b w:val="0"/>
          <w:bCs w:val="0"/>
          <w:kern w:val="0"/>
          <w:sz w:val="32"/>
          <w:szCs w:val="32"/>
          <w:lang w:val="en-US" w:eastAsia="zh-CN" w:bidi="ar-SA"/>
        </w:rPr>
      </w:pPr>
      <w:r>
        <w:rPr>
          <w:rFonts w:hint="eastAsia" w:ascii="仿宋_GB2312" w:hAnsi="仿宋" w:eastAsia="仿宋_GB2312" w:cs="仿宋_GB2312"/>
          <w:b w:val="0"/>
          <w:bCs w:val="0"/>
          <w:kern w:val="0"/>
          <w:sz w:val="32"/>
          <w:szCs w:val="32"/>
          <w:lang w:val="en-US" w:eastAsia="zh-CN" w:bidi="ar-SA"/>
        </w:rPr>
        <w:t>2.资金分配：在服装道具、外聘专家指导方面投入不足；</w:t>
      </w:r>
    </w:p>
    <w:p>
      <w:pPr>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left"/>
        <w:textAlignment w:val="auto"/>
        <w:rPr>
          <w:rFonts w:hint="eastAsia" w:ascii="仿宋_GB2312" w:hAnsi="仿宋" w:eastAsia="仿宋_GB2312" w:cs="仿宋_GB2312"/>
          <w:b w:val="0"/>
          <w:bCs w:val="0"/>
          <w:kern w:val="0"/>
          <w:sz w:val="32"/>
          <w:szCs w:val="32"/>
          <w:lang w:val="en-US" w:eastAsia="zh-CN" w:bidi="ar-SA"/>
        </w:rPr>
      </w:pPr>
      <w:r>
        <w:rPr>
          <w:rFonts w:hint="eastAsia" w:ascii="仿宋_GB2312" w:hAnsi="仿宋" w:eastAsia="仿宋_GB2312" w:cs="仿宋_GB2312"/>
          <w:b w:val="0"/>
          <w:bCs w:val="0"/>
          <w:kern w:val="0"/>
          <w:sz w:val="32"/>
          <w:szCs w:val="32"/>
          <w:lang w:val="en-US" w:eastAsia="zh-CN" w:bidi="ar-SA"/>
        </w:rPr>
        <w:t>3.活动覆盖面：班级层面文艺活动开展较少。</w:t>
      </w:r>
    </w:p>
    <w:p>
      <w:pPr>
        <w:pStyle w:val="6"/>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textAlignment w:val="auto"/>
        <w:rPr>
          <w:rFonts w:hint="eastAsia" w:ascii="黑体" w:hAnsi="黑体" w:eastAsia="黑体" w:cs="黑体"/>
          <w:b w:val="0"/>
          <w:bCs w:val="0"/>
          <w:kern w:val="2"/>
          <w:sz w:val="32"/>
          <w:szCs w:val="32"/>
          <w:shd w:val="clear" w:color="auto" w:fill="FFFFFF"/>
          <w:lang w:val="en-US" w:eastAsia="zh-CN" w:bidi="ar-SA"/>
        </w:rPr>
      </w:pPr>
      <w:r>
        <w:rPr>
          <w:rFonts w:hint="eastAsia" w:ascii="黑体" w:hAnsi="黑体" w:eastAsia="黑体" w:cs="黑体"/>
          <w:b w:val="0"/>
          <w:bCs w:val="0"/>
          <w:kern w:val="2"/>
          <w:sz w:val="32"/>
          <w:szCs w:val="32"/>
          <w:shd w:val="clear" w:color="auto" w:fill="FFFFFF"/>
          <w:lang w:val="en-US" w:eastAsia="zh-CN" w:bidi="ar-SA"/>
        </w:rPr>
        <w:t>七、建议</w:t>
      </w:r>
    </w:p>
    <w:p>
      <w:pPr>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left"/>
        <w:textAlignment w:val="auto"/>
        <w:rPr>
          <w:rFonts w:hint="eastAsia" w:ascii="仿宋_GB2312" w:hAnsi="仿宋" w:eastAsia="仿宋_GB2312" w:cs="仿宋_GB2312"/>
          <w:b w:val="0"/>
          <w:bCs w:val="0"/>
          <w:kern w:val="0"/>
          <w:sz w:val="32"/>
          <w:szCs w:val="32"/>
          <w:lang w:val="en-US" w:eastAsia="zh-CN" w:bidi="ar-SA"/>
        </w:rPr>
      </w:pPr>
      <w:r>
        <w:rPr>
          <w:rFonts w:hint="eastAsia" w:ascii="仿宋_GB2312" w:hAnsi="仿宋" w:eastAsia="仿宋_GB2312" w:cs="仿宋_GB2312"/>
          <w:b w:val="0"/>
          <w:bCs w:val="0"/>
          <w:kern w:val="0"/>
          <w:sz w:val="32"/>
          <w:szCs w:val="32"/>
          <w:lang w:val="en-US" w:eastAsia="zh-CN" w:bidi="ar-SA"/>
        </w:rPr>
        <w:t>1.增加投入：建议学校配套专项资金，用于设备更新和外聘专家指导；</w:t>
      </w:r>
    </w:p>
    <w:p>
      <w:pPr>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left"/>
        <w:textAlignment w:val="auto"/>
        <w:rPr>
          <w:rFonts w:hint="eastAsia" w:ascii="仿宋_GB2312" w:hAnsi="仿宋" w:eastAsia="仿宋_GB2312" w:cs="仿宋_GB2312"/>
          <w:b w:val="0"/>
          <w:bCs w:val="0"/>
          <w:kern w:val="0"/>
          <w:sz w:val="32"/>
          <w:szCs w:val="32"/>
          <w:lang w:val="en-US" w:eastAsia="zh-CN" w:bidi="ar-SA"/>
        </w:rPr>
      </w:pPr>
      <w:r>
        <w:rPr>
          <w:rFonts w:hint="eastAsia" w:ascii="仿宋_GB2312" w:hAnsi="仿宋" w:eastAsia="仿宋_GB2312" w:cs="仿宋_GB2312"/>
          <w:b w:val="0"/>
          <w:bCs w:val="0"/>
          <w:kern w:val="0"/>
          <w:sz w:val="32"/>
          <w:szCs w:val="32"/>
          <w:lang w:val="en-US" w:eastAsia="zh-CN" w:bidi="ar-SA"/>
        </w:rPr>
        <w:t>2.扩大参与：鼓励各班级开展文艺活动，形成班级-院部-学校三级活动体系；</w:t>
      </w:r>
    </w:p>
    <w:p>
      <w:pPr>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left"/>
        <w:textAlignment w:val="auto"/>
        <w:rPr>
          <w:rFonts w:hint="eastAsia" w:ascii="仿宋_GB2312" w:hAnsi="仿宋" w:eastAsia="仿宋_GB2312" w:cs="仿宋_GB2312"/>
          <w:b w:val="0"/>
          <w:bCs w:val="0"/>
          <w:kern w:val="0"/>
          <w:sz w:val="32"/>
          <w:szCs w:val="32"/>
          <w:lang w:val="en-US" w:eastAsia="zh-CN" w:bidi="ar-SA"/>
        </w:rPr>
      </w:pPr>
      <w:r>
        <w:rPr>
          <w:rFonts w:hint="eastAsia" w:ascii="仿宋_GB2312" w:hAnsi="仿宋" w:eastAsia="仿宋_GB2312" w:cs="仿宋_GB2312"/>
          <w:b w:val="0"/>
          <w:bCs w:val="0"/>
          <w:kern w:val="0"/>
          <w:sz w:val="32"/>
          <w:szCs w:val="32"/>
          <w:lang w:val="en-US" w:eastAsia="zh-CN" w:bidi="ar-SA"/>
        </w:rPr>
        <w:t>3.规范管理：细化资金分配制度，确保资金使用与活动需求匹配。</w:t>
      </w:r>
    </w:p>
    <w:p>
      <w:pPr>
        <w:pStyle w:val="2"/>
        <w:rPr>
          <w:rFonts w:hint="default" w:ascii="黑体" w:hAnsi="黑体" w:eastAsia="黑体" w:cs="黑体"/>
          <w:color w:val="auto"/>
          <w:kern w:val="0"/>
          <w:sz w:val="32"/>
          <w:szCs w:val="32"/>
          <w:highlight w:val="none"/>
          <w:shd w:val="clear" w:color="auto" w:fill="FFFFFF"/>
          <w:lang w:val="en-US" w:eastAsia="zh-CN"/>
        </w:rPr>
      </w:pPr>
    </w:p>
    <w:p>
      <w:pPr>
        <w:pStyle w:val="2"/>
        <w:rPr>
          <w:rFonts w:hint="eastAsia" w:ascii="黑体" w:hAnsi="黑体" w:eastAsia="黑体" w:cs="黑体"/>
          <w:color w:val="auto"/>
          <w:kern w:val="0"/>
          <w:sz w:val="32"/>
          <w:szCs w:val="32"/>
          <w:highlight w:val="none"/>
          <w:shd w:val="clear" w:color="auto" w:fill="FFFFFF"/>
          <w:lang w:val="zh-CN"/>
        </w:rPr>
        <w:sectPr>
          <w:pgSz w:w="11906" w:h="16838"/>
          <w:pgMar w:top="1440" w:right="1800" w:bottom="1440" w:left="1800" w:header="851" w:footer="992" w:gutter="0"/>
          <w:pgNumType w:fmt="decimal"/>
          <w:cols w:space="425" w:num="1"/>
          <w:titlePg/>
          <w:docGrid w:type="lines" w:linePitch="312" w:charSpace="0"/>
        </w:sectPr>
      </w:pPr>
    </w:p>
    <w:p>
      <w:pPr>
        <w:pStyle w:val="2"/>
        <w:rPr>
          <w:rFonts w:hint="default" w:ascii="黑体" w:hAnsi="黑体" w:eastAsia="黑体" w:cs="黑体"/>
          <w:color w:val="auto"/>
          <w:sz w:val="32"/>
          <w:szCs w:val="32"/>
          <w:highlight w:val="none"/>
          <w:lang w:val="en-US" w:eastAsia="zh-CN"/>
        </w:rPr>
      </w:pPr>
      <w:r>
        <w:rPr>
          <w:rFonts w:hint="eastAsia" w:ascii="黑体" w:hAnsi="黑体" w:eastAsia="黑体" w:cs="黑体"/>
          <w:color w:val="auto"/>
          <w:kern w:val="0"/>
          <w:sz w:val="32"/>
          <w:szCs w:val="32"/>
          <w:highlight w:val="none"/>
          <w:shd w:val="clear" w:color="auto" w:fill="FFFFFF"/>
          <w:lang w:val="zh-CN"/>
        </w:rPr>
        <w:t>附件</w:t>
      </w:r>
      <w:r>
        <w:rPr>
          <w:rFonts w:hint="eastAsia" w:ascii="黑体" w:hAnsi="黑体" w:eastAsia="黑体" w:cs="黑体"/>
          <w:color w:val="auto"/>
          <w:kern w:val="0"/>
          <w:sz w:val="32"/>
          <w:szCs w:val="32"/>
          <w:highlight w:val="none"/>
          <w:shd w:val="clear" w:color="auto" w:fill="FFFFFF"/>
          <w:lang w:val="en-US" w:eastAsia="zh-CN"/>
        </w:rPr>
        <w:t>2-</w:t>
      </w:r>
      <w:bookmarkEnd w:id="92"/>
      <w:bookmarkEnd w:id="93"/>
      <w:bookmarkEnd w:id="94"/>
      <w:bookmarkEnd w:id="95"/>
      <w:r>
        <w:rPr>
          <w:rFonts w:hint="eastAsia" w:ascii="黑体" w:hAnsi="黑体" w:eastAsia="黑体" w:cs="黑体"/>
          <w:color w:val="auto"/>
          <w:kern w:val="0"/>
          <w:sz w:val="32"/>
          <w:szCs w:val="32"/>
          <w:highlight w:val="none"/>
          <w:shd w:val="clear" w:color="auto" w:fill="FFFFFF"/>
          <w:lang w:val="en-US" w:eastAsia="zh-CN"/>
        </w:rPr>
        <w:t>2</w:t>
      </w:r>
    </w:p>
    <w:p>
      <w:pPr>
        <w:pStyle w:val="36"/>
        <w:spacing w:line="578" w:lineRule="exact"/>
        <w:jc w:val="center"/>
        <w:outlineLvl w:val="1"/>
        <w:rPr>
          <w:rFonts w:hint="eastAsia" w:ascii="Times New Roman" w:hAnsi="Times New Roman" w:eastAsia="方正小标宋简体" w:cs="方正小标宋简体"/>
          <w:color w:val="auto"/>
          <w:kern w:val="2"/>
          <w:sz w:val="44"/>
          <w:szCs w:val="44"/>
          <w:highlight w:val="none"/>
          <w:lang w:val="en-US" w:eastAsia="zh-CN"/>
        </w:rPr>
      </w:pPr>
      <w:bookmarkStart w:id="97" w:name="_Toc3657_WPSOffice_Level2"/>
      <w:bookmarkStart w:id="98" w:name="_Toc4756_WPSOffice_Level2"/>
      <w:bookmarkStart w:id="99" w:name="_Toc31153_WPSOffice_Level2"/>
      <w:bookmarkStart w:id="100" w:name="_Toc15158"/>
      <w:bookmarkStart w:id="101" w:name="_Toc22191"/>
      <w:bookmarkStart w:id="102" w:name="_Toc2154_WPSOffice_Level2"/>
      <w:r>
        <w:rPr>
          <w:rFonts w:hint="eastAsia" w:ascii="方正小标宋简体" w:hAnsi="方正小标宋简体" w:eastAsia="方正小标宋简体" w:cs="方正小标宋简体"/>
          <w:color w:val="auto"/>
          <w:kern w:val="2"/>
          <w:sz w:val="44"/>
          <w:szCs w:val="44"/>
          <w:lang w:val="en-US"/>
        </w:rPr>
        <w:t>川北幼儿师范高等专科学校</w:t>
      </w:r>
      <w:bookmarkEnd w:id="97"/>
      <w:bookmarkEnd w:id="98"/>
      <w:bookmarkEnd w:id="99"/>
      <w:bookmarkEnd w:id="100"/>
      <w:bookmarkEnd w:id="101"/>
      <w:bookmarkEnd w:id="102"/>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contextualSpacing/>
        <w:jc w:val="center"/>
        <w:textAlignment w:val="auto"/>
        <w:rPr>
          <w:rFonts w:hint="eastAsia" w:ascii="方正小标宋简体" w:hAnsi="方正小标宋简体" w:eastAsia="方正小标宋简体" w:cs="方正小标宋简体"/>
          <w:color w:val="auto"/>
          <w:kern w:val="2"/>
          <w:sz w:val="44"/>
          <w:szCs w:val="44"/>
          <w:lang w:val="zh-CN" w:eastAsia="zh-CN" w:bidi="ar-SA"/>
        </w:rPr>
      </w:pPr>
      <w:r>
        <w:rPr>
          <w:rFonts w:hint="eastAsia" w:ascii="方正小标宋简体" w:hAnsi="方正小标宋简体" w:eastAsia="方正小标宋简体" w:cs="方正小标宋简体"/>
          <w:color w:val="auto"/>
          <w:kern w:val="2"/>
          <w:sz w:val="44"/>
          <w:szCs w:val="44"/>
          <w:lang w:val="zh-CN" w:eastAsia="zh-CN" w:bidi="ar-SA"/>
        </w:rPr>
        <w:t>重大传染病防控中央补助资金</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contextualSpacing/>
        <w:jc w:val="center"/>
        <w:textAlignment w:val="auto"/>
        <w:rPr>
          <w:rFonts w:hint="eastAsia" w:ascii="方正小标宋简体" w:hAnsi="方正小标宋简体" w:eastAsia="方正小标宋简体" w:cs="方正小标宋简体"/>
          <w:color w:val="auto"/>
          <w:kern w:val="2"/>
          <w:sz w:val="44"/>
          <w:szCs w:val="44"/>
          <w:lang w:val="zh-CN" w:eastAsia="zh-CN" w:bidi="ar-SA"/>
        </w:rPr>
      </w:pPr>
      <w:r>
        <w:rPr>
          <w:rFonts w:hint="eastAsia" w:ascii="方正小标宋简体" w:hAnsi="方正小标宋简体" w:eastAsia="方正小标宋简体" w:cs="方正小标宋简体"/>
          <w:color w:val="auto"/>
          <w:kern w:val="2"/>
          <w:sz w:val="44"/>
          <w:szCs w:val="44"/>
          <w:lang w:val="zh-CN" w:eastAsia="zh-CN" w:bidi="ar-SA"/>
        </w:rPr>
        <w:t>专项预算绩效评价报告</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Times New Roman" w:hAnsi="Times New Roman" w:eastAsia="仿宋_GB2312" w:cs="仿宋_GB2312"/>
          <w:b w:val="0"/>
          <w:bCs w:val="0"/>
          <w:kern w:val="0"/>
          <w:position w:val="0"/>
          <w:sz w:val="32"/>
          <w:szCs w:val="32"/>
          <w:highlight w:val="none"/>
          <w:lang w:val="zh-CN" w:eastAsia="zh-CN" w:bidi="ar-SA"/>
        </w:rPr>
      </w:pP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黑体" w:hAnsi="黑体" w:eastAsia="黑体" w:cs="黑体"/>
          <w:b w:val="0"/>
          <w:bCs w:val="0"/>
          <w:kern w:val="2"/>
          <w:sz w:val="32"/>
          <w:szCs w:val="32"/>
          <w:shd w:val="clear" w:color="auto" w:fill="FFFFFF"/>
          <w:lang w:val="zh-CN" w:eastAsia="zh-CN" w:bidi="ar-SA"/>
        </w:rPr>
      </w:pPr>
      <w:r>
        <w:rPr>
          <w:rFonts w:hint="eastAsia" w:ascii="黑体" w:hAnsi="黑体" w:eastAsia="黑体" w:cs="黑体"/>
          <w:b w:val="0"/>
          <w:bCs w:val="0"/>
          <w:kern w:val="2"/>
          <w:sz w:val="32"/>
          <w:szCs w:val="32"/>
          <w:shd w:val="clear" w:color="auto" w:fill="FFFFFF"/>
          <w:lang w:val="zh-CN" w:eastAsia="zh-CN" w:bidi="ar-SA"/>
        </w:rPr>
        <w:t>一、项目概况</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楷体_GB2312" w:hAnsi="仿宋" w:eastAsia="楷体_GB2312" w:cs="仿宋_GB2312"/>
          <w:sz w:val="32"/>
          <w:szCs w:val="32"/>
          <w:shd w:val="clear" w:color="auto" w:fill="FFFFFF"/>
          <w:lang w:val="zh-CN" w:eastAsia="zh-CN"/>
        </w:rPr>
      </w:pPr>
      <w:r>
        <w:rPr>
          <w:rFonts w:hint="eastAsia" w:ascii="楷体_GB2312" w:hAnsi="仿宋" w:eastAsia="楷体_GB2312" w:cs="仿宋_GB2312"/>
          <w:sz w:val="32"/>
          <w:szCs w:val="32"/>
          <w:shd w:val="clear" w:color="auto" w:fill="FFFFFF"/>
          <w:lang w:val="zh-CN" w:eastAsia="zh-CN"/>
        </w:rPr>
        <w:t>（一）设立背景及基本情况</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仿宋_GB2312" w:cs="仿宋_GB2312"/>
          <w:b w:val="0"/>
          <w:bCs w:val="0"/>
          <w:kern w:val="0"/>
          <w:position w:val="0"/>
          <w:sz w:val="32"/>
          <w:szCs w:val="32"/>
          <w:highlight w:val="none"/>
          <w:lang w:val="zh-CN" w:eastAsia="zh-CN" w:bidi="ar-SA"/>
        </w:rPr>
        <w:t>全面落实各项艾滋病和性病预防控制措施，提高发现率。及时发现和规范治疗管理结核病患者，持续降低结核病的感染、发病与死亡，确保结核病疫情稳步下降，提高群众健康水平。开展新冠病毒变异检测、病毒性传染病监测、细菌性传染病监测、病媒生物监测、新冠病毒抗体血清流行病学调查、开展人禽流感、SARS等传染病、疟疾及其它寄生虫、环境卫生与学校卫生。</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楷体_GB2312" w:hAnsi="仿宋" w:eastAsia="楷体_GB2312" w:cs="仿宋_GB2312"/>
          <w:sz w:val="32"/>
          <w:szCs w:val="32"/>
          <w:shd w:val="clear" w:color="auto" w:fill="FFFFFF"/>
          <w:lang w:val="zh-CN" w:eastAsia="zh-CN"/>
        </w:rPr>
      </w:pPr>
      <w:r>
        <w:rPr>
          <w:rFonts w:hint="eastAsia" w:ascii="楷体_GB2312" w:hAnsi="仿宋" w:eastAsia="楷体_GB2312" w:cs="仿宋_GB2312"/>
          <w:sz w:val="32"/>
          <w:szCs w:val="32"/>
          <w:shd w:val="clear" w:color="auto" w:fill="FFFFFF"/>
          <w:lang w:val="zh-CN" w:eastAsia="zh-CN"/>
        </w:rPr>
        <w:t>（二）实施目的及支持方向</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仿宋_GB2312" w:cs="仿宋_GB2312"/>
          <w:b w:val="0"/>
          <w:bCs w:val="0"/>
          <w:kern w:val="0"/>
          <w:position w:val="0"/>
          <w:sz w:val="32"/>
          <w:szCs w:val="32"/>
          <w:highlight w:val="none"/>
          <w:lang w:val="zh-CN" w:eastAsia="zh-CN" w:bidi="ar-SA"/>
        </w:rPr>
        <w:t>我校严格按照《四川省财政厅 四川省卫生健康委员会关于下达2023年重大传染病防控中央补助资金（第二批）的通知》（川财社〔2023〕90号）政策规定做好校园健康教育与传染病防控工作。</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楷体_GB2312" w:hAnsi="仿宋" w:eastAsia="楷体_GB2312" w:cs="仿宋_GB2312"/>
          <w:sz w:val="32"/>
          <w:szCs w:val="32"/>
          <w:shd w:val="clear" w:color="auto" w:fill="FFFFFF"/>
          <w:lang w:val="zh-CN" w:eastAsia="zh-CN"/>
        </w:rPr>
      </w:pPr>
      <w:r>
        <w:rPr>
          <w:rFonts w:hint="eastAsia" w:ascii="楷体_GB2312" w:hAnsi="仿宋" w:eastAsia="楷体_GB2312" w:cs="仿宋_GB2312"/>
          <w:sz w:val="32"/>
          <w:szCs w:val="32"/>
          <w:shd w:val="clear" w:color="auto" w:fill="FFFFFF"/>
          <w:lang w:val="zh-CN" w:eastAsia="zh-CN"/>
        </w:rPr>
        <w:t>（三）预算安排及分配管理</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仿宋_GB2312" w:cs="仿宋_GB2312"/>
          <w:b w:val="0"/>
          <w:bCs w:val="0"/>
          <w:kern w:val="0"/>
          <w:position w:val="0"/>
          <w:sz w:val="32"/>
          <w:szCs w:val="32"/>
          <w:highlight w:val="none"/>
          <w:lang w:val="zh-CN" w:eastAsia="zh-CN" w:bidi="ar-SA"/>
        </w:rPr>
        <w:t>预算资金全部用于全校师生的健康教育与传染病防控工作，做到了专款专用，不截留、不挪用。</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楷体_GB2312" w:hAnsi="仿宋" w:eastAsia="楷体_GB2312" w:cs="仿宋_GB2312"/>
          <w:sz w:val="32"/>
          <w:szCs w:val="32"/>
          <w:shd w:val="clear" w:color="auto" w:fill="FFFFFF"/>
          <w:lang w:val="zh-CN" w:eastAsia="zh-CN"/>
        </w:rPr>
      </w:pPr>
      <w:r>
        <w:rPr>
          <w:rFonts w:hint="eastAsia" w:ascii="楷体_GB2312" w:hAnsi="仿宋" w:eastAsia="楷体_GB2312" w:cs="仿宋_GB2312"/>
          <w:sz w:val="32"/>
          <w:szCs w:val="32"/>
          <w:shd w:val="clear" w:color="auto" w:fill="FFFFFF"/>
          <w:lang w:val="zh-CN" w:eastAsia="zh-CN"/>
        </w:rPr>
        <w:t>（四）项目绩效目标设置</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仿宋_GB2312" w:cs="仿宋_GB2312"/>
          <w:b w:val="0"/>
          <w:bCs w:val="0"/>
          <w:kern w:val="0"/>
          <w:position w:val="0"/>
          <w:sz w:val="32"/>
          <w:szCs w:val="32"/>
          <w:highlight w:val="none"/>
          <w:lang w:val="zh-CN" w:eastAsia="zh-CN" w:bidi="ar-SA"/>
        </w:rPr>
        <w:t>项目完成达到预期目标，每学期的结核病筛查完成率</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仿宋_GB2312" w:cs="仿宋_GB2312"/>
          <w:b w:val="0"/>
          <w:bCs w:val="0"/>
          <w:kern w:val="0"/>
          <w:position w:val="0"/>
          <w:sz w:val="32"/>
          <w:szCs w:val="32"/>
          <w:highlight w:val="none"/>
          <w:lang w:val="zh-CN" w:eastAsia="zh-CN" w:bidi="ar-SA"/>
        </w:rPr>
        <w:t>100%，防控知识宣传活动及效果均达到区疾控要求。</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黑体" w:hAnsi="黑体" w:eastAsia="黑体" w:cs="黑体"/>
          <w:b w:val="0"/>
          <w:bCs w:val="0"/>
          <w:kern w:val="2"/>
          <w:sz w:val="32"/>
          <w:szCs w:val="32"/>
          <w:shd w:val="clear" w:color="auto" w:fill="FFFFFF"/>
          <w:lang w:val="zh-CN" w:eastAsia="zh-CN" w:bidi="ar-SA"/>
        </w:rPr>
      </w:pPr>
      <w:r>
        <w:rPr>
          <w:rFonts w:hint="eastAsia" w:ascii="黑体" w:hAnsi="黑体" w:eastAsia="黑体" w:cs="黑体"/>
          <w:b w:val="0"/>
          <w:bCs w:val="0"/>
          <w:kern w:val="2"/>
          <w:sz w:val="32"/>
          <w:szCs w:val="32"/>
          <w:shd w:val="clear" w:color="auto" w:fill="FFFFFF"/>
          <w:lang w:val="zh-CN" w:eastAsia="zh-CN" w:bidi="ar-SA"/>
        </w:rPr>
        <w:t>二、评价实施</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楷体_GB2312" w:hAnsi="仿宋" w:eastAsia="楷体_GB2312" w:cs="仿宋_GB2312"/>
          <w:sz w:val="32"/>
          <w:szCs w:val="32"/>
          <w:shd w:val="clear" w:color="auto" w:fill="FFFFFF"/>
          <w:lang w:val="zh-CN" w:eastAsia="zh-CN"/>
        </w:rPr>
      </w:pPr>
      <w:r>
        <w:rPr>
          <w:rFonts w:hint="eastAsia" w:ascii="楷体_GB2312" w:hAnsi="仿宋" w:eastAsia="楷体_GB2312" w:cs="仿宋_GB2312"/>
          <w:sz w:val="32"/>
          <w:szCs w:val="32"/>
          <w:shd w:val="clear" w:color="auto" w:fill="FFFFFF"/>
          <w:lang w:val="zh-CN" w:eastAsia="zh-CN"/>
        </w:rPr>
        <w:t>（一）评价目的</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仿宋_GB2312" w:cs="仿宋_GB2312"/>
          <w:b w:val="0"/>
          <w:bCs w:val="0"/>
          <w:kern w:val="0"/>
          <w:position w:val="0"/>
          <w:sz w:val="32"/>
          <w:szCs w:val="32"/>
          <w:highlight w:val="none"/>
          <w:lang w:val="zh-CN" w:eastAsia="zh-CN" w:bidi="ar-SA"/>
        </w:rPr>
        <w:t>通过项目绩效自评不断完善项目制度建设，提高项目完成率。</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楷体_GB2312" w:hAnsi="仿宋" w:eastAsia="楷体_GB2312" w:cs="仿宋_GB2312"/>
          <w:sz w:val="32"/>
          <w:szCs w:val="32"/>
          <w:shd w:val="clear" w:color="auto" w:fill="FFFFFF"/>
          <w:lang w:val="zh-CN" w:eastAsia="zh-CN"/>
        </w:rPr>
      </w:pPr>
      <w:r>
        <w:rPr>
          <w:rFonts w:hint="eastAsia" w:ascii="楷体_GB2312" w:hAnsi="仿宋" w:eastAsia="楷体_GB2312" w:cs="仿宋_GB2312"/>
          <w:sz w:val="32"/>
          <w:szCs w:val="32"/>
          <w:shd w:val="clear" w:color="auto" w:fill="FFFFFF"/>
          <w:lang w:val="zh-CN" w:eastAsia="zh-CN"/>
        </w:rPr>
        <w:t>（二）预设问题及评价重点</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仿宋_GB2312" w:cs="仿宋_GB2312"/>
          <w:b w:val="0"/>
          <w:bCs w:val="0"/>
          <w:kern w:val="0"/>
          <w:position w:val="0"/>
          <w:sz w:val="32"/>
          <w:szCs w:val="32"/>
          <w:highlight w:val="none"/>
          <w:lang w:val="zh-CN" w:eastAsia="zh-CN" w:bidi="ar-SA"/>
        </w:rPr>
        <w:t>在项目建设过程中，认真贯彻执行川财社〔2023〕90号文件精神。专款专用，不截留、不挪用。</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楷体_GB2312" w:hAnsi="仿宋" w:eastAsia="楷体_GB2312" w:cs="仿宋_GB2312"/>
          <w:sz w:val="32"/>
          <w:szCs w:val="32"/>
          <w:shd w:val="clear" w:color="auto" w:fill="FFFFFF"/>
          <w:lang w:val="zh-CN" w:eastAsia="zh-CN"/>
        </w:rPr>
      </w:pPr>
      <w:r>
        <w:rPr>
          <w:rFonts w:hint="eastAsia" w:ascii="楷体_GB2312" w:hAnsi="仿宋" w:eastAsia="楷体_GB2312" w:cs="仿宋_GB2312"/>
          <w:sz w:val="32"/>
          <w:szCs w:val="32"/>
          <w:shd w:val="clear" w:color="auto" w:fill="FFFFFF"/>
          <w:lang w:val="zh-CN" w:eastAsia="zh-CN"/>
        </w:rPr>
        <w:t>（三）评价选点</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仿宋_GB2312" w:cs="仿宋_GB2312"/>
          <w:b w:val="0"/>
          <w:bCs w:val="0"/>
          <w:kern w:val="0"/>
          <w:position w:val="0"/>
          <w:sz w:val="32"/>
          <w:szCs w:val="32"/>
          <w:highlight w:val="none"/>
          <w:lang w:val="zh-CN" w:eastAsia="zh-CN" w:bidi="ar-SA"/>
        </w:rPr>
        <w:t>项目绩效自评所抽样点位情况。每个专项预算项目应选取专项资金分配涉及县（区）总数的20%、总计不少于2个的县（区）点位进行实地踏勘，且点位清单应作为自评附表。</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楷体_GB2312" w:hAnsi="仿宋" w:eastAsia="楷体_GB2312" w:cs="仿宋_GB2312"/>
          <w:sz w:val="32"/>
          <w:szCs w:val="32"/>
          <w:shd w:val="clear" w:color="auto" w:fill="FFFFFF"/>
          <w:lang w:val="zh-CN" w:eastAsia="zh-CN"/>
        </w:rPr>
      </w:pPr>
      <w:r>
        <w:rPr>
          <w:rFonts w:hint="eastAsia" w:ascii="楷体_GB2312" w:hAnsi="仿宋" w:eastAsia="楷体_GB2312" w:cs="仿宋_GB2312"/>
          <w:sz w:val="32"/>
          <w:szCs w:val="32"/>
          <w:shd w:val="clear" w:color="auto" w:fill="FFFFFF"/>
          <w:lang w:val="zh-CN" w:eastAsia="zh-CN"/>
        </w:rPr>
        <w:t>（四）评价方法</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仿宋_GB2312" w:cs="仿宋_GB2312"/>
          <w:b w:val="0"/>
          <w:bCs w:val="0"/>
          <w:kern w:val="0"/>
          <w:position w:val="0"/>
          <w:sz w:val="32"/>
          <w:szCs w:val="32"/>
          <w:highlight w:val="none"/>
          <w:lang w:val="zh-CN" w:eastAsia="zh-CN" w:bidi="ar-SA"/>
        </w:rPr>
        <w:t>根据项目情况和评价重点，采用目标比较法。</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楷体_GB2312" w:hAnsi="仿宋" w:eastAsia="楷体_GB2312" w:cs="仿宋_GB2312"/>
          <w:sz w:val="32"/>
          <w:szCs w:val="32"/>
          <w:shd w:val="clear" w:color="auto" w:fill="FFFFFF"/>
          <w:lang w:val="zh-CN" w:eastAsia="zh-CN"/>
        </w:rPr>
      </w:pPr>
      <w:r>
        <w:rPr>
          <w:rFonts w:hint="eastAsia" w:ascii="楷体_GB2312" w:hAnsi="仿宋" w:eastAsia="楷体_GB2312" w:cs="仿宋_GB2312"/>
          <w:sz w:val="32"/>
          <w:szCs w:val="32"/>
          <w:shd w:val="clear" w:color="auto" w:fill="FFFFFF"/>
          <w:lang w:val="zh-CN" w:eastAsia="zh-CN"/>
        </w:rPr>
        <w:t>（五）评价组织</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仿宋_GB2312" w:cs="仿宋_GB2312"/>
          <w:b w:val="0"/>
          <w:bCs w:val="0"/>
          <w:kern w:val="0"/>
          <w:position w:val="0"/>
          <w:sz w:val="32"/>
          <w:szCs w:val="32"/>
          <w:highlight w:val="none"/>
          <w:lang w:val="zh-CN" w:eastAsia="zh-CN" w:bidi="ar-SA"/>
        </w:rPr>
        <w:t>该项目自评由学校计划财务处牵头，后勤管理处根据《广元市财政局关于开展市级部门预算绩效自评工作的通知》（广财绩〔2025〕4 号）文件要求，对照2025年专项预算项目绩效评价指标体系使用目标比较法，通过项目实际产生的效果与预定绩效目标对比，分析目标完成或未完成的原因，从而达到项目绩效评价的目的。</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黑体" w:hAnsi="黑体" w:eastAsia="黑体" w:cs="黑体"/>
          <w:b w:val="0"/>
          <w:bCs w:val="0"/>
          <w:kern w:val="2"/>
          <w:sz w:val="32"/>
          <w:szCs w:val="32"/>
          <w:shd w:val="clear" w:color="auto" w:fill="FFFFFF"/>
          <w:lang w:val="zh-CN" w:eastAsia="zh-CN" w:bidi="ar-SA"/>
        </w:rPr>
        <w:t>三、绩效分析</w:t>
      </w:r>
      <w:r>
        <w:rPr>
          <w:rFonts w:hint="eastAsia" w:ascii="Times New Roman" w:hAnsi="Times New Roman" w:eastAsia="仿宋_GB2312" w:cs="仿宋_GB2312"/>
          <w:b w:val="0"/>
          <w:bCs w:val="0"/>
          <w:kern w:val="0"/>
          <w:position w:val="0"/>
          <w:sz w:val="32"/>
          <w:szCs w:val="32"/>
          <w:highlight w:val="none"/>
          <w:lang w:val="zh-CN" w:eastAsia="zh-CN" w:bidi="ar-SA"/>
        </w:rPr>
        <w:tab/>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仿宋_GB2312" w:cs="仿宋_GB2312"/>
          <w:b w:val="0"/>
          <w:bCs w:val="0"/>
          <w:kern w:val="0"/>
          <w:position w:val="0"/>
          <w:sz w:val="32"/>
          <w:szCs w:val="32"/>
          <w:highlight w:val="none"/>
          <w:lang w:val="zh-CN" w:eastAsia="zh-CN" w:bidi="ar-SA"/>
        </w:rPr>
        <w:t>根据项目预算绩效评价指标体系“通用指标”“专用指标”“个性指标”涉及二、三级指标进行逐项绩效分析并评分。</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楷体_GB2312" w:hAnsi="仿宋" w:eastAsia="楷体_GB2312" w:cs="仿宋_GB2312"/>
          <w:sz w:val="32"/>
          <w:szCs w:val="32"/>
          <w:shd w:val="clear" w:color="auto" w:fill="FFFFFF"/>
          <w:lang w:val="zh-CN" w:eastAsia="zh-CN"/>
        </w:rPr>
      </w:pPr>
      <w:r>
        <w:rPr>
          <w:rFonts w:hint="eastAsia" w:ascii="楷体_GB2312" w:hAnsi="仿宋" w:eastAsia="楷体_GB2312" w:cs="仿宋_GB2312"/>
          <w:sz w:val="32"/>
          <w:szCs w:val="32"/>
          <w:shd w:val="clear" w:color="auto" w:fill="FFFFFF"/>
          <w:lang w:val="zh-CN" w:eastAsia="zh-CN"/>
        </w:rPr>
        <w:t>（一）通用指标绩效分析</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仿宋_GB2312" w:cs="仿宋_GB2312"/>
          <w:b w:val="0"/>
          <w:bCs w:val="0"/>
          <w:kern w:val="0"/>
          <w:position w:val="0"/>
          <w:sz w:val="32"/>
          <w:szCs w:val="32"/>
          <w:highlight w:val="none"/>
          <w:lang w:val="zh-CN" w:eastAsia="zh-CN" w:bidi="ar-SA"/>
        </w:rPr>
        <w:t>1.项目决策。我校严格按照《四川省财政厅 四川省卫生健康委员会关于下达2023年重大传染病防控中央补助资金（第二批）的通知》（川财社〔2023〕90号）规定，做好校园健康教育和传染病防控工作，项目决策程序严密。项目设立、调整延续等方面符合资金管理基本规范和决策程序要求。项目规划论证符合省市要求，项目绩效目标设置科学合理。项目资金与项目总体规划、相关行业事业发展相匹配。得分：18分</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仿宋_GB2312" w:cs="仿宋_GB2312"/>
          <w:b w:val="0"/>
          <w:bCs w:val="0"/>
          <w:kern w:val="0"/>
          <w:position w:val="0"/>
          <w:sz w:val="32"/>
          <w:szCs w:val="32"/>
          <w:highlight w:val="none"/>
          <w:lang w:val="zh-CN" w:eastAsia="zh-CN" w:bidi="ar-SA"/>
        </w:rPr>
        <w:t>2.项目管理。严格按照相应的业务管理制度，规范专项资金拨付。资金使用规范，符合国家财经法规和财务管理以及有关专项资金管理办法的规定；资金的拨付有完整的审批程序和手续；不存在截留、挤占、挪用、虚列支出等情况。得分：18分</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仿宋_GB2312" w:cs="仿宋_GB2312"/>
          <w:b w:val="0"/>
          <w:bCs w:val="0"/>
          <w:kern w:val="0"/>
          <w:position w:val="0"/>
          <w:sz w:val="32"/>
          <w:szCs w:val="32"/>
          <w:highlight w:val="none"/>
          <w:lang w:val="zh-CN" w:eastAsia="zh-CN" w:bidi="ar-SA"/>
        </w:rPr>
        <w:t>3.项目实施。2023年我校重大传染病防控中央补助资金共计6万元。经费主要用于学校健康教育与传染病防控工作：制作肺结核防治知识宣传手册，制作医务室橱窗宣传展板，与市疾控中心共同举办广元市结核病防治知识宣讲员选拔赛，开展健康教育讲座，开展“3.24世界结核病防治日”专题活动，开展“5.31世界无烟日”线下宣传活动，“12.1世界艾滋病日”线下宣传活动，完成400余人次的结核筛查（支付初筛与复查的相关费用），完成15名校内肺结核潜伏感染者的6次预防性注射治疗工作（支付租车费、挂号费、药品费及注射费、DR检查费、CT检查费、肝肾功检查费、EC检查费）。得分：9分</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仿宋_GB2312" w:cs="仿宋_GB2312"/>
          <w:b w:val="0"/>
          <w:bCs w:val="0"/>
          <w:kern w:val="0"/>
          <w:position w:val="0"/>
          <w:sz w:val="32"/>
          <w:szCs w:val="32"/>
          <w:highlight w:val="none"/>
          <w:lang w:val="zh-CN" w:eastAsia="zh-CN" w:bidi="ar-SA"/>
        </w:rPr>
        <w:t>4.项目结果。</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仿宋_GB2312" w:cs="仿宋_GB2312"/>
          <w:b w:val="0"/>
          <w:bCs w:val="0"/>
          <w:kern w:val="0"/>
          <w:position w:val="0"/>
          <w:sz w:val="32"/>
          <w:szCs w:val="32"/>
          <w:highlight w:val="none"/>
          <w:lang w:val="zh-CN" w:eastAsia="zh-CN" w:bidi="ar-SA"/>
        </w:rPr>
        <w:t>严格按照文件要求，定期开展健康教育工作和及时防控传染性疾病，截止2025年3月底，项目设定数量指标已完成。得分：9分。</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楷体_GB2312" w:hAnsi="仿宋" w:eastAsia="楷体_GB2312" w:cs="仿宋_GB2312"/>
          <w:sz w:val="32"/>
          <w:szCs w:val="32"/>
          <w:shd w:val="clear" w:color="auto" w:fill="FFFFFF"/>
          <w:lang w:val="zh-CN" w:eastAsia="zh-CN"/>
        </w:rPr>
      </w:pPr>
      <w:r>
        <w:rPr>
          <w:rFonts w:hint="eastAsia" w:ascii="楷体_GB2312" w:hAnsi="仿宋" w:eastAsia="楷体_GB2312" w:cs="仿宋_GB2312"/>
          <w:sz w:val="32"/>
          <w:szCs w:val="32"/>
          <w:shd w:val="clear" w:color="auto" w:fill="FFFFFF"/>
          <w:lang w:val="zh-CN" w:eastAsia="zh-CN"/>
        </w:rPr>
        <w:t>（二）专用指标绩效分析</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仿宋_GB2312" w:cs="仿宋_GB2312"/>
          <w:b w:val="0"/>
          <w:bCs w:val="0"/>
          <w:kern w:val="0"/>
          <w:position w:val="0"/>
          <w:sz w:val="32"/>
          <w:szCs w:val="32"/>
          <w:highlight w:val="none"/>
          <w:lang w:val="zh-CN" w:eastAsia="zh-CN" w:bidi="ar-SA"/>
        </w:rPr>
        <w:t>民生保障。较好地完成了预设工作任务，专项项目得到有序开展。截止2025年3月底，已支配使用5.61万，经费使用进度为100%。得分：30分</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楷体_GB2312" w:hAnsi="仿宋" w:eastAsia="楷体_GB2312" w:cs="仿宋_GB2312"/>
          <w:sz w:val="32"/>
          <w:szCs w:val="32"/>
          <w:shd w:val="clear" w:color="auto" w:fill="FFFFFF"/>
          <w:lang w:val="zh-CN" w:eastAsia="zh-CN"/>
        </w:rPr>
      </w:pPr>
      <w:r>
        <w:rPr>
          <w:rFonts w:hint="eastAsia" w:ascii="楷体_GB2312" w:hAnsi="仿宋" w:eastAsia="楷体_GB2312" w:cs="仿宋_GB2312"/>
          <w:sz w:val="32"/>
          <w:szCs w:val="32"/>
          <w:shd w:val="clear" w:color="auto" w:fill="FFFFFF"/>
          <w:lang w:val="zh-CN" w:eastAsia="zh-CN"/>
        </w:rPr>
        <w:t>（三）个性指标绩效分析</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仿宋_GB2312" w:cs="仿宋_GB2312"/>
          <w:b w:val="0"/>
          <w:bCs w:val="0"/>
          <w:kern w:val="0"/>
          <w:position w:val="0"/>
          <w:sz w:val="32"/>
          <w:szCs w:val="32"/>
          <w:highlight w:val="none"/>
          <w:lang w:val="zh-CN" w:eastAsia="zh-CN" w:bidi="ar-SA"/>
        </w:rPr>
        <w:t>师生健康意识不断提升，校园卫生环境持续改善，传染病得到有效控制（肺结核）。得分：16分</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黑体" w:hAnsi="黑体" w:eastAsia="黑体" w:cs="黑体"/>
          <w:b w:val="0"/>
          <w:bCs w:val="0"/>
          <w:kern w:val="2"/>
          <w:sz w:val="32"/>
          <w:szCs w:val="32"/>
          <w:shd w:val="clear" w:color="auto" w:fill="FFFFFF"/>
          <w:lang w:val="zh-CN" w:eastAsia="zh-CN" w:bidi="ar-SA"/>
        </w:rPr>
      </w:pPr>
      <w:r>
        <w:rPr>
          <w:rFonts w:hint="eastAsia" w:ascii="黑体" w:hAnsi="黑体" w:eastAsia="黑体" w:cs="黑体"/>
          <w:b w:val="0"/>
          <w:bCs w:val="0"/>
          <w:kern w:val="2"/>
          <w:sz w:val="32"/>
          <w:szCs w:val="32"/>
          <w:shd w:val="clear" w:color="auto" w:fill="FFFFFF"/>
          <w:lang w:val="zh-CN" w:eastAsia="zh-CN" w:bidi="ar-SA"/>
        </w:rPr>
        <w:t>四、评价结论</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仿宋_GB2312" w:cs="仿宋_GB2312"/>
          <w:b w:val="0"/>
          <w:bCs w:val="0"/>
          <w:kern w:val="0"/>
          <w:position w:val="0"/>
          <w:sz w:val="32"/>
          <w:szCs w:val="32"/>
          <w:highlight w:val="none"/>
          <w:lang w:val="zh-CN" w:eastAsia="zh-CN" w:bidi="ar-SA"/>
        </w:rPr>
        <w:t>1.对每一笔支出严格审核与监管，确保资金用于项目真正需要的环节，避免了资金的浪费与滥用。</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仿宋_GB2312" w:cs="仿宋_GB2312"/>
          <w:b w:val="0"/>
          <w:bCs w:val="0"/>
          <w:kern w:val="0"/>
          <w:position w:val="0"/>
          <w:sz w:val="32"/>
          <w:szCs w:val="32"/>
          <w:highlight w:val="none"/>
          <w:lang w:val="zh-CN" w:eastAsia="zh-CN" w:bidi="ar-SA"/>
        </w:rPr>
        <w:t>2.聚焦关键任务，严格按照计划进行，确保各项任务按时按质完成。</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仿宋_GB2312" w:cs="仿宋_GB2312"/>
          <w:b w:val="0"/>
          <w:bCs w:val="0"/>
          <w:kern w:val="0"/>
          <w:position w:val="0"/>
          <w:sz w:val="32"/>
          <w:szCs w:val="32"/>
          <w:highlight w:val="none"/>
          <w:lang w:val="zh-CN" w:eastAsia="zh-CN" w:bidi="ar-SA"/>
        </w:rPr>
        <w:t>3.通过专项资金的投入，学校得以加强传染病防控工作部署，从而为师生创造一个更加安全、健康的校园环境。</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黑体" w:hAnsi="黑体" w:eastAsia="黑体" w:cs="黑体"/>
          <w:b w:val="0"/>
          <w:bCs w:val="0"/>
          <w:kern w:val="2"/>
          <w:sz w:val="32"/>
          <w:szCs w:val="32"/>
          <w:shd w:val="clear" w:color="auto" w:fill="FFFFFF"/>
          <w:lang w:val="zh-CN" w:eastAsia="zh-CN" w:bidi="ar-SA"/>
        </w:rPr>
      </w:pPr>
      <w:r>
        <w:rPr>
          <w:rFonts w:hint="eastAsia" w:ascii="黑体" w:hAnsi="黑体" w:eastAsia="黑体" w:cs="黑体"/>
          <w:b w:val="0"/>
          <w:bCs w:val="0"/>
          <w:kern w:val="2"/>
          <w:sz w:val="32"/>
          <w:szCs w:val="32"/>
          <w:shd w:val="clear" w:color="auto" w:fill="FFFFFF"/>
          <w:lang w:val="zh-CN" w:eastAsia="zh-CN" w:bidi="ar-SA"/>
        </w:rPr>
        <w:t>五、存在主要问题</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仿宋_GB2312" w:cs="仿宋_GB2312"/>
          <w:b w:val="0"/>
          <w:bCs w:val="0"/>
          <w:kern w:val="0"/>
          <w:position w:val="0"/>
          <w:sz w:val="32"/>
          <w:szCs w:val="32"/>
          <w:highlight w:val="none"/>
          <w:lang w:val="zh-CN" w:eastAsia="zh-CN" w:bidi="ar-SA"/>
        </w:rPr>
        <w:t>当前宣传主要以“3.24”、“4.31”、“12.1”三个宣传日为主，且宣传主体仍以学校后勤管理处为主，其他相关部门参与主动性不够，宣传形式较单一，宣传氛围不浓。</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黑体" w:hAnsi="黑体" w:eastAsia="黑体" w:cs="黑体"/>
          <w:b w:val="0"/>
          <w:bCs w:val="0"/>
          <w:kern w:val="2"/>
          <w:sz w:val="32"/>
          <w:szCs w:val="32"/>
          <w:shd w:val="clear" w:color="auto" w:fill="FFFFFF"/>
          <w:lang w:val="zh-CN" w:eastAsia="zh-CN" w:bidi="ar-SA"/>
        </w:rPr>
      </w:pPr>
      <w:r>
        <w:rPr>
          <w:rFonts w:hint="eastAsia" w:ascii="黑体" w:hAnsi="黑体" w:eastAsia="黑体" w:cs="黑体"/>
          <w:b w:val="0"/>
          <w:bCs w:val="0"/>
          <w:kern w:val="2"/>
          <w:sz w:val="32"/>
          <w:szCs w:val="32"/>
          <w:shd w:val="clear" w:color="auto" w:fill="FFFFFF"/>
          <w:lang w:val="zh-CN" w:eastAsia="zh-CN" w:bidi="ar-SA"/>
        </w:rPr>
        <w:t>六、改进建议</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lang w:val="zh-CN" w:eastAsia="zh-CN"/>
        </w:rPr>
        <w:sectPr>
          <w:pgSz w:w="11906" w:h="16838"/>
          <w:pgMar w:top="1440" w:right="1800" w:bottom="1440" w:left="1800" w:header="851" w:footer="992" w:gutter="0"/>
          <w:pgNumType w:fmt="decimal"/>
          <w:cols w:space="425" w:num="1"/>
          <w:titlePg/>
          <w:docGrid w:type="lines" w:linePitch="312" w:charSpace="0"/>
        </w:sectPr>
      </w:pPr>
      <w:r>
        <w:rPr>
          <w:rFonts w:hint="eastAsia" w:ascii="Times New Roman" w:hAnsi="Times New Roman" w:eastAsia="仿宋_GB2312" w:cs="仿宋_GB2312"/>
          <w:b w:val="0"/>
          <w:bCs w:val="0"/>
          <w:kern w:val="0"/>
          <w:position w:val="0"/>
          <w:sz w:val="32"/>
          <w:szCs w:val="32"/>
          <w:highlight w:val="none"/>
          <w:lang w:val="zh-CN" w:eastAsia="zh-CN" w:bidi="ar-SA"/>
        </w:rPr>
        <w:t>加大与宣传、教育。加强校内外各相关部门（单位）的协作，充分发挥部门优势，通过微信公众号、报纸、播放广告视频等多形式、多方式开展经常性宣传宣传，广泛普及常见传染病防控知识，营造良好的社会氛围</w:t>
      </w:r>
    </w:p>
    <w:p>
      <w:pPr>
        <w:pStyle w:val="2"/>
        <w:rPr>
          <w:rFonts w:hint="eastAsia" w:ascii="黑体" w:hAnsi="黑体" w:eastAsia="黑体" w:cs="黑体"/>
          <w:color w:val="auto"/>
          <w:kern w:val="0"/>
          <w:sz w:val="32"/>
          <w:szCs w:val="32"/>
          <w:highlight w:val="none"/>
          <w:shd w:val="clear" w:color="auto" w:fill="FFFFFF"/>
          <w:lang w:val="en-US" w:eastAsia="zh-CN"/>
        </w:rPr>
      </w:pPr>
      <w:bookmarkStart w:id="103" w:name="_Toc15396618"/>
      <w:r>
        <w:rPr>
          <w:rFonts w:hint="eastAsia" w:ascii="黑体" w:hAnsi="黑体" w:eastAsia="黑体" w:cs="黑体"/>
          <w:color w:val="auto"/>
          <w:kern w:val="0"/>
          <w:sz w:val="32"/>
          <w:szCs w:val="32"/>
          <w:highlight w:val="none"/>
          <w:shd w:val="clear" w:color="auto" w:fill="FFFFFF"/>
          <w:lang w:val="zh-CN"/>
        </w:rPr>
        <w:t>附件</w:t>
      </w:r>
      <w:r>
        <w:rPr>
          <w:rFonts w:hint="eastAsia" w:ascii="黑体" w:hAnsi="黑体" w:eastAsia="黑体" w:cs="黑体"/>
          <w:color w:val="auto"/>
          <w:kern w:val="0"/>
          <w:sz w:val="32"/>
          <w:szCs w:val="32"/>
          <w:highlight w:val="none"/>
          <w:shd w:val="clear" w:color="auto" w:fill="FFFFFF"/>
          <w:lang w:val="en-US" w:eastAsia="zh-CN"/>
        </w:rPr>
        <w:t>2-3</w:t>
      </w:r>
    </w:p>
    <w:p>
      <w:pPr>
        <w:rPr>
          <w:rFonts w:hint="default"/>
          <w:lang w:val="en-US" w:eastAsia="zh-CN"/>
        </w:rPr>
      </w:pPr>
    </w:p>
    <w:p>
      <w:pPr>
        <w:pStyle w:val="36"/>
        <w:spacing w:line="578" w:lineRule="exact"/>
        <w:jc w:val="center"/>
        <w:outlineLvl w:val="1"/>
        <w:rPr>
          <w:rFonts w:hint="default" w:ascii="Times New Roman" w:hAnsi="Times New Roman" w:eastAsia="方正小标宋简体" w:cs="Times New Roman"/>
          <w:color w:val="auto"/>
          <w:kern w:val="2"/>
          <w:sz w:val="44"/>
          <w:szCs w:val="44"/>
          <w:highlight w:val="none"/>
          <w:lang w:val="en-US" w:eastAsia="zh-CN"/>
        </w:rPr>
      </w:pPr>
      <w:bookmarkStart w:id="104" w:name="_Toc11029"/>
      <w:r>
        <w:rPr>
          <w:rFonts w:hint="eastAsia" w:ascii="方正小标宋简体" w:hAnsi="方正小标宋简体" w:eastAsia="方正小标宋简体" w:cs="方正小标宋简体"/>
          <w:color w:val="auto"/>
          <w:kern w:val="2"/>
          <w:sz w:val="44"/>
          <w:szCs w:val="44"/>
          <w:lang w:val="en-US"/>
        </w:rPr>
        <w:t>川北幼儿师范高等专科学校</w:t>
      </w:r>
      <w:bookmarkEnd w:id="104"/>
    </w:p>
    <w:p>
      <w:pPr>
        <w:pStyle w:val="36"/>
        <w:keepNext w:val="0"/>
        <w:keepLines w:val="0"/>
        <w:pageBreakBefore w:val="0"/>
        <w:widowControl w:val="0"/>
        <w:kinsoku/>
        <w:wordWrap/>
        <w:overflowPunct/>
        <w:topLinePunct w:val="0"/>
        <w:autoSpaceDE/>
        <w:autoSpaceDN/>
        <w:bidi w:val="0"/>
        <w:spacing w:line="560" w:lineRule="exact"/>
        <w:ind w:left="0" w:leftChars="0"/>
        <w:jc w:val="center"/>
        <w:textAlignment w:val="auto"/>
        <w:rPr>
          <w:rFonts w:hint="default" w:ascii="Times New Roman" w:hAnsi="Times New Roman" w:eastAsia="方正小标宋简体" w:cs="Times New Roman"/>
          <w:color w:val="auto"/>
          <w:kern w:val="2"/>
          <w:sz w:val="44"/>
          <w:szCs w:val="44"/>
          <w:highlight w:val="none"/>
          <w:lang w:val="en-US" w:eastAsia="zh-CN"/>
        </w:rPr>
      </w:pPr>
      <w:r>
        <w:rPr>
          <w:rFonts w:hint="default" w:ascii="Times New Roman" w:hAnsi="Times New Roman" w:eastAsia="方正小标宋简体" w:cs="Times New Roman"/>
          <w:color w:val="auto"/>
          <w:kern w:val="2"/>
          <w:sz w:val="44"/>
          <w:szCs w:val="44"/>
          <w:highlight w:val="none"/>
          <w:lang w:val="en-US" w:eastAsia="zh-CN"/>
        </w:rPr>
        <w:t>扶持青少年校园足球发展专项资金</w:t>
      </w:r>
    </w:p>
    <w:p>
      <w:pPr>
        <w:pStyle w:val="36"/>
        <w:keepNext w:val="0"/>
        <w:keepLines w:val="0"/>
        <w:pageBreakBefore w:val="0"/>
        <w:widowControl w:val="0"/>
        <w:kinsoku/>
        <w:wordWrap/>
        <w:overflowPunct/>
        <w:topLinePunct w:val="0"/>
        <w:autoSpaceDE/>
        <w:autoSpaceDN/>
        <w:bidi w:val="0"/>
        <w:spacing w:line="560" w:lineRule="exact"/>
        <w:ind w:left="0" w:leftChars="0"/>
        <w:jc w:val="center"/>
        <w:textAlignment w:val="auto"/>
        <w:rPr>
          <w:rFonts w:hint="default" w:ascii="Times New Roman" w:hAnsi="Times New Roman" w:eastAsia="方正小标宋简体" w:cs="Times New Roman"/>
          <w:color w:val="auto"/>
          <w:kern w:val="2"/>
          <w:sz w:val="44"/>
          <w:szCs w:val="44"/>
          <w:highlight w:val="none"/>
          <w:lang w:val="en-US" w:eastAsia="zh-CN"/>
        </w:rPr>
      </w:pPr>
      <w:r>
        <w:rPr>
          <w:rFonts w:hint="default" w:ascii="Times New Roman" w:hAnsi="Times New Roman" w:eastAsia="方正小标宋简体" w:cs="Times New Roman"/>
          <w:color w:val="auto"/>
          <w:kern w:val="2"/>
          <w:sz w:val="44"/>
          <w:szCs w:val="44"/>
          <w:highlight w:val="none"/>
          <w:lang w:val="en-US" w:eastAsia="zh-CN"/>
        </w:rPr>
        <w:t>绩效</w:t>
      </w:r>
      <w:r>
        <w:rPr>
          <w:rFonts w:hint="eastAsia" w:ascii="Times New Roman" w:hAnsi="Times New Roman" w:eastAsia="方正小标宋简体" w:cs="Times New Roman"/>
          <w:color w:val="auto"/>
          <w:kern w:val="2"/>
          <w:sz w:val="44"/>
          <w:szCs w:val="44"/>
          <w:highlight w:val="none"/>
          <w:lang w:val="en-US" w:eastAsia="zh-CN"/>
        </w:rPr>
        <w:t>评价</w:t>
      </w:r>
      <w:r>
        <w:rPr>
          <w:rFonts w:hint="default" w:ascii="Times New Roman" w:hAnsi="Times New Roman" w:eastAsia="方正小标宋简体" w:cs="Times New Roman"/>
          <w:color w:val="auto"/>
          <w:kern w:val="2"/>
          <w:sz w:val="44"/>
          <w:szCs w:val="44"/>
          <w:highlight w:val="none"/>
          <w:lang w:val="en-US" w:eastAsia="zh-CN"/>
        </w:rPr>
        <w:t>报告</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p>
    <w:p>
      <w:pPr>
        <w:keepNext w:val="0"/>
        <w:keepLines w:val="0"/>
        <w:pageBreakBefore w:val="0"/>
        <w:widowControl w:val="0"/>
        <w:suppressAutoHyphens/>
        <w:kinsoku/>
        <w:wordWrap/>
        <w:overflowPunct/>
        <w:topLinePunct w:val="0"/>
        <w:autoSpaceDE/>
        <w:autoSpaceDN/>
        <w:bidi w:val="0"/>
        <w:adjustRightInd w:val="0"/>
        <w:snapToGrid w:val="0"/>
        <w:spacing w:line="578" w:lineRule="exact"/>
        <w:ind w:firstLine="640" w:firstLineChars="200"/>
        <w:textAlignment w:val="auto"/>
        <w:rPr>
          <w:rFonts w:hint="default" w:ascii="黑体" w:hAnsi="宋体" w:eastAsia="黑体"/>
          <w:color w:val="auto"/>
          <w:sz w:val="32"/>
          <w:szCs w:val="32"/>
          <w:highlight w:val="none"/>
          <w:lang w:val="zh-CN"/>
        </w:rPr>
      </w:pPr>
      <w:r>
        <w:rPr>
          <w:rFonts w:hint="default" w:ascii="黑体" w:hAnsi="宋体" w:eastAsia="黑体"/>
          <w:color w:val="auto"/>
          <w:sz w:val="32"/>
          <w:szCs w:val="32"/>
          <w:highlight w:val="none"/>
          <w:lang w:val="zh-CN"/>
        </w:rPr>
        <w:t>一、项目概况</w:t>
      </w:r>
    </w:p>
    <w:p>
      <w:pPr>
        <w:keepNext w:val="0"/>
        <w:keepLines w:val="0"/>
        <w:pageBreakBefore w:val="0"/>
        <w:kinsoku/>
        <w:wordWrap/>
        <w:overflowPunct/>
        <w:topLinePunct w:val="0"/>
        <w:autoSpaceDE/>
        <w:autoSpaceDN/>
        <w:bidi w:val="0"/>
        <w:spacing w:line="560" w:lineRule="exact"/>
        <w:ind w:firstLine="640" w:firstLineChars="200"/>
        <w:textAlignment w:val="auto"/>
        <w:rPr>
          <w:rFonts w:ascii="仿宋_GB2312" w:eastAsia="仿宋_GB2312"/>
          <w:sz w:val="32"/>
          <w:szCs w:val="32"/>
        </w:rPr>
      </w:pPr>
      <w:r>
        <w:rPr>
          <w:rFonts w:hint="eastAsia" w:ascii="楷体_GB2312" w:hAnsi="仿宋" w:eastAsia="楷体_GB2312" w:cs="仿宋_GB2312"/>
          <w:sz w:val="32"/>
          <w:szCs w:val="32"/>
          <w:shd w:val="clear" w:color="auto" w:fill="FFFFFF"/>
        </w:rPr>
        <w:t>（一）项目单位基本情况。</w:t>
      </w:r>
      <w:r>
        <w:rPr>
          <w:rFonts w:hint="eastAsia" w:ascii="仿宋_GB2312" w:hAnsi="仿宋" w:eastAsia="仿宋_GB2312" w:cs="仿宋_GB2312"/>
          <w:sz w:val="32"/>
          <w:szCs w:val="32"/>
          <w:shd w:val="clear" w:color="auto" w:fill="FFFFFF"/>
          <w:lang w:eastAsia="zh-CN"/>
        </w:rPr>
        <w:t>川北幼儿师范高等专科学校成立学校体育工作委员会</w:t>
      </w:r>
      <w:r>
        <w:rPr>
          <w:rFonts w:hint="eastAsia" w:ascii="仿宋_GB2312" w:hAnsi="仿宋" w:eastAsia="仿宋_GB2312" w:cs="仿宋_GB2312"/>
          <w:sz w:val="32"/>
          <w:szCs w:val="32"/>
          <w:shd w:val="clear" w:color="auto" w:fill="FFFFFF"/>
        </w:rPr>
        <w:t>，由</w:t>
      </w:r>
      <w:r>
        <w:rPr>
          <w:rFonts w:hint="eastAsia" w:ascii="仿宋_GB2312" w:hAnsi="仿宋" w:cs="仿宋_GB2312"/>
          <w:sz w:val="32"/>
          <w:szCs w:val="32"/>
          <w:shd w:val="clear" w:color="auto" w:fill="FFFFFF"/>
          <w:lang w:eastAsia="zh-CN"/>
        </w:rPr>
        <w:t>校</w:t>
      </w:r>
      <w:r>
        <w:rPr>
          <w:rFonts w:hint="eastAsia" w:ascii="仿宋_GB2312" w:hAnsi="仿宋" w:eastAsia="仿宋_GB2312" w:cs="仿宋_GB2312"/>
          <w:sz w:val="32"/>
          <w:szCs w:val="32"/>
          <w:shd w:val="clear" w:color="auto" w:fill="FFFFFF"/>
        </w:rPr>
        <w:t>长</w:t>
      </w:r>
      <w:r>
        <w:rPr>
          <w:rFonts w:hint="eastAsia" w:ascii="仿宋_GB2312" w:hAnsi="仿宋" w:cs="仿宋_GB2312"/>
          <w:sz w:val="32"/>
          <w:szCs w:val="32"/>
          <w:shd w:val="clear" w:color="auto" w:fill="FFFFFF"/>
          <w:lang w:eastAsia="zh-CN"/>
        </w:rPr>
        <w:t>张廷鑫</w:t>
      </w:r>
      <w:r>
        <w:rPr>
          <w:rFonts w:hint="eastAsia" w:ascii="仿宋_GB2312" w:hAnsi="仿宋" w:eastAsia="仿宋_GB2312" w:cs="仿宋_GB2312"/>
          <w:sz w:val="32"/>
          <w:szCs w:val="32"/>
          <w:shd w:val="clear" w:color="auto" w:fill="FFFFFF"/>
        </w:rPr>
        <w:t>任组长，</w:t>
      </w:r>
      <w:r>
        <w:rPr>
          <w:rFonts w:hint="eastAsia" w:ascii="仿宋_GB2312" w:hAnsi="仿宋" w:cs="仿宋_GB2312"/>
          <w:sz w:val="32"/>
          <w:szCs w:val="32"/>
          <w:shd w:val="clear" w:color="auto" w:fill="FFFFFF"/>
          <w:lang w:eastAsia="zh-CN"/>
        </w:rPr>
        <w:t>分管教学的副校长</w:t>
      </w:r>
      <w:r>
        <w:rPr>
          <w:rFonts w:hint="eastAsia" w:ascii="仿宋_GB2312" w:hAnsi="仿宋" w:eastAsia="仿宋_GB2312" w:cs="仿宋_GB2312"/>
          <w:sz w:val="32"/>
          <w:szCs w:val="32"/>
          <w:shd w:val="clear" w:color="auto" w:fill="FFFFFF"/>
        </w:rPr>
        <w:t>任副组长，</w:t>
      </w:r>
      <w:r>
        <w:rPr>
          <w:rFonts w:hint="eastAsia" w:ascii="仿宋_GB2312" w:hAnsi="仿宋" w:cs="仿宋_GB2312"/>
          <w:sz w:val="32"/>
          <w:szCs w:val="32"/>
          <w:shd w:val="clear" w:color="auto" w:fill="FFFFFF"/>
          <w:lang w:eastAsia="zh-CN"/>
        </w:rPr>
        <w:t>办公室设在体育与国防教育部。学校积极支持校园足球运动发展，选派</w:t>
      </w:r>
      <w:r>
        <w:rPr>
          <w:rFonts w:hint="eastAsia" w:ascii="仿宋_GB2312" w:hAnsi="仿宋" w:eastAsia="仿宋_GB2312" w:cs="仿宋_GB2312"/>
          <w:sz w:val="32"/>
          <w:szCs w:val="32"/>
          <w:shd w:val="clear" w:color="auto" w:fill="FFFFFF"/>
        </w:rPr>
        <w:t>体育教师和学生参加各级足球培训及讲座。利用体育课、课外活动时间和节假日，组织学生开展各种形式的校园足球活动和比赛。负责组队</w:t>
      </w:r>
      <w:r>
        <w:rPr>
          <w:rFonts w:hint="eastAsia" w:ascii="仿宋_GB2312" w:hAnsi="仿宋" w:cs="仿宋_GB2312"/>
          <w:sz w:val="32"/>
          <w:szCs w:val="32"/>
          <w:shd w:val="clear" w:color="auto" w:fill="FFFFFF"/>
          <w:lang w:eastAsia="zh-CN"/>
        </w:rPr>
        <w:t>参加省市</w:t>
      </w:r>
      <w:r>
        <w:rPr>
          <w:rFonts w:hint="eastAsia" w:ascii="仿宋_GB2312" w:hAnsi="仿宋" w:eastAsia="仿宋_GB2312" w:cs="仿宋_GB2312"/>
          <w:sz w:val="32"/>
          <w:szCs w:val="32"/>
          <w:shd w:val="clear" w:color="auto" w:fill="FFFFFF"/>
        </w:rPr>
        <w:t>足球联赛。</w:t>
      </w:r>
    </w:p>
    <w:p>
      <w:pPr>
        <w:keepNext w:val="0"/>
        <w:keepLines w:val="0"/>
        <w:pageBreakBefore w:val="0"/>
        <w:kinsoku/>
        <w:wordWrap/>
        <w:overflowPunct/>
        <w:topLinePunct w:val="0"/>
        <w:autoSpaceDE/>
        <w:autoSpaceDN/>
        <w:bidi w:val="0"/>
        <w:spacing w:line="560" w:lineRule="exact"/>
        <w:ind w:firstLine="627" w:firstLineChars="196"/>
        <w:textAlignment w:val="auto"/>
        <w:outlineLvl w:val="1"/>
        <w:rPr>
          <w:rFonts w:ascii="仿宋_GB2312" w:hAnsi="仿宋" w:eastAsia="仿宋_GB2312"/>
          <w:sz w:val="32"/>
          <w:szCs w:val="32"/>
          <w:shd w:val="clear" w:color="auto" w:fill="FFFFFF"/>
        </w:rPr>
      </w:pPr>
      <w:bookmarkStart w:id="105" w:name="_Toc31092"/>
      <w:r>
        <w:rPr>
          <w:rFonts w:hint="eastAsia" w:ascii="楷体_GB2312" w:hAnsi="仿宋" w:eastAsia="楷体_GB2312" w:cs="仿宋_GB2312"/>
          <w:sz w:val="32"/>
          <w:szCs w:val="32"/>
          <w:shd w:val="clear" w:color="auto" w:fill="FFFFFF"/>
        </w:rPr>
        <w:t>（二）项目基本情况。</w:t>
      </w:r>
      <w:r>
        <w:rPr>
          <w:rFonts w:hint="eastAsia" w:ascii="仿宋_GB2312" w:hAnsi="仿宋" w:eastAsia="仿宋_GB2312" w:cs="仿宋_GB2312"/>
          <w:sz w:val="32"/>
          <w:szCs w:val="32"/>
          <w:shd w:val="clear" w:color="auto" w:fill="FFFFFF"/>
        </w:rPr>
        <w:t>根据</w:t>
      </w:r>
      <w:r>
        <w:rPr>
          <w:rFonts w:hint="eastAsia" w:ascii="仿宋_GB2312" w:eastAsia="仿宋_GB2312"/>
          <w:sz w:val="32"/>
          <w:szCs w:val="32"/>
        </w:rPr>
        <w:t>《关于加快发展青少年校园足球的实施意见》（教体艺〔2015〕6号）、</w:t>
      </w:r>
      <w:r>
        <w:rPr>
          <w:rFonts w:hint="eastAsia" w:ascii="仿宋_GB2312"/>
          <w:sz w:val="32"/>
          <w:szCs w:val="32"/>
          <w:lang w:eastAsia="zh-CN"/>
        </w:rPr>
        <w:t>省市教育厅</w:t>
      </w:r>
      <w:r>
        <w:rPr>
          <w:rFonts w:hint="eastAsia" w:ascii="仿宋_GB2312" w:eastAsia="仿宋_GB2312"/>
          <w:sz w:val="32"/>
          <w:szCs w:val="32"/>
        </w:rPr>
        <w:t>等文件的要求，</w:t>
      </w:r>
      <w:r>
        <w:rPr>
          <w:rFonts w:hint="eastAsia" w:ascii="仿宋_GB2312"/>
          <w:sz w:val="32"/>
          <w:szCs w:val="32"/>
          <w:lang w:eastAsia="zh-CN"/>
        </w:rPr>
        <w:t>省教育厅</w:t>
      </w:r>
      <w:r>
        <w:rPr>
          <w:rFonts w:hint="eastAsia" w:ascii="仿宋_GB2312" w:hAnsi="仿宋" w:eastAsia="仿宋_GB2312" w:cs="仿宋_GB2312"/>
          <w:sz w:val="32"/>
          <w:szCs w:val="32"/>
          <w:shd w:val="clear" w:color="auto" w:fill="FFFFFF"/>
        </w:rPr>
        <w:t>安排足球专项资金</w:t>
      </w:r>
      <w:r>
        <w:rPr>
          <w:rFonts w:hint="eastAsia" w:ascii="仿宋_GB2312" w:hAnsi="仿宋" w:cs="仿宋_GB2312"/>
          <w:sz w:val="32"/>
          <w:szCs w:val="32"/>
          <w:shd w:val="clear" w:color="auto" w:fill="FFFFFF"/>
          <w:lang w:val="en-US" w:eastAsia="zh-CN"/>
        </w:rPr>
        <w:t>7</w:t>
      </w:r>
      <w:r>
        <w:rPr>
          <w:rFonts w:hint="eastAsia" w:ascii="仿宋_GB2312" w:hAnsi="仿宋" w:eastAsia="仿宋_GB2312" w:cs="仿宋_GB2312"/>
          <w:sz w:val="32"/>
          <w:szCs w:val="32"/>
          <w:shd w:val="clear" w:color="auto" w:fill="FFFFFF"/>
        </w:rPr>
        <w:t>万。主要用于推进我</w:t>
      </w:r>
      <w:r>
        <w:rPr>
          <w:rFonts w:hint="eastAsia" w:ascii="仿宋_GB2312" w:hAnsi="仿宋" w:cs="仿宋_GB2312"/>
          <w:sz w:val="32"/>
          <w:szCs w:val="32"/>
          <w:shd w:val="clear" w:color="auto" w:fill="FFFFFF"/>
          <w:lang w:eastAsia="zh-CN"/>
        </w:rPr>
        <w:t>校</w:t>
      </w:r>
      <w:r>
        <w:rPr>
          <w:rFonts w:hint="eastAsia" w:ascii="仿宋_GB2312" w:hAnsi="仿宋" w:eastAsia="仿宋_GB2312" w:cs="仿宋_GB2312"/>
          <w:sz w:val="32"/>
          <w:szCs w:val="32"/>
          <w:shd w:val="clear" w:color="auto" w:fill="FFFFFF"/>
        </w:rPr>
        <w:t>青少年校园足球发展，促进学校体育教学改革及校园足球活动开展，引导改进和完善体育设施，提高足球师资和经费保障水平。</w:t>
      </w:r>
      <w:bookmarkEnd w:id="105"/>
    </w:p>
    <w:p>
      <w:pPr>
        <w:keepNext w:val="0"/>
        <w:keepLines w:val="0"/>
        <w:pageBreakBefore w:val="0"/>
        <w:kinsoku/>
        <w:wordWrap/>
        <w:overflowPunct/>
        <w:topLinePunct w:val="0"/>
        <w:autoSpaceDE/>
        <w:autoSpaceDN/>
        <w:bidi w:val="0"/>
        <w:spacing w:line="560" w:lineRule="exact"/>
        <w:ind w:firstLine="601" w:firstLineChars="188"/>
        <w:textAlignment w:val="auto"/>
        <w:outlineLvl w:val="1"/>
        <w:rPr>
          <w:rFonts w:hint="eastAsia" w:ascii="仿宋_GB2312" w:hAnsi="仿宋" w:eastAsia="仿宋_GB2312" w:cs="仿宋_GB2312"/>
          <w:sz w:val="32"/>
          <w:szCs w:val="32"/>
          <w:lang w:val="zh-CN"/>
        </w:rPr>
      </w:pPr>
      <w:bookmarkStart w:id="106" w:name="_Toc5971"/>
      <w:r>
        <w:rPr>
          <w:rFonts w:hint="eastAsia" w:ascii="楷体_GB2312" w:hAnsi="仿宋" w:eastAsia="楷体_GB2312" w:cs="仿宋_GB2312"/>
          <w:sz w:val="32"/>
          <w:szCs w:val="32"/>
          <w:lang w:val="zh-CN"/>
        </w:rPr>
        <w:t>（三）绩效目标完成情况。</w:t>
      </w:r>
      <w:r>
        <w:rPr>
          <w:rFonts w:hint="eastAsia" w:ascii="仿宋_GB2312" w:hAnsi="仿宋" w:eastAsia="仿宋_GB2312" w:cs="仿宋_GB2312"/>
          <w:sz w:val="32"/>
          <w:szCs w:val="32"/>
          <w:lang w:val="zh-CN"/>
        </w:rPr>
        <w:t>在</w:t>
      </w:r>
      <w:r>
        <w:rPr>
          <w:rFonts w:hint="eastAsia" w:ascii="仿宋_GB2312" w:hAnsi="仿宋" w:cs="仿宋_GB2312"/>
          <w:sz w:val="32"/>
          <w:szCs w:val="32"/>
          <w:lang w:val="zh-CN" w:eastAsia="zh-CN"/>
        </w:rPr>
        <w:t>学校</w:t>
      </w:r>
      <w:r>
        <w:rPr>
          <w:rFonts w:hint="eastAsia" w:ascii="仿宋_GB2312" w:hAnsi="仿宋" w:eastAsia="仿宋_GB2312" w:cs="仿宋_GB2312"/>
          <w:sz w:val="32"/>
          <w:szCs w:val="32"/>
          <w:lang w:val="zh-CN"/>
        </w:rPr>
        <w:t>的统一领导和各部门的配合下，基本完成了校园足球发展各项目标：一是校园足球</w:t>
      </w:r>
      <w:r>
        <w:rPr>
          <w:rFonts w:hint="eastAsia" w:ascii="仿宋_GB2312" w:hAnsi="仿宋" w:cs="仿宋_GB2312"/>
          <w:sz w:val="32"/>
          <w:szCs w:val="32"/>
          <w:lang w:val="zh-CN"/>
        </w:rPr>
        <w:t>设施设备更新，</w:t>
      </w:r>
      <w:r>
        <w:rPr>
          <w:rFonts w:hint="eastAsia" w:ascii="仿宋_GB2312" w:hAnsi="仿宋" w:eastAsia="仿宋_GB2312" w:cs="仿宋_GB2312"/>
          <w:sz w:val="32"/>
          <w:szCs w:val="32"/>
          <w:lang w:val="zh-CN"/>
        </w:rPr>
        <w:t>改善学校体育基本条件；二是校园足球管理人员和足球教师（教练员、裁判员）培训教研教改等活动；三是以校园足球女足为引领，带动学校体育总体水平提升；四是建设校园足球文化，提高学生体育竞技水平，促进学生体质健康水平</w:t>
      </w:r>
      <w:r>
        <w:rPr>
          <w:rFonts w:hint="eastAsia" w:ascii="仿宋_GB2312" w:hAnsi="仿宋" w:cs="仿宋_GB2312"/>
          <w:sz w:val="32"/>
          <w:szCs w:val="32"/>
          <w:lang w:val="zh-CN"/>
        </w:rPr>
        <w:t>；</w:t>
      </w:r>
      <w:r>
        <w:rPr>
          <w:rFonts w:hint="eastAsia" w:ascii="仿宋_GB2312" w:hAnsi="仿宋" w:eastAsia="仿宋_GB2312" w:cs="仿宋_GB2312"/>
          <w:sz w:val="32"/>
          <w:szCs w:val="32"/>
          <w:lang w:val="zh-CN"/>
        </w:rPr>
        <w:t>五是形成良好的校园足球训练和竞赛机制。</w:t>
      </w:r>
      <w:bookmarkEnd w:id="106"/>
    </w:p>
    <w:tbl>
      <w:tblPr>
        <w:tblStyle w:val="16"/>
        <w:tblW w:w="70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3932"/>
        <w:gridCol w:w="2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821"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ascii="仿宋_GB2312" w:hAnsi="宋体" w:eastAsia="仿宋_GB2312"/>
                <w:b/>
                <w:sz w:val="24"/>
                <w:szCs w:val="24"/>
              </w:rPr>
            </w:pPr>
            <w:r>
              <w:rPr>
                <w:rFonts w:hint="eastAsia" w:ascii="仿宋_GB2312" w:hAnsi="宋体" w:eastAsia="仿宋_GB2312"/>
                <w:b/>
                <w:sz w:val="24"/>
                <w:szCs w:val="24"/>
              </w:rPr>
              <w:t>序号</w:t>
            </w:r>
          </w:p>
        </w:tc>
        <w:tc>
          <w:tcPr>
            <w:tcW w:w="3932"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ascii="仿宋_GB2312" w:hAnsi="宋体" w:eastAsia="仿宋_GB2312"/>
                <w:b/>
                <w:sz w:val="24"/>
                <w:szCs w:val="24"/>
              </w:rPr>
            </w:pPr>
            <w:r>
              <w:rPr>
                <w:rFonts w:hint="eastAsia" w:ascii="仿宋_GB2312" w:hAnsi="宋体"/>
                <w:b/>
                <w:sz w:val="24"/>
                <w:szCs w:val="24"/>
                <w:lang w:eastAsia="zh-CN"/>
              </w:rPr>
              <w:t>开展活动</w:t>
            </w:r>
            <w:r>
              <w:rPr>
                <w:rFonts w:hint="eastAsia" w:ascii="仿宋_GB2312" w:hAnsi="宋体" w:eastAsia="仿宋_GB2312"/>
                <w:b/>
                <w:sz w:val="24"/>
                <w:szCs w:val="24"/>
              </w:rPr>
              <w:t>项目</w:t>
            </w:r>
          </w:p>
        </w:tc>
        <w:tc>
          <w:tcPr>
            <w:tcW w:w="2312"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宋体" w:eastAsia="仿宋_GB2312"/>
                <w:b/>
                <w:sz w:val="24"/>
                <w:szCs w:val="24"/>
                <w:lang w:eastAsia="zh-CN"/>
              </w:rPr>
            </w:pPr>
            <w:r>
              <w:rPr>
                <w:rFonts w:hint="eastAsia" w:ascii="仿宋_GB2312" w:hAnsi="宋体"/>
                <w:b/>
                <w:sz w:val="24"/>
                <w:szCs w:val="24"/>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21"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ascii="仿宋_GB2312" w:hAnsi="宋体" w:eastAsia="仿宋_GB2312"/>
                <w:sz w:val="24"/>
                <w:szCs w:val="24"/>
              </w:rPr>
            </w:pPr>
            <w:r>
              <w:rPr>
                <w:rFonts w:hint="eastAsia" w:ascii="仿宋_GB2312" w:hAnsi="宋体" w:eastAsia="仿宋_GB2312"/>
                <w:sz w:val="24"/>
                <w:szCs w:val="24"/>
              </w:rPr>
              <w:t>1</w:t>
            </w:r>
          </w:p>
        </w:tc>
        <w:tc>
          <w:tcPr>
            <w:tcW w:w="3932"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default" w:ascii="仿宋_GB2312" w:hAnsi="宋体" w:eastAsia="仿宋_GB2312"/>
                <w:sz w:val="24"/>
                <w:szCs w:val="24"/>
                <w:lang w:val="en-US" w:eastAsia="zh-CN"/>
              </w:rPr>
            </w:pPr>
            <w:r>
              <w:rPr>
                <w:rFonts w:hint="eastAsia" w:ascii="仿宋_GB2312" w:hAnsi="宋体"/>
                <w:sz w:val="24"/>
                <w:szCs w:val="24"/>
                <w:lang w:val="en-US" w:eastAsia="zh-CN"/>
              </w:rPr>
              <w:t>2024年第一届全国全民健身大赛（西南区四川省）足球比赛</w:t>
            </w:r>
          </w:p>
        </w:tc>
        <w:tc>
          <w:tcPr>
            <w:tcW w:w="2312" w:type="dxa"/>
            <w:noWrap w:val="0"/>
            <w:vAlign w:val="center"/>
          </w:tcPr>
          <w:p>
            <w:pPr>
              <w:keepNext w:val="0"/>
              <w:keepLines w:val="0"/>
              <w:pageBreakBefore w:val="0"/>
              <w:widowControl/>
              <w:kinsoku/>
              <w:wordWrap/>
              <w:overflowPunct/>
              <w:topLinePunct w:val="0"/>
              <w:autoSpaceDE/>
              <w:autoSpaceDN/>
              <w:bidi w:val="0"/>
              <w:spacing w:line="560" w:lineRule="exact"/>
              <w:jc w:val="center"/>
              <w:textAlignment w:val="auto"/>
              <w:rPr>
                <w:rFonts w:hint="default" w:ascii="仿宋_GB2312" w:hAnsi="宋体" w:eastAsia="仿宋_GB2312"/>
                <w:sz w:val="24"/>
                <w:szCs w:val="24"/>
                <w:lang w:val="en-US" w:eastAsia="zh-CN"/>
              </w:rPr>
            </w:pPr>
            <w:r>
              <w:rPr>
                <w:rFonts w:hint="eastAsia" w:ascii="仿宋_GB2312" w:hAnsi="宋体"/>
                <w:sz w:val="24"/>
                <w:szCs w:val="24"/>
                <w:lang w:val="en-US" w:eastAsia="zh-CN"/>
              </w:rPr>
              <w:t>省足球协会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jc w:val="center"/>
        </w:trPr>
        <w:tc>
          <w:tcPr>
            <w:tcW w:w="821"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ascii="仿宋_GB2312" w:hAnsi="宋体" w:eastAsia="仿宋_GB2312"/>
                <w:sz w:val="24"/>
                <w:szCs w:val="24"/>
              </w:rPr>
            </w:pPr>
            <w:r>
              <w:rPr>
                <w:rFonts w:hint="eastAsia" w:ascii="仿宋_GB2312" w:hAnsi="宋体" w:eastAsia="仿宋_GB2312"/>
                <w:sz w:val="24"/>
                <w:szCs w:val="24"/>
              </w:rPr>
              <w:t>2</w:t>
            </w:r>
          </w:p>
        </w:tc>
        <w:tc>
          <w:tcPr>
            <w:tcW w:w="3932"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default" w:ascii="仿宋_GB2312" w:hAnsi="宋体" w:eastAsia="仿宋_GB2312" w:cs="Times New Roman"/>
                <w:kern w:val="2"/>
                <w:sz w:val="24"/>
                <w:szCs w:val="24"/>
                <w:lang w:val="en-US" w:eastAsia="zh-CN" w:bidi="ar-SA"/>
              </w:rPr>
            </w:pPr>
            <w:r>
              <w:rPr>
                <w:rFonts w:hint="eastAsia" w:ascii="仿宋_GB2312" w:hAnsi="宋体" w:eastAsia="仿宋_GB2312"/>
                <w:sz w:val="24"/>
                <w:szCs w:val="24"/>
              </w:rPr>
              <w:t>参加</w:t>
            </w:r>
            <w:r>
              <w:rPr>
                <w:rFonts w:hint="eastAsia" w:ascii="仿宋_GB2312" w:hAnsi="宋体"/>
                <w:sz w:val="24"/>
                <w:szCs w:val="24"/>
                <w:lang w:eastAsia="zh-CN"/>
              </w:rPr>
              <w:t>四川省第</w:t>
            </w:r>
            <w:r>
              <w:rPr>
                <w:rFonts w:hint="eastAsia" w:ascii="仿宋_GB2312" w:hAnsi="宋体"/>
                <w:sz w:val="24"/>
                <w:szCs w:val="24"/>
                <w:lang w:val="en-US" w:eastAsia="zh-CN"/>
              </w:rPr>
              <w:t>五</w:t>
            </w:r>
            <w:r>
              <w:rPr>
                <w:rFonts w:hint="eastAsia" w:ascii="仿宋_GB2312" w:hAnsi="宋体"/>
                <w:sz w:val="24"/>
                <w:szCs w:val="24"/>
                <w:lang w:eastAsia="zh-CN"/>
              </w:rPr>
              <w:t>届贡嘎杯高校女子专业组足球比赛</w:t>
            </w:r>
          </w:p>
        </w:tc>
        <w:tc>
          <w:tcPr>
            <w:tcW w:w="2312" w:type="dxa"/>
            <w:noWrap w:val="0"/>
            <w:vAlign w:val="center"/>
          </w:tcPr>
          <w:p>
            <w:pPr>
              <w:keepNext w:val="0"/>
              <w:keepLines w:val="0"/>
              <w:pageBreakBefore w:val="0"/>
              <w:widowControl/>
              <w:kinsoku/>
              <w:wordWrap/>
              <w:overflowPunct/>
              <w:topLinePunct w:val="0"/>
              <w:autoSpaceDE/>
              <w:autoSpaceDN/>
              <w:bidi w:val="0"/>
              <w:spacing w:line="560" w:lineRule="exact"/>
              <w:jc w:val="center"/>
              <w:textAlignment w:val="auto"/>
              <w:rPr>
                <w:rFonts w:hint="eastAsia" w:ascii="仿宋_GB2312" w:hAnsi="宋体" w:eastAsia="仿宋_GB2312" w:cs="Times New Roman"/>
                <w:kern w:val="2"/>
                <w:sz w:val="24"/>
                <w:szCs w:val="24"/>
                <w:lang w:val="en-US" w:eastAsia="zh-CN" w:bidi="ar-SA"/>
              </w:rPr>
            </w:pPr>
            <w:r>
              <w:rPr>
                <w:rFonts w:hint="eastAsia" w:ascii="仿宋_GB2312" w:hAnsi="宋体"/>
                <w:sz w:val="24"/>
                <w:szCs w:val="24"/>
                <w:lang w:eastAsia="zh-CN"/>
              </w:rPr>
              <w:t>省教育厅主办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821" w:type="dxa"/>
            <w:tcBorders>
              <w:bottom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ascii="仿宋_GB2312" w:hAnsi="宋体" w:eastAsia="仿宋_GB2312"/>
                <w:sz w:val="24"/>
                <w:szCs w:val="24"/>
              </w:rPr>
            </w:pPr>
            <w:r>
              <w:rPr>
                <w:rFonts w:hint="eastAsia" w:ascii="仿宋_GB2312" w:hAnsi="宋体" w:eastAsia="仿宋_GB2312"/>
                <w:sz w:val="24"/>
                <w:szCs w:val="24"/>
              </w:rPr>
              <w:t>3</w:t>
            </w:r>
          </w:p>
        </w:tc>
        <w:tc>
          <w:tcPr>
            <w:tcW w:w="3932"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宋体" w:eastAsia="仿宋_GB2312" w:cs="Times New Roman"/>
                <w:kern w:val="2"/>
                <w:sz w:val="24"/>
                <w:szCs w:val="24"/>
                <w:lang w:val="en-US" w:eastAsia="zh-CN" w:bidi="ar-SA"/>
              </w:rPr>
            </w:pPr>
            <w:r>
              <w:rPr>
                <w:rFonts w:hint="eastAsia" w:ascii="仿宋_GB2312" w:hAnsi="宋体"/>
                <w:sz w:val="24"/>
                <w:szCs w:val="24"/>
                <w:lang w:eastAsia="zh-CN"/>
              </w:rPr>
              <w:t>学校足球</w:t>
            </w:r>
            <w:r>
              <w:rPr>
                <w:rFonts w:hint="eastAsia" w:ascii="仿宋_GB2312" w:hAnsi="宋体"/>
                <w:sz w:val="24"/>
                <w:szCs w:val="24"/>
                <w:lang w:val="en-US" w:eastAsia="zh-CN"/>
              </w:rPr>
              <w:t>教学</w:t>
            </w:r>
            <w:r>
              <w:rPr>
                <w:rFonts w:hint="eastAsia" w:ascii="仿宋_GB2312" w:hAnsi="宋体"/>
                <w:sz w:val="24"/>
                <w:szCs w:val="24"/>
                <w:lang w:eastAsia="zh-CN"/>
              </w:rPr>
              <w:t>器材</w:t>
            </w:r>
          </w:p>
        </w:tc>
        <w:tc>
          <w:tcPr>
            <w:tcW w:w="2312"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宋体" w:eastAsia="仿宋_GB2312" w:cs="Times New Roman"/>
                <w:kern w:val="2"/>
                <w:sz w:val="24"/>
                <w:szCs w:val="24"/>
                <w:lang w:val="en-US" w:eastAsia="zh-CN" w:bidi="ar-SA"/>
              </w:rPr>
            </w:pPr>
            <w:r>
              <w:rPr>
                <w:rFonts w:hint="eastAsia" w:ascii="仿宋_GB2312" w:hAnsi="宋体"/>
                <w:sz w:val="24"/>
                <w:szCs w:val="24"/>
                <w:lang w:eastAsia="zh-CN"/>
              </w:rPr>
              <w:t>学校采购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821" w:type="dxa"/>
            <w:tcBorders>
              <w:bottom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宋体" w:eastAsia="仿宋_GB2312"/>
                <w:sz w:val="24"/>
                <w:szCs w:val="24"/>
                <w:lang w:val="en-US" w:eastAsia="zh-CN"/>
              </w:rPr>
            </w:pPr>
            <w:r>
              <w:rPr>
                <w:rFonts w:hint="eastAsia" w:ascii="仿宋_GB2312" w:hAnsi="宋体"/>
                <w:sz w:val="24"/>
                <w:szCs w:val="24"/>
                <w:lang w:val="en-US" w:eastAsia="zh-CN"/>
              </w:rPr>
              <w:t>4</w:t>
            </w:r>
          </w:p>
        </w:tc>
        <w:tc>
          <w:tcPr>
            <w:tcW w:w="3932"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default" w:ascii="仿宋_GB2312" w:hAnsi="宋体" w:eastAsia="仿宋_GB2312"/>
                <w:sz w:val="24"/>
                <w:szCs w:val="24"/>
                <w:lang w:val="en-US" w:eastAsia="zh-CN"/>
              </w:rPr>
            </w:pPr>
            <w:r>
              <w:rPr>
                <w:rFonts w:hint="eastAsia" w:ascii="仿宋_GB2312" w:hAnsi="宋体"/>
                <w:sz w:val="24"/>
                <w:szCs w:val="24"/>
                <w:lang w:val="en-US" w:eastAsia="zh-CN"/>
              </w:rPr>
              <w:t>参加全国第十五届运动会群众项目沙滩足球四川省预选赛</w:t>
            </w:r>
          </w:p>
        </w:tc>
        <w:tc>
          <w:tcPr>
            <w:tcW w:w="2312"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default" w:ascii="仿宋_GB2312" w:hAnsi="宋体"/>
                <w:sz w:val="24"/>
                <w:szCs w:val="24"/>
                <w:lang w:val="en-US" w:eastAsia="zh-CN"/>
              </w:rPr>
            </w:pPr>
            <w:r>
              <w:rPr>
                <w:rFonts w:hint="eastAsia" w:ascii="仿宋_GB2312" w:hAnsi="宋体"/>
                <w:sz w:val="24"/>
                <w:szCs w:val="24"/>
                <w:lang w:val="en-US" w:eastAsia="zh-CN"/>
              </w:rPr>
              <w:t>省体育局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821" w:type="dxa"/>
            <w:tcBorders>
              <w:bottom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宋体" w:eastAsia="仿宋_GB2312"/>
                <w:sz w:val="24"/>
                <w:szCs w:val="24"/>
                <w:lang w:val="en-US" w:eastAsia="zh-CN"/>
              </w:rPr>
            </w:pPr>
            <w:r>
              <w:rPr>
                <w:rFonts w:hint="eastAsia" w:ascii="仿宋_GB2312" w:hAnsi="宋体"/>
                <w:sz w:val="24"/>
                <w:szCs w:val="24"/>
                <w:lang w:val="en-US" w:eastAsia="zh-CN"/>
              </w:rPr>
              <w:t>5</w:t>
            </w:r>
          </w:p>
        </w:tc>
        <w:tc>
          <w:tcPr>
            <w:tcW w:w="3932"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宋体" w:eastAsia="仿宋_GB2312" w:cs="Times New Roman"/>
                <w:kern w:val="2"/>
                <w:sz w:val="24"/>
                <w:szCs w:val="24"/>
                <w:lang w:val="en-US" w:eastAsia="zh-CN" w:bidi="ar-SA"/>
              </w:rPr>
            </w:pPr>
            <w:r>
              <w:rPr>
                <w:rFonts w:hint="eastAsia" w:ascii="仿宋_GB2312" w:hAnsi="宋体"/>
                <w:sz w:val="24"/>
                <w:szCs w:val="24"/>
                <w:lang w:eastAsia="zh-CN"/>
              </w:rPr>
              <w:t>组织学校足球校级联赛</w:t>
            </w:r>
          </w:p>
        </w:tc>
        <w:tc>
          <w:tcPr>
            <w:tcW w:w="2312"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宋体" w:eastAsia="仿宋_GB2312" w:cs="Times New Roman"/>
                <w:kern w:val="2"/>
                <w:sz w:val="24"/>
                <w:szCs w:val="24"/>
                <w:lang w:val="en-US" w:eastAsia="zh-CN" w:bidi="ar-SA"/>
              </w:rPr>
            </w:pPr>
            <w:r>
              <w:rPr>
                <w:rFonts w:hint="eastAsia" w:ascii="仿宋_GB2312" w:hAnsi="宋体"/>
                <w:sz w:val="24"/>
                <w:szCs w:val="24"/>
                <w:lang w:eastAsia="zh-CN"/>
              </w:rPr>
              <w:t>学校主办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821"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default" w:ascii="仿宋_GB2312" w:hAnsi="宋体"/>
                <w:sz w:val="24"/>
                <w:szCs w:val="24"/>
                <w:lang w:val="en-US" w:eastAsia="zh-CN"/>
              </w:rPr>
            </w:pPr>
            <w:r>
              <w:rPr>
                <w:rFonts w:hint="eastAsia" w:ascii="仿宋_GB2312" w:hAnsi="宋体"/>
                <w:sz w:val="24"/>
                <w:szCs w:val="24"/>
                <w:lang w:val="en-US" w:eastAsia="zh-CN"/>
              </w:rPr>
              <w:t>6</w:t>
            </w:r>
          </w:p>
        </w:tc>
        <w:tc>
          <w:tcPr>
            <w:tcW w:w="3932"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default" w:ascii="仿宋_GB2312" w:hAnsi="宋体"/>
                <w:sz w:val="24"/>
                <w:szCs w:val="24"/>
                <w:lang w:val="en-US" w:eastAsia="zh-CN"/>
              </w:rPr>
            </w:pPr>
            <w:r>
              <w:rPr>
                <w:rFonts w:hint="eastAsia" w:ascii="仿宋_GB2312" w:hAnsi="宋体"/>
                <w:sz w:val="24"/>
                <w:szCs w:val="24"/>
                <w:lang w:eastAsia="zh-CN"/>
              </w:rPr>
              <w:t>教练员参加</w:t>
            </w:r>
            <w:r>
              <w:rPr>
                <w:rFonts w:hint="eastAsia" w:ascii="仿宋_GB2312" w:hAnsi="宋体"/>
                <w:sz w:val="24"/>
                <w:szCs w:val="24"/>
                <w:lang w:val="en-US" w:eastAsia="zh-CN"/>
              </w:rPr>
              <w:t>2024年国家一级社会体育指导员培训班（足球）</w:t>
            </w:r>
          </w:p>
        </w:tc>
        <w:tc>
          <w:tcPr>
            <w:tcW w:w="2312"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default" w:ascii="仿宋_GB2312" w:hAnsi="宋体"/>
                <w:sz w:val="24"/>
                <w:szCs w:val="24"/>
                <w:lang w:val="en-US" w:eastAsia="zh-CN"/>
              </w:rPr>
            </w:pPr>
            <w:r>
              <w:rPr>
                <w:rFonts w:hint="eastAsia" w:ascii="仿宋_GB2312" w:hAnsi="宋体"/>
                <w:sz w:val="24"/>
                <w:szCs w:val="24"/>
                <w:lang w:val="en-US" w:eastAsia="zh-CN"/>
              </w:rPr>
              <w:t>四川省体育局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821"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default" w:ascii="仿宋_GB2312" w:hAnsi="宋体"/>
                <w:sz w:val="24"/>
                <w:szCs w:val="24"/>
                <w:lang w:val="en-US" w:eastAsia="zh-CN"/>
              </w:rPr>
            </w:pPr>
            <w:r>
              <w:rPr>
                <w:rFonts w:hint="eastAsia" w:ascii="仿宋_GB2312" w:hAnsi="宋体"/>
                <w:sz w:val="24"/>
                <w:szCs w:val="24"/>
                <w:lang w:val="en-US" w:eastAsia="zh-CN"/>
              </w:rPr>
              <w:t>7</w:t>
            </w:r>
          </w:p>
        </w:tc>
        <w:tc>
          <w:tcPr>
            <w:tcW w:w="3932"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default" w:ascii="仿宋_GB2312" w:hAnsi="宋体"/>
                <w:sz w:val="24"/>
                <w:szCs w:val="24"/>
                <w:lang w:val="en-US" w:eastAsia="zh-CN"/>
              </w:rPr>
            </w:pPr>
            <w:r>
              <w:rPr>
                <w:rFonts w:hint="eastAsia" w:ascii="仿宋_GB2312" w:hAnsi="宋体"/>
                <w:sz w:val="24"/>
                <w:szCs w:val="24"/>
                <w:lang w:eastAsia="zh-CN"/>
              </w:rPr>
              <w:t>选派学生参加四川省足球协会</w:t>
            </w:r>
            <w:r>
              <w:rPr>
                <w:rFonts w:hint="eastAsia" w:ascii="仿宋_GB2312" w:hAnsi="宋体"/>
                <w:sz w:val="24"/>
                <w:szCs w:val="24"/>
                <w:lang w:val="en-US" w:eastAsia="zh-CN"/>
              </w:rPr>
              <w:t>E级教练员培训班</w:t>
            </w:r>
          </w:p>
        </w:tc>
        <w:tc>
          <w:tcPr>
            <w:tcW w:w="2312"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宋体"/>
                <w:sz w:val="24"/>
                <w:szCs w:val="24"/>
                <w:lang w:eastAsia="zh-CN"/>
              </w:rPr>
            </w:pPr>
            <w:r>
              <w:rPr>
                <w:rFonts w:hint="eastAsia" w:ascii="仿宋_GB2312" w:hAnsi="宋体"/>
                <w:sz w:val="24"/>
                <w:szCs w:val="24"/>
                <w:lang w:eastAsia="zh-CN"/>
              </w:rPr>
              <w:t>四川足协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821" w:type="dxa"/>
            <w:tcBorders>
              <w:bottom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default" w:ascii="仿宋_GB2312" w:hAnsi="宋体"/>
                <w:sz w:val="24"/>
                <w:szCs w:val="24"/>
                <w:lang w:val="en-US" w:eastAsia="zh-CN"/>
              </w:rPr>
            </w:pPr>
            <w:r>
              <w:rPr>
                <w:rFonts w:hint="eastAsia" w:ascii="仿宋_GB2312" w:hAnsi="宋体"/>
                <w:sz w:val="24"/>
                <w:szCs w:val="24"/>
                <w:lang w:val="en-US" w:eastAsia="zh-CN"/>
              </w:rPr>
              <w:t>8</w:t>
            </w:r>
          </w:p>
        </w:tc>
        <w:tc>
          <w:tcPr>
            <w:tcW w:w="3932"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宋体"/>
                <w:sz w:val="24"/>
                <w:szCs w:val="24"/>
                <w:lang w:eastAsia="zh-CN"/>
              </w:rPr>
            </w:pPr>
            <w:r>
              <w:rPr>
                <w:rFonts w:hint="eastAsia" w:ascii="仿宋_GB2312" w:hAnsi="宋体"/>
                <w:sz w:val="24"/>
                <w:szCs w:val="24"/>
                <w:lang w:eastAsia="zh-CN"/>
              </w:rPr>
              <w:t>选派学生参加四川省足球协会二级足球裁判员培训班</w:t>
            </w:r>
          </w:p>
        </w:tc>
        <w:tc>
          <w:tcPr>
            <w:tcW w:w="2312"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宋体"/>
                <w:sz w:val="24"/>
                <w:szCs w:val="24"/>
                <w:lang w:eastAsia="zh-CN"/>
              </w:rPr>
            </w:pPr>
            <w:r>
              <w:rPr>
                <w:rFonts w:hint="eastAsia" w:ascii="仿宋_GB2312" w:hAnsi="宋体"/>
                <w:sz w:val="24"/>
                <w:szCs w:val="24"/>
                <w:lang w:eastAsia="zh-CN"/>
              </w:rPr>
              <w:t>四川足协</w:t>
            </w:r>
          </w:p>
        </w:tc>
      </w:tr>
    </w:tbl>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楷体_GB2312" w:hAnsi="仿宋" w:eastAsia="楷体_GB2312" w:cs="仿宋_GB2312"/>
          <w:sz w:val="32"/>
          <w:szCs w:val="32"/>
          <w:shd w:val="clear" w:color="auto" w:fill="FFFFFF"/>
        </w:rPr>
      </w:pPr>
      <w:r>
        <w:rPr>
          <w:rFonts w:hint="eastAsia" w:ascii="楷体_GB2312" w:hAnsi="仿宋" w:eastAsia="楷体_GB2312" w:cs="仿宋_GB2312"/>
          <w:sz w:val="32"/>
          <w:szCs w:val="32"/>
          <w:shd w:val="clear" w:color="auto" w:fill="FFFFFF"/>
          <w:lang w:eastAsia="zh-CN"/>
        </w:rPr>
        <w:t>（</w:t>
      </w:r>
      <w:r>
        <w:rPr>
          <w:rFonts w:hint="eastAsia" w:ascii="楷体_GB2312" w:hAnsi="仿宋" w:eastAsia="楷体_GB2312" w:cs="仿宋_GB2312"/>
          <w:sz w:val="32"/>
          <w:szCs w:val="32"/>
          <w:shd w:val="clear" w:color="auto" w:fill="FFFFFF"/>
          <w:lang w:val="en-US" w:eastAsia="zh-CN"/>
        </w:rPr>
        <w:t>四）</w:t>
      </w:r>
      <w:r>
        <w:rPr>
          <w:rFonts w:hint="eastAsia" w:ascii="楷体_GB2312" w:hAnsi="仿宋" w:eastAsia="楷体_GB2312" w:cs="仿宋_GB2312"/>
          <w:sz w:val="32"/>
          <w:szCs w:val="32"/>
          <w:shd w:val="clear" w:color="auto" w:fill="FFFFFF"/>
        </w:rPr>
        <w:t>项目资金使用情况。</w:t>
      </w:r>
    </w:p>
    <w:p>
      <w:pPr>
        <w:keepNext w:val="0"/>
        <w:keepLines w:val="0"/>
        <w:pageBreakBefore w:val="0"/>
        <w:kinsoku/>
        <w:wordWrap/>
        <w:overflowPunct/>
        <w:topLinePunct w:val="0"/>
        <w:autoSpaceDE/>
        <w:autoSpaceDN/>
        <w:bidi w:val="0"/>
        <w:spacing w:line="560" w:lineRule="exact"/>
        <w:ind w:firstLine="601" w:firstLineChars="188"/>
        <w:textAlignment w:val="auto"/>
        <w:outlineLvl w:val="1"/>
        <w:rPr>
          <w:rFonts w:ascii="仿宋_GB2312" w:hAnsi="仿宋" w:eastAsia="仿宋_GB2312" w:cs="仿宋_GB2312"/>
          <w:kern w:val="0"/>
          <w:sz w:val="32"/>
          <w:szCs w:val="32"/>
        </w:rPr>
      </w:pPr>
      <w:bookmarkStart w:id="107" w:name="_Toc14834"/>
      <w:r>
        <w:rPr>
          <w:rFonts w:hint="eastAsia" w:ascii="仿宋_GB2312" w:hAnsi="仿宋" w:eastAsia="仿宋_GB2312" w:cs="仿宋_GB2312"/>
          <w:kern w:val="0"/>
          <w:sz w:val="32"/>
          <w:szCs w:val="32"/>
        </w:rPr>
        <w:t>20</w:t>
      </w:r>
      <w:r>
        <w:rPr>
          <w:rFonts w:hint="eastAsia" w:ascii="仿宋_GB2312" w:hAnsi="仿宋" w:cs="仿宋_GB2312"/>
          <w:kern w:val="0"/>
          <w:sz w:val="32"/>
          <w:szCs w:val="32"/>
          <w:lang w:val="en-US" w:eastAsia="zh-CN"/>
        </w:rPr>
        <w:t>24</w:t>
      </w:r>
      <w:r>
        <w:rPr>
          <w:rFonts w:hint="eastAsia" w:ascii="仿宋_GB2312" w:hAnsi="仿宋" w:eastAsia="仿宋_GB2312" w:cs="仿宋_GB2312"/>
          <w:kern w:val="0"/>
          <w:sz w:val="32"/>
          <w:szCs w:val="32"/>
        </w:rPr>
        <w:t>年项目资金拨付及使用明细情况如下表：</w:t>
      </w:r>
      <w:bookmarkEnd w:id="107"/>
    </w:p>
    <w:tbl>
      <w:tblPr>
        <w:tblStyle w:val="16"/>
        <w:tblW w:w="8050" w:type="dxa"/>
        <w:tblInd w:w="2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3798"/>
        <w:gridCol w:w="1629"/>
        <w:gridCol w:w="1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750"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ascii="仿宋_GB2312" w:hAnsi="宋体" w:eastAsia="仿宋_GB2312"/>
                <w:b/>
                <w:sz w:val="24"/>
                <w:szCs w:val="24"/>
              </w:rPr>
            </w:pPr>
            <w:r>
              <w:rPr>
                <w:rFonts w:hint="eastAsia" w:ascii="仿宋_GB2312" w:hAnsi="宋体" w:eastAsia="仿宋_GB2312"/>
                <w:b/>
                <w:sz w:val="24"/>
                <w:szCs w:val="24"/>
              </w:rPr>
              <w:t>序号</w:t>
            </w:r>
          </w:p>
        </w:tc>
        <w:tc>
          <w:tcPr>
            <w:tcW w:w="3798"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ascii="仿宋_GB2312" w:hAnsi="宋体" w:eastAsia="仿宋_GB2312"/>
                <w:b/>
                <w:sz w:val="24"/>
                <w:szCs w:val="24"/>
              </w:rPr>
            </w:pPr>
            <w:r>
              <w:rPr>
                <w:rFonts w:hint="eastAsia" w:ascii="仿宋_GB2312" w:hAnsi="宋体" w:eastAsia="仿宋_GB2312"/>
                <w:b/>
                <w:sz w:val="24"/>
                <w:szCs w:val="24"/>
              </w:rPr>
              <w:t>具体项目</w:t>
            </w:r>
          </w:p>
        </w:tc>
        <w:tc>
          <w:tcPr>
            <w:tcW w:w="1629"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ascii="仿宋_GB2312" w:hAnsi="宋体" w:eastAsia="仿宋_GB2312"/>
                <w:b/>
                <w:sz w:val="24"/>
                <w:szCs w:val="24"/>
              </w:rPr>
            </w:pPr>
            <w:r>
              <w:rPr>
                <w:rFonts w:hint="eastAsia" w:ascii="仿宋_GB2312" w:hAnsi="宋体" w:eastAsia="仿宋_GB2312"/>
                <w:b/>
                <w:sz w:val="24"/>
                <w:szCs w:val="24"/>
              </w:rPr>
              <w:t>经费</w:t>
            </w:r>
          </w:p>
        </w:tc>
        <w:tc>
          <w:tcPr>
            <w:tcW w:w="1873"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宋体" w:eastAsia="仿宋_GB2312"/>
                <w:b/>
                <w:sz w:val="24"/>
                <w:szCs w:val="24"/>
                <w:lang w:eastAsia="zh-CN"/>
              </w:rPr>
            </w:pPr>
            <w:r>
              <w:rPr>
                <w:rFonts w:hint="eastAsia" w:ascii="仿宋_GB2312" w:hAnsi="宋体"/>
                <w:b/>
                <w:sz w:val="24"/>
                <w:szCs w:val="24"/>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50"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ascii="仿宋_GB2312" w:hAnsi="宋体" w:eastAsia="仿宋_GB2312"/>
                <w:sz w:val="24"/>
                <w:szCs w:val="24"/>
              </w:rPr>
            </w:pPr>
            <w:r>
              <w:rPr>
                <w:rFonts w:hint="eastAsia" w:ascii="仿宋_GB2312" w:hAnsi="宋体" w:eastAsia="仿宋_GB2312"/>
                <w:sz w:val="24"/>
                <w:szCs w:val="24"/>
              </w:rPr>
              <w:t>1</w:t>
            </w:r>
          </w:p>
        </w:tc>
        <w:tc>
          <w:tcPr>
            <w:tcW w:w="3798" w:type="dxa"/>
            <w:noWrap w:val="0"/>
            <w:vAlign w:val="center"/>
          </w:tcPr>
          <w:p>
            <w:pPr>
              <w:keepNext w:val="0"/>
              <w:keepLines w:val="0"/>
              <w:pageBreakBefore w:val="0"/>
              <w:kinsoku/>
              <w:wordWrap/>
              <w:overflowPunct/>
              <w:topLinePunct w:val="0"/>
              <w:autoSpaceDE/>
              <w:autoSpaceDN/>
              <w:bidi w:val="0"/>
              <w:spacing w:line="56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sz w:val="24"/>
                <w:szCs w:val="24"/>
                <w:lang w:val="en-US" w:eastAsia="zh-CN"/>
              </w:rPr>
              <w:t>2024年第一届全国全民健身大赛（西南区四川省）足球比赛</w:t>
            </w:r>
          </w:p>
        </w:tc>
        <w:tc>
          <w:tcPr>
            <w:tcW w:w="1629" w:type="dxa"/>
            <w:noWrap w:val="0"/>
            <w:vAlign w:val="center"/>
          </w:tcPr>
          <w:p>
            <w:pPr>
              <w:keepNext w:val="0"/>
              <w:keepLines w:val="0"/>
              <w:pageBreakBefore w:val="0"/>
              <w:widowControl/>
              <w:kinsoku/>
              <w:wordWrap/>
              <w:overflowPunct/>
              <w:topLinePunct w:val="0"/>
              <w:autoSpaceDE/>
              <w:autoSpaceDN/>
              <w:bidi w:val="0"/>
              <w:spacing w:line="560" w:lineRule="exact"/>
              <w:jc w:val="center"/>
              <w:textAlignment w:val="auto"/>
              <w:rPr>
                <w:rFonts w:hint="default" w:ascii="仿宋_GB2312" w:hAnsi="宋体" w:eastAsia="仿宋_GB2312" w:cs="Times New Roman"/>
                <w:kern w:val="2"/>
                <w:sz w:val="24"/>
                <w:szCs w:val="24"/>
                <w:lang w:val="en-US" w:eastAsia="zh-CN" w:bidi="ar-SA"/>
              </w:rPr>
            </w:pPr>
            <w:r>
              <w:rPr>
                <w:rFonts w:hint="eastAsia" w:ascii="仿宋_GB2312" w:hAnsi="宋体" w:cs="Times New Roman"/>
                <w:kern w:val="2"/>
                <w:sz w:val="24"/>
                <w:szCs w:val="24"/>
                <w:lang w:val="en-US" w:eastAsia="zh-CN" w:bidi="ar-SA"/>
              </w:rPr>
              <w:t>14930.00</w:t>
            </w:r>
          </w:p>
        </w:tc>
        <w:tc>
          <w:tcPr>
            <w:tcW w:w="1873" w:type="dxa"/>
            <w:noWrap w:val="0"/>
            <w:vAlign w:val="center"/>
          </w:tcPr>
          <w:p>
            <w:pPr>
              <w:keepNext w:val="0"/>
              <w:keepLines w:val="0"/>
              <w:pageBreakBefore w:val="0"/>
              <w:widowControl/>
              <w:kinsoku/>
              <w:wordWrap/>
              <w:overflowPunct/>
              <w:topLinePunct w:val="0"/>
              <w:autoSpaceDE/>
              <w:autoSpaceDN/>
              <w:bidi w:val="0"/>
              <w:spacing w:line="560" w:lineRule="exact"/>
              <w:jc w:val="center"/>
              <w:textAlignment w:val="auto"/>
              <w:rPr>
                <w:rFonts w:hint="eastAsia" w:ascii="仿宋_GB2312" w:hAnsi="宋体" w:eastAsia="仿宋_GB2312"/>
                <w:sz w:val="24"/>
                <w:szCs w:val="24"/>
                <w:lang w:eastAsia="zh-CN"/>
              </w:rPr>
            </w:pPr>
            <w:r>
              <w:rPr>
                <w:rFonts w:hint="eastAsia" w:ascii="仿宋_GB2312" w:hAnsi="宋体"/>
                <w:sz w:val="24"/>
                <w:szCs w:val="24"/>
                <w:lang w:val="en-US" w:eastAsia="zh-CN"/>
              </w:rPr>
              <w:t>学校专项</w:t>
            </w:r>
            <w:r>
              <w:rPr>
                <w:rFonts w:hint="eastAsia" w:ascii="仿宋_GB2312" w:hAnsi="宋体"/>
                <w:sz w:val="24"/>
                <w:szCs w:val="24"/>
                <w:lang w:eastAsia="zh-CN"/>
              </w:rPr>
              <w:t>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trPr>
        <w:tc>
          <w:tcPr>
            <w:tcW w:w="750"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ascii="仿宋_GB2312" w:hAnsi="宋体" w:eastAsia="仿宋_GB2312"/>
                <w:sz w:val="24"/>
                <w:szCs w:val="24"/>
              </w:rPr>
            </w:pPr>
            <w:r>
              <w:rPr>
                <w:rFonts w:hint="eastAsia" w:ascii="仿宋_GB2312" w:hAnsi="宋体" w:eastAsia="仿宋_GB2312"/>
                <w:sz w:val="24"/>
                <w:szCs w:val="24"/>
              </w:rPr>
              <w:t>2</w:t>
            </w:r>
          </w:p>
        </w:tc>
        <w:tc>
          <w:tcPr>
            <w:tcW w:w="3798"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default" w:ascii="仿宋_GB2312" w:hAnsi="宋体" w:eastAsia="仿宋_GB2312" w:cs="Times New Roman"/>
                <w:kern w:val="2"/>
                <w:sz w:val="24"/>
                <w:szCs w:val="24"/>
                <w:lang w:val="en-US" w:eastAsia="zh-CN" w:bidi="ar-SA"/>
              </w:rPr>
            </w:pPr>
            <w:r>
              <w:rPr>
                <w:rFonts w:hint="eastAsia" w:ascii="仿宋_GB2312" w:hAnsi="宋体" w:eastAsia="仿宋_GB2312"/>
                <w:sz w:val="24"/>
                <w:szCs w:val="24"/>
              </w:rPr>
              <w:t>参加</w:t>
            </w:r>
            <w:r>
              <w:rPr>
                <w:rFonts w:hint="eastAsia" w:ascii="仿宋_GB2312" w:hAnsi="宋体"/>
                <w:sz w:val="24"/>
                <w:szCs w:val="24"/>
                <w:lang w:eastAsia="zh-CN"/>
              </w:rPr>
              <w:t>四川省第</w:t>
            </w:r>
            <w:r>
              <w:rPr>
                <w:rFonts w:hint="eastAsia" w:ascii="仿宋_GB2312" w:hAnsi="宋体"/>
                <w:sz w:val="24"/>
                <w:szCs w:val="24"/>
                <w:lang w:val="en-US" w:eastAsia="zh-CN"/>
              </w:rPr>
              <w:t>五</w:t>
            </w:r>
            <w:r>
              <w:rPr>
                <w:rFonts w:hint="eastAsia" w:ascii="仿宋_GB2312" w:hAnsi="宋体"/>
                <w:sz w:val="24"/>
                <w:szCs w:val="24"/>
                <w:lang w:eastAsia="zh-CN"/>
              </w:rPr>
              <w:t>届贡嘎杯高校女子专业组足球比赛</w:t>
            </w:r>
          </w:p>
        </w:tc>
        <w:tc>
          <w:tcPr>
            <w:tcW w:w="1629"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default" w:ascii="仿宋_GB2312" w:hAnsi="宋体" w:eastAsia="仿宋_GB2312" w:cs="Times New Roman"/>
                <w:kern w:val="2"/>
                <w:sz w:val="24"/>
                <w:szCs w:val="24"/>
                <w:lang w:val="en-US" w:eastAsia="zh-CN" w:bidi="ar-SA"/>
              </w:rPr>
            </w:pPr>
            <w:r>
              <w:rPr>
                <w:rFonts w:hint="eastAsia" w:ascii="仿宋_GB2312" w:hAnsi="宋体"/>
                <w:sz w:val="24"/>
                <w:szCs w:val="24"/>
                <w:lang w:val="en-US" w:eastAsia="zh-CN"/>
              </w:rPr>
              <w:t>74354.00</w:t>
            </w:r>
          </w:p>
        </w:tc>
        <w:tc>
          <w:tcPr>
            <w:tcW w:w="1873" w:type="dxa"/>
            <w:noWrap w:val="0"/>
            <w:vAlign w:val="center"/>
          </w:tcPr>
          <w:p>
            <w:pPr>
              <w:keepNext w:val="0"/>
              <w:keepLines w:val="0"/>
              <w:pageBreakBefore w:val="0"/>
              <w:widowControl/>
              <w:kinsoku/>
              <w:wordWrap/>
              <w:overflowPunct/>
              <w:topLinePunct w:val="0"/>
              <w:autoSpaceDE/>
              <w:autoSpaceDN/>
              <w:bidi w:val="0"/>
              <w:spacing w:line="560" w:lineRule="exact"/>
              <w:jc w:val="center"/>
              <w:textAlignment w:val="auto"/>
              <w:rPr>
                <w:rFonts w:hint="eastAsia" w:ascii="仿宋_GB2312" w:hAnsi="宋体" w:eastAsia="仿宋_GB2312" w:cs="Times New Roman"/>
                <w:kern w:val="2"/>
                <w:sz w:val="24"/>
                <w:szCs w:val="24"/>
                <w:lang w:val="en-US" w:eastAsia="zh-CN" w:bidi="ar-SA"/>
              </w:rPr>
            </w:pPr>
            <w:r>
              <w:rPr>
                <w:rFonts w:hint="eastAsia" w:ascii="仿宋_GB2312" w:hAnsi="宋体"/>
                <w:sz w:val="24"/>
                <w:szCs w:val="24"/>
                <w:lang w:val="en-US" w:eastAsia="zh-CN"/>
              </w:rPr>
              <w:t>学校</w:t>
            </w:r>
            <w:r>
              <w:rPr>
                <w:rFonts w:hint="eastAsia" w:ascii="仿宋_GB2312" w:hAnsi="宋体"/>
                <w:sz w:val="24"/>
                <w:szCs w:val="24"/>
                <w:lang w:eastAsia="zh-CN"/>
              </w:rPr>
              <w:t>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50" w:type="dxa"/>
            <w:tcBorders>
              <w:bottom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ascii="仿宋_GB2312" w:hAnsi="宋体" w:eastAsia="仿宋_GB2312"/>
                <w:sz w:val="24"/>
                <w:szCs w:val="24"/>
              </w:rPr>
            </w:pPr>
            <w:r>
              <w:rPr>
                <w:rFonts w:hint="eastAsia" w:ascii="仿宋_GB2312" w:hAnsi="宋体" w:eastAsia="仿宋_GB2312"/>
                <w:sz w:val="24"/>
                <w:szCs w:val="24"/>
              </w:rPr>
              <w:t>3</w:t>
            </w:r>
          </w:p>
        </w:tc>
        <w:tc>
          <w:tcPr>
            <w:tcW w:w="3798"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sz w:val="24"/>
                <w:szCs w:val="24"/>
              </w:rPr>
              <w:t xml:space="preserve">  </w:t>
            </w:r>
            <w:r>
              <w:rPr>
                <w:rFonts w:hint="eastAsia" w:ascii="仿宋_GB2312" w:hAnsi="宋体"/>
                <w:sz w:val="24"/>
                <w:szCs w:val="24"/>
                <w:lang w:eastAsia="zh-CN"/>
              </w:rPr>
              <w:t>学校足球训练器材</w:t>
            </w:r>
          </w:p>
        </w:tc>
        <w:tc>
          <w:tcPr>
            <w:tcW w:w="1629"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default" w:ascii="仿宋_GB2312" w:hAnsi="宋体" w:eastAsia="仿宋_GB2312" w:cs="Times New Roman"/>
                <w:kern w:val="2"/>
                <w:sz w:val="24"/>
                <w:szCs w:val="24"/>
                <w:lang w:val="en-US" w:eastAsia="zh-CN" w:bidi="ar-SA"/>
              </w:rPr>
            </w:pPr>
            <w:r>
              <w:rPr>
                <w:rFonts w:hint="eastAsia" w:ascii="仿宋_GB2312" w:hAnsi="宋体"/>
                <w:sz w:val="24"/>
                <w:szCs w:val="24"/>
                <w:lang w:val="en-US" w:eastAsia="zh-CN"/>
              </w:rPr>
              <w:t>13430.00</w:t>
            </w:r>
          </w:p>
        </w:tc>
        <w:tc>
          <w:tcPr>
            <w:tcW w:w="1873"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宋体" w:eastAsia="仿宋_GB2312" w:cs="Times New Roman"/>
                <w:kern w:val="2"/>
                <w:sz w:val="24"/>
                <w:szCs w:val="24"/>
                <w:lang w:val="en-US" w:eastAsia="zh-CN" w:bidi="ar-SA"/>
              </w:rPr>
            </w:pPr>
            <w:r>
              <w:rPr>
                <w:rFonts w:hint="eastAsia" w:ascii="仿宋_GB2312" w:hAnsi="宋体"/>
                <w:sz w:val="24"/>
                <w:szCs w:val="24"/>
                <w:lang w:val="en-US" w:eastAsia="zh-CN"/>
              </w:rPr>
              <w:t>学校</w:t>
            </w:r>
            <w:r>
              <w:rPr>
                <w:rFonts w:hint="eastAsia" w:ascii="仿宋_GB2312" w:hAnsi="宋体"/>
                <w:sz w:val="24"/>
                <w:szCs w:val="24"/>
                <w:lang w:eastAsia="zh-CN"/>
              </w:rPr>
              <w:t>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50" w:type="dxa"/>
            <w:tcBorders>
              <w:bottom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宋体" w:eastAsia="仿宋_GB2312"/>
                <w:sz w:val="24"/>
                <w:szCs w:val="24"/>
                <w:lang w:val="en-US" w:eastAsia="zh-CN"/>
              </w:rPr>
            </w:pPr>
            <w:r>
              <w:rPr>
                <w:rFonts w:hint="eastAsia" w:ascii="仿宋_GB2312" w:hAnsi="宋体"/>
                <w:sz w:val="24"/>
                <w:szCs w:val="24"/>
                <w:lang w:val="en-US" w:eastAsia="zh-CN"/>
              </w:rPr>
              <w:t>4</w:t>
            </w:r>
          </w:p>
        </w:tc>
        <w:tc>
          <w:tcPr>
            <w:tcW w:w="3798"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default" w:ascii="仿宋_GB2312" w:hAnsi="宋体" w:eastAsia="仿宋_GB2312"/>
                <w:sz w:val="24"/>
                <w:szCs w:val="24"/>
                <w:lang w:val="en-US" w:eastAsia="zh-CN"/>
              </w:rPr>
            </w:pPr>
            <w:r>
              <w:rPr>
                <w:rFonts w:hint="eastAsia" w:ascii="仿宋_GB2312" w:hAnsi="宋体"/>
                <w:sz w:val="24"/>
                <w:szCs w:val="24"/>
                <w:lang w:val="en-US" w:eastAsia="zh-CN"/>
              </w:rPr>
              <w:t>学校校园足球比赛</w:t>
            </w:r>
          </w:p>
        </w:tc>
        <w:tc>
          <w:tcPr>
            <w:tcW w:w="1629"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default" w:ascii="仿宋_GB2312" w:hAnsi="宋体"/>
                <w:sz w:val="24"/>
                <w:szCs w:val="24"/>
                <w:lang w:val="en-US" w:eastAsia="zh-CN"/>
              </w:rPr>
            </w:pPr>
            <w:r>
              <w:rPr>
                <w:rFonts w:hint="eastAsia" w:ascii="仿宋_GB2312" w:hAnsi="宋体"/>
                <w:sz w:val="24"/>
                <w:szCs w:val="24"/>
                <w:lang w:val="en-US" w:eastAsia="zh-CN"/>
              </w:rPr>
              <w:t>8000.00</w:t>
            </w:r>
          </w:p>
        </w:tc>
        <w:tc>
          <w:tcPr>
            <w:tcW w:w="1873"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default" w:ascii="仿宋_GB2312" w:hAnsi="宋体"/>
                <w:sz w:val="24"/>
                <w:szCs w:val="24"/>
                <w:lang w:val="en-US" w:eastAsia="zh-CN"/>
              </w:rPr>
            </w:pPr>
            <w:r>
              <w:rPr>
                <w:rFonts w:hint="eastAsia" w:ascii="仿宋_GB2312" w:hAnsi="宋体"/>
                <w:sz w:val="24"/>
                <w:szCs w:val="24"/>
                <w:lang w:val="en-US" w:eastAsia="zh-CN"/>
              </w:rPr>
              <w:t>学校资金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750" w:type="dxa"/>
            <w:tcBorders>
              <w:bottom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default" w:ascii="仿宋_GB2312" w:hAnsi="宋体"/>
                <w:sz w:val="24"/>
                <w:szCs w:val="24"/>
                <w:lang w:val="en-US" w:eastAsia="zh-CN"/>
              </w:rPr>
            </w:pPr>
            <w:r>
              <w:rPr>
                <w:rFonts w:hint="eastAsia" w:ascii="仿宋_GB2312" w:hAnsi="宋体"/>
                <w:sz w:val="24"/>
                <w:szCs w:val="24"/>
                <w:lang w:val="en-US" w:eastAsia="zh-CN"/>
              </w:rPr>
              <w:t>5</w:t>
            </w:r>
          </w:p>
        </w:tc>
        <w:tc>
          <w:tcPr>
            <w:tcW w:w="3798"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宋体"/>
                <w:sz w:val="24"/>
                <w:szCs w:val="24"/>
                <w:lang w:val="en-US" w:eastAsia="zh-CN"/>
              </w:rPr>
            </w:pPr>
            <w:r>
              <w:rPr>
                <w:rFonts w:hint="eastAsia" w:ascii="仿宋_GB2312" w:hAnsi="宋体"/>
                <w:sz w:val="24"/>
                <w:szCs w:val="24"/>
                <w:lang w:val="en-US" w:eastAsia="zh-CN"/>
              </w:rPr>
              <w:t>参加全国第十五届运动会群众项目沙滩足球四川省预选赛</w:t>
            </w:r>
          </w:p>
        </w:tc>
        <w:tc>
          <w:tcPr>
            <w:tcW w:w="1629"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default" w:ascii="仿宋_GB2312" w:hAnsi="宋体"/>
                <w:sz w:val="24"/>
                <w:szCs w:val="24"/>
                <w:lang w:val="en-US" w:eastAsia="zh-CN"/>
              </w:rPr>
            </w:pPr>
            <w:r>
              <w:rPr>
                <w:rFonts w:hint="eastAsia" w:ascii="仿宋_GB2312" w:hAnsi="宋体"/>
                <w:sz w:val="24"/>
                <w:szCs w:val="24"/>
                <w:lang w:val="en-US" w:eastAsia="zh-CN"/>
              </w:rPr>
              <w:t>10000.00</w:t>
            </w:r>
          </w:p>
        </w:tc>
        <w:tc>
          <w:tcPr>
            <w:tcW w:w="1873"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default" w:ascii="仿宋_GB2312" w:hAnsi="宋体"/>
                <w:sz w:val="24"/>
                <w:szCs w:val="24"/>
                <w:lang w:val="en-US" w:eastAsia="zh-CN"/>
              </w:rPr>
            </w:pPr>
            <w:r>
              <w:rPr>
                <w:rFonts w:hint="eastAsia" w:ascii="仿宋_GB2312" w:hAnsi="宋体"/>
                <w:sz w:val="24"/>
                <w:szCs w:val="24"/>
                <w:lang w:val="en-US" w:eastAsia="zh-CN"/>
              </w:rPr>
              <w:t>足协资金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4548" w:type="dxa"/>
            <w:gridSpan w:val="2"/>
            <w:tcBorders>
              <w:top w:val="nil"/>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ascii="仿宋_GB2312" w:hAnsi="宋体" w:eastAsia="仿宋_GB2312"/>
                <w:sz w:val="24"/>
                <w:szCs w:val="24"/>
              </w:rPr>
            </w:pPr>
            <w:r>
              <w:rPr>
                <w:rFonts w:hint="eastAsia" w:ascii="仿宋_GB2312" w:hAnsi="宋体" w:eastAsia="仿宋_GB2312"/>
                <w:sz w:val="24"/>
                <w:szCs w:val="24"/>
              </w:rPr>
              <w:t>合计</w:t>
            </w:r>
          </w:p>
        </w:tc>
        <w:tc>
          <w:tcPr>
            <w:tcW w:w="3502" w:type="dxa"/>
            <w:gridSpan w:val="2"/>
            <w:tcBorders>
              <w:top w:val="nil"/>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default" w:ascii="仿宋_GB2312" w:hAnsi="宋体" w:eastAsia="仿宋_GB2312"/>
                <w:sz w:val="24"/>
                <w:szCs w:val="24"/>
                <w:lang w:val="en-US"/>
              </w:rPr>
            </w:pPr>
            <w:r>
              <w:rPr>
                <w:rFonts w:hint="eastAsia" w:ascii="仿宋_GB2312" w:hAnsi="宋体"/>
                <w:sz w:val="24"/>
                <w:szCs w:val="24"/>
                <w:lang w:val="en-US" w:eastAsia="zh-CN"/>
              </w:rPr>
              <w:t>120714.00</w:t>
            </w:r>
          </w:p>
        </w:tc>
      </w:tr>
    </w:tbl>
    <w:p>
      <w:pPr>
        <w:keepNext w:val="0"/>
        <w:keepLines w:val="0"/>
        <w:pageBreakBefore w:val="0"/>
        <w:kinsoku/>
        <w:wordWrap/>
        <w:overflowPunct/>
        <w:topLinePunct w:val="0"/>
        <w:autoSpaceDE/>
        <w:autoSpaceDN/>
        <w:bidi w:val="0"/>
        <w:spacing w:line="560" w:lineRule="exact"/>
        <w:ind w:firstLine="640" w:firstLineChars="200"/>
        <w:textAlignment w:val="auto"/>
        <w:outlineLvl w:val="1"/>
        <w:rPr>
          <w:rFonts w:ascii="仿宋" w:hAnsi="仿宋" w:eastAsia="仿宋" w:cs="仿宋_GB2312"/>
          <w:kern w:val="28"/>
          <w:sz w:val="32"/>
          <w:szCs w:val="32"/>
          <w:lang w:val="zh-CN"/>
        </w:rPr>
      </w:pPr>
      <w:bookmarkStart w:id="108" w:name="_Toc22480"/>
      <w:r>
        <w:rPr>
          <w:rFonts w:hint="eastAsia" w:ascii="仿宋" w:hAnsi="仿宋" w:eastAsia="仿宋" w:cs="仿宋_GB2312"/>
          <w:kern w:val="28"/>
          <w:sz w:val="32"/>
          <w:szCs w:val="32"/>
        </w:rPr>
        <w:t>2、项目资金管理情况。根据有关政策文件规定，</w:t>
      </w:r>
      <w:r>
        <w:rPr>
          <w:rFonts w:hint="eastAsia" w:ascii="仿宋" w:hAnsi="仿宋" w:eastAsia="仿宋" w:cs="仿宋_GB2312"/>
          <w:kern w:val="28"/>
          <w:sz w:val="32"/>
          <w:szCs w:val="32"/>
          <w:lang w:eastAsia="zh-CN"/>
        </w:rPr>
        <w:t>按照学校经费使用相关制度</w:t>
      </w:r>
      <w:r>
        <w:rPr>
          <w:rFonts w:hint="eastAsia" w:ascii="仿宋" w:hAnsi="仿宋" w:eastAsia="仿宋" w:cs="仿宋_GB2312"/>
          <w:kern w:val="28"/>
          <w:sz w:val="32"/>
          <w:szCs w:val="32"/>
          <w:lang w:val="zh-CN"/>
        </w:rPr>
        <w:t>加强管理，资金拨付程序、费用开支范围及标准合规，相关手续完善。</w:t>
      </w:r>
      <w:bookmarkEnd w:id="108"/>
    </w:p>
    <w:p>
      <w:pPr>
        <w:keepNext w:val="0"/>
        <w:keepLines w:val="0"/>
        <w:pageBreakBefore w:val="0"/>
        <w:widowControl w:val="0"/>
        <w:suppressAutoHyphens/>
        <w:kinsoku/>
        <w:wordWrap/>
        <w:overflowPunct/>
        <w:topLinePunct w:val="0"/>
        <w:autoSpaceDE/>
        <w:autoSpaceDN/>
        <w:bidi w:val="0"/>
        <w:adjustRightInd w:val="0"/>
        <w:snapToGrid w:val="0"/>
        <w:spacing w:line="578" w:lineRule="exact"/>
        <w:ind w:firstLine="640" w:firstLineChars="200"/>
        <w:textAlignment w:val="auto"/>
        <w:rPr>
          <w:rFonts w:hint="default" w:ascii="黑体" w:hAnsi="宋体" w:eastAsia="黑体"/>
          <w:color w:val="auto"/>
          <w:sz w:val="32"/>
          <w:szCs w:val="32"/>
          <w:highlight w:val="none"/>
          <w:lang w:val="zh-CN" w:eastAsia="zh-CN"/>
        </w:rPr>
      </w:pPr>
      <w:r>
        <w:rPr>
          <w:rFonts w:hint="default" w:ascii="黑体" w:hAnsi="宋体" w:eastAsia="黑体"/>
          <w:color w:val="auto"/>
          <w:sz w:val="32"/>
          <w:szCs w:val="32"/>
          <w:highlight w:val="none"/>
          <w:lang w:val="zh-CN"/>
        </w:rPr>
        <w:t>二、</w:t>
      </w:r>
      <w:r>
        <w:rPr>
          <w:rFonts w:hint="default" w:ascii="黑体" w:hAnsi="宋体" w:eastAsia="黑体"/>
          <w:color w:val="auto"/>
          <w:sz w:val="32"/>
          <w:szCs w:val="32"/>
          <w:highlight w:val="none"/>
          <w:lang w:val="zh-CN" w:eastAsia="zh-CN"/>
        </w:rPr>
        <w:t>评价实施</w:t>
      </w:r>
    </w:p>
    <w:p>
      <w:pPr>
        <w:keepNext w:val="0"/>
        <w:keepLines w:val="0"/>
        <w:pageBreakBefore w:val="0"/>
        <w:kinsoku/>
        <w:wordWrap/>
        <w:overflowPunct/>
        <w:topLinePunct w:val="0"/>
        <w:autoSpaceDE/>
        <w:autoSpaceDN/>
        <w:bidi w:val="0"/>
        <w:spacing w:line="560" w:lineRule="exact"/>
        <w:ind w:left="-141" w:leftChars="-67" w:firstLine="745" w:firstLineChars="232"/>
        <w:jc w:val="left"/>
        <w:textAlignment w:val="auto"/>
        <w:outlineLvl w:val="1"/>
        <w:rPr>
          <w:rFonts w:ascii="仿宋" w:hAnsi="仿宋" w:eastAsia="仿宋"/>
          <w:sz w:val="32"/>
          <w:szCs w:val="32"/>
          <w:lang w:val="zh-CN"/>
        </w:rPr>
      </w:pPr>
      <w:bookmarkStart w:id="109" w:name="_Toc15794"/>
      <w:r>
        <w:rPr>
          <w:rFonts w:hint="eastAsia" w:ascii="仿宋" w:hAnsi="仿宋" w:eastAsia="仿宋" w:cs="仿宋_GB2312"/>
          <w:b/>
          <w:bCs/>
          <w:kern w:val="28"/>
          <w:sz w:val="32"/>
          <w:szCs w:val="32"/>
          <w:lang w:val="zh-CN"/>
        </w:rPr>
        <w:t>一是</w:t>
      </w:r>
      <w:r>
        <w:rPr>
          <w:rFonts w:hint="eastAsia" w:ascii="仿宋" w:hAnsi="仿宋" w:eastAsia="仿宋" w:cs="仿宋_GB2312"/>
          <w:caps/>
          <w:sz w:val="32"/>
          <w:szCs w:val="32"/>
        </w:rPr>
        <w:t>领导重视，职责明确。</w:t>
      </w:r>
      <w:r>
        <w:rPr>
          <w:rFonts w:hint="eastAsia" w:ascii="仿宋" w:hAnsi="仿宋" w:eastAsia="仿宋" w:cs="仿宋_GB2312"/>
          <w:sz w:val="32"/>
          <w:szCs w:val="32"/>
          <w:shd w:val="clear" w:color="auto" w:fill="FFFFFF"/>
        </w:rPr>
        <w:t>通过广泛开展校园足球活动，增强学生体质，培养青少年拼搏意识、团队精神，形成校园足球文化，有效推进素质教育。</w:t>
      </w:r>
      <w:r>
        <w:rPr>
          <w:rFonts w:hint="eastAsia" w:ascii="仿宋" w:hAnsi="仿宋" w:eastAsia="仿宋" w:cs="仿宋_GB2312"/>
          <w:sz w:val="32"/>
          <w:szCs w:val="32"/>
          <w:shd w:val="clear" w:color="auto" w:fill="FFFFFF"/>
          <w:lang w:eastAsia="zh-CN"/>
        </w:rPr>
        <w:t>学校党委行政</w:t>
      </w:r>
      <w:r>
        <w:rPr>
          <w:rFonts w:hint="eastAsia" w:ascii="仿宋" w:hAnsi="仿宋" w:eastAsia="仿宋" w:cs="仿宋_GB2312"/>
          <w:sz w:val="32"/>
          <w:szCs w:val="32"/>
          <w:shd w:val="clear" w:color="auto" w:fill="FFFFFF"/>
        </w:rPr>
        <w:t>高度重视，</w:t>
      </w:r>
      <w:r>
        <w:rPr>
          <w:rFonts w:hint="eastAsia" w:ascii="仿宋" w:hAnsi="仿宋" w:eastAsia="仿宋" w:cs="仿宋_GB2312"/>
          <w:sz w:val="32"/>
          <w:szCs w:val="32"/>
          <w:shd w:val="clear" w:color="auto" w:fill="FFFFFF"/>
          <w:lang w:eastAsia="zh-CN"/>
        </w:rPr>
        <w:t>定期召开专题会议研究部署校园体育、足球运动的开展，将女子足球队的建设列为重点支持发展项目</w:t>
      </w:r>
      <w:r>
        <w:rPr>
          <w:rFonts w:hint="eastAsia" w:ascii="仿宋" w:hAnsi="仿宋" w:eastAsia="仿宋" w:cs="仿宋_GB2312"/>
          <w:caps/>
          <w:sz w:val="32"/>
          <w:szCs w:val="32"/>
        </w:rPr>
        <w:t>。</w:t>
      </w:r>
      <w:r>
        <w:rPr>
          <w:rFonts w:hint="eastAsia" w:ascii="仿宋" w:hAnsi="仿宋" w:eastAsia="仿宋" w:cs="仿宋_GB2312"/>
          <w:b/>
          <w:bCs/>
          <w:caps/>
          <w:sz w:val="32"/>
          <w:szCs w:val="32"/>
        </w:rPr>
        <w:t>二是</w:t>
      </w:r>
      <w:r>
        <w:rPr>
          <w:rFonts w:hint="eastAsia" w:ascii="仿宋" w:hAnsi="仿宋" w:eastAsia="仿宋" w:cs="仿宋_GB2312"/>
          <w:caps/>
          <w:sz w:val="32"/>
          <w:szCs w:val="32"/>
        </w:rPr>
        <w:t>按要求开展项目</w:t>
      </w:r>
      <w:r>
        <w:rPr>
          <w:rFonts w:hint="eastAsia" w:ascii="仿宋" w:hAnsi="仿宋" w:eastAsia="仿宋" w:cs="仿宋_GB2312"/>
          <w:caps/>
          <w:sz w:val="32"/>
          <w:szCs w:val="32"/>
          <w:lang w:eastAsia="zh-CN"/>
        </w:rPr>
        <w:t>实施</w:t>
      </w:r>
      <w:r>
        <w:rPr>
          <w:rFonts w:hint="eastAsia" w:ascii="仿宋" w:hAnsi="仿宋" w:eastAsia="仿宋" w:cs="仿宋_GB2312"/>
          <w:caps/>
          <w:color w:val="000000"/>
          <w:sz w:val="32"/>
          <w:szCs w:val="32"/>
        </w:rPr>
        <w:t>工作</w:t>
      </w:r>
      <w:r>
        <w:rPr>
          <w:rFonts w:hint="eastAsia" w:ascii="仿宋" w:hAnsi="仿宋" w:eastAsia="仿宋"/>
          <w:sz w:val="32"/>
          <w:szCs w:val="32"/>
          <w:lang w:val="zh-CN"/>
        </w:rPr>
        <w:t>。学校现有标准</w:t>
      </w:r>
      <w:r>
        <w:rPr>
          <w:rFonts w:hint="eastAsia" w:ascii="仿宋" w:hAnsi="仿宋" w:eastAsia="仿宋"/>
          <w:sz w:val="32"/>
          <w:szCs w:val="32"/>
          <w:lang w:val="en-US" w:eastAsia="zh-CN"/>
        </w:rPr>
        <w:t>11人制足球场1片，标准5人制足球场1片，</w:t>
      </w:r>
      <w:r>
        <w:rPr>
          <w:rFonts w:hint="eastAsia" w:ascii="仿宋" w:hAnsi="仿宋" w:eastAsia="仿宋"/>
          <w:sz w:val="32"/>
          <w:szCs w:val="32"/>
        </w:rPr>
        <w:t>足球场地、器材基本满足</w:t>
      </w:r>
      <w:r>
        <w:rPr>
          <w:rFonts w:hint="eastAsia" w:ascii="仿宋" w:hAnsi="仿宋" w:eastAsia="仿宋"/>
          <w:sz w:val="32"/>
          <w:szCs w:val="32"/>
          <w:lang w:eastAsia="zh-CN"/>
        </w:rPr>
        <w:t>教学及训练</w:t>
      </w:r>
      <w:r>
        <w:rPr>
          <w:rFonts w:hint="eastAsia" w:ascii="仿宋" w:hAnsi="仿宋" w:eastAsia="仿宋"/>
          <w:sz w:val="32"/>
          <w:szCs w:val="32"/>
        </w:rPr>
        <w:t>要求。</w:t>
      </w:r>
      <w:r>
        <w:rPr>
          <w:rFonts w:hint="eastAsia" w:ascii="仿宋" w:hAnsi="仿宋" w:eastAsia="仿宋"/>
          <w:sz w:val="32"/>
          <w:szCs w:val="32"/>
          <w:lang w:eastAsia="zh-CN"/>
        </w:rPr>
        <w:t>学校</w:t>
      </w:r>
      <w:r>
        <w:rPr>
          <w:rFonts w:hint="eastAsia" w:ascii="仿宋" w:hAnsi="仿宋" w:eastAsia="仿宋"/>
          <w:sz w:val="32"/>
          <w:szCs w:val="32"/>
        </w:rPr>
        <w:t>专职足球专业教师</w:t>
      </w:r>
      <w:r>
        <w:rPr>
          <w:rFonts w:hint="eastAsia" w:ascii="仿宋" w:hAnsi="仿宋" w:eastAsia="仿宋"/>
          <w:sz w:val="32"/>
          <w:szCs w:val="32"/>
          <w:lang w:val="en-US" w:eastAsia="zh-CN"/>
        </w:rPr>
        <w:t>3</w:t>
      </w:r>
      <w:r>
        <w:rPr>
          <w:rFonts w:hint="eastAsia" w:ascii="仿宋" w:hAnsi="仿宋" w:eastAsia="仿宋"/>
          <w:sz w:val="32"/>
          <w:szCs w:val="32"/>
        </w:rPr>
        <w:t>人，具有足球教练员</w:t>
      </w:r>
      <w:r>
        <w:rPr>
          <w:rFonts w:hint="eastAsia" w:ascii="仿宋" w:hAnsi="仿宋" w:eastAsia="仿宋"/>
          <w:sz w:val="32"/>
          <w:szCs w:val="32"/>
          <w:lang w:val="en-US" w:eastAsia="zh-CN"/>
        </w:rPr>
        <w:t>C级证书的教师1名、D级教练教师1名；获得足球E级教练</w:t>
      </w:r>
      <w:r>
        <w:rPr>
          <w:rFonts w:hint="eastAsia" w:ascii="仿宋" w:hAnsi="仿宋" w:eastAsia="仿宋"/>
          <w:sz w:val="32"/>
          <w:szCs w:val="32"/>
        </w:rPr>
        <w:t>证书的</w:t>
      </w:r>
      <w:r>
        <w:rPr>
          <w:rFonts w:hint="eastAsia" w:ascii="仿宋" w:hAnsi="仿宋" w:eastAsia="仿宋"/>
          <w:sz w:val="32"/>
          <w:szCs w:val="32"/>
          <w:lang w:eastAsia="zh-CN"/>
        </w:rPr>
        <w:t>学生</w:t>
      </w:r>
      <w:r>
        <w:rPr>
          <w:rFonts w:hint="eastAsia" w:ascii="仿宋" w:hAnsi="仿宋" w:eastAsia="仿宋"/>
          <w:sz w:val="32"/>
          <w:szCs w:val="32"/>
          <w:lang w:val="en-US" w:eastAsia="zh-CN"/>
        </w:rPr>
        <w:t>40</w:t>
      </w:r>
      <w:r>
        <w:rPr>
          <w:rFonts w:hint="eastAsia" w:ascii="仿宋" w:hAnsi="仿宋" w:eastAsia="仿宋"/>
          <w:sz w:val="32"/>
          <w:szCs w:val="32"/>
        </w:rPr>
        <w:t>人，</w:t>
      </w:r>
      <w:r>
        <w:rPr>
          <w:rFonts w:hint="eastAsia" w:ascii="仿宋" w:hAnsi="仿宋" w:eastAsia="仿宋"/>
          <w:sz w:val="32"/>
          <w:szCs w:val="32"/>
          <w:lang w:val="en-US" w:eastAsia="zh-CN"/>
        </w:rPr>
        <w:t>D级教练员证书的学生10人；</w:t>
      </w:r>
      <w:r>
        <w:rPr>
          <w:rFonts w:hint="eastAsia" w:ascii="仿宋" w:hAnsi="仿宋" w:eastAsia="仿宋"/>
          <w:sz w:val="32"/>
          <w:szCs w:val="32"/>
        </w:rPr>
        <w:t>具有足球国家二级裁判员证书的</w:t>
      </w:r>
      <w:r>
        <w:rPr>
          <w:rFonts w:hint="eastAsia" w:ascii="仿宋" w:hAnsi="仿宋" w:eastAsia="仿宋"/>
          <w:sz w:val="32"/>
          <w:szCs w:val="32"/>
          <w:lang w:eastAsia="zh-CN"/>
        </w:rPr>
        <w:t>学生</w:t>
      </w:r>
      <w:r>
        <w:rPr>
          <w:rFonts w:hint="eastAsia" w:ascii="仿宋" w:hAnsi="仿宋" w:eastAsia="仿宋"/>
          <w:sz w:val="32"/>
          <w:szCs w:val="32"/>
          <w:lang w:val="en-US" w:eastAsia="zh-CN"/>
        </w:rPr>
        <w:t>40</w:t>
      </w:r>
      <w:r>
        <w:rPr>
          <w:rFonts w:hint="eastAsia" w:ascii="仿宋" w:hAnsi="仿宋" w:eastAsia="仿宋"/>
          <w:sz w:val="32"/>
          <w:szCs w:val="32"/>
        </w:rPr>
        <w:t>人。20</w:t>
      </w:r>
      <w:r>
        <w:rPr>
          <w:rFonts w:hint="eastAsia" w:ascii="仿宋" w:hAnsi="仿宋" w:eastAsia="仿宋"/>
          <w:sz w:val="32"/>
          <w:szCs w:val="32"/>
          <w:lang w:val="en-US" w:eastAsia="zh-CN"/>
        </w:rPr>
        <w:t>24</w:t>
      </w:r>
      <w:r>
        <w:rPr>
          <w:rFonts w:hint="eastAsia" w:ascii="仿宋" w:hAnsi="仿宋" w:eastAsia="仿宋"/>
          <w:sz w:val="32"/>
          <w:szCs w:val="32"/>
        </w:rPr>
        <w:t>年</w:t>
      </w:r>
      <w:r>
        <w:rPr>
          <w:rFonts w:hint="eastAsia" w:ascii="仿宋" w:hAnsi="仿宋" w:eastAsia="仿宋"/>
          <w:sz w:val="32"/>
          <w:szCs w:val="32"/>
          <w:lang w:val="en-US" w:eastAsia="zh-CN"/>
        </w:rPr>
        <w:t>校园</w:t>
      </w:r>
      <w:r>
        <w:rPr>
          <w:rFonts w:hint="eastAsia" w:ascii="仿宋" w:hAnsi="仿宋" w:eastAsia="仿宋"/>
          <w:sz w:val="32"/>
          <w:szCs w:val="32"/>
        </w:rPr>
        <w:t>足球联赛比赛场次达到</w:t>
      </w:r>
      <w:r>
        <w:rPr>
          <w:rFonts w:hint="eastAsia" w:ascii="仿宋" w:hAnsi="仿宋" w:eastAsia="仿宋"/>
          <w:sz w:val="32"/>
          <w:szCs w:val="32"/>
          <w:lang w:val="en-US" w:eastAsia="zh-CN"/>
        </w:rPr>
        <w:t>36</w:t>
      </w:r>
      <w:r>
        <w:rPr>
          <w:rFonts w:hint="eastAsia" w:ascii="仿宋" w:hAnsi="仿宋" w:eastAsia="仿宋"/>
          <w:sz w:val="32"/>
          <w:szCs w:val="32"/>
        </w:rPr>
        <w:t>场。</w:t>
      </w:r>
      <w:r>
        <w:rPr>
          <w:rFonts w:hint="eastAsia" w:ascii="仿宋" w:hAnsi="仿宋" w:eastAsia="仿宋"/>
          <w:b/>
          <w:bCs/>
          <w:sz w:val="32"/>
          <w:szCs w:val="32"/>
          <w:lang w:val="zh-CN"/>
        </w:rPr>
        <w:t>三是</w:t>
      </w:r>
      <w:r>
        <w:rPr>
          <w:rFonts w:hint="eastAsia" w:ascii="仿宋" w:hAnsi="仿宋" w:eastAsia="仿宋"/>
          <w:color w:val="000000"/>
          <w:sz w:val="32"/>
          <w:szCs w:val="32"/>
          <w:lang w:val="zh-CN"/>
        </w:rPr>
        <w:t>通过女子足球运动队的建设，扎实深入推进校园足球发展</w:t>
      </w:r>
      <w:r>
        <w:rPr>
          <w:rFonts w:hint="eastAsia" w:ascii="仿宋" w:hAnsi="仿宋" w:eastAsia="仿宋" w:cs="仿宋_GB2312"/>
          <w:caps/>
          <w:color w:val="000000"/>
          <w:sz w:val="32"/>
          <w:szCs w:val="32"/>
        </w:rPr>
        <w:t>；</w:t>
      </w:r>
      <w:r>
        <w:rPr>
          <w:rFonts w:hint="eastAsia" w:ascii="仿宋" w:hAnsi="仿宋" w:eastAsia="仿宋" w:cs="仿宋_GB2312"/>
          <w:b/>
          <w:bCs/>
          <w:caps/>
          <w:color w:val="000000"/>
          <w:sz w:val="32"/>
          <w:szCs w:val="32"/>
          <w:lang w:val="en-US" w:eastAsia="zh-CN"/>
        </w:rPr>
        <w:t>四</w:t>
      </w:r>
      <w:r>
        <w:rPr>
          <w:rFonts w:hint="eastAsia" w:ascii="仿宋" w:hAnsi="仿宋" w:eastAsia="仿宋" w:cs="仿宋_GB2312"/>
          <w:b/>
          <w:bCs/>
          <w:caps/>
          <w:color w:val="000000"/>
          <w:sz w:val="32"/>
          <w:szCs w:val="32"/>
        </w:rPr>
        <w:t>是</w:t>
      </w:r>
      <w:r>
        <w:rPr>
          <w:rFonts w:hint="eastAsia" w:ascii="仿宋" w:hAnsi="仿宋" w:eastAsia="仿宋"/>
          <w:color w:val="000000"/>
          <w:sz w:val="32"/>
          <w:szCs w:val="32"/>
          <w:lang w:val="zh-CN"/>
        </w:rPr>
        <w:t>加大宣传力度。开展丰</w:t>
      </w:r>
      <w:r>
        <w:rPr>
          <w:rFonts w:hint="eastAsia" w:ascii="仿宋" w:hAnsi="仿宋" w:eastAsia="仿宋"/>
          <w:sz w:val="32"/>
          <w:szCs w:val="32"/>
          <w:lang w:val="zh-CN"/>
        </w:rPr>
        <w:t>富多彩的校园足球活动，充分利用学校网站、广播站等校内资源，宣传足球文化，开展社团活动，培养学生兴趣；</w:t>
      </w:r>
      <w:r>
        <w:rPr>
          <w:rFonts w:hint="eastAsia" w:ascii="仿宋" w:hAnsi="仿宋" w:eastAsia="仿宋"/>
          <w:b/>
          <w:bCs/>
          <w:sz w:val="32"/>
          <w:szCs w:val="32"/>
          <w:lang w:val="en-US" w:eastAsia="zh-CN"/>
        </w:rPr>
        <w:t>五</w:t>
      </w:r>
      <w:r>
        <w:rPr>
          <w:rFonts w:hint="eastAsia" w:ascii="仿宋" w:hAnsi="仿宋" w:eastAsia="仿宋"/>
          <w:b/>
          <w:bCs/>
          <w:sz w:val="32"/>
          <w:szCs w:val="32"/>
          <w:lang w:val="zh-CN"/>
        </w:rPr>
        <w:t>是</w:t>
      </w:r>
      <w:r>
        <w:rPr>
          <w:rFonts w:hint="eastAsia" w:ascii="仿宋" w:hAnsi="仿宋" w:eastAsia="仿宋"/>
          <w:sz w:val="32"/>
          <w:szCs w:val="32"/>
          <w:lang w:val="zh-CN"/>
        </w:rPr>
        <w:t>组队参加省市级比赛和各类足球培训活动，开展校园足球体验式活动。</w:t>
      </w:r>
      <w:bookmarkEnd w:id="109"/>
    </w:p>
    <w:p>
      <w:pPr>
        <w:keepNext w:val="0"/>
        <w:keepLines w:val="0"/>
        <w:pageBreakBefore w:val="0"/>
        <w:widowControl w:val="0"/>
        <w:suppressAutoHyphens/>
        <w:kinsoku/>
        <w:wordWrap/>
        <w:overflowPunct/>
        <w:topLinePunct w:val="0"/>
        <w:autoSpaceDE/>
        <w:autoSpaceDN/>
        <w:bidi w:val="0"/>
        <w:adjustRightInd w:val="0"/>
        <w:snapToGrid w:val="0"/>
        <w:spacing w:line="578" w:lineRule="exact"/>
        <w:ind w:firstLine="640" w:firstLineChars="200"/>
        <w:textAlignment w:val="auto"/>
        <w:rPr>
          <w:rFonts w:hint="default" w:ascii="黑体" w:hAnsi="宋体" w:eastAsia="黑体"/>
          <w:color w:val="auto"/>
          <w:sz w:val="32"/>
          <w:szCs w:val="32"/>
          <w:highlight w:val="none"/>
          <w:lang w:val="zh-CN"/>
        </w:rPr>
      </w:pPr>
      <w:r>
        <w:rPr>
          <w:rFonts w:hint="default" w:ascii="黑体" w:hAnsi="宋体" w:eastAsia="黑体"/>
          <w:color w:val="auto"/>
          <w:sz w:val="32"/>
          <w:szCs w:val="32"/>
          <w:highlight w:val="none"/>
          <w:lang w:val="zh-CN"/>
        </w:rPr>
        <w:t>三、</w:t>
      </w:r>
      <w:r>
        <w:rPr>
          <w:rFonts w:hint="default" w:ascii="黑体" w:hAnsi="宋体" w:eastAsia="黑体"/>
          <w:color w:val="auto"/>
          <w:sz w:val="32"/>
          <w:szCs w:val="32"/>
          <w:highlight w:val="none"/>
          <w:lang w:val="zh-CN" w:eastAsia="zh-CN"/>
        </w:rPr>
        <w:t>绩效分析</w:t>
      </w:r>
      <w:r>
        <w:rPr>
          <w:rFonts w:hint="default" w:ascii="黑体" w:hAnsi="宋体" w:eastAsia="黑体"/>
          <w:color w:val="auto"/>
          <w:sz w:val="32"/>
          <w:szCs w:val="32"/>
          <w:highlight w:val="none"/>
          <w:lang w:val="zh-CN"/>
        </w:rPr>
        <w:tab/>
      </w:r>
    </w:p>
    <w:p>
      <w:pPr>
        <w:keepNext w:val="0"/>
        <w:keepLines w:val="0"/>
        <w:pageBreakBefore w:val="0"/>
        <w:kinsoku/>
        <w:wordWrap/>
        <w:overflowPunct/>
        <w:topLinePunct w:val="0"/>
        <w:autoSpaceDE/>
        <w:autoSpaceDN/>
        <w:bidi w:val="0"/>
        <w:spacing w:line="560" w:lineRule="exact"/>
        <w:ind w:firstLine="645"/>
        <w:textAlignment w:val="auto"/>
        <w:rPr>
          <w:rFonts w:ascii="仿宋" w:hAnsi="仿宋" w:eastAsia="仿宋" w:cs="黑体"/>
          <w:kern w:val="1"/>
          <w:sz w:val="32"/>
          <w:szCs w:val="32"/>
        </w:rPr>
      </w:pPr>
      <w:r>
        <w:rPr>
          <w:rFonts w:hint="eastAsia" w:ascii="楷体_GB2312" w:hAnsi="仿宋" w:eastAsia="楷体_GB2312" w:cs="仿宋_GB2312"/>
          <w:sz w:val="32"/>
          <w:szCs w:val="32"/>
          <w:shd w:val="clear" w:color="auto" w:fill="FFFFFF"/>
        </w:rPr>
        <w:t>（一）绩效评价目的。</w:t>
      </w:r>
      <w:r>
        <w:rPr>
          <w:rFonts w:hint="eastAsia" w:ascii="仿宋" w:hAnsi="仿宋" w:eastAsia="仿宋" w:cs="黑体"/>
          <w:kern w:val="1"/>
          <w:sz w:val="32"/>
          <w:szCs w:val="32"/>
        </w:rPr>
        <w:t>通过绩效评价全面分析校园足球资金分配、使用及管理等情况，督促进一步完善资金分配和管理等制度，规范相关单位资金使用程序和费用开支行为，切实提高财政资金使用效益。</w:t>
      </w:r>
    </w:p>
    <w:p>
      <w:pPr>
        <w:keepNext w:val="0"/>
        <w:keepLines w:val="0"/>
        <w:pageBreakBefore w:val="0"/>
        <w:kinsoku/>
        <w:wordWrap/>
        <w:overflowPunct/>
        <w:topLinePunct w:val="0"/>
        <w:autoSpaceDE/>
        <w:autoSpaceDN/>
        <w:bidi w:val="0"/>
        <w:spacing w:line="560" w:lineRule="exact"/>
        <w:ind w:firstLine="645"/>
        <w:textAlignment w:val="auto"/>
        <w:rPr>
          <w:rFonts w:ascii="仿宋" w:hAnsi="仿宋" w:eastAsia="仿宋" w:cs="仿宋_GB2312"/>
          <w:kern w:val="1"/>
          <w:sz w:val="32"/>
          <w:szCs w:val="32"/>
        </w:rPr>
      </w:pPr>
      <w:r>
        <w:rPr>
          <w:rFonts w:hint="eastAsia" w:ascii="楷体_GB2312" w:hAnsi="仿宋" w:eastAsia="楷体_GB2312" w:cs="仿宋_GB2312"/>
          <w:sz w:val="32"/>
          <w:szCs w:val="32"/>
          <w:shd w:val="clear" w:color="auto" w:fill="FFFFFF"/>
        </w:rPr>
        <w:t>（二）绩效评价工作过程。</w:t>
      </w:r>
      <w:r>
        <w:rPr>
          <w:rFonts w:hint="eastAsia" w:ascii="仿宋" w:hAnsi="仿宋" w:eastAsia="仿宋" w:cs="黑体"/>
          <w:kern w:val="1"/>
          <w:sz w:val="32"/>
          <w:szCs w:val="32"/>
        </w:rPr>
        <w:t>根据相关政策规定，我们</w:t>
      </w:r>
      <w:r>
        <w:rPr>
          <w:rFonts w:hint="eastAsia" w:ascii="仿宋" w:hAnsi="仿宋" w:eastAsia="仿宋" w:cs="仿宋_GB2312"/>
          <w:kern w:val="1"/>
          <w:sz w:val="32"/>
          <w:szCs w:val="32"/>
        </w:rPr>
        <w:t>对该项目开展了专项资金绩效评价工作。</w:t>
      </w:r>
    </w:p>
    <w:p>
      <w:pPr>
        <w:keepNext w:val="0"/>
        <w:keepLines w:val="0"/>
        <w:pageBreakBefore w:val="0"/>
        <w:kinsoku/>
        <w:wordWrap/>
        <w:overflowPunct/>
        <w:topLinePunct w:val="0"/>
        <w:autoSpaceDE/>
        <w:autoSpaceDN/>
        <w:bidi w:val="0"/>
        <w:spacing w:line="560" w:lineRule="exact"/>
        <w:ind w:firstLine="645"/>
        <w:textAlignment w:val="auto"/>
        <w:rPr>
          <w:rFonts w:ascii="仿宋" w:hAnsi="仿宋" w:eastAsia="仿宋" w:cs="仿宋_GB2312"/>
          <w:kern w:val="1"/>
          <w:sz w:val="32"/>
          <w:szCs w:val="32"/>
        </w:rPr>
      </w:pPr>
      <w:r>
        <w:rPr>
          <w:rFonts w:hint="eastAsia" w:ascii="仿宋" w:hAnsi="仿宋" w:eastAsia="仿宋" w:cs="仿宋_GB2312"/>
          <w:kern w:val="1"/>
          <w:sz w:val="32"/>
          <w:szCs w:val="32"/>
        </w:rPr>
        <w:t>1、前期准备。抽调专人成立了绩效评价工作组，明确了工作职责，制定了现场评价方案，设计了相关表格，调查问卷，联系了相关部门和单位，确定了实施时间。</w:t>
      </w:r>
    </w:p>
    <w:p>
      <w:pPr>
        <w:keepNext w:val="0"/>
        <w:keepLines w:val="0"/>
        <w:pageBreakBefore w:val="0"/>
        <w:kinsoku/>
        <w:wordWrap/>
        <w:overflowPunct/>
        <w:topLinePunct w:val="0"/>
        <w:autoSpaceDE/>
        <w:autoSpaceDN/>
        <w:bidi w:val="0"/>
        <w:spacing w:line="560" w:lineRule="exact"/>
        <w:ind w:firstLine="645"/>
        <w:textAlignment w:val="auto"/>
        <w:rPr>
          <w:rFonts w:ascii="仿宋" w:hAnsi="仿宋" w:eastAsia="仿宋" w:cs="仿宋_GB2312"/>
          <w:kern w:val="1"/>
          <w:sz w:val="32"/>
          <w:szCs w:val="32"/>
        </w:rPr>
      </w:pPr>
      <w:r>
        <w:rPr>
          <w:rFonts w:hint="eastAsia" w:ascii="仿宋" w:hAnsi="仿宋" w:eastAsia="仿宋" w:cs="仿宋_GB2312"/>
          <w:kern w:val="1"/>
          <w:sz w:val="32"/>
          <w:szCs w:val="32"/>
        </w:rPr>
        <w:t>2、实施情况。项目绩效评价实施步骤：</w:t>
      </w:r>
      <w:r>
        <w:rPr>
          <w:rFonts w:hint="eastAsia" w:ascii="仿宋" w:hAnsi="仿宋" w:eastAsia="仿宋" w:cs="仿宋_GB2312"/>
          <w:kern w:val="1"/>
          <w:sz w:val="32"/>
          <w:szCs w:val="32"/>
          <w:lang w:eastAsia="zh-CN"/>
        </w:rPr>
        <w:t>（</w:t>
      </w:r>
      <w:r>
        <w:rPr>
          <w:rFonts w:hint="eastAsia" w:ascii="仿宋" w:hAnsi="仿宋" w:eastAsia="仿宋" w:cs="仿宋_GB2312"/>
          <w:kern w:val="1"/>
          <w:sz w:val="32"/>
          <w:szCs w:val="32"/>
        </w:rPr>
        <w:t>1）召开座谈会。组织相关单位召开座谈会，听取该项目有关情况介绍。（2）收集核查资料。收集该项目资金相关政策文件和项目单位相关制度等资料；核查相关制度是否完善，资金使用和费用报销是否合规、手续是否齐全，是否存在挤占、截留、挪用等情况。（3）现场查看。进行实地查看，调查走访。（4）得出评价结论，形成绩效自评报告。</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60" w:lineRule="exact"/>
        <w:ind w:firstLine="640" w:firstLineChars="200"/>
        <w:textAlignment w:val="auto"/>
        <w:rPr>
          <w:rFonts w:hint="default" w:ascii="黑体" w:hAnsi="宋体" w:eastAsia="黑体" w:cs="Times New Roman"/>
          <w:color w:val="auto"/>
          <w:kern w:val="2"/>
          <w:sz w:val="32"/>
          <w:szCs w:val="32"/>
          <w:highlight w:val="none"/>
          <w:lang w:val="zh-CN" w:eastAsia="zh-CN" w:bidi="ar-SA"/>
        </w:rPr>
      </w:pPr>
      <w:r>
        <w:rPr>
          <w:rFonts w:hint="default" w:ascii="黑体" w:hAnsi="宋体" w:eastAsia="黑体" w:cs="Times New Roman"/>
          <w:color w:val="auto"/>
          <w:kern w:val="2"/>
          <w:sz w:val="32"/>
          <w:szCs w:val="32"/>
          <w:highlight w:val="none"/>
          <w:lang w:val="zh-CN" w:eastAsia="zh-CN" w:bidi="ar-SA"/>
        </w:rPr>
        <w:t>四、评价结论</w:t>
      </w:r>
    </w:p>
    <w:p>
      <w:pPr>
        <w:keepNext w:val="0"/>
        <w:keepLines w:val="0"/>
        <w:pageBreakBefore w:val="0"/>
        <w:kinsoku/>
        <w:wordWrap/>
        <w:overflowPunct/>
        <w:topLinePunct w:val="0"/>
        <w:autoSpaceDE/>
        <w:autoSpaceDN/>
        <w:bidi w:val="0"/>
        <w:spacing w:line="560" w:lineRule="exact"/>
        <w:ind w:firstLine="645"/>
        <w:textAlignment w:val="auto"/>
        <w:outlineLvl w:val="1"/>
        <w:rPr>
          <w:rFonts w:ascii="仿宋" w:hAnsi="仿宋" w:eastAsia="仿宋"/>
          <w:kern w:val="28"/>
          <w:sz w:val="32"/>
          <w:szCs w:val="32"/>
          <w:lang w:val="zh-CN"/>
        </w:rPr>
      </w:pPr>
      <w:bookmarkStart w:id="110" w:name="_Toc7053"/>
      <w:r>
        <w:rPr>
          <w:rFonts w:hint="eastAsia" w:ascii="仿宋" w:hAnsi="仿宋" w:eastAsia="仿宋" w:cs="仿宋_GB2312"/>
          <w:sz w:val="32"/>
          <w:szCs w:val="32"/>
        </w:rPr>
        <w:t>根据校园足球发展专项资金绩效评价指标体系和绩效检查情况，项目整体绩效分值100分，实得</w:t>
      </w:r>
      <w:r>
        <w:rPr>
          <w:rFonts w:hint="eastAsia" w:ascii="仿宋" w:hAnsi="仿宋" w:eastAsia="仿宋" w:cs="仿宋_GB2312"/>
          <w:color w:val="000000"/>
          <w:sz w:val="32"/>
          <w:szCs w:val="32"/>
          <w:lang w:val="en-US" w:eastAsia="zh-CN"/>
        </w:rPr>
        <w:t>100</w:t>
      </w:r>
      <w:r>
        <w:rPr>
          <w:rFonts w:hint="eastAsia" w:ascii="仿宋" w:hAnsi="仿宋" w:eastAsia="仿宋" w:cs="仿宋_GB2312"/>
          <w:sz w:val="32"/>
          <w:szCs w:val="32"/>
        </w:rPr>
        <w:t>分。主要绩效表现：</w:t>
      </w:r>
      <w:bookmarkEnd w:id="110"/>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楷体_GB2312" w:hAnsi="仿宋" w:eastAsia="楷体_GB2312" w:cs="仿宋_GB2312"/>
          <w:sz w:val="32"/>
          <w:szCs w:val="32"/>
          <w:shd w:val="clear" w:color="auto" w:fill="FFFFFF"/>
          <w:lang w:val="zh-CN"/>
        </w:rPr>
      </w:pPr>
      <w:r>
        <w:rPr>
          <w:rFonts w:hint="eastAsia" w:ascii="楷体_GB2312" w:hAnsi="仿宋" w:eastAsia="楷体_GB2312" w:cs="仿宋_GB2312"/>
          <w:sz w:val="32"/>
          <w:szCs w:val="32"/>
          <w:shd w:val="clear" w:color="auto" w:fill="FFFFFF"/>
        </w:rPr>
        <w:t>（一）推进示范</w:t>
      </w:r>
      <w:r>
        <w:rPr>
          <w:rFonts w:hint="eastAsia" w:ascii="楷体_GB2312" w:hAnsi="仿宋" w:eastAsia="楷体_GB2312" w:cs="仿宋_GB2312"/>
          <w:sz w:val="32"/>
          <w:szCs w:val="32"/>
          <w:shd w:val="clear" w:color="auto" w:fill="FFFFFF"/>
          <w:lang w:eastAsia="zh-CN"/>
        </w:rPr>
        <w:t>引领</w:t>
      </w:r>
      <w:r>
        <w:rPr>
          <w:rFonts w:hint="eastAsia" w:ascii="楷体_GB2312" w:hAnsi="仿宋" w:eastAsia="楷体_GB2312" w:cs="仿宋_GB2312"/>
          <w:sz w:val="32"/>
          <w:szCs w:val="32"/>
          <w:shd w:val="clear" w:color="auto" w:fill="FFFFFF"/>
        </w:rPr>
        <w:t>，带动校园足球整体水平提升。</w:t>
      </w:r>
    </w:p>
    <w:p>
      <w:pPr>
        <w:keepNext w:val="0"/>
        <w:keepLines w:val="0"/>
        <w:pageBreakBefore w:val="0"/>
        <w:tabs>
          <w:tab w:val="right" w:leader="dot" w:pos="8778"/>
        </w:tabs>
        <w:kinsoku/>
        <w:wordWrap/>
        <w:overflowPunct/>
        <w:topLinePunct w:val="0"/>
        <w:autoSpaceDE/>
        <w:autoSpaceDN/>
        <w:bidi w:val="0"/>
        <w:spacing w:line="560" w:lineRule="exact"/>
        <w:ind w:firstLine="645"/>
        <w:textAlignment w:val="auto"/>
        <w:rPr>
          <w:rFonts w:ascii="仿宋" w:hAnsi="仿宋" w:eastAsia="仿宋" w:cs="仿宋_GB2312"/>
          <w:caps/>
          <w:sz w:val="32"/>
          <w:szCs w:val="32"/>
        </w:rPr>
      </w:pPr>
      <w:r>
        <w:rPr>
          <w:rFonts w:hint="eastAsia" w:ascii="仿宋" w:hAnsi="仿宋" w:eastAsia="仿宋" w:cs="仿宋_GB2312"/>
          <w:caps/>
          <w:sz w:val="32"/>
          <w:szCs w:val="32"/>
        </w:rPr>
        <w:t>目前，</w:t>
      </w:r>
      <w:r>
        <w:rPr>
          <w:rFonts w:hint="eastAsia" w:ascii="仿宋" w:hAnsi="仿宋" w:eastAsia="仿宋" w:cs="仿宋_GB2312"/>
          <w:caps/>
          <w:sz w:val="32"/>
          <w:szCs w:val="32"/>
          <w:lang w:eastAsia="zh-CN"/>
        </w:rPr>
        <w:t>学校女子足球队获得</w:t>
      </w:r>
      <w:r>
        <w:rPr>
          <w:rFonts w:hint="eastAsia" w:ascii="仿宋" w:hAnsi="仿宋" w:eastAsia="仿宋" w:cs="仿宋_GB2312"/>
          <w:caps/>
          <w:sz w:val="32"/>
          <w:szCs w:val="32"/>
          <w:lang w:val="en-US" w:eastAsia="zh-CN"/>
        </w:rPr>
        <w:t>省</w:t>
      </w:r>
      <w:r>
        <w:rPr>
          <w:rFonts w:hint="eastAsia" w:ascii="仿宋" w:hAnsi="仿宋" w:eastAsia="仿宋" w:cs="仿宋_GB2312"/>
          <w:caps/>
          <w:sz w:val="32"/>
          <w:szCs w:val="32"/>
          <w:lang w:eastAsia="zh-CN"/>
        </w:rPr>
        <w:t>级足球比赛第二名</w:t>
      </w:r>
      <w:r>
        <w:rPr>
          <w:rFonts w:hint="eastAsia" w:ascii="仿宋" w:hAnsi="仿宋" w:eastAsia="仿宋" w:cs="仿宋_GB2312"/>
          <w:caps/>
          <w:sz w:val="32"/>
          <w:szCs w:val="32"/>
          <w:lang w:val="en-US" w:eastAsia="zh-CN"/>
        </w:rPr>
        <w:t>1次，贡嘎杯女子足球比赛三等奖。</w:t>
      </w:r>
      <w:r>
        <w:rPr>
          <w:rFonts w:hint="eastAsia" w:ascii="仿宋" w:hAnsi="仿宋" w:eastAsia="仿宋" w:cs="仿宋_GB2312"/>
          <w:caps/>
          <w:sz w:val="32"/>
          <w:szCs w:val="32"/>
          <w:lang w:eastAsia="zh-CN"/>
        </w:rPr>
        <w:t>学校长期参与足球运动的人群</w:t>
      </w:r>
      <w:r>
        <w:rPr>
          <w:rFonts w:hint="eastAsia" w:ascii="仿宋" w:hAnsi="仿宋" w:eastAsia="仿宋" w:cs="仿宋_GB2312"/>
          <w:caps/>
          <w:sz w:val="32"/>
          <w:szCs w:val="32"/>
          <w:lang w:val="en-US" w:eastAsia="zh-CN"/>
        </w:rPr>
        <w:t>数量</w:t>
      </w:r>
      <w:r>
        <w:rPr>
          <w:rFonts w:hint="eastAsia" w:ascii="仿宋" w:hAnsi="仿宋" w:eastAsia="仿宋" w:cs="仿宋_GB2312"/>
          <w:caps/>
          <w:sz w:val="32"/>
          <w:szCs w:val="32"/>
          <w:lang w:eastAsia="zh-CN"/>
        </w:rPr>
        <w:t>不断增加</w:t>
      </w:r>
      <w:r>
        <w:rPr>
          <w:rFonts w:hint="eastAsia" w:ascii="仿宋" w:hAnsi="仿宋" w:eastAsia="仿宋" w:cs="仿宋_GB2312"/>
          <w:caps/>
          <w:sz w:val="32"/>
          <w:szCs w:val="32"/>
        </w:rPr>
        <w:t>。</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楷体_GB2312" w:hAnsi="仿宋" w:eastAsia="楷体_GB2312" w:cs="仿宋_GB2312"/>
          <w:sz w:val="32"/>
          <w:szCs w:val="32"/>
          <w:shd w:val="clear" w:color="auto" w:fill="FFFFFF"/>
        </w:rPr>
      </w:pPr>
      <w:r>
        <w:rPr>
          <w:rFonts w:hint="eastAsia" w:ascii="楷体_GB2312" w:hAnsi="仿宋" w:eastAsia="楷体_GB2312" w:cs="仿宋_GB2312"/>
          <w:sz w:val="32"/>
          <w:szCs w:val="32"/>
          <w:shd w:val="clear" w:color="auto" w:fill="FFFFFF"/>
        </w:rPr>
        <w:t>(二)</w:t>
      </w:r>
      <w:r>
        <w:rPr>
          <w:rFonts w:hint="eastAsia" w:ascii="楷体_GB2312" w:hAnsi="仿宋" w:eastAsia="楷体_GB2312" w:cs="仿宋_GB2312"/>
          <w:sz w:val="32"/>
          <w:szCs w:val="32"/>
          <w:shd w:val="clear" w:color="auto" w:fill="FFFFFF"/>
          <w:lang w:eastAsia="zh-CN"/>
        </w:rPr>
        <w:t>参加各级各类</w:t>
      </w:r>
      <w:r>
        <w:rPr>
          <w:rFonts w:hint="eastAsia" w:ascii="楷体_GB2312" w:hAnsi="仿宋" w:eastAsia="楷体_GB2312" w:cs="仿宋_GB2312"/>
          <w:sz w:val="32"/>
          <w:szCs w:val="32"/>
          <w:shd w:val="clear" w:color="auto" w:fill="FFFFFF"/>
        </w:rPr>
        <w:t>足球培训班</w:t>
      </w:r>
    </w:p>
    <w:p>
      <w:pPr>
        <w:keepNext w:val="0"/>
        <w:keepLines w:val="0"/>
        <w:pageBreakBefore w:val="0"/>
        <w:kinsoku/>
        <w:wordWrap/>
        <w:overflowPunct/>
        <w:topLinePunct w:val="0"/>
        <w:autoSpaceDE/>
        <w:autoSpaceDN/>
        <w:bidi w:val="0"/>
        <w:spacing w:line="560" w:lineRule="exact"/>
        <w:ind w:firstLine="600"/>
        <w:textAlignment w:val="auto"/>
        <w:rPr>
          <w:rFonts w:ascii="仿宋" w:hAnsi="仿宋" w:eastAsia="仿宋" w:cs="仿宋_GB2312"/>
          <w:sz w:val="32"/>
          <w:szCs w:val="32"/>
        </w:rPr>
      </w:pPr>
      <w:r>
        <w:rPr>
          <w:rFonts w:hint="eastAsia" w:ascii="仿宋" w:hAnsi="仿宋" w:eastAsia="仿宋" w:cs="仿宋_GB2312"/>
          <w:sz w:val="32"/>
          <w:szCs w:val="32"/>
        </w:rPr>
        <w:t>对参加</w:t>
      </w:r>
      <w:r>
        <w:rPr>
          <w:rFonts w:hint="eastAsia" w:ascii="仿宋" w:hAnsi="仿宋" w:eastAsia="仿宋" w:cs="仿宋_GB2312"/>
          <w:sz w:val="32"/>
          <w:szCs w:val="32"/>
          <w:lang w:eastAsia="zh-CN"/>
        </w:rPr>
        <w:t>学校女子足球队的师生进行专业化、</w:t>
      </w:r>
      <w:r>
        <w:rPr>
          <w:rFonts w:hint="eastAsia" w:ascii="仿宋" w:hAnsi="仿宋" w:eastAsia="仿宋" w:cs="仿宋_GB2312"/>
          <w:sz w:val="32"/>
          <w:szCs w:val="32"/>
        </w:rPr>
        <w:t>针对性培训。</w:t>
      </w:r>
      <w:r>
        <w:rPr>
          <w:rFonts w:hint="eastAsia" w:ascii="仿宋" w:hAnsi="仿宋" w:eastAsia="仿宋" w:cs="仿宋_GB2312"/>
          <w:sz w:val="32"/>
          <w:szCs w:val="32"/>
          <w:lang w:eastAsia="zh-CN"/>
        </w:rPr>
        <w:t>组织学生参加</w:t>
      </w:r>
      <w:r>
        <w:rPr>
          <w:rFonts w:hint="eastAsia" w:ascii="仿宋" w:hAnsi="仿宋" w:eastAsia="仿宋" w:cs="仿宋_GB2312"/>
          <w:sz w:val="32"/>
          <w:szCs w:val="32"/>
          <w:lang w:val="en-US" w:eastAsia="zh-CN"/>
        </w:rPr>
        <w:t>2024年四川省足球协会组织的E级/D级教练员培训班，参加四川省足球协会组织的三级/二级裁判员培训班</w:t>
      </w:r>
      <w:r>
        <w:rPr>
          <w:rFonts w:hint="eastAsia" w:ascii="仿宋" w:hAnsi="仿宋" w:eastAsia="仿宋" w:cs="仿宋_GB2312"/>
          <w:sz w:val="32"/>
          <w:szCs w:val="32"/>
        </w:rPr>
        <w:t>。</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楷体_GB2312" w:hAnsi="仿宋" w:eastAsia="楷体_GB2312" w:cs="仿宋_GB2312"/>
          <w:sz w:val="32"/>
          <w:szCs w:val="32"/>
          <w:shd w:val="clear" w:color="auto" w:fill="FFFFFF"/>
        </w:rPr>
      </w:pPr>
      <w:r>
        <w:rPr>
          <w:rFonts w:hint="eastAsia" w:ascii="楷体_GB2312" w:hAnsi="仿宋" w:eastAsia="楷体_GB2312" w:cs="仿宋_GB2312"/>
          <w:sz w:val="32"/>
          <w:szCs w:val="32"/>
          <w:shd w:val="clear" w:color="auto" w:fill="FFFFFF"/>
          <w:lang w:eastAsia="zh-CN"/>
        </w:rPr>
        <w:t>（</w:t>
      </w:r>
      <w:r>
        <w:rPr>
          <w:rFonts w:hint="eastAsia" w:ascii="楷体_GB2312" w:hAnsi="仿宋" w:eastAsia="楷体_GB2312" w:cs="仿宋_GB2312"/>
          <w:sz w:val="32"/>
          <w:szCs w:val="32"/>
          <w:shd w:val="clear" w:color="auto" w:fill="FFFFFF"/>
          <w:lang w:val="en-US" w:eastAsia="zh-CN"/>
        </w:rPr>
        <w:t>三）</w:t>
      </w:r>
      <w:r>
        <w:rPr>
          <w:rFonts w:hint="eastAsia" w:ascii="楷体_GB2312" w:hAnsi="仿宋" w:eastAsia="楷体_GB2312" w:cs="仿宋_GB2312"/>
          <w:sz w:val="32"/>
          <w:szCs w:val="32"/>
          <w:shd w:val="clear" w:color="auto" w:fill="FFFFFF"/>
          <w:lang w:eastAsia="zh-CN"/>
        </w:rPr>
        <w:t>服务广元市校园足球运动</w:t>
      </w:r>
    </w:p>
    <w:p>
      <w:pPr>
        <w:keepNext w:val="0"/>
        <w:keepLines w:val="0"/>
        <w:pageBreakBefore w:val="0"/>
        <w:kinsoku/>
        <w:wordWrap/>
        <w:overflowPunct/>
        <w:topLinePunct w:val="0"/>
        <w:autoSpaceDE/>
        <w:autoSpaceDN/>
        <w:bidi w:val="0"/>
        <w:spacing w:line="560" w:lineRule="exact"/>
        <w:ind w:firstLine="640"/>
        <w:textAlignment w:val="auto"/>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3、</w:t>
      </w:r>
      <w:r>
        <w:rPr>
          <w:rFonts w:hint="eastAsia" w:ascii="仿宋" w:hAnsi="仿宋" w:eastAsia="仿宋" w:cs="仿宋_GB2312"/>
          <w:sz w:val="32"/>
          <w:szCs w:val="32"/>
        </w:rPr>
        <w:t>为进一步</w:t>
      </w:r>
      <w:r>
        <w:rPr>
          <w:rFonts w:hint="eastAsia" w:ascii="仿宋" w:hAnsi="仿宋" w:eastAsia="仿宋" w:cs="仿宋_GB2312"/>
          <w:sz w:val="32"/>
          <w:szCs w:val="32"/>
          <w:lang w:val="en-US" w:eastAsia="zh-CN"/>
        </w:rPr>
        <w:t>助推</w:t>
      </w:r>
      <w:r>
        <w:rPr>
          <w:rFonts w:hint="eastAsia" w:ascii="仿宋" w:hAnsi="仿宋" w:eastAsia="仿宋" w:cs="仿宋_GB2312"/>
          <w:sz w:val="32"/>
          <w:szCs w:val="32"/>
        </w:rPr>
        <w:t>和规范校园足球的发展，</w:t>
      </w:r>
      <w:r>
        <w:rPr>
          <w:rFonts w:hint="eastAsia" w:ascii="仿宋" w:hAnsi="仿宋" w:eastAsia="仿宋" w:cs="仿宋_GB2312"/>
          <w:sz w:val="32"/>
          <w:szCs w:val="32"/>
          <w:lang w:val="en-US" w:eastAsia="zh-CN"/>
        </w:rPr>
        <w:t>参与2024年广元市利州区校园足球比赛裁判工作、参与2024年广元市巴蜀雄起杯足球比赛裁判工作、参与广元市利州中专校园足球比赛裁判工作。</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60" w:lineRule="exact"/>
        <w:ind w:firstLine="640" w:firstLineChars="200"/>
        <w:textAlignment w:val="auto"/>
        <w:rPr>
          <w:rFonts w:hint="default" w:ascii="黑体" w:hAnsi="宋体" w:eastAsia="黑体" w:cs="Times New Roman"/>
          <w:color w:val="auto"/>
          <w:kern w:val="2"/>
          <w:sz w:val="32"/>
          <w:szCs w:val="32"/>
          <w:highlight w:val="none"/>
          <w:lang w:val="zh-CN" w:eastAsia="zh-CN" w:bidi="ar-SA"/>
        </w:rPr>
      </w:pPr>
      <w:r>
        <w:rPr>
          <w:rFonts w:hint="default" w:ascii="黑体" w:hAnsi="宋体" w:eastAsia="黑体" w:cs="Times New Roman"/>
          <w:color w:val="auto"/>
          <w:kern w:val="2"/>
          <w:sz w:val="32"/>
          <w:szCs w:val="32"/>
          <w:highlight w:val="none"/>
          <w:lang w:val="zh-CN" w:eastAsia="zh-CN" w:bidi="ar-SA"/>
        </w:rPr>
        <w:t>五、存在主要问题</w:t>
      </w:r>
    </w:p>
    <w:p>
      <w:pPr>
        <w:keepNext w:val="0"/>
        <w:keepLines w:val="0"/>
        <w:pageBreakBefore w:val="0"/>
        <w:kinsoku/>
        <w:wordWrap/>
        <w:overflowPunct/>
        <w:topLinePunct w:val="0"/>
        <w:autoSpaceDE/>
        <w:autoSpaceDN/>
        <w:bidi w:val="0"/>
        <w:spacing w:line="56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cs="仿宋_GB2312"/>
          <w:sz w:val="32"/>
          <w:szCs w:val="32"/>
        </w:rPr>
        <w:t>（一）场地设施建设有待完善</w:t>
      </w:r>
      <w:r>
        <w:rPr>
          <w:rFonts w:hint="eastAsia" w:ascii="仿宋" w:hAnsi="仿宋" w:eastAsia="仿宋" w:cs="仿宋_GB2312"/>
          <w:sz w:val="32"/>
          <w:szCs w:val="32"/>
          <w:lang w:eastAsia="zh-CN"/>
        </w:rPr>
        <w:t>，足球活动开展范围不全面。</w:t>
      </w:r>
      <w:r>
        <w:rPr>
          <w:rFonts w:hint="eastAsia" w:ascii="仿宋" w:hAnsi="仿宋" w:eastAsia="仿宋" w:cs="仿宋_GB2312"/>
          <w:sz w:val="32"/>
          <w:szCs w:val="32"/>
        </w:rPr>
        <w:t>校园足球活动开展对场地的要求比较高，根据上级要求和校园足球发展三年行动规划，</w:t>
      </w:r>
      <w:r>
        <w:rPr>
          <w:rFonts w:hint="eastAsia" w:ascii="仿宋" w:hAnsi="仿宋" w:eastAsia="仿宋" w:cs="仿宋_GB2312"/>
          <w:sz w:val="32"/>
          <w:szCs w:val="32"/>
          <w:lang w:eastAsia="zh-CN"/>
        </w:rPr>
        <w:t>学校足球器材、设备还需进一步配齐</w:t>
      </w:r>
      <w:r>
        <w:rPr>
          <w:rFonts w:hint="eastAsia" w:ascii="仿宋" w:hAnsi="仿宋" w:eastAsia="仿宋"/>
          <w:sz w:val="32"/>
          <w:szCs w:val="32"/>
        </w:rPr>
        <w:t>。</w:t>
      </w:r>
      <w:r>
        <w:rPr>
          <w:rFonts w:hint="eastAsia" w:ascii="仿宋" w:hAnsi="仿宋" w:eastAsia="仿宋"/>
          <w:sz w:val="32"/>
          <w:szCs w:val="32"/>
          <w:lang w:eastAsia="zh-CN"/>
        </w:rPr>
        <w:t>建立班级</w:t>
      </w:r>
      <w:r>
        <w:rPr>
          <w:rFonts w:hint="eastAsia" w:ascii="仿宋" w:hAnsi="仿宋" w:eastAsia="仿宋"/>
          <w:sz w:val="32"/>
          <w:szCs w:val="32"/>
          <w:lang w:val="en-US" w:eastAsia="zh-CN"/>
        </w:rPr>
        <w:t>-院部-学校层面的三级竞赛制度。</w:t>
      </w:r>
    </w:p>
    <w:p>
      <w:pPr>
        <w:keepNext w:val="0"/>
        <w:keepLines w:val="0"/>
        <w:pageBreakBefore w:val="0"/>
        <w:kinsoku/>
        <w:wordWrap/>
        <w:overflowPunct/>
        <w:topLinePunct w:val="0"/>
        <w:autoSpaceDE/>
        <w:autoSpaceDN/>
        <w:bidi w:val="0"/>
        <w:spacing w:line="560" w:lineRule="exact"/>
        <w:ind w:firstLine="645"/>
        <w:textAlignment w:val="auto"/>
        <w:rPr>
          <w:rFonts w:ascii="仿宋" w:hAnsi="仿宋" w:eastAsia="仿宋"/>
          <w:sz w:val="32"/>
          <w:szCs w:val="32"/>
        </w:rPr>
      </w:pPr>
      <w:r>
        <w:rPr>
          <w:rFonts w:hint="eastAsia" w:ascii="仿宋" w:hAnsi="仿宋" w:eastAsia="仿宋" w:cs="仿宋_GB2312"/>
          <w:sz w:val="32"/>
          <w:szCs w:val="32"/>
        </w:rPr>
        <w:t>（二）财政投入存在不足，</w:t>
      </w:r>
      <w:r>
        <w:rPr>
          <w:rFonts w:hint="eastAsia" w:ascii="仿宋" w:hAnsi="仿宋" w:eastAsia="仿宋"/>
          <w:sz w:val="32"/>
          <w:szCs w:val="32"/>
        </w:rPr>
        <w:t>资金分配有待进一步规范。从项目开支情况来看，尽管资金</w:t>
      </w:r>
      <w:r>
        <w:rPr>
          <w:rFonts w:hint="eastAsia" w:ascii="仿宋" w:hAnsi="仿宋" w:eastAsia="仿宋"/>
          <w:sz w:val="32"/>
          <w:szCs w:val="32"/>
          <w:lang w:eastAsia="zh-CN"/>
        </w:rPr>
        <w:t>使用规范</w:t>
      </w:r>
      <w:r>
        <w:rPr>
          <w:rFonts w:hint="eastAsia" w:ascii="仿宋" w:hAnsi="仿宋" w:eastAsia="仿宋"/>
          <w:sz w:val="32"/>
          <w:szCs w:val="32"/>
        </w:rPr>
        <w:t>，但</w:t>
      </w:r>
      <w:r>
        <w:rPr>
          <w:rFonts w:hint="eastAsia" w:ascii="仿宋" w:hAnsi="仿宋" w:eastAsia="仿宋"/>
          <w:sz w:val="32"/>
          <w:szCs w:val="32"/>
          <w:lang w:eastAsia="zh-CN"/>
        </w:rPr>
        <w:t>在教练员补助、学生足球活动开展方面</w:t>
      </w:r>
      <w:r>
        <w:rPr>
          <w:rFonts w:hint="eastAsia" w:ascii="仿宋" w:hAnsi="仿宋" w:eastAsia="仿宋"/>
          <w:sz w:val="32"/>
          <w:szCs w:val="32"/>
        </w:rPr>
        <w:t>仍</w:t>
      </w:r>
      <w:r>
        <w:rPr>
          <w:rFonts w:hint="eastAsia" w:ascii="仿宋" w:hAnsi="仿宋" w:eastAsia="仿宋"/>
          <w:sz w:val="32"/>
          <w:szCs w:val="32"/>
          <w:lang w:eastAsia="zh-CN"/>
        </w:rPr>
        <w:t>存在不足</w:t>
      </w:r>
      <w:r>
        <w:rPr>
          <w:rFonts w:hint="eastAsia" w:ascii="仿宋" w:hAnsi="仿宋" w:eastAsia="仿宋"/>
          <w:sz w:val="32"/>
          <w:szCs w:val="32"/>
        </w:rPr>
        <w:t>，资金安排未与部门职责、工作任务挂钩。</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60" w:lineRule="exact"/>
        <w:ind w:firstLine="640" w:firstLineChars="200"/>
        <w:textAlignment w:val="auto"/>
        <w:rPr>
          <w:rFonts w:hint="default" w:ascii="黑体" w:hAnsi="宋体" w:eastAsia="黑体" w:cs="Times New Roman"/>
          <w:color w:val="auto"/>
          <w:kern w:val="2"/>
          <w:sz w:val="32"/>
          <w:szCs w:val="32"/>
          <w:highlight w:val="none"/>
          <w:lang w:val="zh-CN" w:eastAsia="zh-CN" w:bidi="ar-SA"/>
        </w:rPr>
      </w:pPr>
      <w:r>
        <w:rPr>
          <w:rFonts w:hint="default" w:ascii="黑体" w:hAnsi="宋体" w:eastAsia="黑体" w:cs="Times New Roman"/>
          <w:color w:val="auto"/>
          <w:kern w:val="2"/>
          <w:sz w:val="32"/>
          <w:szCs w:val="32"/>
          <w:highlight w:val="none"/>
          <w:lang w:val="zh-CN" w:eastAsia="zh-CN" w:bidi="ar-SA"/>
        </w:rPr>
        <w:t>六、改进建议</w:t>
      </w:r>
    </w:p>
    <w:p>
      <w:pPr>
        <w:keepNext w:val="0"/>
        <w:keepLines w:val="0"/>
        <w:pageBreakBefore w:val="0"/>
        <w:kinsoku/>
        <w:wordWrap/>
        <w:overflowPunct/>
        <w:topLinePunct w:val="0"/>
        <w:autoSpaceDE/>
        <w:autoSpaceDN/>
        <w:bidi w:val="0"/>
        <w:spacing w:line="560" w:lineRule="exact"/>
        <w:ind w:firstLine="640" w:firstLineChars="200"/>
        <w:textAlignment w:val="auto"/>
        <w:rPr>
          <w:rFonts w:ascii="仿宋" w:hAnsi="仿宋" w:eastAsia="仿宋"/>
          <w:sz w:val="32"/>
          <w:szCs w:val="32"/>
        </w:rPr>
      </w:pPr>
      <w:r>
        <w:rPr>
          <w:rFonts w:hint="eastAsia" w:ascii="仿宋" w:hAnsi="仿宋" w:eastAsia="仿宋" w:cs="仿宋_GB2312"/>
          <w:bCs/>
          <w:kern w:val="28"/>
          <w:sz w:val="32"/>
          <w:szCs w:val="32"/>
          <w:lang w:val="zh-CN"/>
        </w:rPr>
        <w:t>1、</w:t>
      </w:r>
      <w:r>
        <w:rPr>
          <w:rFonts w:hint="eastAsia" w:ascii="仿宋" w:hAnsi="仿宋" w:eastAsia="仿宋"/>
          <w:sz w:val="32"/>
          <w:szCs w:val="32"/>
        </w:rPr>
        <w:t>规范绩效目标。切实落实</w:t>
      </w:r>
      <w:r>
        <w:rPr>
          <w:rFonts w:hint="eastAsia" w:ascii="仿宋" w:hAnsi="仿宋" w:eastAsia="仿宋"/>
          <w:sz w:val="32"/>
          <w:szCs w:val="32"/>
          <w:lang w:eastAsia="zh-CN"/>
        </w:rPr>
        <w:t>青少年足球发展规划</w:t>
      </w:r>
      <w:r>
        <w:rPr>
          <w:rFonts w:hint="eastAsia" w:ascii="仿宋" w:hAnsi="仿宋" w:eastAsia="仿宋"/>
          <w:sz w:val="32"/>
          <w:szCs w:val="32"/>
        </w:rPr>
        <w:t>，确保</w:t>
      </w:r>
      <w:r>
        <w:rPr>
          <w:rFonts w:hint="eastAsia" w:ascii="仿宋" w:hAnsi="仿宋" w:eastAsia="仿宋"/>
          <w:sz w:val="32"/>
          <w:szCs w:val="32"/>
          <w:lang w:eastAsia="zh-CN"/>
        </w:rPr>
        <w:t>学校足球器材配齐，加强学校足球运动队建设力度，支持各院部开展班级足球比赛和活动</w:t>
      </w:r>
      <w:r>
        <w:rPr>
          <w:rFonts w:hint="eastAsia" w:ascii="仿宋" w:hAnsi="仿宋" w:eastAsia="仿宋"/>
          <w:sz w:val="32"/>
          <w:szCs w:val="32"/>
        </w:rPr>
        <w:t>。</w:t>
      </w:r>
    </w:p>
    <w:p>
      <w:pPr>
        <w:keepNext w:val="0"/>
        <w:keepLines w:val="0"/>
        <w:pageBreakBefore w:val="0"/>
        <w:kinsoku/>
        <w:wordWrap/>
        <w:overflowPunct/>
        <w:topLinePunct w:val="0"/>
        <w:autoSpaceDE/>
        <w:autoSpaceDN/>
        <w:bidi w:val="0"/>
        <w:spacing w:line="560" w:lineRule="exact"/>
        <w:ind w:firstLine="601" w:firstLineChars="188"/>
        <w:textAlignment w:val="auto"/>
        <w:outlineLvl w:val="1"/>
        <w:rPr>
          <w:rFonts w:ascii="仿宋" w:hAnsi="仿宋" w:eastAsia="仿宋"/>
          <w:sz w:val="32"/>
          <w:szCs w:val="32"/>
        </w:rPr>
      </w:pPr>
      <w:bookmarkStart w:id="111" w:name="_Toc10667"/>
      <w:r>
        <w:rPr>
          <w:rFonts w:hint="eastAsia" w:ascii="仿宋" w:hAnsi="仿宋" w:eastAsia="仿宋" w:cs="仿宋_GB2312"/>
          <w:sz w:val="32"/>
          <w:szCs w:val="32"/>
        </w:rPr>
        <w:t>2、适当增加财政投入，加强财务核算。校园足球发展还存在认识不足、师资不足、经费不足等难题，建议</w:t>
      </w:r>
      <w:r>
        <w:rPr>
          <w:rFonts w:hint="eastAsia" w:ascii="仿宋" w:hAnsi="仿宋" w:eastAsia="仿宋" w:cs="仿宋_GB2312"/>
          <w:sz w:val="32"/>
          <w:szCs w:val="32"/>
          <w:lang w:eastAsia="zh-CN"/>
        </w:rPr>
        <w:t>学校配套专项资金</w:t>
      </w:r>
      <w:r>
        <w:rPr>
          <w:rFonts w:hint="eastAsia" w:ascii="仿宋" w:hAnsi="仿宋" w:eastAsia="仿宋" w:cs="仿宋_GB2312"/>
          <w:sz w:val="32"/>
          <w:szCs w:val="32"/>
        </w:rPr>
        <w:t>。同时，应加强财务核算，单列账务，</w:t>
      </w:r>
      <w:r>
        <w:rPr>
          <w:rFonts w:hint="eastAsia" w:ascii="仿宋" w:hAnsi="仿宋" w:eastAsia="仿宋"/>
          <w:sz w:val="32"/>
          <w:szCs w:val="32"/>
        </w:rPr>
        <w:t>准确反映项目开支情况，</w:t>
      </w:r>
      <w:r>
        <w:rPr>
          <w:rFonts w:hint="eastAsia" w:ascii="仿宋" w:hAnsi="仿宋" w:eastAsia="仿宋" w:cs="仿宋_GB2312"/>
          <w:sz w:val="32"/>
          <w:szCs w:val="32"/>
        </w:rPr>
        <w:t>防止</w:t>
      </w:r>
      <w:r>
        <w:rPr>
          <w:rFonts w:hint="eastAsia" w:ascii="仿宋" w:hAnsi="仿宋" w:eastAsia="仿宋"/>
          <w:sz w:val="32"/>
          <w:szCs w:val="32"/>
        </w:rPr>
        <w:t>挤占、截留、挪用项目资金情况发生。</w:t>
      </w:r>
      <w:bookmarkEnd w:id="111"/>
    </w:p>
    <w:p>
      <w:pPr>
        <w:keepNext w:val="0"/>
        <w:keepLines w:val="0"/>
        <w:pageBreakBefore w:val="0"/>
        <w:kinsoku/>
        <w:wordWrap/>
        <w:overflowPunct/>
        <w:topLinePunct w:val="0"/>
        <w:autoSpaceDE/>
        <w:autoSpaceDN/>
        <w:bidi w:val="0"/>
        <w:spacing w:line="560" w:lineRule="exact"/>
        <w:ind w:firstLine="601" w:firstLineChars="188"/>
        <w:textAlignment w:val="auto"/>
        <w:outlineLvl w:val="1"/>
        <w:rPr>
          <w:rFonts w:ascii="仿宋" w:hAnsi="仿宋" w:eastAsia="仿宋"/>
          <w:sz w:val="32"/>
          <w:szCs w:val="32"/>
        </w:rPr>
      </w:pPr>
      <w:bookmarkStart w:id="112" w:name="_Toc17840"/>
      <w:r>
        <w:rPr>
          <w:rFonts w:hint="eastAsia" w:ascii="仿宋" w:hAnsi="仿宋" w:eastAsia="仿宋"/>
          <w:sz w:val="32"/>
          <w:szCs w:val="32"/>
        </w:rPr>
        <w:t>3、完善相关制度，规范资金分配。</w:t>
      </w:r>
      <w:r>
        <w:rPr>
          <w:rFonts w:hint="eastAsia" w:ascii="仿宋" w:hAnsi="仿宋" w:eastAsia="仿宋"/>
          <w:sz w:val="32"/>
          <w:szCs w:val="32"/>
          <w:lang w:eastAsia="zh-CN"/>
        </w:rPr>
        <w:t>学校</w:t>
      </w:r>
      <w:r>
        <w:rPr>
          <w:rFonts w:hint="eastAsia" w:ascii="仿宋" w:hAnsi="仿宋" w:eastAsia="仿宋"/>
          <w:sz w:val="32"/>
          <w:szCs w:val="32"/>
        </w:rPr>
        <w:t>应进一步明</w:t>
      </w:r>
      <w:r>
        <w:rPr>
          <w:rFonts w:hint="eastAsia" w:ascii="仿宋" w:hAnsi="仿宋" w:eastAsia="仿宋"/>
          <w:sz w:val="32"/>
          <w:szCs w:val="32"/>
          <w:lang w:eastAsia="zh-CN"/>
        </w:rPr>
        <w:t>青少年足球运动发展的职责，</w:t>
      </w:r>
      <w:r>
        <w:rPr>
          <w:rFonts w:hint="eastAsia" w:ascii="仿宋" w:hAnsi="仿宋" w:eastAsia="仿宋"/>
          <w:sz w:val="32"/>
          <w:szCs w:val="32"/>
        </w:rPr>
        <w:t>细化工作任务，完善项目资金分配、使用及管理制度，按照各部门、单位职责分工和工作任务合理分配资金。</w:t>
      </w:r>
      <w:bookmarkEnd w:id="112"/>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sectPr>
          <w:pgSz w:w="11906" w:h="16838"/>
          <w:pgMar w:top="1440" w:right="1800" w:bottom="1440" w:left="1800" w:header="851" w:footer="992" w:gutter="0"/>
          <w:pgNumType w:fmt="decimal"/>
          <w:cols w:space="425" w:num="1"/>
          <w:titlePg/>
          <w:docGrid w:type="lines" w:linePitch="312" w:charSpace="0"/>
        </w:sectPr>
      </w:pPr>
    </w:p>
    <w:p>
      <w:pPr>
        <w:pStyle w:val="2"/>
        <w:rPr>
          <w:rFonts w:hint="default" w:ascii="黑体" w:hAnsi="黑体" w:eastAsia="黑体" w:cs="黑体"/>
          <w:color w:val="auto"/>
          <w:kern w:val="0"/>
          <w:sz w:val="32"/>
          <w:szCs w:val="32"/>
          <w:highlight w:val="none"/>
          <w:shd w:val="clear" w:color="auto" w:fill="FFFFFF"/>
          <w:lang w:val="en-US" w:eastAsia="zh-CN"/>
        </w:rPr>
      </w:pPr>
      <w:r>
        <w:rPr>
          <w:rFonts w:hint="eastAsia" w:ascii="黑体" w:hAnsi="黑体" w:eastAsia="黑体" w:cs="黑体"/>
          <w:color w:val="auto"/>
          <w:kern w:val="0"/>
          <w:sz w:val="32"/>
          <w:szCs w:val="32"/>
          <w:highlight w:val="none"/>
          <w:shd w:val="clear" w:color="auto" w:fill="FFFFFF"/>
          <w:lang w:val="zh-CN"/>
        </w:rPr>
        <w:t>附件</w:t>
      </w:r>
      <w:r>
        <w:rPr>
          <w:rFonts w:hint="eastAsia" w:ascii="黑体" w:hAnsi="黑体" w:eastAsia="黑体" w:cs="黑体"/>
          <w:color w:val="auto"/>
          <w:kern w:val="0"/>
          <w:sz w:val="32"/>
          <w:szCs w:val="32"/>
          <w:highlight w:val="none"/>
          <w:shd w:val="clear" w:color="auto" w:fill="FFFFFF"/>
          <w:lang w:val="en-US" w:eastAsia="zh-CN"/>
        </w:rPr>
        <w:t>2-4</w:t>
      </w:r>
    </w:p>
    <w:p>
      <w:pPr>
        <w:rPr>
          <w:rFonts w:hint="default"/>
          <w:lang w:val="en-US" w:eastAsia="zh-CN"/>
        </w:rPr>
      </w:pPr>
    </w:p>
    <w:p>
      <w:pPr>
        <w:pStyle w:val="36"/>
        <w:spacing w:line="578" w:lineRule="exact"/>
        <w:jc w:val="center"/>
        <w:outlineLvl w:val="1"/>
        <w:rPr>
          <w:rFonts w:hint="default" w:ascii="Times New Roman" w:hAnsi="Times New Roman" w:eastAsia="方正小标宋简体" w:cs="Times New Roman"/>
          <w:color w:val="auto"/>
          <w:kern w:val="2"/>
          <w:sz w:val="44"/>
          <w:szCs w:val="44"/>
          <w:highlight w:val="none"/>
          <w:lang w:val="en-US" w:eastAsia="zh-CN"/>
        </w:rPr>
      </w:pPr>
      <w:bookmarkStart w:id="113" w:name="_Toc9783"/>
      <w:r>
        <w:rPr>
          <w:rFonts w:hint="eastAsia" w:ascii="方正小标宋简体" w:hAnsi="方正小标宋简体" w:eastAsia="方正小标宋简体" w:cs="方正小标宋简体"/>
          <w:color w:val="auto"/>
          <w:kern w:val="2"/>
          <w:sz w:val="44"/>
          <w:szCs w:val="44"/>
          <w:lang w:val="en-US"/>
        </w:rPr>
        <w:t>川北幼儿师范高等专科学校</w:t>
      </w:r>
      <w:bookmarkEnd w:id="113"/>
    </w:p>
    <w:p>
      <w:pPr>
        <w:pStyle w:val="36"/>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方正小标宋简体" w:hAnsi="方正小标宋简体" w:eastAsia="方正小标宋简体" w:cs="方正小标宋简体"/>
          <w:color w:val="auto"/>
          <w:kern w:val="2"/>
          <w:sz w:val="44"/>
          <w:szCs w:val="44"/>
          <w:highlight w:val="none"/>
          <w:lang w:val="en-US" w:eastAsia="zh-CN"/>
        </w:rPr>
      </w:pPr>
      <w:r>
        <w:rPr>
          <w:rFonts w:hint="eastAsia" w:ascii="方正小标宋简体" w:hAnsi="方正小标宋简体" w:eastAsia="方正小标宋简体" w:cs="方正小标宋简体"/>
          <w:color w:val="auto"/>
          <w:kern w:val="2"/>
          <w:sz w:val="44"/>
          <w:szCs w:val="44"/>
          <w:highlight w:val="none"/>
          <w:lang w:val="en-US" w:eastAsia="zh-CN"/>
        </w:rPr>
        <w:t>2024年生源地贷款贴息经费</w:t>
      </w:r>
    </w:p>
    <w:p>
      <w:pPr>
        <w:pStyle w:val="36"/>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方正小标宋简体" w:hAnsi="方正小标宋简体" w:eastAsia="方正小标宋简体" w:cs="方正小标宋简体"/>
          <w:color w:val="auto"/>
          <w:kern w:val="2"/>
          <w:sz w:val="44"/>
          <w:szCs w:val="44"/>
          <w:highlight w:val="none"/>
          <w:lang w:val="en-US" w:eastAsia="zh-CN"/>
        </w:rPr>
      </w:pPr>
      <w:r>
        <w:rPr>
          <w:rFonts w:hint="eastAsia" w:ascii="方正小标宋简体" w:hAnsi="方正小标宋简体" w:eastAsia="方正小标宋简体" w:cs="方正小标宋简体"/>
          <w:color w:val="auto"/>
          <w:kern w:val="2"/>
          <w:sz w:val="44"/>
          <w:szCs w:val="44"/>
          <w:highlight w:val="none"/>
          <w:lang w:val="en-US" w:eastAsia="zh-CN"/>
        </w:rPr>
        <w:t>专项预算绩效评价报告</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hint="eastAsia" w:ascii="黑体" w:hAnsi="宋体" w:eastAsia="黑体"/>
          <w:sz w:val="32"/>
          <w:szCs w:val="32"/>
          <w:highlight w:val="none"/>
          <w:lang w:val="en-US" w:eastAsia="zh-CN"/>
        </w:rPr>
      </w:pPr>
      <w:r>
        <w:rPr>
          <w:rFonts w:hint="eastAsia" w:ascii="黑体" w:hAnsi="宋体" w:eastAsia="黑体"/>
          <w:sz w:val="32"/>
          <w:szCs w:val="32"/>
          <w:highlight w:val="none"/>
          <w:lang w:val="en-US" w:eastAsia="zh-CN"/>
        </w:rPr>
        <w:t>一、项目概况</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2" w:firstLineChars="200"/>
        <w:contextualSpacing/>
        <w:jc w:val="left"/>
        <w:textAlignment w:val="auto"/>
        <w:rPr>
          <w:rFonts w:hint="eastAsia" w:ascii="楷体_GB2312" w:hAnsi="宋体" w:eastAsia="楷体_GB2312"/>
          <w:b/>
          <w:color w:val="auto"/>
          <w:sz w:val="32"/>
          <w:szCs w:val="32"/>
          <w:highlight w:val="none"/>
          <w:u w:val="none"/>
          <w:lang w:val="en-US" w:eastAsia="zh-CN"/>
        </w:rPr>
      </w:pPr>
      <w:r>
        <w:rPr>
          <w:rFonts w:hint="eastAsia" w:ascii="楷体_GB2312" w:hAnsi="宋体" w:eastAsia="楷体_GB2312"/>
          <w:b/>
          <w:color w:val="auto"/>
          <w:sz w:val="32"/>
          <w:szCs w:val="32"/>
          <w:highlight w:val="none"/>
          <w:u w:val="none"/>
          <w:lang w:val="en-US" w:eastAsia="zh-CN"/>
        </w:rPr>
        <w:t>（一）设立背景及基本情况</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落实省、市各项学生资助政策，保障家庭经济困难学生受教育权利，促进教育公平，保证每一名在校家庭经济困难学生能够安心在校学习生活，顺利完成学业。</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2" w:firstLineChars="200"/>
        <w:contextualSpacing/>
        <w:jc w:val="left"/>
        <w:textAlignment w:val="auto"/>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en-US" w:eastAsia="zh-CN"/>
        </w:rPr>
        <w:t>（二）实施目的及支持方向</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我校严格按照《广元市财政局关于下达2024年市级教育专项经费(第四批)预算的通知》（广财教〔2024〕 43号）要求，做好2024年国家助学贷款风险补偿金和贴息资金缴纳工作。</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2" w:firstLineChars="200"/>
        <w:contextualSpacing/>
        <w:jc w:val="left"/>
        <w:textAlignment w:val="auto"/>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en-US" w:eastAsia="zh-CN"/>
        </w:rPr>
        <w:t>（三）预算安排及分配管理</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预算资金全部用于2024年国家助学贷款风险补偿金和贴息资金缴纳，做到了专款专用，不截留、不挪用。</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2" w:firstLineChars="200"/>
        <w:contextualSpacing/>
        <w:jc w:val="left"/>
        <w:textAlignment w:val="auto"/>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en-US" w:eastAsia="zh-CN"/>
        </w:rPr>
        <w:t>（四）项目绩效目标设置</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项目完成达到预期目标，国家助学贷款风险补偿金和贴息资金缴纳完成率达100%，学生满意度达95%以上。</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hint="eastAsia" w:ascii="黑体" w:hAnsi="宋体" w:eastAsia="黑体"/>
          <w:sz w:val="32"/>
          <w:szCs w:val="32"/>
          <w:highlight w:val="none"/>
          <w:lang w:val="en-US" w:eastAsia="zh-CN"/>
        </w:rPr>
      </w:pPr>
      <w:r>
        <w:rPr>
          <w:rFonts w:hint="eastAsia" w:ascii="黑体" w:hAnsi="宋体" w:eastAsia="黑体"/>
          <w:sz w:val="32"/>
          <w:szCs w:val="32"/>
          <w:highlight w:val="none"/>
          <w:lang w:val="en-US" w:eastAsia="zh-CN"/>
        </w:rPr>
        <w:t>二、评价实施</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2" w:firstLineChars="200"/>
        <w:contextualSpacing/>
        <w:jc w:val="left"/>
        <w:textAlignment w:val="auto"/>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en-US" w:eastAsia="zh-CN"/>
        </w:rPr>
        <w:t>（一）评价目的</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通过项目绩效自评不断完善项目制度建设，提高项目完成率。</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2" w:firstLineChars="200"/>
        <w:contextualSpacing/>
        <w:jc w:val="left"/>
        <w:textAlignment w:val="auto"/>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en-US" w:eastAsia="zh-CN"/>
        </w:rPr>
        <w:t>（二）预设问题及评价重点</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在项目建设过程中，认真贯彻执行国家助学贷款风险补偿金和贴息资金缴纳的方针政策，根据上级相关文件、制度，专款专用。</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2" w:firstLineChars="200"/>
        <w:contextualSpacing/>
        <w:jc w:val="left"/>
        <w:textAlignment w:val="auto"/>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en-US" w:eastAsia="zh-CN"/>
        </w:rPr>
        <w:t>（三）评价方法</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根据项目情况和评价重点，采用目标比较法。</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2" w:firstLineChars="200"/>
        <w:contextualSpacing/>
        <w:jc w:val="left"/>
        <w:textAlignment w:val="auto"/>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en-US" w:eastAsia="zh-CN"/>
        </w:rPr>
        <w:t>（四）评价组织</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该项目自评由学校计划财务处牵头，学生工作部处根据《广元市财政局关于开展 2024年度市级部门绩效自评工作的通知》（广财绩〔2024〕6 号）文件要求，对照2024年专项预算项目绩效评价指标体系使用目标比较法，通过项目实际产生的效果与预定绩效目标对比，分析目标完成或未完成的原因，从而达到项目绩效评价的目的。</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hint="eastAsia" w:ascii="黑体" w:hAnsi="宋体" w:eastAsia="黑体"/>
          <w:sz w:val="32"/>
          <w:szCs w:val="32"/>
          <w:highlight w:val="none"/>
          <w:lang w:val="en-US" w:eastAsia="zh-CN"/>
        </w:rPr>
      </w:pPr>
      <w:r>
        <w:rPr>
          <w:rFonts w:hint="eastAsia" w:ascii="黑体" w:hAnsi="宋体" w:eastAsia="黑体"/>
          <w:sz w:val="32"/>
          <w:szCs w:val="32"/>
          <w:highlight w:val="none"/>
          <w:lang w:val="en-US" w:eastAsia="zh-CN"/>
        </w:rPr>
        <w:t>三、绩效分析</w:t>
      </w:r>
      <w:r>
        <w:rPr>
          <w:rFonts w:hint="eastAsia" w:ascii="黑体" w:hAnsi="宋体" w:eastAsia="黑体"/>
          <w:sz w:val="32"/>
          <w:szCs w:val="32"/>
          <w:highlight w:val="none"/>
          <w:lang w:val="en-US" w:eastAsia="zh-CN"/>
        </w:rPr>
        <w:tab/>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2" w:firstLineChars="200"/>
        <w:contextualSpacing/>
        <w:jc w:val="left"/>
        <w:textAlignment w:val="auto"/>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en-US" w:eastAsia="zh-CN"/>
        </w:rPr>
        <w:t>（一）通用指标绩效分析</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1.项目决策。我校严格按照《广元市教育局关于归集2023年国家助学贷款风险补偿金和贴息资金的通知》要求，如期缴纳2024年国家助学贷款风险补偿金和贴息资金。项目决策程序严密。项目设立、调整延续等方面符合资金管理基本规范和决策程序要求。项目规划论证符合中省市要求，项目绩效目标设置科学合理。项目资金与项目总体规划、相关行业事业发展相匹配。得分：18分</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2.项目管理。严格按照相应的业务管理制度，规范专项资金拨付。资金使用规范，符合国家财经法规和财务管理以及有关专项资金管理办法的规定；资金的拨付有完整的审批程序和手续；不存在截留、挤占、挪用、虚列支出等情况。得分：18分</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3.项目实施。2024年我校生源地助学贷款1983人，其中农村信用社贷款1415人，中国银行贷款47人，国家开发银行贷款521人。生源地信用助学贷款风险补偿金16.81415</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万元和贴息资金51.301378万元，合计68.115528万元，在2024年底全部缴纳到位。得分：9</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4.项目结果。严格按照文件要求，及时、足额发放补助资金。项目设定数量指标全部完成。受助学生人数达到年度指标值，未截留指标。得分：9分</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楷体_GB2312" w:hAnsi="宋体" w:eastAsia="楷体_GB2312" w:cs="Times New Roman"/>
          <w:b/>
          <w:color w:val="auto"/>
          <w:sz w:val="32"/>
          <w:szCs w:val="32"/>
          <w:highlight w:val="none"/>
          <w:u w:val="none"/>
          <w:lang w:val="en-US" w:eastAsia="zh-CN"/>
        </w:rPr>
        <w:t>（二）专用指标绩效分析</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民生保障：较好地完成了预设工作任务，专项项目得到有序开展。截止2024年12月底，我校国家助学贷款风险补偿金和贴息资金已全部缴纳到位，项目实施完成 100%。得分：30分</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楷体_GB2312" w:hAnsi="宋体" w:eastAsia="楷体_GB2312" w:cs="Times New Roman"/>
          <w:b/>
          <w:color w:val="auto"/>
          <w:sz w:val="32"/>
          <w:szCs w:val="32"/>
          <w:highlight w:val="none"/>
          <w:u w:val="none"/>
          <w:lang w:val="en-US" w:eastAsia="zh-CN"/>
        </w:rPr>
        <w:t>（三）个性指标绩效分析</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有效缓解了我校生源地贷款学生的经济压力，并帮助其顺利完成学业，得到学生、家长及社会的好评。得分16分</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hint="eastAsia" w:ascii="黑体" w:hAnsi="宋体" w:eastAsia="黑体"/>
          <w:sz w:val="32"/>
          <w:szCs w:val="32"/>
          <w:highlight w:val="none"/>
          <w:lang w:val="en-US" w:eastAsia="zh-CN"/>
        </w:rPr>
      </w:pPr>
      <w:r>
        <w:rPr>
          <w:rFonts w:hint="eastAsia" w:ascii="黑体" w:hAnsi="宋体" w:eastAsia="黑体"/>
          <w:sz w:val="32"/>
          <w:szCs w:val="32"/>
          <w:highlight w:val="none"/>
          <w:lang w:val="en-US" w:eastAsia="zh-CN"/>
        </w:rPr>
        <w:t>四、评价结论</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1.项目经费及时拨付到位，支出合理合规，实现了预定的绩效目标。</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2.目标明确，项目实施工作有序开展。</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3.通过对专项资金的有效管理和使用，有效减轻了我校家庭经济困难学生的经济负担，激励受助学生成长成才。</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hint="eastAsia" w:ascii="黑体" w:hAnsi="宋体" w:eastAsia="黑体"/>
          <w:sz w:val="32"/>
          <w:szCs w:val="32"/>
          <w:highlight w:val="none"/>
          <w:lang w:val="en-US" w:eastAsia="zh-CN"/>
        </w:rPr>
      </w:pPr>
      <w:r>
        <w:rPr>
          <w:rFonts w:hint="eastAsia" w:ascii="黑体" w:hAnsi="宋体" w:eastAsia="黑体"/>
          <w:sz w:val="32"/>
          <w:szCs w:val="32"/>
          <w:highlight w:val="none"/>
          <w:lang w:val="en-US" w:eastAsia="zh-CN"/>
        </w:rPr>
        <w:t>五、存在主要问题</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无</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hint="eastAsia" w:ascii="黑体" w:hAnsi="宋体" w:eastAsia="黑体"/>
          <w:sz w:val="32"/>
          <w:szCs w:val="32"/>
          <w:highlight w:val="none"/>
          <w:lang w:val="en-US" w:eastAsia="zh-CN"/>
        </w:rPr>
      </w:pPr>
      <w:r>
        <w:rPr>
          <w:rFonts w:hint="eastAsia" w:ascii="黑体" w:hAnsi="宋体" w:eastAsia="黑体"/>
          <w:sz w:val="32"/>
          <w:szCs w:val="32"/>
          <w:highlight w:val="none"/>
          <w:lang w:val="en-US" w:eastAsia="zh-CN"/>
        </w:rPr>
        <w:t>六、改进建议</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sectPr>
          <w:pgSz w:w="11906" w:h="16838"/>
          <w:pgMar w:top="1440" w:right="1800" w:bottom="1440" w:left="1800" w:header="851" w:footer="992" w:gutter="0"/>
          <w:pgNumType w:fmt="decimal"/>
          <w:cols w:space="425" w:num="1"/>
          <w:titlePg/>
          <w:docGrid w:type="lines" w:linePitch="312" w:charSpace="0"/>
        </w:sectPr>
      </w:pPr>
      <w:r>
        <w:rPr>
          <w:rFonts w:hint="eastAsia" w:ascii="Times New Roman" w:hAnsi="Times New Roman" w:eastAsia="仿宋_GB2312" w:cs="仿宋_GB2312"/>
          <w:b w:val="0"/>
          <w:bCs w:val="0"/>
          <w:kern w:val="0"/>
          <w:position w:val="0"/>
          <w:sz w:val="32"/>
          <w:szCs w:val="32"/>
          <w:highlight w:val="none"/>
          <w:lang w:val="en-US" w:eastAsia="zh-CN" w:bidi="ar-SA"/>
        </w:rPr>
        <w:t>我校将继续围绕“立德树人”这一根本宗旨，将培养青年学生全面发展作为资助育人工作的总目标，加强励志教育、诚信教育和社会责任感教育“三项教育”，培养青年学生自立自强、诚实守信、知恩感恩、勇于担当的良好品质。</w:t>
      </w:r>
    </w:p>
    <w:p>
      <w:pPr>
        <w:pStyle w:val="2"/>
        <w:rPr>
          <w:rFonts w:hint="default" w:ascii="黑体" w:hAnsi="黑体" w:eastAsia="黑体" w:cs="黑体"/>
          <w:color w:val="auto"/>
          <w:kern w:val="0"/>
          <w:sz w:val="32"/>
          <w:szCs w:val="32"/>
          <w:highlight w:val="none"/>
          <w:shd w:val="clear" w:color="auto" w:fill="FFFFFF"/>
          <w:lang w:val="en-US" w:eastAsia="zh-CN"/>
        </w:rPr>
      </w:pPr>
      <w:r>
        <w:rPr>
          <w:rFonts w:hint="eastAsia" w:ascii="黑体" w:hAnsi="黑体" w:eastAsia="黑体" w:cs="黑体"/>
          <w:color w:val="auto"/>
          <w:kern w:val="0"/>
          <w:sz w:val="32"/>
          <w:szCs w:val="32"/>
          <w:highlight w:val="none"/>
          <w:shd w:val="clear" w:color="auto" w:fill="FFFFFF"/>
          <w:lang w:val="zh-CN"/>
        </w:rPr>
        <w:t>附件</w:t>
      </w:r>
      <w:r>
        <w:rPr>
          <w:rFonts w:hint="eastAsia" w:ascii="黑体" w:hAnsi="黑体" w:eastAsia="黑体" w:cs="黑体"/>
          <w:color w:val="auto"/>
          <w:kern w:val="0"/>
          <w:sz w:val="32"/>
          <w:szCs w:val="32"/>
          <w:highlight w:val="none"/>
          <w:shd w:val="clear" w:color="auto" w:fill="FFFFFF"/>
          <w:lang w:val="en-US" w:eastAsia="zh-CN"/>
        </w:rPr>
        <w:t>2-5</w:t>
      </w:r>
    </w:p>
    <w:p>
      <w:pPr>
        <w:rPr>
          <w:rFonts w:hint="default"/>
          <w:lang w:val="en-US" w:eastAsia="zh-CN"/>
        </w:rPr>
      </w:pPr>
    </w:p>
    <w:p>
      <w:pPr>
        <w:pStyle w:val="36"/>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方正小标宋简体" w:hAnsi="方正小标宋简体" w:eastAsia="方正小标宋简体" w:cs="方正小标宋简体"/>
          <w:color w:val="auto"/>
          <w:kern w:val="2"/>
          <w:sz w:val="44"/>
          <w:szCs w:val="44"/>
          <w:lang w:val="en-US"/>
        </w:rPr>
      </w:pPr>
      <w:r>
        <w:rPr>
          <w:rFonts w:hint="eastAsia" w:ascii="方正小标宋简体" w:hAnsi="方正小标宋简体" w:eastAsia="方正小标宋简体" w:cs="方正小标宋简体"/>
          <w:color w:val="auto"/>
          <w:kern w:val="2"/>
          <w:sz w:val="44"/>
          <w:szCs w:val="44"/>
          <w:lang w:val="en-US"/>
        </w:rPr>
        <w:t>川北幼儿师范高等专科学校</w:t>
      </w:r>
    </w:p>
    <w:p>
      <w:pPr>
        <w:pStyle w:val="36"/>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方正小标宋简体" w:hAnsi="方正小标宋简体" w:eastAsia="方正小标宋简体" w:cs="方正小标宋简体"/>
          <w:color w:val="auto"/>
          <w:kern w:val="2"/>
          <w:sz w:val="44"/>
          <w:szCs w:val="44"/>
          <w:highlight w:val="none"/>
          <w:lang w:val="en-US" w:eastAsia="zh-CN"/>
        </w:rPr>
      </w:pPr>
      <w:r>
        <w:rPr>
          <w:rFonts w:hint="eastAsia" w:ascii="方正小标宋简体" w:hAnsi="方正小标宋简体" w:eastAsia="方正小标宋简体" w:cs="方正小标宋简体"/>
          <w:color w:val="auto"/>
          <w:kern w:val="2"/>
          <w:sz w:val="44"/>
          <w:szCs w:val="44"/>
          <w:highlight w:val="none"/>
          <w:lang w:val="en-US" w:eastAsia="zh-CN"/>
        </w:rPr>
        <w:t>2024年市属公费师范生培训补助经费</w:t>
      </w:r>
    </w:p>
    <w:p>
      <w:pPr>
        <w:pStyle w:val="36"/>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方正小标宋简体" w:hAnsi="方正小标宋简体" w:eastAsia="方正小标宋简体" w:cs="方正小标宋简体"/>
          <w:color w:val="auto"/>
          <w:kern w:val="2"/>
          <w:sz w:val="44"/>
          <w:szCs w:val="44"/>
          <w:highlight w:val="none"/>
          <w:lang w:val="en-US" w:eastAsia="zh-CN"/>
        </w:rPr>
      </w:pPr>
      <w:r>
        <w:rPr>
          <w:rFonts w:hint="eastAsia" w:ascii="方正小标宋简体" w:hAnsi="方正小标宋简体" w:eastAsia="方正小标宋简体" w:cs="方正小标宋简体"/>
          <w:color w:val="auto"/>
          <w:kern w:val="2"/>
          <w:sz w:val="44"/>
          <w:szCs w:val="44"/>
          <w:highlight w:val="none"/>
          <w:lang w:val="en-US" w:eastAsia="zh-CN"/>
        </w:rPr>
        <w:t>专项预算绩效评价报告</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hint="eastAsia" w:ascii="黑体" w:hAnsi="宋体" w:eastAsia="黑体"/>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ascii="黑体" w:hAnsi="宋体" w:eastAsia="黑体"/>
          <w:sz w:val="32"/>
          <w:szCs w:val="32"/>
          <w:highlight w:val="none"/>
          <w:lang w:val="zh-CN"/>
        </w:rPr>
      </w:pPr>
      <w:r>
        <w:rPr>
          <w:rFonts w:hint="eastAsia" w:ascii="黑体" w:hAnsi="宋体" w:eastAsia="黑体"/>
          <w:sz w:val="32"/>
          <w:szCs w:val="32"/>
          <w:highlight w:val="none"/>
        </w:rPr>
        <w:t>一、</w:t>
      </w:r>
      <w:r>
        <w:rPr>
          <w:rFonts w:hint="eastAsia" w:ascii="黑体" w:hAnsi="宋体" w:eastAsia="黑体"/>
          <w:sz w:val="32"/>
          <w:szCs w:val="32"/>
          <w:highlight w:val="none"/>
          <w:lang w:val="zh-CN"/>
        </w:rPr>
        <w:t>项目概况</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2" w:firstLineChars="200"/>
        <w:contextualSpacing/>
        <w:jc w:val="left"/>
        <w:textAlignment w:val="auto"/>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（一）设立背景及基本情况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0" w:firstLineChars="200"/>
        <w:textAlignment w:val="auto"/>
        <w:rPr>
          <w:rFonts w:hint="eastAsia" w:eastAsia="仿宋_GB2312"/>
          <w:sz w:val="32"/>
          <w:szCs w:val="32"/>
          <w:lang w:val="zh-CN"/>
        </w:rPr>
      </w:pPr>
      <w:r>
        <w:rPr>
          <w:rFonts w:hint="eastAsia" w:ascii="仿宋_GB2312" w:hAnsi="宋体" w:eastAsia="仿宋_GB2312"/>
          <w:b w:val="0"/>
          <w:bCs w:val="0"/>
          <w:sz w:val="32"/>
          <w:szCs w:val="32"/>
          <w:lang w:val="zh-CN"/>
        </w:rPr>
        <w:t>落实省、市各项学生资助政策，保障家庭经济困难学生受教育权利，促进教育公平，保证每一名在校家庭经济困难学生能够安心在校学习生活，顺利完成学业。</w:t>
      </w:r>
    </w:p>
    <w:p>
      <w:pPr>
        <w:keepNext w:val="0"/>
        <w:keepLines w:val="0"/>
        <w:pageBreakBefore w:val="0"/>
        <w:numPr>
          <w:ilvl w:val="0"/>
          <w:numId w:val="6"/>
        </w:numPr>
        <w:kinsoku/>
        <w:wordWrap/>
        <w:overflowPunct/>
        <w:topLinePunct w:val="0"/>
        <w:autoSpaceDE/>
        <w:autoSpaceDN/>
        <w:bidi w:val="0"/>
        <w:adjustRightInd w:val="0"/>
        <w:snapToGrid w:val="0"/>
        <w:spacing w:line="578" w:lineRule="exact"/>
        <w:ind w:left="0" w:leftChars="0" w:firstLine="642" w:firstLineChars="200"/>
        <w:textAlignment w:val="auto"/>
        <w:rPr>
          <w:rFonts w:hint="eastAsia" w:ascii="楷体_GB2312" w:hAnsi="宋体" w:eastAsia="楷体_GB2312" w:cs="Times New Roman"/>
          <w:b/>
          <w:color w:val="auto"/>
          <w:sz w:val="32"/>
          <w:szCs w:val="32"/>
          <w:highlight w:val="none"/>
          <w:u w:val="none"/>
          <w:lang w:val="en-US" w:eastAsia="zh-CN"/>
        </w:rPr>
      </w:pPr>
      <w:r>
        <w:rPr>
          <w:rFonts w:hint="default" w:ascii="楷体_GB2312" w:hAnsi="宋体" w:eastAsia="楷体_GB2312" w:cs="Times New Roman"/>
          <w:b/>
          <w:color w:val="auto"/>
          <w:sz w:val="32"/>
          <w:szCs w:val="32"/>
          <w:highlight w:val="none"/>
          <w:u w:val="none"/>
          <w:lang w:val="en-US" w:eastAsia="zh-CN"/>
        </w:rPr>
        <w:t>实施目的及支持方向</w:t>
      </w:r>
    </w:p>
    <w:p>
      <w:pPr>
        <w:keepNext w:val="0"/>
        <w:keepLines w:val="0"/>
        <w:pageBreakBefore w:val="0"/>
        <w:numPr>
          <w:ilvl w:val="0"/>
          <w:numId w:val="0"/>
        </w:numPr>
        <w:kinsoku/>
        <w:wordWrap/>
        <w:overflowPunct/>
        <w:topLinePunct w:val="0"/>
        <w:autoSpaceDE/>
        <w:autoSpaceDN/>
        <w:bidi w:val="0"/>
        <w:adjustRightInd w:val="0"/>
        <w:snapToGrid w:val="0"/>
        <w:spacing w:line="578" w:lineRule="exact"/>
        <w:ind w:firstLine="640" w:firstLineChars="200"/>
        <w:textAlignment w:val="auto"/>
        <w:rPr>
          <w:rFonts w:hint="eastAsia" w:ascii="仿宋_GB2312" w:hAnsi="宋体" w:eastAsia="仿宋_GB2312"/>
          <w:b w:val="0"/>
          <w:bCs w:val="0"/>
          <w:sz w:val="32"/>
          <w:szCs w:val="32"/>
          <w:highlight w:val="none"/>
          <w:lang w:val="zh-CN"/>
        </w:rPr>
      </w:pPr>
      <w:r>
        <w:rPr>
          <w:rFonts w:hint="eastAsia" w:ascii="仿宋_GB2312" w:hAnsi="宋体" w:eastAsia="仿宋_GB2312"/>
          <w:b w:val="0"/>
          <w:bCs w:val="0"/>
          <w:sz w:val="32"/>
          <w:szCs w:val="32"/>
          <w:lang w:val="en-US" w:eastAsia="zh-CN"/>
        </w:rPr>
        <w:t>我校严格按照</w:t>
      </w:r>
      <w:r>
        <w:rPr>
          <w:rFonts w:hint="eastAsia" w:ascii="仿宋_GB2312" w:hAnsi="宋体" w:eastAsia="仿宋_GB2312"/>
          <w:b w:val="0"/>
          <w:bCs w:val="0"/>
          <w:sz w:val="32"/>
          <w:szCs w:val="32"/>
          <w:highlight w:val="none"/>
          <w:lang w:val="en-US" w:eastAsia="zh-CN"/>
        </w:rPr>
        <w:t>《广元市教育局中共广元市委机构编制委员会办公室广元市人力资源和社会保障局广元市财政局关于在川北幼专开展市属公费师范生定向培养工作的通知施意见》（广教〔2019〕23号）政策规定，做好市属公费师范生生活补助发放工作。</w:t>
      </w:r>
    </w:p>
    <w:p>
      <w:pPr>
        <w:keepNext w:val="0"/>
        <w:keepLines w:val="0"/>
        <w:pageBreakBefore w:val="0"/>
        <w:widowControl/>
        <w:numPr>
          <w:ilvl w:val="0"/>
          <w:numId w:val="6"/>
        </w:numPr>
        <w:kinsoku/>
        <w:wordWrap/>
        <w:overflowPunct/>
        <w:topLinePunct w:val="0"/>
        <w:autoSpaceDE/>
        <w:autoSpaceDN/>
        <w:bidi w:val="0"/>
        <w:adjustRightInd w:val="0"/>
        <w:snapToGrid w:val="0"/>
        <w:spacing w:line="578" w:lineRule="exact"/>
        <w:ind w:left="0" w:leftChars="0" w:firstLine="642" w:firstLineChars="200"/>
        <w:contextualSpacing/>
        <w:jc w:val="left"/>
        <w:textAlignment w:val="auto"/>
        <w:rPr>
          <w:rFonts w:hint="eastAsia"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en-US" w:eastAsia="zh-CN"/>
        </w:rPr>
        <w:t>预算安排及分配管理</w:t>
      </w:r>
    </w:p>
    <w:p>
      <w:pPr>
        <w:keepNext w:val="0"/>
        <w:keepLines w:val="0"/>
        <w:pageBreakBefore w:val="0"/>
        <w:numPr>
          <w:ilvl w:val="0"/>
          <w:numId w:val="0"/>
        </w:numPr>
        <w:kinsoku/>
        <w:wordWrap/>
        <w:overflowPunct/>
        <w:topLinePunct w:val="0"/>
        <w:autoSpaceDE/>
        <w:autoSpaceDN/>
        <w:bidi w:val="0"/>
        <w:adjustRightInd w:val="0"/>
        <w:snapToGrid w:val="0"/>
        <w:spacing w:line="578" w:lineRule="exact"/>
        <w:ind w:firstLine="640" w:firstLineChars="200"/>
        <w:textAlignment w:val="auto"/>
        <w:rPr>
          <w:rFonts w:hint="eastAsia" w:ascii="仿宋_GB2312" w:hAnsi="宋体" w:eastAsia="仿宋_GB2312"/>
          <w:b w:val="0"/>
          <w:bCs w:val="0"/>
          <w:sz w:val="32"/>
          <w:szCs w:val="32"/>
          <w:lang w:val="zh-CN" w:eastAsia="zh-CN"/>
        </w:rPr>
      </w:pPr>
      <w:r>
        <w:rPr>
          <w:rFonts w:hint="eastAsia" w:ascii="仿宋_GB2312" w:hAnsi="宋体" w:eastAsia="仿宋_GB2312"/>
          <w:b w:val="0"/>
          <w:bCs w:val="0"/>
          <w:sz w:val="32"/>
          <w:szCs w:val="32"/>
          <w:lang w:val="zh-CN" w:eastAsia="zh-CN"/>
        </w:rPr>
        <w:t>预算资金全部用于市属公费师范生生活补助发放，确保评审程序公开、公正、公平，做到了专款专用，不截留、不挪用。</w:t>
      </w:r>
    </w:p>
    <w:p>
      <w:pPr>
        <w:keepNext w:val="0"/>
        <w:keepLines w:val="0"/>
        <w:pageBreakBefore w:val="0"/>
        <w:numPr>
          <w:ilvl w:val="0"/>
          <w:numId w:val="6"/>
        </w:numPr>
        <w:kinsoku/>
        <w:wordWrap/>
        <w:overflowPunct/>
        <w:topLinePunct w:val="0"/>
        <w:autoSpaceDE/>
        <w:autoSpaceDN/>
        <w:bidi w:val="0"/>
        <w:adjustRightInd w:val="0"/>
        <w:snapToGrid w:val="0"/>
        <w:spacing w:line="578" w:lineRule="exact"/>
        <w:ind w:left="0" w:leftChars="0" w:firstLine="642" w:firstLineChars="200"/>
        <w:textAlignment w:val="auto"/>
        <w:rPr>
          <w:rFonts w:hint="eastAsia" w:ascii="楷体_GB2312" w:hAnsi="楷体_GB2312" w:eastAsia="楷体_GB2312" w:cs="楷体_GB2312"/>
          <w:color w:val="auto"/>
          <w:kern w:val="0"/>
          <w:sz w:val="32"/>
          <w:szCs w:val="32"/>
          <w:highlight w:val="none"/>
          <w:u w:val="none"/>
          <w:shd w:val="clear" w:color="auto" w:fill="FFFFFF"/>
          <w:lang w:val="zh-CN" w:eastAsia="zh-CN"/>
        </w:rPr>
      </w:pPr>
      <w:r>
        <w:rPr>
          <w:rFonts w:hint="eastAsia" w:ascii="楷体_GB2312" w:hAnsi="楷体_GB2312" w:eastAsia="楷体_GB2312" w:cs="楷体_GB2312"/>
          <w:b/>
          <w:color w:val="auto"/>
          <w:sz w:val="32"/>
          <w:szCs w:val="32"/>
          <w:highlight w:val="none"/>
          <w:u w:val="none"/>
          <w:lang w:val="zh-CN" w:eastAsia="zh-CN"/>
        </w:rPr>
        <w:t>项目绩效目标设置</w:t>
      </w:r>
    </w:p>
    <w:p>
      <w:pPr>
        <w:keepNext w:val="0"/>
        <w:keepLines w:val="0"/>
        <w:pageBreakBefore w:val="0"/>
        <w:numPr>
          <w:ilvl w:val="0"/>
          <w:numId w:val="0"/>
        </w:numPr>
        <w:kinsoku/>
        <w:wordWrap/>
        <w:overflowPunct/>
        <w:topLinePunct w:val="0"/>
        <w:autoSpaceDE/>
        <w:autoSpaceDN/>
        <w:bidi w:val="0"/>
        <w:adjustRightInd w:val="0"/>
        <w:snapToGrid w:val="0"/>
        <w:spacing w:line="578" w:lineRule="exact"/>
        <w:ind w:firstLine="640" w:firstLineChars="200"/>
        <w:textAlignment w:val="auto"/>
        <w:rPr>
          <w:rFonts w:hint="default" w:ascii="仿宋_GB2312" w:hAnsi="宋体" w:eastAsia="仿宋_GB2312"/>
          <w:b w:val="0"/>
          <w:bCs w:val="0"/>
          <w:sz w:val="32"/>
          <w:szCs w:val="32"/>
          <w:lang w:val="en-US" w:eastAsia="zh-CN"/>
        </w:rPr>
      </w:pPr>
      <w:r>
        <w:rPr>
          <w:rFonts w:hint="eastAsia" w:ascii="仿宋_GB2312" w:hAnsi="宋体" w:eastAsia="仿宋_GB2312"/>
          <w:b w:val="0"/>
          <w:bCs w:val="0"/>
          <w:sz w:val="32"/>
          <w:szCs w:val="32"/>
          <w:lang w:val="zh-CN" w:eastAsia="zh-CN"/>
        </w:rPr>
        <w:t>项目完成达到预期目标，生活补助资金发放完成率达</w:t>
      </w:r>
      <w:r>
        <w:rPr>
          <w:rFonts w:hint="eastAsia" w:ascii="仿宋_GB2312" w:hAnsi="宋体" w:eastAsia="仿宋_GB2312"/>
          <w:b w:val="0"/>
          <w:bCs w:val="0"/>
          <w:sz w:val="32"/>
          <w:szCs w:val="32"/>
          <w:lang w:val="en-US" w:eastAsia="zh-CN"/>
        </w:rPr>
        <w:t>100%，学生满意度达95%以上。</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eastAsia" w:ascii="黑体" w:hAnsi="宋体" w:eastAsia="黑体"/>
          <w:sz w:val="32"/>
          <w:szCs w:val="32"/>
          <w:highlight w:val="none"/>
          <w:lang w:eastAsia="zh-CN"/>
        </w:rPr>
      </w:pPr>
      <w:r>
        <w:rPr>
          <w:rFonts w:hint="eastAsia" w:ascii="黑体" w:hAnsi="宋体" w:eastAsia="黑体"/>
          <w:sz w:val="32"/>
          <w:szCs w:val="32"/>
          <w:highlight w:val="none"/>
        </w:rPr>
        <w:t>二、</w:t>
      </w:r>
      <w:r>
        <w:rPr>
          <w:rFonts w:hint="eastAsia" w:ascii="黑体" w:hAnsi="宋体" w:eastAsia="黑体"/>
          <w:sz w:val="32"/>
          <w:szCs w:val="32"/>
          <w:highlight w:val="none"/>
          <w:lang w:eastAsia="zh-CN"/>
        </w:rPr>
        <w:t>评价实施</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（一）评价目的</w:t>
      </w:r>
    </w:p>
    <w:p>
      <w:pPr>
        <w:keepNext w:val="0"/>
        <w:keepLines w:val="0"/>
        <w:pageBreakBefore w:val="0"/>
        <w:numPr>
          <w:ilvl w:val="0"/>
          <w:numId w:val="0"/>
        </w:numPr>
        <w:kinsoku/>
        <w:wordWrap/>
        <w:overflowPunct/>
        <w:topLinePunct w:val="0"/>
        <w:autoSpaceDE/>
        <w:autoSpaceDN/>
        <w:bidi w:val="0"/>
        <w:adjustRightInd w:val="0"/>
        <w:snapToGrid w:val="0"/>
        <w:spacing w:line="578" w:lineRule="exact"/>
        <w:ind w:firstLine="640" w:firstLineChars="200"/>
        <w:textAlignment w:val="auto"/>
        <w:rPr>
          <w:rFonts w:hint="eastAsia" w:ascii="仿宋_GB2312" w:hAnsi="宋体" w:eastAsia="仿宋_GB2312"/>
          <w:b w:val="0"/>
          <w:bCs w:val="0"/>
          <w:sz w:val="32"/>
          <w:szCs w:val="32"/>
          <w:lang w:val="zh-CN" w:eastAsia="zh-CN"/>
        </w:rPr>
      </w:pPr>
      <w:r>
        <w:rPr>
          <w:rFonts w:hint="eastAsia" w:ascii="仿宋_GB2312" w:hAnsi="宋体" w:eastAsia="仿宋_GB2312"/>
          <w:b w:val="0"/>
          <w:bCs w:val="0"/>
          <w:sz w:val="32"/>
          <w:szCs w:val="32"/>
          <w:lang w:val="zh-CN" w:eastAsia="zh-CN"/>
        </w:rPr>
        <w:t>通过项目绩效自评不断完善项目制度建设，提高项目完成率。</w:t>
      </w:r>
    </w:p>
    <w:p>
      <w:pPr>
        <w:keepNext w:val="0"/>
        <w:keepLines w:val="0"/>
        <w:pageBreakBefore w:val="0"/>
        <w:widowControl w:val="0"/>
        <w:numPr>
          <w:ilvl w:val="0"/>
          <w:numId w:val="7"/>
        </w:numPr>
        <w:kinsoku/>
        <w:wordWrap/>
        <w:overflowPunct/>
        <w:topLinePunct w:val="0"/>
        <w:autoSpaceDE/>
        <w:autoSpaceDN/>
        <w:bidi w:val="0"/>
        <w:adjustRightInd w:val="0"/>
        <w:snapToGrid w:val="0"/>
        <w:spacing w:line="578" w:lineRule="exact"/>
        <w:ind w:left="0" w:leftChars="0" w:firstLine="642" w:firstLineChars="200"/>
        <w:textAlignment w:val="auto"/>
        <w:outlineLvl w:val="9"/>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预设问题及评价重点</w:t>
      </w:r>
    </w:p>
    <w:p>
      <w:pPr>
        <w:keepNext w:val="0"/>
        <w:keepLines w:val="0"/>
        <w:pageBreakBefore w:val="0"/>
        <w:numPr>
          <w:ilvl w:val="0"/>
          <w:numId w:val="0"/>
        </w:numPr>
        <w:kinsoku/>
        <w:wordWrap/>
        <w:overflowPunct/>
        <w:topLinePunct w:val="0"/>
        <w:autoSpaceDE/>
        <w:autoSpaceDN/>
        <w:bidi w:val="0"/>
        <w:adjustRightInd w:val="0"/>
        <w:snapToGrid w:val="0"/>
        <w:spacing w:line="578" w:lineRule="exact"/>
        <w:ind w:firstLine="640" w:firstLineChars="200"/>
        <w:textAlignment w:val="auto"/>
        <w:rPr>
          <w:rFonts w:hint="eastAsia" w:ascii="仿宋_GB2312" w:hAnsi="宋体" w:eastAsia="仿宋_GB2312"/>
          <w:b w:val="0"/>
          <w:bCs w:val="0"/>
          <w:color w:val="auto"/>
          <w:sz w:val="32"/>
          <w:szCs w:val="32"/>
          <w:lang w:val="zh-CN" w:eastAsia="zh-CN"/>
        </w:rPr>
      </w:pPr>
      <w:r>
        <w:rPr>
          <w:rFonts w:hint="eastAsia" w:ascii="仿宋_GB2312" w:hAnsi="宋体" w:eastAsia="仿宋_GB2312"/>
          <w:b w:val="0"/>
          <w:bCs w:val="0"/>
          <w:color w:val="auto"/>
          <w:sz w:val="32"/>
          <w:szCs w:val="32"/>
          <w:lang w:val="zh-CN" w:eastAsia="zh-CN"/>
        </w:rPr>
        <w:t>在项目建设过程中，认真贯彻执行市属公费师范生生活补助发放的方针政策，根据上级相关文件、制度，制定并完善我校学生奖助学金管理办法和实施细则。专款专用，不截留、不挪用，不多发、也不漏发给每一位学生。</w:t>
      </w:r>
    </w:p>
    <w:p>
      <w:pPr>
        <w:keepNext w:val="0"/>
        <w:keepLines w:val="0"/>
        <w:pageBreakBefore w:val="0"/>
        <w:widowControl w:val="0"/>
        <w:numPr>
          <w:ilvl w:val="0"/>
          <w:numId w:val="7"/>
        </w:numPr>
        <w:kinsoku/>
        <w:wordWrap/>
        <w:overflowPunct/>
        <w:topLinePunct w:val="0"/>
        <w:autoSpaceDE/>
        <w:autoSpaceDN/>
        <w:bidi w:val="0"/>
        <w:spacing w:line="578" w:lineRule="exact"/>
        <w:ind w:left="0" w:leftChars="0" w:firstLine="642" w:firstLineChars="200"/>
        <w:textAlignment w:val="auto"/>
        <w:outlineLvl w:val="9"/>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评价方法</w:t>
      </w:r>
    </w:p>
    <w:p>
      <w:pPr>
        <w:keepNext w:val="0"/>
        <w:keepLines w:val="0"/>
        <w:pageBreakBefore w:val="0"/>
        <w:widowControl w:val="0"/>
        <w:numPr>
          <w:ilvl w:val="0"/>
          <w:numId w:val="0"/>
        </w:numPr>
        <w:kinsoku/>
        <w:wordWrap/>
        <w:overflowPunct/>
        <w:topLinePunct w:val="0"/>
        <w:autoSpaceDE/>
        <w:autoSpaceDN/>
        <w:bidi w:val="0"/>
        <w:spacing w:line="578" w:lineRule="exact"/>
        <w:ind w:firstLine="640" w:firstLineChars="200"/>
        <w:textAlignment w:val="auto"/>
        <w:outlineLvl w:val="9"/>
        <w:rPr>
          <w:rFonts w:hint="eastAsia" w:eastAsia="仿宋_GB2312" w:cs="Times New Roman"/>
          <w:color w:val="auto"/>
          <w:sz w:val="32"/>
          <w:szCs w:val="32"/>
          <w:lang w:eastAsia="zh-CN"/>
        </w:rPr>
      </w:pPr>
      <w:r>
        <w:rPr>
          <w:rFonts w:eastAsia="仿宋_GB2312" w:cs="Times New Roman"/>
          <w:color w:val="auto"/>
          <w:sz w:val="32"/>
          <w:szCs w:val="32"/>
        </w:rPr>
        <w:t>根据项目情况和评价重点，</w:t>
      </w:r>
      <w:r>
        <w:rPr>
          <w:rFonts w:hint="eastAsia" w:eastAsia="仿宋_GB2312" w:cs="Times New Roman"/>
          <w:color w:val="auto"/>
          <w:sz w:val="32"/>
          <w:szCs w:val="32"/>
          <w:lang w:eastAsia="zh-CN"/>
        </w:rPr>
        <w:t>采用</w:t>
      </w:r>
      <w:r>
        <w:rPr>
          <w:rFonts w:hint="eastAsia" w:eastAsia="仿宋_GB2312" w:cs="Times New Roman"/>
          <w:color w:val="auto"/>
          <w:sz w:val="32"/>
          <w:szCs w:val="32"/>
        </w:rPr>
        <w:t>目标比较法</w:t>
      </w:r>
      <w:r>
        <w:rPr>
          <w:rFonts w:hint="eastAsia" w:eastAsia="仿宋_GB2312" w:cs="Times New Roman"/>
          <w:color w:val="auto"/>
          <w:sz w:val="32"/>
          <w:szCs w:val="32"/>
          <w:lang w:eastAsia="zh-CN"/>
        </w:rPr>
        <w:t>。</w:t>
      </w:r>
    </w:p>
    <w:p>
      <w:pPr>
        <w:keepNext w:val="0"/>
        <w:keepLines w:val="0"/>
        <w:pageBreakBefore w:val="0"/>
        <w:widowControl w:val="0"/>
        <w:numPr>
          <w:ilvl w:val="0"/>
          <w:numId w:val="7"/>
        </w:numPr>
        <w:kinsoku/>
        <w:wordWrap/>
        <w:overflowPunct/>
        <w:topLinePunct w:val="0"/>
        <w:autoSpaceDE/>
        <w:autoSpaceDN/>
        <w:bidi w:val="0"/>
        <w:spacing w:line="578" w:lineRule="exact"/>
        <w:ind w:left="0" w:leftChars="0" w:firstLine="642" w:firstLineChars="200"/>
        <w:textAlignment w:val="auto"/>
        <w:outlineLvl w:val="9"/>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b/>
          <w:color w:val="auto"/>
          <w:sz w:val="32"/>
          <w:szCs w:val="32"/>
          <w:highlight w:val="none"/>
          <w:u w:val="none"/>
          <w:lang w:val="zh-CN"/>
        </w:rPr>
        <w:t>评价组织</w:t>
      </w:r>
    </w:p>
    <w:p>
      <w:pPr>
        <w:keepNext w:val="0"/>
        <w:keepLines w:val="0"/>
        <w:pageBreakBefore w:val="0"/>
        <w:kinsoku/>
        <w:wordWrap/>
        <w:overflowPunct/>
        <w:topLinePunct w:val="0"/>
        <w:autoSpaceDE/>
        <w:autoSpaceDN/>
        <w:bidi w:val="0"/>
        <w:adjustRightInd w:val="0"/>
        <w:snapToGrid w:val="0"/>
        <w:spacing w:line="578" w:lineRule="exact"/>
        <w:ind w:firstLine="640" w:firstLineChars="200"/>
        <w:textAlignment w:val="auto"/>
        <w:rPr>
          <w:rFonts w:hint="eastAsia" w:eastAsia="仿宋_GB2312" w:cs="Times New Roman"/>
          <w:color w:val="auto"/>
          <w:sz w:val="32"/>
          <w:szCs w:val="32"/>
          <w:lang w:val="zh-CN"/>
        </w:rPr>
      </w:pPr>
      <w:r>
        <w:rPr>
          <w:rFonts w:hint="eastAsia" w:eastAsia="仿宋_GB2312" w:cs="Times New Roman"/>
          <w:color w:val="auto"/>
          <w:sz w:val="32"/>
          <w:szCs w:val="32"/>
          <w:lang w:val="zh-CN"/>
        </w:rPr>
        <w:t>该项目自评由学校计划财务处牵头，学生工作部处根据《广元市财政局关于开展202</w:t>
      </w:r>
      <w:r>
        <w:rPr>
          <w:rFonts w:hint="eastAsia" w:eastAsia="仿宋_GB2312" w:cs="Times New Roman"/>
          <w:color w:val="auto"/>
          <w:sz w:val="32"/>
          <w:szCs w:val="32"/>
          <w:lang w:val="en-US" w:eastAsia="zh-CN"/>
        </w:rPr>
        <w:t>4</w:t>
      </w:r>
      <w:r>
        <w:rPr>
          <w:rFonts w:hint="eastAsia" w:eastAsia="仿宋_GB2312" w:cs="Times New Roman"/>
          <w:color w:val="auto"/>
          <w:sz w:val="32"/>
          <w:szCs w:val="32"/>
          <w:lang w:val="zh-CN"/>
        </w:rPr>
        <w:t>年度市级部门绩效自评工作的通知》（广财绩〔202</w:t>
      </w:r>
      <w:r>
        <w:rPr>
          <w:rFonts w:hint="eastAsia" w:eastAsia="仿宋_GB2312" w:cs="Times New Roman"/>
          <w:color w:val="auto"/>
          <w:sz w:val="32"/>
          <w:szCs w:val="32"/>
          <w:lang w:val="en-US" w:eastAsia="zh-CN"/>
        </w:rPr>
        <w:t>4</w:t>
      </w:r>
      <w:r>
        <w:rPr>
          <w:rFonts w:hint="eastAsia" w:eastAsia="仿宋_GB2312" w:cs="Times New Roman"/>
          <w:color w:val="auto"/>
          <w:sz w:val="32"/>
          <w:szCs w:val="32"/>
          <w:lang w:val="zh-CN"/>
        </w:rPr>
        <w:t>〕</w:t>
      </w:r>
      <w:r>
        <w:rPr>
          <w:rFonts w:hint="eastAsia" w:eastAsia="仿宋_GB2312" w:cs="Times New Roman"/>
          <w:color w:val="auto"/>
          <w:sz w:val="32"/>
          <w:szCs w:val="32"/>
          <w:lang w:val="en-US" w:eastAsia="zh-CN"/>
        </w:rPr>
        <w:t>6</w:t>
      </w:r>
      <w:r>
        <w:rPr>
          <w:rFonts w:hint="eastAsia" w:eastAsia="仿宋_GB2312" w:cs="Times New Roman"/>
          <w:color w:val="auto"/>
          <w:sz w:val="32"/>
          <w:szCs w:val="32"/>
          <w:lang w:val="zh-CN"/>
        </w:rPr>
        <w:t>号）文件要求，对照</w:t>
      </w:r>
      <w:r>
        <w:rPr>
          <w:rFonts w:hint="eastAsia" w:eastAsia="仿宋_GB2312" w:cs="Times New Roman"/>
          <w:color w:val="auto"/>
          <w:sz w:val="32"/>
          <w:szCs w:val="32"/>
          <w:lang w:val="en-US" w:eastAsia="zh-CN"/>
        </w:rPr>
        <w:t>2024年</w:t>
      </w:r>
      <w:r>
        <w:rPr>
          <w:rFonts w:hint="eastAsia" w:eastAsia="仿宋_GB2312" w:cs="Times New Roman"/>
          <w:color w:val="auto"/>
          <w:sz w:val="32"/>
          <w:szCs w:val="32"/>
          <w:lang w:val="zh-CN"/>
        </w:rPr>
        <w:t>专项预算项目绩效评价指标体系使用目标比较法，通过项目实际产生的效果与预定绩效目标对比，分析目标完成或未完成的原因，从而达到项目绩效评价的目的。</w:t>
      </w:r>
    </w:p>
    <w:p>
      <w:pPr>
        <w:keepNext w:val="0"/>
        <w:keepLines w:val="0"/>
        <w:pageBreakBefore w:val="0"/>
        <w:kinsoku/>
        <w:wordWrap/>
        <w:overflowPunct/>
        <w:topLinePunct w:val="0"/>
        <w:autoSpaceDE/>
        <w:autoSpaceDN/>
        <w:bidi w:val="0"/>
        <w:adjustRightInd w:val="0"/>
        <w:snapToGrid w:val="0"/>
        <w:spacing w:line="578" w:lineRule="exact"/>
        <w:ind w:firstLine="640" w:firstLineChars="200"/>
        <w:textAlignment w:val="auto"/>
        <w:rPr>
          <w:rFonts w:ascii="仿宋_GB2312" w:hAnsi="宋体" w:eastAsia="仿宋_GB2312"/>
          <w:color w:val="auto"/>
          <w:sz w:val="32"/>
          <w:szCs w:val="32"/>
          <w:highlight w:val="none"/>
          <w:u w:val="none"/>
          <w:lang w:val="zh-CN"/>
        </w:rPr>
      </w:pPr>
      <w:r>
        <w:rPr>
          <w:rFonts w:hint="eastAsia" w:ascii="黑体" w:hAnsi="宋体" w:eastAsia="黑体"/>
          <w:color w:val="auto"/>
          <w:sz w:val="32"/>
          <w:szCs w:val="32"/>
          <w:highlight w:val="none"/>
          <w:u w:val="none"/>
        </w:rPr>
        <w:t>三、</w:t>
      </w:r>
      <w:r>
        <w:rPr>
          <w:rFonts w:hint="eastAsia" w:ascii="黑体" w:hAnsi="宋体" w:eastAsia="黑体"/>
          <w:color w:val="auto"/>
          <w:sz w:val="32"/>
          <w:szCs w:val="32"/>
          <w:highlight w:val="none"/>
          <w:u w:val="none"/>
          <w:lang w:eastAsia="zh-CN"/>
        </w:rPr>
        <w:t>绩效分析</w:t>
      </w:r>
      <w:r>
        <w:rPr>
          <w:rFonts w:hint="eastAsia" w:ascii="仿宋_GB2312" w:hAnsi="宋体" w:eastAsia="仿宋_GB2312"/>
          <w:color w:val="auto"/>
          <w:sz w:val="32"/>
          <w:szCs w:val="32"/>
          <w:highlight w:val="none"/>
          <w:u w:val="none"/>
          <w:lang w:val="zh-CN"/>
        </w:rPr>
        <w:tab/>
      </w:r>
    </w:p>
    <w:p>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default" w:ascii="Times New Roman" w:hAnsi="Times New Roman" w:eastAsia="楷体_GB2312" w:cs="Times New Roman"/>
          <w:b/>
          <w:bCs/>
          <w:color w:val="auto"/>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auto"/>
          <w:kern w:val="0"/>
          <w:sz w:val="32"/>
          <w:szCs w:val="32"/>
          <w:highlight w:val="none"/>
          <w:shd w:val="clear" w:color="auto" w:fill="FFFFFF"/>
          <w:lang w:val="zh-CN"/>
        </w:rPr>
        <w:t>绩效分析</w:t>
      </w:r>
    </w:p>
    <w:p>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default" w:eastAsia="仿宋_GB2312" w:cs="Times New Roman"/>
          <w:color w:val="auto"/>
          <w:sz w:val="32"/>
          <w:szCs w:val="32"/>
          <w:lang w:val="en-US" w:eastAsia="zh-CN"/>
        </w:rPr>
      </w:pPr>
      <w:r>
        <w:rPr>
          <w:rFonts w:hint="eastAsia" w:eastAsia="仿宋_GB2312" w:cs="Times New Roman"/>
          <w:color w:val="auto"/>
          <w:sz w:val="32"/>
          <w:szCs w:val="32"/>
          <w:lang w:val="en-US" w:eastAsia="zh-CN"/>
        </w:rPr>
        <w:t>1.</w:t>
      </w:r>
      <w:r>
        <w:rPr>
          <w:rFonts w:hint="eastAsia" w:eastAsia="仿宋_GB2312" w:cs="Times New Roman"/>
          <w:color w:val="auto"/>
          <w:sz w:val="32"/>
          <w:szCs w:val="32"/>
          <w:lang w:val="zh-CN" w:eastAsia="zh-CN"/>
        </w:rPr>
        <w:t>项目决策。我校</w:t>
      </w:r>
      <w:r>
        <w:rPr>
          <w:rFonts w:hint="eastAsia" w:eastAsia="仿宋_GB2312" w:cs="Times New Roman"/>
          <w:color w:val="auto"/>
          <w:sz w:val="32"/>
          <w:szCs w:val="32"/>
          <w:lang w:val="en-US" w:eastAsia="zh-CN"/>
        </w:rPr>
        <w:t>严格按照《广元市教育局中共广元市委机构编制委员会办公室广元市人力资源和社会保障局广元市财政局关于在川北幼专开展市属公费师范生定向培养工作的通知施意见》（广教〔2019〕23号）规定，</w:t>
      </w:r>
      <w:r>
        <w:rPr>
          <w:rFonts w:hint="eastAsia" w:eastAsia="仿宋_GB2312" w:cs="Times New Roman"/>
          <w:color w:val="auto"/>
          <w:sz w:val="32"/>
          <w:szCs w:val="32"/>
          <w:lang w:val="zh-CN" w:eastAsia="zh-CN"/>
        </w:rPr>
        <w:t>发放市属公费师范生生活补助，</w:t>
      </w:r>
      <w:r>
        <w:rPr>
          <w:rFonts w:hint="eastAsia" w:eastAsia="仿宋_GB2312" w:cs="Times New Roman"/>
          <w:color w:val="auto"/>
          <w:sz w:val="32"/>
          <w:szCs w:val="32"/>
          <w:lang w:val="en-US" w:eastAsia="zh-CN"/>
        </w:rPr>
        <w:t>项目决策程序严密。项目设立、调整延续等方面符合资金管理基本规范和决策程序要求。项目规划论证符合中省市要求，项目绩效目标设置科学合理。项目资金与项目总体规划、相关行业事业发展相匹配。得分：18分</w:t>
      </w:r>
    </w:p>
    <w:p>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eastAsia="仿宋_GB2312" w:cs="Times New Roman"/>
          <w:color w:val="auto"/>
          <w:sz w:val="32"/>
          <w:szCs w:val="32"/>
          <w:lang w:val="en-US" w:eastAsia="zh-CN"/>
        </w:rPr>
      </w:pPr>
      <w:r>
        <w:rPr>
          <w:rFonts w:hint="eastAsia" w:ascii="楷体_GB2312" w:hAnsi="楷体_GB2312" w:eastAsia="楷体_GB2312" w:cs="楷体_GB2312"/>
          <w:color w:val="auto"/>
          <w:sz w:val="32"/>
          <w:szCs w:val="32"/>
          <w:lang w:val="en-US" w:eastAsia="zh-CN"/>
        </w:rPr>
        <w:t>2.</w:t>
      </w:r>
      <w:r>
        <w:rPr>
          <w:rFonts w:hint="eastAsia" w:ascii="楷体_GB2312" w:hAnsi="楷体_GB2312" w:eastAsia="楷体_GB2312" w:cs="楷体_GB2312"/>
          <w:color w:val="auto"/>
          <w:sz w:val="32"/>
          <w:szCs w:val="32"/>
          <w:lang w:eastAsia="zh-CN"/>
        </w:rPr>
        <w:t>项目管理。</w:t>
      </w:r>
      <w:r>
        <w:rPr>
          <w:rFonts w:hint="eastAsia" w:eastAsia="仿宋_GB2312" w:cs="Times New Roman"/>
          <w:color w:val="auto"/>
          <w:sz w:val="32"/>
          <w:szCs w:val="32"/>
          <w:lang w:val="en-US" w:eastAsia="zh-CN"/>
        </w:rPr>
        <w:t>严格按照相应的业务管理制度，规范专项资金拨付。资金使用规范，符合国家财经法规和财务管理以及有关专项资金管理办法的规定；资金的拨付有完整的审批程序和手续；不存在截留、挤占、挪用、虚列支出等情况。得分：18分</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default" w:eastAsia="仿宋_GB2312" w:cs="Times New Roman"/>
          <w:color w:val="auto"/>
          <w:sz w:val="32"/>
          <w:szCs w:val="32"/>
          <w:lang w:val="en-US" w:eastAsia="zh-CN"/>
        </w:rPr>
      </w:pPr>
      <w:r>
        <w:rPr>
          <w:rFonts w:hint="eastAsia" w:ascii="楷体_GB2312" w:hAnsi="楷体_GB2312" w:eastAsia="楷体_GB2312" w:cs="楷体_GB2312"/>
          <w:color w:val="auto"/>
          <w:sz w:val="32"/>
          <w:szCs w:val="32"/>
          <w:lang w:val="en-US" w:eastAsia="zh-CN"/>
        </w:rPr>
        <w:t>3.项目实施。</w:t>
      </w:r>
      <w:r>
        <w:rPr>
          <w:rFonts w:hint="eastAsia" w:eastAsia="仿宋_GB2312" w:cs="Times New Roman"/>
          <w:color w:val="auto"/>
          <w:sz w:val="32"/>
          <w:szCs w:val="32"/>
          <w:lang w:val="en-US" w:eastAsia="zh-CN"/>
        </w:rPr>
        <w:t>2024年我校资助市属公费师范生196人，</w:t>
      </w:r>
    </w:p>
    <w:p>
      <w:pPr>
        <w:keepNext w:val="0"/>
        <w:keepLines w:val="0"/>
        <w:pageBreakBefore w:val="0"/>
        <w:widowControl w:val="0"/>
        <w:kinsoku/>
        <w:wordWrap/>
        <w:overflowPunct/>
        <w:topLinePunct w:val="0"/>
        <w:autoSpaceDE/>
        <w:autoSpaceDN/>
        <w:bidi w:val="0"/>
        <w:adjustRightInd/>
        <w:snapToGrid/>
        <w:spacing w:line="578" w:lineRule="exact"/>
        <w:textAlignment w:val="auto"/>
        <w:outlineLvl w:val="9"/>
        <w:rPr>
          <w:rFonts w:hint="default" w:eastAsia="仿宋_GB2312" w:cs="Times New Roman"/>
          <w:color w:val="auto"/>
          <w:sz w:val="32"/>
          <w:szCs w:val="32"/>
          <w:lang w:val="en-US" w:eastAsia="zh-CN"/>
        </w:rPr>
      </w:pPr>
      <w:r>
        <w:rPr>
          <w:rFonts w:hint="eastAsia" w:eastAsia="仿宋_GB2312" w:cs="Times New Roman"/>
          <w:color w:val="auto"/>
          <w:sz w:val="32"/>
          <w:szCs w:val="32"/>
          <w:lang w:val="en-US" w:eastAsia="zh-CN"/>
        </w:rPr>
        <w:t>发放生活补助经费共计96.8万元，在2024年底全部发放到位。学校通过广元市惠民惠农财政补贴资金“一卡通”项目资金直接打入受资助学生本人社保卡中。得分：9分</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0" w:firstLineChars="200"/>
        <w:textAlignment w:val="auto"/>
        <w:outlineLvl w:val="9"/>
        <w:rPr>
          <w:rFonts w:hint="eastAsia" w:eastAsia="仿宋_GB2312" w:cs="Times New Roman"/>
          <w:color w:val="auto"/>
          <w:sz w:val="32"/>
          <w:szCs w:val="32"/>
          <w:lang w:val="en-US" w:eastAsia="zh-CN"/>
        </w:rPr>
      </w:pPr>
      <w:r>
        <w:rPr>
          <w:rFonts w:hint="eastAsia" w:ascii="楷体_GB2312" w:hAnsi="楷体_GB2312" w:eastAsia="楷体_GB2312" w:cs="楷体_GB2312"/>
          <w:color w:val="auto"/>
          <w:sz w:val="32"/>
          <w:szCs w:val="32"/>
          <w:lang w:val="en-US" w:eastAsia="zh-CN"/>
        </w:rPr>
        <w:t>4.项目结果。</w:t>
      </w:r>
      <w:r>
        <w:rPr>
          <w:rFonts w:hint="eastAsia" w:eastAsia="仿宋_GB2312" w:cs="Times New Roman"/>
          <w:color w:val="auto"/>
          <w:sz w:val="32"/>
          <w:szCs w:val="32"/>
          <w:lang w:val="en-US" w:eastAsia="zh-CN"/>
        </w:rPr>
        <w:t>严格按照文件要求，及时、足额发放补助资金。项目设定数量指标全部完成。受助学生人数达到年度指标值，未截留指标。得分：9分</w:t>
      </w:r>
    </w:p>
    <w:p>
      <w:pPr>
        <w:keepNext w:val="0"/>
        <w:keepLines w:val="0"/>
        <w:pageBreakBefore w:val="0"/>
        <w:widowControl w:val="0"/>
        <w:kinsoku/>
        <w:wordWrap/>
        <w:overflowPunct/>
        <w:topLinePunct w:val="0"/>
        <w:autoSpaceDE/>
        <w:autoSpaceDN/>
        <w:bidi w:val="0"/>
        <w:adjustRightInd/>
        <w:snapToGrid/>
        <w:spacing w:line="578" w:lineRule="exact"/>
        <w:ind w:firstLine="642" w:firstLineChars="200"/>
        <w:textAlignment w:val="auto"/>
        <w:outlineLvl w:val="9"/>
        <w:rPr>
          <w:rFonts w:hint="eastAsia" w:ascii="楷体_GB2312" w:hAnsi="楷体_GB2312" w:eastAsia="楷体_GB2312" w:cs="楷体_GB2312"/>
          <w:color w:val="auto"/>
          <w:sz w:val="32"/>
          <w:szCs w:val="32"/>
          <w:lang w:val="zh-CN" w:eastAsia="zh-CN"/>
        </w:rPr>
      </w:pPr>
      <w:r>
        <w:rPr>
          <w:rFonts w:hint="eastAsia" w:ascii="楷体_GB2312" w:hAnsi="宋体" w:eastAsia="楷体_GB2312" w:cs="Times New Roman"/>
          <w:b/>
          <w:color w:val="auto"/>
          <w:sz w:val="32"/>
          <w:szCs w:val="32"/>
          <w:highlight w:val="none"/>
          <w:u w:val="none"/>
          <w:lang w:val="zh-CN"/>
        </w:rPr>
        <w:t>（二）</w:t>
      </w:r>
      <w:r>
        <w:rPr>
          <w:rFonts w:hint="eastAsia" w:ascii="楷体_GB2312" w:hAnsi="宋体" w:eastAsia="楷体_GB2312" w:cs="Times New Roman"/>
          <w:b/>
          <w:color w:val="auto"/>
          <w:sz w:val="32"/>
          <w:szCs w:val="32"/>
          <w:highlight w:val="none"/>
          <w:u w:val="none"/>
          <w:lang w:val="en-US" w:eastAsia="zh-CN"/>
        </w:rPr>
        <w:t>专用指标</w:t>
      </w:r>
      <w:r>
        <w:rPr>
          <w:rFonts w:hint="default" w:ascii="Times New Roman" w:hAnsi="Times New Roman" w:eastAsia="楷体_GB2312" w:cs="Times New Roman"/>
          <w:b/>
          <w:bCs/>
          <w:color w:val="auto"/>
          <w:kern w:val="0"/>
          <w:sz w:val="32"/>
          <w:szCs w:val="32"/>
          <w:highlight w:val="none"/>
          <w:shd w:val="clear" w:color="auto" w:fill="FFFFFF"/>
          <w:lang w:val="zh-CN"/>
        </w:rPr>
        <w:t>绩效分析</w:t>
      </w:r>
    </w:p>
    <w:p>
      <w:pPr>
        <w:keepNext w:val="0"/>
        <w:keepLines w:val="0"/>
        <w:pageBreakBefore w:val="0"/>
        <w:widowControl w:val="0"/>
        <w:kinsoku/>
        <w:wordWrap/>
        <w:overflowPunct/>
        <w:topLinePunct w:val="0"/>
        <w:autoSpaceDE/>
        <w:autoSpaceDN/>
        <w:bidi w:val="0"/>
        <w:adjustRightInd/>
        <w:snapToGrid/>
        <w:spacing w:line="578" w:lineRule="exact"/>
        <w:ind w:left="0" w:leftChars="0" w:firstLine="640" w:firstLineChars="200"/>
        <w:textAlignment w:val="auto"/>
        <w:outlineLvl w:val="9"/>
        <w:rPr>
          <w:rFonts w:hint="default" w:eastAsia="仿宋_GB2312" w:cs="Times New Roman"/>
          <w:color w:val="auto"/>
          <w:sz w:val="32"/>
          <w:szCs w:val="32"/>
          <w:lang w:val="en-US" w:eastAsia="zh-CN"/>
        </w:rPr>
      </w:pPr>
      <w:r>
        <w:rPr>
          <w:rFonts w:hint="eastAsia" w:ascii="楷体_GB2312" w:hAnsi="楷体_GB2312" w:eastAsia="楷体_GB2312" w:cs="楷体_GB2312"/>
          <w:color w:val="auto"/>
          <w:sz w:val="32"/>
          <w:szCs w:val="32"/>
          <w:lang w:val="zh-CN" w:eastAsia="zh-CN"/>
        </w:rPr>
        <w:t>民生保障：</w:t>
      </w:r>
      <w:r>
        <w:rPr>
          <w:rFonts w:hint="eastAsia" w:eastAsia="仿宋_GB2312" w:cs="Times New Roman"/>
          <w:color w:val="auto"/>
          <w:sz w:val="32"/>
          <w:szCs w:val="32"/>
          <w:lang w:val="zh-CN" w:eastAsia="zh-CN"/>
        </w:rPr>
        <w:t>较好地完成了预设工作任务，专项项目得到有序开展。截止202</w:t>
      </w:r>
      <w:r>
        <w:rPr>
          <w:rFonts w:hint="eastAsia" w:eastAsia="仿宋_GB2312" w:cs="Times New Roman"/>
          <w:color w:val="auto"/>
          <w:sz w:val="32"/>
          <w:szCs w:val="32"/>
          <w:lang w:val="en-US" w:eastAsia="zh-CN"/>
        </w:rPr>
        <w:t>4</w:t>
      </w:r>
      <w:r>
        <w:rPr>
          <w:rFonts w:hint="eastAsia" w:eastAsia="仿宋_GB2312" w:cs="Times New Roman"/>
          <w:color w:val="auto"/>
          <w:sz w:val="32"/>
          <w:szCs w:val="32"/>
          <w:lang w:val="zh-CN" w:eastAsia="zh-CN"/>
        </w:rPr>
        <w:t>年12月底，我校</w:t>
      </w:r>
      <w:r>
        <w:rPr>
          <w:rFonts w:hint="eastAsia" w:eastAsia="仿宋_GB2312" w:cs="Times New Roman"/>
          <w:color w:val="auto"/>
          <w:sz w:val="32"/>
          <w:szCs w:val="32"/>
          <w:lang w:val="en-US" w:eastAsia="zh-CN"/>
        </w:rPr>
        <w:t>196</w:t>
      </w:r>
      <w:r>
        <w:rPr>
          <w:rFonts w:hint="eastAsia" w:eastAsia="仿宋_GB2312" w:cs="Times New Roman"/>
          <w:color w:val="auto"/>
          <w:sz w:val="32"/>
          <w:szCs w:val="32"/>
          <w:lang w:val="zh-CN" w:eastAsia="zh-CN"/>
        </w:rPr>
        <w:t>名市属公费师范生生活补助已全部拨付到位，项目实施完成100%。得分：</w:t>
      </w:r>
      <w:r>
        <w:rPr>
          <w:rFonts w:hint="eastAsia" w:eastAsia="仿宋_GB2312" w:cs="Times New Roman"/>
          <w:color w:val="auto"/>
          <w:sz w:val="32"/>
          <w:szCs w:val="32"/>
          <w:lang w:val="en-US" w:eastAsia="zh-CN"/>
        </w:rPr>
        <w:t>30分</w:t>
      </w:r>
    </w:p>
    <w:p>
      <w:pPr>
        <w:keepNext w:val="0"/>
        <w:keepLines w:val="0"/>
        <w:pageBreakBefore w:val="0"/>
        <w:widowControl w:val="0"/>
        <w:numPr>
          <w:ilvl w:val="0"/>
          <w:numId w:val="8"/>
        </w:numPr>
        <w:kinsoku/>
        <w:wordWrap/>
        <w:overflowPunct/>
        <w:topLinePunct w:val="0"/>
        <w:autoSpaceDE/>
        <w:autoSpaceDN/>
        <w:bidi w:val="0"/>
        <w:adjustRightInd/>
        <w:snapToGrid/>
        <w:spacing w:line="578" w:lineRule="exact"/>
        <w:ind w:left="0" w:leftChars="0" w:firstLine="642" w:firstLineChars="200"/>
        <w:textAlignment w:val="auto"/>
        <w:outlineLvl w:val="9"/>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en-US" w:eastAsia="zh-CN"/>
        </w:rPr>
        <w:t>个性指标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widowControl w:val="0"/>
        <w:kinsoku/>
        <w:wordWrap/>
        <w:overflowPunct/>
        <w:topLinePunct w:val="0"/>
        <w:autoSpaceDE/>
        <w:autoSpaceDN/>
        <w:bidi w:val="0"/>
        <w:adjustRightInd/>
        <w:snapToGrid/>
        <w:spacing w:line="578" w:lineRule="exact"/>
        <w:ind w:left="0" w:leftChars="0" w:firstLine="640" w:firstLineChars="200"/>
        <w:textAlignment w:val="auto"/>
        <w:outlineLvl w:val="9"/>
        <w:rPr>
          <w:rFonts w:hint="default" w:eastAsia="仿宋_GB2312" w:cs="Times New Roman"/>
          <w:color w:val="auto"/>
          <w:sz w:val="32"/>
          <w:szCs w:val="32"/>
          <w:lang w:val="en-US" w:eastAsia="zh-CN"/>
        </w:rPr>
      </w:pPr>
      <w:r>
        <w:rPr>
          <w:rFonts w:hint="eastAsia" w:eastAsia="仿宋_GB2312" w:cs="Times New Roman"/>
          <w:color w:val="auto"/>
          <w:sz w:val="32"/>
          <w:szCs w:val="32"/>
          <w:lang w:val="zh-CN" w:eastAsia="zh-CN"/>
        </w:rPr>
        <w:t>有效缓解了我校市属公费师范生的经济压力，并帮助其顺利完成学业，得到学生、家长及社会的好评。得分</w:t>
      </w:r>
      <w:r>
        <w:rPr>
          <w:rFonts w:hint="eastAsia" w:eastAsia="仿宋_GB2312" w:cs="Times New Roman"/>
          <w:color w:val="auto"/>
          <w:sz w:val="32"/>
          <w:szCs w:val="32"/>
          <w:lang w:val="en-US" w:eastAsia="zh-CN"/>
        </w:rPr>
        <w:t>16分</w:t>
      </w:r>
    </w:p>
    <w:p>
      <w:pPr>
        <w:pageBreakBefore w:val="0"/>
        <w:widowControl/>
        <w:numPr>
          <w:ilvl w:val="0"/>
          <w:numId w:val="0"/>
        </w:numPr>
        <w:tabs>
          <w:tab w:val="left" w:pos="2160"/>
        </w:tabs>
        <w:kinsoku/>
        <w:wordWrap/>
        <w:overflowPunct/>
        <w:topLinePunct w:val="0"/>
        <w:autoSpaceDE/>
        <w:autoSpaceDN/>
        <w:bidi w:val="0"/>
        <w:adjustRightInd/>
        <w:spacing w:line="600" w:lineRule="exact"/>
        <w:ind w:firstLine="640" w:firstLineChars="200"/>
        <w:jc w:val="left"/>
        <w:textAlignment w:val="auto"/>
        <w:rPr>
          <w:rFonts w:hint="eastAsia" w:ascii="黑体" w:hAnsi="宋体" w:eastAsia="黑体" w:cs="Times New Roman"/>
          <w:color w:val="auto"/>
          <w:kern w:val="0"/>
          <w:position w:val="3"/>
          <w:sz w:val="32"/>
          <w:szCs w:val="32"/>
          <w:highlight w:val="none"/>
          <w:u w:val="none"/>
          <w:lang w:val="en-US" w:eastAsia="en-US" w:bidi="ar-SA"/>
        </w:rPr>
      </w:pPr>
      <w:r>
        <w:rPr>
          <w:rFonts w:hint="eastAsia" w:ascii="黑体" w:hAnsi="宋体" w:eastAsia="黑体" w:cs="Times New Roman"/>
          <w:color w:val="auto"/>
          <w:kern w:val="0"/>
          <w:position w:val="3"/>
          <w:sz w:val="32"/>
          <w:szCs w:val="32"/>
          <w:highlight w:val="none"/>
          <w:u w:val="none"/>
          <w:lang w:val="en-US" w:eastAsia="zh-CN" w:bidi="ar-SA"/>
        </w:rPr>
        <w:t>四</w:t>
      </w:r>
      <w:r>
        <w:rPr>
          <w:rFonts w:hint="eastAsia" w:ascii="黑体" w:hAnsi="宋体" w:eastAsia="黑体" w:cs="Times New Roman"/>
          <w:color w:val="auto"/>
          <w:kern w:val="0"/>
          <w:position w:val="3"/>
          <w:sz w:val="32"/>
          <w:szCs w:val="32"/>
          <w:highlight w:val="none"/>
          <w:u w:val="none"/>
          <w:lang w:val="en-US" w:eastAsia="en-US" w:bidi="ar-SA"/>
        </w:rPr>
        <w:t>、评价结论</w:t>
      </w:r>
    </w:p>
    <w:p>
      <w:pPr>
        <w:keepNext w:val="0"/>
        <w:keepLines w:val="0"/>
        <w:pageBreakBefore w:val="0"/>
        <w:widowControl w:val="0"/>
        <w:kinsoku/>
        <w:wordWrap/>
        <w:overflowPunct/>
        <w:topLinePunct w:val="0"/>
        <w:autoSpaceDE/>
        <w:autoSpaceDN/>
        <w:bidi w:val="0"/>
        <w:adjustRightInd/>
        <w:snapToGrid/>
        <w:spacing w:line="578" w:lineRule="exact"/>
        <w:ind w:left="0" w:leftChars="0" w:firstLine="640" w:firstLineChars="200"/>
        <w:textAlignment w:val="auto"/>
        <w:outlineLvl w:val="9"/>
        <w:rPr>
          <w:rFonts w:hint="eastAsia" w:eastAsia="仿宋_GB2312" w:cs="Times New Roman"/>
          <w:color w:val="auto"/>
          <w:sz w:val="32"/>
          <w:szCs w:val="32"/>
          <w:lang w:val="en-US" w:eastAsia="zh-CN"/>
        </w:rPr>
      </w:pPr>
      <w:r>
        <w:rPr>
          <w:rFonts w:hint="eastAsia" w:eastAsia="仿宋_GB2312" w:cs="Times New Roman"/>
          <w:color w:val="auto"/>
          <w:sz w:val="32"/>
          <w:szCs w:val="32"/>
          <w:lang w:val="en-US" w:eastAsia="zh-CN"/>
        </w:rPr>
        <w:t>1.项目经费及时拨付到位，支出合理合规，实现了预定的绩效目标。</w:t>
      </w:r>
    </w:p>
    <w:p>
      <w:pPr>
        <w:keepNext w:val="0"/>
        <w:keepLines w:val="0"/>
        <w:pageBreakBefore w:val="0"/>
        <w:widowControl w:val="0"/>
        <w:kinsoku/>
        <w:wordWrap/>
        <w:overflowPunct/>
        <w:topLinePunct w:val="0"/>
        <w:autoSpaceDE/>
        <w:autoSpaceDN/>
        <w:bidi w:val="0"/>
        <w:adjustRightInd/>
        <w:snapToGrid/>
        <w:spacing w:line="578" w:lineRule="exact"/>
        <w:ind w:left="0" w:leftChars="0" w:firstLine="640" w:firstLineChars="200"/>
        <w:textAlignment w:val="auto"/>
        <w:outlineLvl w:val="9"/>
        <w:rPr>
          <w:rFonts w:hint="eastAsia" w:eastAsia="仿宋_GB2312" w:cs="Times New Roman"/>
          <w:color w:val="auto"/>
          <w:sz w:val="32"/>
          <w:szCs w:val="32"/>
          <w:lang w:val="en-US" w:eastAsia="zh-CN"/>
        </w:rPr>
      </w:pPr>
      <w:r>
        <w:rPr>
          <w:rFonts w:hint="eastAsia" w:eastAsia="仿宋_GB2312" w:cs="Times New Roman"/>
          <w:color w:val="auto"/>
          <w:sz w:val="32"/>
          <w:szCs w:val="32"/>
          <w:lang w:val="en-US" w:eastAsia="zh-CN"/>
        </w:rPr>
        <w:t>2.目标明确，项目实施工作有序开展。</w:t>
      </w:r>
    </w:p>
    <w:p>
      <w:pPr>
        <w:keepNext w:val="0"/>
        <w:keepLines w:val="0"/>
        <w:pageBreakBefore w:val="0"/>
        <w:widowControl w:val="0"/>
        <w:kinsoku/>
        <w:wordWrap/>
        <w:overflowPunct/>
        <w:topLinePunct w:val="0"/>
        <w:autoSpaceDE/>
        <w:autoSpaceDN/>
        <w:bidi w:val="0"/>
        <w:adjustRightInd/>
        <w:snapToGrid/>
        <w:spacing w:line="578" w:lineRule="exact"/>
        <w:ind w:left="0" w:leftChars="0" w:firstLine="640" w:firstLineChars="200"/>
        <w:textAlignment w:val="auto"/>
        <w:outlineLvl w:val="9"/>
        <w:rPr>
          <w:rFonts w:hint="eastAsia" w:eastAsia="仿宋_GB2312" w:cs="Times New Roman"/>
          <w:color w:val="auto"/>
          <w:sz w:val="32"/>
          <w:szCs w:val="32"/>
          <w:lang w:val="en-US" w:eastAsia="zh-CN"/>
        </w:rPr>
      </w:pPr>
      <w:r>
        <w:rPr>
          <w:rFonts w:hint="eastAsia" w:eastAsia="仿宋_GB2312" w:cs="Times New Roman"/>
          <w:color w:val="auto"/>
          <w:sz w:val="32"/>
          <w:szCs w:val="32"/>
          <w:lang w:val="en-US" w:eastAsia="zh-CN"/>
        </w:rPr>
        <w:t>3.通过对专项资金的有效管理和使用，有效减轻了市属公费师范生的经济负担，激励受助学生成长成才。</w:t>
      </w:r>
    </w:p>
    <w:p>
      <w:pPr>
        <w:pageBreakBefore w:val="0"/>
        <w:widowControl/>
        <w:numPr>
          <w:ilvl w:val="0"/>
          <w:numId w:val="0"/>
        </w:numPr>
        <w:tabs>
          <w:tab w:val="left" w:pos="2160"/>
        </w:tabs>
        <w:kinsoku/>
        <w:wordWrap/>
        <w:overflowPunct/>
        <w:topLinePunct w:val="0"/>
        <w:autoSpaceDE/>
        <w:autoSpaceDN/>
        <w:bidi w:val="0"/>
        <w:adjustRightInd/>
        <w:spacing w:line="600" w:lineRule="exact"/>
        <w:ind w:firstLine="640" w:firstLineChars="200"/>
        <w:jc w:val="left"/>
        <w:textAlignment w:val="auto"/>
        <w:rPr>
          <w:rFonts w:hint="eastAsia" w:ascii="黑体" w:hAnsi="宋体" w:eastAsia="黑体" w:cs="Times New Roman"/>
          <w:color w:val="auto"/>
          <w:kern w:val="0"/>
          <w:position w:val="3"/>
          <w:sz w:val="32"/>
          <w:szCs w:val="32"/>
          <w:highlight w:val="none"/>
          <w:u w:val="none"/>
          <w:lang w:val="en-US" w:eastAsia="zh-CN" w:bidi="ar-SA"/>
        </w:rPr>
      </w:pPr>
      <w:r>
        <w:rPr>
          <w:rFonts w:hint="eastAsia" w:ascii="黑体" w:hAnsi="宋体" w:eastAsia="黑体" w:cs="Times New Roman"/>
          <w:color w:val="auto"/>
          <w:kern w:val="0"/>
          <w:position w:val="3"/>
          <w:sz w:val="32"/>
          <w:szCs w:val="32"/>
          <w:highlight w:val="none"/>
          <w:u w:val="none"/>
          <w:lang w:val="en-US" w:eastAsia="zh-CN" w:bidi="ar-SA"/>
        </w:rPr>
        <w:t>五、存在主要问题</w:t>
      </w:r>
    </w:p>
    <w:p>
      <w:pPr>
        <w:keepNext w:val="0"/>
        <w:keepLines w:val="0"/>
        <w:pageBreakBefore w:val="0"/>
        <w:widowControl w:val="0"/>
        <w:kinsoku/>
        <w:wordWrap/>
        <w:overflowPunct/>
        <w:topLinePunct w:val="0"/>
        <w:autoSpaceDE/>
        <w:autoSpaceDN/>
        <w:bidi w:val="0"/>
        <w:adjustRightInd/>
        <w:snapToGrid/>
        <w:spacing w:line="578" w:lineRule="exact"/>
        <w:ind w:left="0" w:leftChars="0" w:firstLine="640" w:firstLineChars="200"/>
        <w:textAlignment w:val="auto"/>
        <w:outlineLvl w:val="9"/>
        <w:rPr>
          <w:rFonts w:hint="eastAsia" w:eastAsia="仿宋_GB2312" w:cs="Times New Roman"/>
          <w:color w:val="auto"/>
          <w:sz w:val="32"/>
          <w:szCs w:val="32"/>
          <w:lang w:val="en-US" w:eastAsia="zh-CN"/>
        </w:rPr>
      </w:pPr>
      <w:r>
        <w:rPr>
          <w:rFonts w:hint="eastAsia" w:eastAsia="仿宋_GB2312" w:cs="Times New Roman"/>
          <w:color w:val="auto"/>
          <w:sz w:val="32"/>
          <w:szCs w:val="32"/>
          <w:lang w:val="en-US" w:eastAsia="zh-CN"/>
        </w:rPr>
        <w:t>在发放市属公费师范生生活补助过程中因学生社保卡未激活社保功能或金融功能导致打卡失败情况较多，给发放工作带来了一定的现实阻碍，加大了后期清理的工作量。</w:t>
      </w:r>
    </w:p>
    <w:p>
      <w:pPr>
        <w:pageBreakBefore w:val="0"/>
        <w:widowControl/>
        <w:numPr>
          <w:ilvl w:val="0"/>
          <w:numId w:val="0"/>
        </w:numPr>
        <w:tabs>
          <w:tab w:val="left" w:pos="2160"/>
        </w:tabs>
        <w:kinsoku/>
        <w:wordWrap/>
        <w:overflowPunct/>
        <w:topLinePunct w:val="0"/>
        <w:autoSpaceDE/>
        <w:autoSpaceDN/>
        <w:bidi w:val="0"/>
        <w:adjustRightInd/>
        <w:spacing w:line="600" w:lineRule="exact"/>
        <w:ind w:firstLine="640" w:firstLineChars="200"/>
        <w:jc w:val="left"/>
        <w:textAlignment w:val="auto"/>
        <w:rPr>
          <w:rFonts w:hint="eastAsia" w:ascii="黑体" w:hAnsi="宋体" w:eastAsia="黑体" w:cs="Times New Roman"/>
          <w:color w:val="auto"/>
          <w:kern w:val="0"/>
          <w:position w:val="3"/>
          <w:sz w:val="32"/>
          <w:szCs w:val="32"/>
          <w:highlight w:val="none"/>
          <w:u w:val="none"/>
          <w:lang w:val="zh-CN" w:eastAsia="zh-CN" w:bidi="ar-SA"/>
        </w:rPr>
      </w:pPr>
      <w:r>
        <w:rPr>
          <w:rFonts w:hint="eastAsia" w:ascii="黑体" w:hAnsi="宋体" w:eastAsia="黑体" w:cs="Times New Roman"/>
          <w:color w:val="auto"/>
          <w:kern w:val="0"/>
          <w:position w:val="3"/>
          <w:sz w:val="32"/>
          <w:szCs w:val="32"/>
          <w:highlight w:val="none"/>
          <w:u w:val="none"/>
          <w:lang w:val="zh-CN" w:eastAsia="zh-CN" w:bidi="ar-SA"/>
        </w:rPr>
        <w:t>六、改进建议</w:t>
      </w:r>
    </w:p>
    <w:p>
      <w:pPr>
        <w:pStyle w:val="36"/>
        <w:spacing w:line="578" w:lineRule="exact"/>
        <w:jc w:val="left"/>
        <w:outlineLvl w:val="1"/>
        <w:rPr>
          <w:rFonts w:hint="default" w:ascii="Times New Roman" w:hAnsi="Times New Roman" w:eastAsia="方正小标宋简体" w:cs="Times New Roman"/>
          <w:color w:val="auto"/>
          <w:kern w:val="2"/>
          <w:sz w:val="44"/>
          <w:szCs w:val="44"/>
          <w:highlight w:val="none"/>
          <w:lang w:val="en-US" w:eastAsia="zh-CN"/>
        </w:rPr>
      </w:pPr>
      <w:r>
        <w:rPr>
          <w:rFonts w:hint="eastAsia" w:ascii="仿宋_GB2312" w:hAnsi="仿宋_GB2312" w:eastAsia="仿宋_GB2312" w:cs="仿宋_GB2312"/>
          <w:color w:val="auto"/>
          <w:kern w:val="0"/>
          <w:sz w:val="32"/>
          <w:szCs w:val="32"/>
          <w:highlight w:val="none"/>
          <w:u w:val="none"/>
          <w:shd w:val="clear" w:color="auto" w:fill="FFFFFF"/>
          <w:lang w:val="zh-CN" w:eastAsia="zh-CN"/>
        </w:rPr>
        <w:t xml:space="preserve"> </w:t>
      </w:r>
      <w:r>
        <w:rPr>
          <w:rFonts w:hint="eastAsia" w:ascii="仿宋_GB2312" w:hAnsi="仿宋_GB2312" w:eastAsia="仿宋_GB2312" w:cs="仿宋_GB2312"/>
          <w:b w:val="0"/>
          <w:bCs w:val="0"/>
          <w:kern w:val="0"/>
          <w:position w:val="0"/>
          <w:sz w:val="32"/>
          <w:szCs w:val="32"/>
          <w:highlight w:val="none"/>
          <w:lang w:val="en-US" w:eastAsia="zh-CN" w:bidi="ar-SA"/>
        </w:rPr>
        <w:t xml:space="preserve">   </w:t>
      </w:r>
      <w:bookmarkStart w:id="114" w:name="_Toc4049"/>
      <w:r>
        <w:rPr>
          <w:rFonts w:hint="eastAsia" w:ascii="仿宋_GB2312" w:hAnsi="仿宋_GB2312" w:eastAsia="仿宋_GB2312" w:cs="仿宋_GB2312"/>
          <w:b w:val="0"/>
          <w:bCs w:val="0"/>
          <w:kern w:val="0"/>
          <w:position w:val="0"/>
          <w:sz w:val="32"/>
          <w:szCs w:val="32"/>
          <w:highlight w:val="none"/>
          <w:lang w:val="en-US" w:eastAsia="zh-CN" w:bidi="ar-SA"/>
        </w:rPr>
        <w:t>提前通知、督促学生,办理激活社保卡金融功能。同时紧紧围绕“立德树人”这一根本宗旨，将培养青年学生全面发展作为资助育人工作的总目标，加强励志教育、诚信教育和社会责任感教育“三项教育”，培养青年学生自立自强、诚实守信、知恩感恩、勇于担当的良好品质。</w:t>
      </w:r>
      <w:bookmarkEnd w:id="114"/>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sectPr>
          <w:pgSz w:w="11906" w:h="16838"/>
          <w:pgMar w:top="1440" w:right="1800" w:bottom="1440" w:left="1800" w:header="851" w:footer="992" w:gutter="0"/>
          <w:pgNumType w:fmt="decimal"/>
          <w:cols w:space="425" w:num="1"/>
          <w:titlePg/>
          <w:docGrid w:type="lines" w:linePitch="312" w:charSpace="0"/>
        </w:sectPr>
      </w:pPr>
    </w:p>
    <w:p>
      <w:pPr>
        <w:pStyle w:val="2"/>
        <w:rPr>
          <w:rFonts w:hint="default" w:ascii="黑体" w:hAnsi="黑体" w:eastAsia="黑体" w:cs="黑体"/>
          <w:color w:val="auto"/>
          <w:kern w:val="0"/>
          <w:sz w:val="32"/>
          <w:szCs w:val="32"/>
          <w:highlight w:val="none"/>
          <w:shd w:val="clear" w:color="auto" w:fill="FFFFFF"/>
          <w:lang w:val="en-US" w:eastAsia="zh-CN"/>
        </w:rPr>
      </w:pPr>
      <w:r>
        <w:rPr>
          <w:rFonts w:hint="eastAsia" w:ascii="黑体" w:hAnsi="黑体" w:eastAsia="黑体" w:cs="黑体"/>
          <w:color w:val="auto"/>
          <w:kern w:val="0"/>
          <w:sz w:val="32"/>
          <w:szCs w:val="32"/>
          <w:highlight w:val="none"/>
          <w:shd w:val="clear" w:color="auto" w:fill="FFFFFF"/>
          <w:lang w:val="zh-CN"/>
        </w:rPr>
        <w:t>附件</w:t>
      </w:r>
      <w:r>
        <w:rPr>
          <w:rFonts w:hint="eastAsia" w:ascii="黑体" w:hAnsi="黑体" w:eastAsia="黑体" w:cs="黑体"/>
          <w:color w:val="auto"/>
          <w:kern w:val="0"/>
          <w:sz w:val="32"/>
          <w:szCs w:val="32"/>
          <w:highlight w:val="none"/>
          <w:shd w:val="clear" w:color="auto" w:fill="FFFFFF"/>
          <w:lang w:val="en-US" w:eastAsia="zh-CN"/>
        </w:rPr>
        <w:t>2-6</w:t>
      </w:r>
    </w:p>
    <w:p>
      <w:pPr>
        <w:rPr>
          <w:rFonts w:hint="default"/>
          <w:lang w:val="en-US" w:eastAsia="zh-CN"/>
        </w:rPr>
      </w:pPr>
    </w:p>
    <w:p>
      <w:pPr>
        <w:pStyle w:val="36"/>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方正小标宋简体" w:hAnsi="方正小标宋简体" w:eastAsia="方正小标宋简体" w:cs="方正小标宋简体"/>
          <w:color w:val="auto"/>
          <w:kern w:val="2"/>
          <w:sz w:val="44"/>
          <w:szCs w:val="44"/>
          <w:lang w:val="en-US"/>
        </w:rPr>
      </w:pPr>
      <w:r>
        <w:rPr>
          <w:rFonts w:hint="eastAsia" w:ascii="方正小标宋简体" w:hAnsi="方正小标宋简体" w:eastAsia="方正小标宋简体" w:cs="方正小标宋简体"/>
          <w:color w:val="auto"/>
          <w:kern w:val="2"/>
          <w:sz w:val="44"/>
          <w:szCs w:val="44"/>
          <w:lang w:val="en-US"/>
        </w:rPr>
        <w:t>川北幼儿师范高等专科学校</w:t>
      </w:r>
    </w:p>
    <w:p>
      <w:pPr>
        <w:pStyle w:val="36"/>
        <w:keepNext w:val="0"/>
        <w:keepLines w:val="0"/>
        <w:pageBreakBefore w:val="0"/>
        <w:widowControl w:val="0"/>
        <w:kinsoku/>
        <w:wordWrap/>
        <w:overflowPunct/>
        <w:topLinePunct w:val="0"/>
        <w:autoSpaceDE/>
        <w:autoSpaceDN/>
        <w:bidi w:val="0"/>
        <w:spacing w:line="560" w:lineRule="exact"/>
        <w:jc w:val="center"/>
        <w:textAlignment w:val="auto"/>
        <w:rPr>
          <w:rFonts w:hint="default" w:ascii="方正小标宋简体" w:hAnsi="方正小标宋简体" w:eastAsia="方正小标宋简体" w:cs="方正小标宋简体"/>
          <w:color w:val="auto"/>
          <w:kern w:val="2"/>
          <w:sz w:val="44"/>
          <w:szCs w:val="44"/>
          <w:highlight w:val="none"/>
          <w:lang w:val="en-US" w:eastAsia="zh-CN"/>
        </w:rPr>
      </w:pPr>
      <w:r>
        <w:rPr>
          <w:rFonts w:hint="eastAsia" w:ascii="方正小标宋简体" w:hAnsi="方正小标宋简体" w:eastAsia="方正小标宋简体" w:cs="方正小标宋简体"/>
          <w:color w:val="auto"/>
          <w:kern w:val="2"/>
          <w:sz w:val="44"/>
          <w:szCs w:val="44"/>
          <w:highlight w:val="none"/>
          <w:lang w:val="en-US" w:eastAsia="zh-CN"/>
        </w:rPr>
        <w:t>2024年学生资助经费（市级配套）</w:t>
      </w:r>
    </w:p>
    <w:p>
      <w:pPr>
        <w:pStyle w:val="36"/>
        <w:keepNext w:val="0"/>
        <w:keepLines w:val="0"/>
        <w:pageBreakBefore w:val="0"/>
        <w:widowControl w:val="0"/>
        <w:kinsoku/>
        <w:wordWrap/>
        <w:overflowPunct/>
        <w:topLinePunct w:val="0"/>
        <w:autoSpaceDE/>
        <w:autoSpaceDN/>
        <w:bidi w:val="0"/>
        <w:spacing w:line="560" w:lineRule="exact"/>
        <w:jc w:val="center"/>
        <w:textAlignment w:val="auto"/>
        <w:rPr>
          <w:rFonts w:hint="eastAsia" w:ascii="方正小标宋简体" w:hAnsi="方正小标宋简体" w:eastAsia="方正小标宋简体" w:cs="方正小标宋简体"/>
          <w:color w:val="auto"/>
          <w:kern w:val="2"/>
          <w:sz w:val="44"/>
          <w:szCs w:val="44"/>
          <w:highlight w:val="none"/>
          <w:lang w:val="en-US" w:eastAsia="zh-CN"/>
        </w:rPr>
      </w:pPr>
      <w:r>
        <w:rPr>
          <w:rFonts w:hint="eastAsia" w:ascii="方正小标宋简体" w:hAnsi="方正小标宋简体" w:eastAsia="方正小标宋简体" w:cs="方正小标宋简体"/>
          <w:color w:val="auto"/>
          <w:kern w:val="2"/>
          <w:sz w:val="44"/>
          <w:szCs w:val="44"/>
          <w:highlight w:val="none"/>
          <w:lang w:val="en-US" w:eastAsia="zh-CN"/>
        </w:rPr>
        <w:t>专项预算绩效评价报告</w:t>
      </w:r>
    </w:p>
    <w:p>
      <w:pPr>
        <w:keepNext w:val="0"/>
        <w:keepLines w:val="0"/>
        <w:pageBreakBefore w:val="0"/>
        <w:widowControl w:val="0"/>
        <w:kinsoku/>
        <w:wordWrap/>
        <w:overflowPunct/>
        <w:topLinePunct w:val="0"/>
        <w:autoSpaceDE/>
        <w:autoSpaceDN/>
        <w:bidi w:val="0"/>
        <w:adjustRightInd w:val="0"/>
        <w:snapToGrid w:val="0"/>
        <w:spacing w:line="556" w:lineRule="exact"/>
        <w:ind w:firstLine="640" w:firstLineChars="200"/>
        <w:jc w:val="both"/>
        <w:textAlignment w:val="auto"/>
        <w:rPr>
          <w:rFonts w:ascii="黑体" w:hAnsi="宋体" w:eastAsia="黑体"/>
          <w:sz w:val="32"/>
          <w:szCs w:val="32"/>
          <w:highlight w:val="none"/>
          <w:lang w:val="zh-CN"/>
        </w:rPr>
      </w:pPr>
      <w:r>
        <w:rPr>
          <w:rFonts w:hint="eastAsia" w:ascii="黑体" w:hAnsi="宋体" w:eastAsia="黑体"/>
          <w:sz w:val="32"/>
          <w:szCs w:val="32"/>
          <w:highlight w:val="none"/>
        </w:rPr>
        <w:t>一、</w:t>
      </w:r>
      <w:r>
        <w:rPr>
          <w:rFonts w:hint="eastAsia" w:ascii="黑体" w:hAnsi="宋体" w:eastAsia="黑体"/>
          <w:sz w:val="32"/>
          <w:szCs w:val="32"/>
          <w:highlight w:val="none"/>
          <w:lang w:val="zh-CN"/>
        </w:rPr>
        <w:t>项目概况</w:t>
      </w:r>
    </w:p>
    <w:p>
      <w:pPr>
        <w:keepNext w:val="0"/>
        <w:keepLines w:val="0"/>
        <w:pageBreakBefore w:val="0"/>
        <w:widowControl/>
        <w:numPr>
          <w:ilvl w:val="0"/>
          <w:numId w:val="0"/>
        </w:numPr>
        <w:kinsoku/>
        <w:wordWrap/>
        <w:overflowPunct/>
        <w:topLinePunct w:val="0"/>
        <w:autoSpaceDE/>
        <w:autoSpaceDN/>
        <w:bidi w:val="0"/>
        <w:adjustRightInd w:val="0"/>
        <w:snapToGrid w:val="0"/>
        <w:spacing w:line="556" w:lineRule="exact"/>
        <w:ind w:left="0" w:leftChars="0" w:firstLine="642" w:firstLineChars="200"/>
        <w:contextualSpacing/>
        <w:jc w:val="both"/>
        <w:textAlignment w:val="auto"/>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（一）设立背景及基本情况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56" w:lineRule="exact"/>
        <w:ind w:firstLine="640" w:firstLineChars="200"/>
        <w:jc w:val="both"/>
        <w:textAlignment w:val="auto"/>
        <w:rPr>
          <w:rFonts w:hint="eastAsia" w:eastAsia="仿宋_GB2312"/>
          <w:sz w:val="32"/>
          <w:szCs w:val="32"/>
          <w:lang w:val="zh-CN"/>
        </w:rPr>
      </w:pPr>
      <w:r>
        <w:rPr>
          <w:rFonts w:hint="eastAsia" w:ascii="仿宋_GB2312" w:hAnsi="宋体" w:eastAsia="仿宋_GB2312"/>
          <w:b w:val="0"/>
          <w:bCs w:val="0"/>
          <w:sz w:val="32"/>
          <w:szCs w:val="32"/>
          <w:lang w:val="zh-CN"/>
        </w:rPr>
        <w:t>落实省、市各项学生资助政策，保障家庭经济困难学生受教育权利，促进教育公平，保证每一名在校家庭经济困难学生能够安心在校学习生活，顺利完成学业。</w:t>
      </w:r>
    </w:p>
    <w:p>
      <w:pPr>
        <w:keepNext w:val="0"/>
        <w:keepLines w:val="0"/>
        <w:pageBreakBefore w:val="0"/>
        <w:numPr>
          <w:ilvl w:val="0"/>
          <w:numId w:val="0"/>
        </w:numPr>
        <w:kinsoku/>
        <w:wordWrap/>
        <w:overflowPunct/>
        <w:topLinePunct w:val="0"/>
        <w:autoSpaceDE/>
        <w:autoSpaceDN/>
        <w:bidi w:val="0"/>
        <w:adjustRightInd w:val="0"/>
        <w:snapToGrid w:val="0"/>
        <w:spacing w:line="556" w:lineRule="exact"/>
        <w:ind w:firstLine="642" w:firstLineChars="200"/>
        <w:jc w:val="both"/>
        <w:textAlignment w:val="auto"/>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en-US" w:eastAsia="zh-CN"/>
        </w:rPr>
        <w:t>（二）</w:t>
      </w:r>
      <w:r>
        <w:rPr>
          <w:rFonts w:hint="default" w:ascii="楷体_GB2312" w:hAnsi="宋体" w:eastAsia="楷体_GB2312" w:cs="Times New Roman"/>
          <w:b/>
          <w:color w:val="auto"/>
          <w:sz w:val="32"/>
          <w:szCs w:val="32"/>
          <w:highlight w:val="none"/>
          <w:u w:val="none"/>
          <w:lang w:val="en-US" w:eastAsia="zh-CN"/>
        </w:rPr>
        <w:t>实施目的及支持方向</w:t>
      </w:r>
    </w:p>
    <w:p>
      <w:pPr>
        <w:keepNext w:val="0"/>
        <w:keepLines w:val="0"/>
        <w:pageBreakBefore w:val="0"/>
        <w:widowControl/>
        <w:suppressLineNumbers w:val="0"/>
        <w:kinsoku/>
        <w:wordWrap/>
        <w:overflowPunct/>
        <w:topLinePunct w:val="0"/>
        <w:autoSpaceDE/>
        <w:autoSpaceDN/>
        <w:bidi w:val="0"/>
        <w:spacing w:line="556" w:lineRule="exact"/>
        <w:ind w:firstLine="640" w:firstLineChars="200"/>
        <w:jc w:val="both"/>
        <w:textAlignment w:val="auto"/>
        <w:rPr>
          <w:rFonts w:hint="eastAsia" w:ascii="仿宋_GB2312" w:hAnsi="宋体" w:eastAsia="仿宋_GB2312"/>
          <w:b w:val="0"/>
          <w:bCs w:val="0"/>
          <w:sz w:val="32"/>
          <w:szCs w:val="32"/>
          <w:highlight w:val="none"/>
          <w:lang w:val="zh-CN"/>
        </w:rPr>
      </w:pPr>
      <w:r>
        <w:rPr>
          <w:rFonts w:hint="eastAsia" w:ascii="仿宋_GB2312" w:hAnsi="宋体" w:eastAsia="仿宋_GB2312"/>
          <w:b w:val="0"/>
          <w:bCs w:val="0"/>
          <w:sz w:val="32"/>
          <w:szCs w:val="32"/>
          <w:lang w:val="en-US" w:eastAsia="zh-CN"/>
        </w:rPr>
        <w:t>我校严格按照</w:t>
      </w:r>
      <w:r>
        <w:rPr>
          <w:rFonts w:ascii="仿宋_GB2312" w:hAnsi="仿宋_GB2312" w:eastAsia="仿宋_GB2312" w:cs="仿宋_GB2312"/>
          <w:color w:val="000000"/>
          <w:kern w:val="0"/>
          <w:sz w:val="31"/>
          <w:szCs w:val="31"/>
          <w:lang w:val="en-US" w:eastAsia="zh-CN" w:bidi="ar"/>
        </w:rPr>
        <w:t>根据《财政部 教育部 人力资源社会保障部 退役军人部 中央军委国防动员部关于印发&lt;学生资助资金管理办法＞的通知》（财教〔2021〕310 号）、《教育部 财政部关于印发&lt;本专科生国家奖学金评审办法＞的通知》（教财函〔2019〕105号）、《四川省教育厅关于做好2023年高校国家奖助学金评审工作的通知》（川教函〔2023〕329号）</w:t>
      </w:r>
      <w:r>
        <w:rPr>
          <w:rFonts w:hint="eastAsia" w:ascii="仿宋_GB2312" w:hAnsi="仿宋_GB2312" w:eastAsia="仿宋_GB2312" w:cs="仿宋_GB2312"/>
          <w:color w:val="000000"/>
          <w:kern w:val="0"/>
          <w:sz w:val="31"/>
          <w:szCs w:val="31"/>
          <w:lang w:val="en-US" w:eastAsia="zh-CN" w:bidi="ar"/>
        </w:rPr>
        <w:t>、</w:t>
      </w:r>
      <w:r>
        <w:rPr>
          <w:rFonts w:ascii="仿宋_GB2312" w:hAnsi="仿宋_GB2312" w:eastAsia="仿宋_GB2312" w:cs="仿宋_GB2312"/>
          <w:color w:val="000000"/>
          <w:kern w:val="0"/>
          <w:sz w:val="31"/>
          <w:szCs w:val="31"/>
          <w:lang w:val="en-US" w:eastAsia="zh-CN" w:bidi="ar"/>
        </w:rPr>
        <w:t>《四川省财政厅四川省教育厅四川省人力资源和社会保障厅关于下达2023年学生资助补助经费预算的通知》（川财教〔2023〕50 号）</w:t>
      </w:r>
      <w:r>
        <w:rPr>
          <w:rFonts w:hint="eastAsia" w:ascii="仿宋_GB2312" w:hAnsi="仿宋_GB2312" w:eastAsia="仿宋_GB2312" w:cs="仿宋_GB2312"/>
          <w:color w:val="000000"/>
          <w:kern w:val="0"/>
          <w:sz w:val="31"/>
          <w:szCs w:val="31"/>
          <w:lang w:val="en-US" w:eastAsia="zh-CN" w:bidi="ar"/>
        </w:rPr>
        <w:t>、</w:t>
      </w:r>
      <w:r>
        <w:rPr>
          <w:rFonts w:ascii="仿宋_GB2312" w:hAnsi="仿宋_GB2312" w:eastAsia="仿宋_GB2312" w:cs="仿宋_GB2312"/>
          <w:color w:val="000000"/>
          <w:kern w:val="0"/>
          <w:sz w:val="31"/>
          <w:szCs w:val="31"/>
          <w:lang w:val="en-US" w:eastAsia="zh-CN" w:bidi="ar"/>
        </w:rPr>
        <w:t>《四川省教育厅关于做好2024年高校国家奖助学金评审工作的通知》（川教函〔2024〕463号）和《四川省财政厅四川省教育厅四川省人力资源和社会保障厅关于下达2024年学生资助补助经费预算的通知》（川财教〔2024〕36号）和等文件要求</w:t>
      </w:r>
      <w:r>
        <w:rPr>
          <w:rFonts w:hint="eastAsia" w:ascii="仿宋_GB2312" w:hAnsi="仿宋_GB2312" w:eastAsia="仿宋_GB2312" w:cs="仿宋_GB2312"/>
          <w:color w:val="000000"/>
          <w:kern w:val="0"/>
          <w:sz w:val="31"/>
          <w:szCs w:val="31"/>
          <w:lang w:val="en-US" w:eastAsia="zh-CN" w:bidi="ar"/>
        </w:rPr>
        <w:t>以及</w:t>
      </w:r>
      <w:r>
        <w:rPr>
          <w:rFonts w:hint="eastAsia" w:ascii="仿宋_GB2312" w:hAnsi="宋体" w:eastAsia="仿宋_GB2312"/>
          <w:b w:val="0"/>
          <w:bCs w:val="0"/>
          <w:sz w:val="32"/>
          <w:szCs w:val="32"/>
          <w:highlight w:val="none"/>
          <w:lang w:val="en-US" w:eastAsia="zh-CN"/>
        </w:rPr>
        <w:t>政策规定，做好国家助学金发放工作。</w:t>
      </w:r>
    </w:p>
    <w:p>
      <w:pPr>
        <w:keepNext w:val="0"/>
        <w:keepLines w:val="0"/>
        <w:pageBreakBefore w:val="0"/>
        <w:widowControl/>
        <w:numPr>
          <w:ilvl w:val="0"/>
          <w:numId w:val="0"/>
        </w:numPr>
        <w:kinsoku/>
        <w:wordWrap/>
        <w:overflowPunct/>
        <w:topLinePunct w:val="0"/>
        <w:autoSpaceDE/>
        <w:autoSpaceDN/>
        <w:bidi w:val="0"/>
        <w:adjustRightInd w:val="0"/>
        <w:snapToGrid w:val="0"/>
        <w:spacing w:line="556" w:lineRule="exact"/>
        <w:ind w:firstLine="642" w:firstLineChars="200"/>
        <w:contextualSpacing/>
        <w:jc w:val="both"/>
        <w:textAlignment w:val="auto"/>
        <w:rPr>
          <w:rFonts w:hint="eastAsia" w:ascii="楷体_GB2312" w:hAnsi="宋体" w:eastAsia="楷体_GB2312" w:cs="Times New Roman"/>
          <w:b/>
          <w:color w:val="auto"/>
          <w:sz w:val="32"/>
          <w:szCs w:val="32"/>
          <w:highlight w:val="none"/>
          <w:u w:val="none"/>
          <w:lang w:val="zh-CN" w:eastAsia="zh-CN"/>
        </w:rPr>
      </w:pPr>
      <w:r>
        <w:rPr>
          <w:rFonts w:hint="eastAsia" w:ascii="楷体_GB2312" w:hAnsi="宋体" w:eastAsia="楷体_GB2312" w:cs="Times New Roman"/>
          <w:b/>
          <w:color w:val="auto"/>
          <w:sz w:val="32"/>
          <w:szCs w:val="32"/>
          <w:highlight w:val="none"/>
          <w:u w:val="none"/>
          <w:lang w:val="en-US"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p>
    <w:p>
      <w:pPr>
        <w:keepNext w:val="0"/>
        <w:keepLines w:val="0"/>
        <w:pageBreakBefore w:val="0"/>
        <w:numPr>
          <w:ilvl w:val="0"/>
          <w:numId w:val="0"/>
        </w:numPr>
        <w:kinsoku/>
        <w:wordWrap/>
        <w:overflowPunct/>
        <w:topLinePunct w:val="0"/>
        <w:autoSpaceDE/>
        <w:autoSpaceDN/>
        <w:bidi w:val="0"/>
        <w:adjustRightInd w:val="0"/>
        <w:snapToGrid w:val="0"/>
        <w:spacing w:line="556" w:lineRule="exact"/>
        <w:ind w:firstLine="640" w:firstLineChars="200"/>
        <w:jc w:val="both"/>
        <w:textAlignment w:val="auto"/>
        <w:rPr>
          <w:rFonts w:hint="eastAsia" w:ascii="仿宋_GB2312" w:hAnsi="宋体" w:eastAsia="仿宋_GB2312"/>
          <w:b w:val="0"/>
          <w:bCs w:val="0"/>
          <w:sz w:val="32"/>
          <w:szCs w:val="32"/>
          <w:lang w:val="zh-CN" w:eastAsia="zh-CN"/>
        </w:rPr>
      </w:pPr>
      <w:r>
        <w:rPr>
          <w:rFonts w:hint="eastAsia" w:ascii="仿宋_GB2312" w:hAnsi="宋体" w:eastAsia="仿宋_GB2312"/>
          <w:b w:val="0"/>
          <w:bCs w:val="0"/>
          <w:sz w:val="32"/>
          <w:szCs w:val="32"/>
          <w:lang w:val="en-US" w:eastAsia="zh-CN"/>
        </w:rPr>
        <w:t>国家助学金财政拨款</w:t>
      </w:r>
      <w:r>
        <w:rPr>
          <w:rFonts w:hint="eastAsia" w:ascii="仿宋_GB2312" w:hAnsi="宋体" w:eastAsia="仿宋_GB2312"/>
          <w:b w:val="0"/>
          <w:bCs w:val="0"/>
          <w:sz w:val="32"/>
          <w:szCs w:val="32"/>
          <w:lang w:val="zh-CN" w:eastAsia="zh-CN"/>
        </w:rPr>
        <w:t>资金全部用于、</w:t>
      </w:r>
      <w:r>
        <w:rPr>
          <w:rFonts w:hint="eastAsia" w:ascii="仿宋_GB2312" w:hAnsi="宋体" w:eastAsia="仿宋_GB2312"/>
          <w:b w:val="0"/>
          <w:bCs w:val="0"/>
          <w:sz w:val="32"/>
          <w:szCs w:val="32"/>
          <w:lang w:val="en-US" w:eastAsia="zh-CN"/>
        </w:rPr>
        <w:t>国家助学金</w:t>
      </w:r>
      <w:r>
        <w:rPr>
          <w:rFonts w:hint="eastAsia" w:ascii="仿宋_GB2312" w:hAnsi="宋体" w:eastAsia="仿宋_GB2312"/>
          <w:b w:val="0"/>
          <w:bCs w:val="0"/>
          <w:sz w:val="32"/>
          <w:szCs w:val="32"/>
          <w:lang w:val="zh-CN" w:eastAsia="zh-CN"/>
        </w:rPr>
        <w:t>发放，确保评审程序公开、公正、公平，做到了专款专用，不截留、不挪用。</w:t>
      </w:r>
    </w:p>
    <w:p>
      <w:pPr>
        <w:keepNext w:val="0"/>
        <w:keepLines w:val="0"/>
        <w:pageBreakBefore w:val="0"/>
        <w:numPr>
          <w:ilvl w:val="0"/>
          <w:numId w:val="0"/>
        </w:numPr>
        <w:kinsoku/>
        <w:wordWrap/>
        <w:overflowPunct/>
        <w:topLinePunct w:val="0"/>
        <w:autoSpaceDE/>
        <w:autoSpaceDN/>
        <w:bidi w:val="0"/>
        <w:adjustRightInd w:val="0"/>
        <w:snapToGrid w:val="0"/>
        <w:spacing w:line="556" w:lineRule="exact"/>
        <w:ind w:firstLine="642" w:firstLineChars="200"/>
        <w:jc w:val="both"/>
        <w:textAlignment w:val="auto"/>
        <w:rPr>
          <w:rFonts w:hint="eastAsia" w:ascii="仿宋_GB2312" w:hAnsi="仿宋_GB2312" w:eastAsia="仿宋_GB2312" w:cs="仿宋_GB2312"/>
          <w:color w:val="auto"/>
          <w:kern w:val="0"/>
          <w:sz w:val="32"/>
          <w:szCs w:val="32"/>
          <w:highlight w:val="none"/>
          <w:u w:val="none"/>
          <w:shd w:val="clear" w:color="auto" w:fill="FFFFFF"/>
          <w:lang w:val="zh-CN" w:eastAsia="zh-CN"/>
        </w:rPr>
      </w:pPr>
      <w:r>
        <w:rPr>
          <w:rFonts w:hint="eastAsia" w:ascii="楷体_GB2312" w:hAnsi="宋体" w:eastAsia="楷体_GB2312" w:cs="Times New Roman"/>
          <w:b/>
          <w:color w:val="auto"/>
          <w:sz w:val="32"/>
          <w:szCs w:val="32"/>
          <w:highlight w:val="none"/>
          <w:u w:val="none"/>
          <w:lang w:val="zh-CN" w:eastAsia="zh-CN"/>
        </w:rPr>
        <w:t>（四）项目绩效目标设置</w:t>
      </w:r>
    </w:p>
    <w:p>
      <w:pPr>
        <w:keepNext w:val="0"/>
        <w:keepLines w:val="0"/>
        <w:pageBreakBefore w:val="0"/>
        <w:numPr>
          <w:ilvl w:val="0"/>
          <w:numId w:val="0"/>
        </w:numPr>
        <w:kinsoku/>
        <w:wordWrap/>
        <w:overflowPunct/>
        <w:topLinePunct w:val="0"/>
        <w:autoSpaceDE/>
        <w:autoSpaceDN/>
        <w:bidi w:val="0"/>
        <w:adjustRightInd w:val="0"/>
        <w:snapToGrid w:val="0"/>
        <w:spacing w:line="556" w:lineRule="exact"/>
        <w:ind w:firstLine="640" w:firstLineChars="200"/>
        <w:jc w:val="both"/>
        <w:textAlignment w:val="auto"/>
        <w:rPr>
          <w:rFonts w:hint="default" w:ascii="仿宋_GB2312" w:hAnsi="宋体" w:eastAsia="仿宋_GB2312"/>
          <w:b w:val="0"/>
          <w:bCs w:val="0"/>
          <w:sz w:val="32"/>
          <w:szCs w:val="32"/>
          <w:lang w:val="en-US" w:eastAsia="zh-CN"/>
        </w:rPr>
      </w:pPr>
      <w:r>
        <w:rPr>
          <w:rFonts w:hint="eastAsia" w:ascii="仿宋_GB2312" w:hAnsi="宋体" w:eastAsia="仿宋_GB2312"/>
          <w:b w:val="0"/>
          <w:bCs w:val="0"/>
          <w:sz w:val="32"/>
          <w:szCs w:val="32"/>
          <w:lang w:val="zh-CN" w:eastAsia="zh-CN"/>
        </w:rPr>
        <w:t>项目完成达到预期目标，生活补助资金发放完成率达</w:t>
      </w:r>
      <w:r>
        <w:rPr>
          <w:rFonts w:hint="eastAsia" w:ascii="仿宋_GB2312" w:hAnsi="宋体" w:eastAsia="仿宋_GB2312"/>
          <w:b w:val="0"/>
          <w:bCs w:val="0"/>
          <w:sz w:val="32"/>
          <w:szCs w:val="32"/>
          <w:lang w:val="en-US" w:eastAsia="zh-CN"/>
        </w:rPr>
        <w:t>100%，学生满意度达99%以上。</w:t>
      </w:r>
    </w:p>
    <w:p>
      <w:pPr>
        <w:keepNext w:val="0"/>
        <w:keepLines w:val="0"/>
        <w:pageBreakBefore w:val="0"/>
        <w:widowControl w:val="0"/>
        <w:kinsoku/>
        <w:wordWrap/>
        <w:overflowPunct/>
        <w:topLinePunct w:val="0"/>
        <w:autoSpaceDE/>
        <w:autoSpaceDN/>
        <w:bidi w:val="0"/>
        <w:adjustRightInd w:val="0"/>
        <w:snapToGrid w:val="0"/>
        <w:spacing w:line="556" w:lineRule="exact"/>
        <w:ind w:firstLine="640" w:firstLineChars="200"/>
        <w:jc w:val="both"/>
        <w:textAlignment w:val="auto"/>
        <w:outlineLvl w:val="9"/>
        <w:rPr>
          <w:rFonts w:hint="eastAsia" w:ascii="黑体" w:hAnsi="宋体" w:eastAsia="黑体"/>
          <w:sz w:val="32"/>
          <w:szCs w:val="32"/>
          <w:highlight w:val="none"/>
          <w:lang w:eastAsia="zh-CN"/>
        </w:rPr>
      </w:pPr>
      <w:r>
        <w:rPr>
          <w:rFonts w:hint="eastAsia" w:ascii="黑体" w:hAnsi="宋体" w:eastAsia="黑体"/>
          <w:sz w:val="32"/>
          <w:szCs w:val="32"/>
          <w:highlight w:val="none"/>
        </w:rPr>
        <w:t>二、</w:t>
      </w:r>
      <w:r>
        <w:rPr>
          <w:rFonts w:hint="eastAsia" w:ascii="黑体" w:hAnsi="宋体" w:eastAsia="黑体"/>
          <w:sz w:val="32"/>
          <w:szCs w:val="32"/>
          <w:highlight w:val="none"/>
          <w:lang w:eastAsia="zh-CN"/>
        </w:rPr>
        <w:t>评价实施</w:t>
      </w:r>
    </w:p>
    <w:p>
      <w:pPr>
        <w:keepNext w:val="0"/>
        <w:keepLines w:val="0"/>
        <w:pageBreakBefore w:val="0"/>
        <w:widowControl w:val="0"/>
        <w:kinsoku/>
        <w:wordWrap/>
        <w:overflowPunct/>
        <w:topLinePunct w:val="0"/>
        <w:autoSpaceDE/>
        <w:autoSpaceDN/>
        <w:bidi w:val="0"/>
        <w:spacing w:line="556" w:lineRule="exact"/>
        <w:ind w:firstLine="642" w:firstLineChars="200"/>
        <w:jc w:val="both"/>
        <w:textAlignment w:val="auto"/>
        <w:outlineLvl w:val="9"/>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（一）评价目的</w:t>
      </w:r>
    </w:p>
    <w:p>
      <w:pPr>
        <w:keepNext w:val="0"/>
        <w:keepLines w:val="0"/>
        <w:pageBreakBefore w:val="0"/>
        <w:numPr>
          <w:ilvl w:val="0"/>
          <w:numId w:val="0"/>
        </w:numPr>
        <w:kinsoku/>
        <w:wordWrap/>
        <w:overflowPunct/>
        <w:topLinePunct w:val="0"/>
        <w:autoSpaceDE/>
        <w:autoSpaceDN/>
        <w:bidi w:val="0"/>
        <w:adjustRightInd w:val="0"/>
        <w:snapToGrid w:val="0"/>
        <w:spacing w:line="556" w:lineRule="exact"/>
        <w:ind w:firstLine="640" w:firstLineChars="200"/>
        <w:jc w:val="both"/>
        <w:textAlignment w:val="auto"/>
        <w:rPr>
          <w:rFonts w:hint="eastAsia" w:ascii="仿宋_GB2312" w:hAnsi="宋体" w:eastAsia="仿宋_GB2312"/>
          <w:b w:val="0"/>
          <w:bCs w:val="0"/>
          <w:sz w:val="32"/>
          <w:szCs w:val="32"/>
          <w:lang w:val="zh-CN" w:eastAsia="zh-CN"/>
        </w:rPr>
      </w:pPr>
      <w:r>
        <w:rPr>
          <w:rFonts w:hint="eastAsia" w:ascii="仿宋_GB2312" w:hAnsi="宋体" w:eastAsia="仿宋_GB2312"/>
          <w:b w:val="0"/>
          <w:bCs w:val="0"/>
          <w:sz w:val="32"/>
          <w:szCs w:val="32"/>
          <w:lang w:val="zh-CN" w:eastAsia="zh-CN"/>
        </w:rPr>
        <w:t>通过项目绩效自评不断完善项目制度建设，提高项目完成率。</w:t>
      </w:r>
    </w:p>
    <w:p>
      <w:pPr>
        <w:keepNext w:val="0"/>
        <w:keepLines w:val="0"/>
        <w:pageBreakBefore w:val="0"/>
        <w:widowControl w:val="0"/>
        <w:numPr>
          <w:ilvl w:val="0"/>
          <w:numId w:val="0"/>
        </w:numPr>
        <w:kinsoku/>
        <w:wordWrap/>
        <w:overflowPunct/>
        <w:topLinePunct w:val="0"/>
        <w:autoSpaceDE/>
        <w:autoSpaceDN/>
        <w:bidi w:val="0"/>
        <w:adjustRightInd w:val="0"/>
        <w:snapToGrid w:val="0"/>
        <w:spacing w:line="556" w:lineRule="exact"/>
        <w:ind w:firstLine="642" w:firstLineChars="200"/>
        <w:jc w:val="both"/>
        <w:textAlignment w:val="auto"/>
        <w:outlineLvl w:val="9"/>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（二）预设问题及评价重点</w:t>
      </w:r>
    </w:p>
    <w:p>
      <w:pPr>
        <w:keepNext w:val="0"/>
        <w:keepLines w:val="0"/>
        <w:pageBreakBefore w:val="0"/>
        <w:numPr>
          <w:ilvl w:val="0"/>
          <w:numId w:val="0"/>
        </w:numPr>
        <w:kinsoku/>
        <w:wordWrap/>
        <w:overflowPunct/>
        <w:topLinePunct w:val="0"/>
        <w:autoSpaceDE/>
        <w:autoSpaceDN/>
        <w:bidi w:val="0"/>
        <w:adjustRightInd w:val="0"/>
        <w:snapToGrid w:val="0"/>
        <w:spacing w:line="556" w:lineRule="exact"/>
        <w:ind w:firstLine="640" w:firstLineChars="200"/>
        <w:jc w:val="both"/>
        <w:textAlignment w:val="auto"/>
        <w:rPr>
          <w:rFonts w:hint="eastAsia" w:ascii="仿宋_GB2312" w:hAnsi="宋体" w:eastAsia="仿宋_GB2312"/>
          <w:b w:val="0"/>
          <w:bCs w:val="0"/>
          <w:color w:val="auto"/>
          <w:sz w:val="32"/>
          <w:szCs w:val="32"/>
          <w:lang w:val="zh-CN" w:eastAsia="zh-CN"/>
        </w:rPr>
      </w:pPr>
      <w:r>
        <w:rPr>
          <w:rFonts w:hint="eastAsia" w:ascii="仿宋_GB2312" w:hAnsi="宋体" w:eastAsia="仿宋_GB2312"/>
          <w:b w:val="0"/>
          <w:bCs w:val="0"/>
          <w:color w:val="auto"/>
          <w:sz w:val="32"/>
          <w:szCs w:val="32"/>
          <w:lang w:val="zh-CN" w:eastAsia="zh-CN"/>
        </w:rPr>
        <w:t>在项目建设过程中，认真贯彻执行</w:t>
      </w:r>
      <w:r>
        <w:rPr>
          <w:rFonts w:hint="eastAsia" w:ascii="仿宋_GB2312" w:hAnsi="宋体" w:eastAsia="仿宋_GB2312"/>
          <w:b w:val="0"/>
          <w:bCs w:val="0"/>
          <w:color w:val="auto"/>
          <w:sz w:val="32"/>
          <w:szCs w:val="32"/>
          <w:lang w:val="en-US" w:eastAsia="zh-CN"/>
        </w:rPr>
        <w:t>国家助学金</w:t>
      </w:r>
      <w:r>
        <w:rPr>
          <w:rFonts w:hint="eastAsia" w:ascii="仿宋_GB2312" w:hAnsi="宋体" w:eastAsia="仿宋_GB2312"/>
          <w:b w:val="0"/>
          <w:bCs w:val="0"/>
          <w:color w:val="auto"/>
          <w:sz w:val="32"/>
          <w:szCs w:val="32"/>
          <w:lang w:val="zh-CN" w:eastAsia="zh-CN"/>
        </w:rPr>
        <w:t>发放的方针政策，根据上级相关文件、制度，制定并完善我校学生奖助学金管理办法和实施细则。专款专用，不截留、不挪用，不多发、也不漏发给每一位</w:t>
      </w:r>
      <w:r>
        <w:rPr>
          <w:rFonts w:hint="eastAsia" w:ascii="仿宋_GB2312" w:hAnsi="宋体" w:eastAsia="仿宋_GB2312"/>
          <w:b w:val="0"/>
          <w:bCs w:val="0"/>
          <w:color w:val="auto"/>
          <w:sz w:val="32"/>
          <w:szCs w:val="32"/>
          <w:lang w:val="en-US" w:eastAsia="zh-CN"/>
        </w:rPr>
        <w:t>应助</w:t>
      </w:r>
      <w:r>
        <w:rPr>
          <w:rFonts w:hint="eastAsia" w:ascii="仿宋_GB2312" w:hAnsi="宋体" w:eastAsia="仿宋_GB2312"/>
          <w:b w:val="0"/>
          <w:bCs w:val="0"/>
          <w:color w:val="auto"/>
          <w:sz w:val="32"/>
          <w:szCs w:val="32"/>
          <w:lang w:val="zh-CN" w:eastAsia="zh-CN"/>
        </w:rPr>
        <w:t>学生。</w:t>
      </w:r>
    </w:p>
    <w:p>
      <w:pPr>
        <w:keepNext w:val="0"/>
        <w:keepLines w:val="0"/>
        <w:pageBreakBefore w:val="0"/>
        <w:widowControl w:val="0"/>
        <w:numPr>
          <w:ilvl w:val="0"/>
          <w:numId w:val="0"/>
        </w:numPr>
        <w:kinsoku/>
        <w:wordWrap/>
        <w:overflowPunct/>
        <w:topLinePunct w:val="0"/>
        <w:autoSpaceDE/>
        <w:autoSpaceDN/>
        <w:bidi w:val="0"/>
        <w:spacing w:line="556" w:lineRule="exact"/>
        <w:ind w:firstLine="642" w:firstLineChars="200"/>
        <w:jc w:val="both"/>
        <w:textAlignment w:val="auto"/>
        <w:outlineLvl w:val="9"/>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（三）评价方法</w:t>
      </w:r>
    </w:p>
    <w:p>
      <w:pPr>
        <w:keepNext w:val="0"/>
        <w:keepLines w:val="0"/>
        <w:pageBreakBefore w:val="0"/>
        <w:widowControl w:val="0"/>
        <w:numPr>
          <w:ilvl w:val="0"/>
          <w:numId w:val="0"/>
        </w:numPr>
        <w:kinsoku/>
        <w:wordWrap/>
        <w:overflowPunct/>
        <w:topLinePunct w:val="0"/>
        <w:autoSpaceDE/>
        <w:autoSpaceDN/>
        <w:bidi w:val="0"/>
        <w:spacing w:line="556" w:lineRule="exact"/>
        <w:ind w:firstLine="640" w:firstLineChars="200"/>
        <w:jc w:val="both"/>
        <w:textAlignment w:val="auto"/>
        <w:outlineLvl w:val="9"/>
        <w:rPr>
          <w:rFonts w:hint="eastAsia" w:eastAsia="仿宋_GB2312" w:cs="Times New Roman"/>
          <w:color w:val="auto"/>
          <w:sz w:val="32"/>
          <w:szCs w:val="32"/>
          <w:lang w:eastAsia="zh-CN"/>
        </w:rPr>
      </w:pPr>
      <w:r>
        <w:rPr>
          <w:rFonts w:eastAsia="仿宋_GB2312" w:cs="Times New Roman"/>
          <w:color w:val="auto"/>
          <w:sz w:val="32"/>
          <w:szCs w:val="32"/>
        </w:rPr>
        <w:t>根据项目情况和评价重点，</w:t>
      </w:r>
      <w:r>
        <w:rPr>
          <w:rFonts w:hint="eastAsia" w:eastAsia="仿宋_GB2312" w:cs="Times New Roman"/>
          <w:color w:val="auto"/>
          <w:sz w:val="32"/>
          <w:szCs w:val="32"/>
          <w:lang w:eastAsia="zh-CN"/>
        </w:rPr>
        <w:t>采用</w:t>
      </w:r>
      <w:r>
        <w:rPr>
          <w:rFonts w:hint="eastAsia" w:eastAsia="仿宋_GB2312" w:cs="Times New Roman"/>
          <w:color w:val="auto"/>
          <w:sz w:val="32"/>
          <w:szCs w:val="32"/>
        </w:rPr>
        <w:t>目标比较法</w:t>
      </w:r>
      <w:r>
        <w:rPr>
          <w:rFonts w:hint="eastAsia" w:eastAsia="仿宋_GB2312" w:cs="Times New Roman"/>
          <w:color w:val="auto"/>
          <w:sz w:val="32"/>
          <w:szCs w:val="32"/>
          <w:lang w:eastAsia="zh-CN"/>
        </w:rPr>
        <w:t>。</w:t>
      </w:r>
    </w:p>
    <w:p>
      <w:pPr>
        <w:keepNext w:val="0"/>
        <w:keepLines w:val="0"/>
        <w:pageBreakBefore w:val="0"/>
        <w:widowControl w:val="0"/>
        <w:numPr>
          <w:ilvl w:val="0"/>
          <w:numId w:val="0"/>
        </w:numPr>
        <w:kinsoku/>
        <w:wordWrap/>
        <w:overflowPunct/>
        <w:topLinePunct w:val="0"/>
        <w:autoSpaceDE/>
        <w:autoSpaceDN/>
        <w:bidi w:val="0"/>
        <w:spacing w:line="556" w:lineRule="exact"/>
        <w:ind w:firstLine="642" w:firstLineChars="200"/>
        <w:jc w:val="both"/>
        <w:textAlignment w:val="auto"/>
        <w:outlineLvl w:val="9"/>
        <w:rPr>
          <w:rFonts w:hint="eastAsia" w:eastAsia="仿宋_GB2312"/>
          <w:color w:val="auto"/>
          <w:sz w:val="32"/>
          <w:szCs w:val="32"/>
          <w:lang w:eastAsia="zh-CN"/>
        </w:rPr>
      </w:pPr>
      <w:r>
        <w:rPr>
          <w:rFonts w:hint="eastAsia" w:ascii="楷体_GB2312" w:hAnsi="宋体" w:eastAsia="楷体_GB2312"/>
          <w:b/>
          <w:color w:val="auto"/>
          <w:sz w:val="32"/>
          <w:szCs w:val="32"/>
          <w:highlight w:val="none"/>
          <w:u w:val="none"/>
          <w:lang w:val="zh-CN"/>
        </w:rPr>
        <w:t>（四）评价组织</w:t>
      </w:r>
    </w:p>
    <w:p>
      <w:pPr>
        <w:keepNext w:val="0"/>
        <w:keepLines w:val="0"/>
        <w:pageBreakBefore w:val="0"/>
        <w:kinsoku/>
        <w:wordWrap/>
        <w:overflowPunct/>
        <w:topLinePunct w:val="0"/>
        <w:autoSpaceDE/>
        <w:autoSpaceDN/>
        <w:bidi w:val="0"/>
        <w:adjustRightInd w:val="0"/>
        <w:snapToGrid w:val="0"/>
        <w:spacing w:line="556" w:lineRule="exact"/>
        <w:ind w:firstLine="640" w:firstLineChars="200"/>
        <w:jc w:val="both"/>
        <w:textAlignment w:val="auto"/>
        <w:rPr>
          <w:rFonts w:hint="eastAsia" w:eastAsia="仿宋_GB2312" w:cs="Times New Roman"/>
          <w:color w:val="auto"/>
          <w:sz w:val="32"/>
          <w:szCs w:val="32"/>
          <w:lang w:val="zh-CN"/>
        </w:rPr>
      </w:pPr>
      <w:r>
        <w:rPr>
          <w:rFonts w:hint="eastAsia" w:eastAsia="仿宋_GB2312" w:cs="Times New Roman"/>
          <w:color w:val="auto"/>
          <w:sz w:val="32"/>
          <w:szCs w:val="32"/>
          <w:lang w:val="zh-CN"/>
        </w:rPr>
        <w:t>该项目自评由学校计划财务处牵头，学生工作部处根据《广元市财政局关于开展202</w:t>
      </w:r>
      <w:r>
        <w:rPr>
          <w:rFonts w:hint="eastAsia" w:eastAsia="仿宋_GB2312" w:cs="Times New Roman"/>
          <w:color w:val="auto"/>
          <w:sz w:val="32"/>
          <w:szCs w:val="32"/>
          <w:lang w:val="en-US" w:eastAsia="zh-CN"/>
        </w:rPr>
        <w:t>4</w:t>
      </w:r>
      <w:r>
        <w:rPr>
          <w:rFonts w:hint="eastAsia" w:eastAsia="仿宋_GB2312" w:cs="Times New Roman"/>
          <w:color w:val="auto"/>
          <w:sz w:val="32"/>
          <w:szCs w:val="32"/>
          <w:lang w:val="zh-CN"/>
        </w:rPr>
        <w:t>年度市级部门绩效自评工作的通知》（广财绩〔202</w:t>
      </w:r>
      <w:r>
        <w:rPr>
          <w:rFonts w:hint="eastAsia" w:eastAsia="仿宋_GB2312" w:cs="Times New Roman"/>
          <w:color w:val="auto"/>
          <w:sz w:val="32"/>
          <w:szCs w:val="32"/>
          <w:lang w:val="en-US" w:eastAsia="zh-CN"/>
        </w:rPr>
        <w:t>4</w:t>
      </w:r>
      <w:r>
        <w:rPr>
          <w:rFonts w:hint="eastAsia" w:eastAsia="仿宋_GB2312" w:cs="Times New Roman"/>
          <w:color w:val="auto"/>
          <w:sz w:val="32"/>
          <w:szCs w:val="32"/>
          <w:lang w:val="zh-CN"/>
        </w:rPr>
        <w:t>〕</w:t>
      </w:r>
      <w:r>
        <w:rPr>
          <w:rFonts w:hint="eastAsia" w:eastAsia="仿宋_GB2312" w:cs="Times New Roman"/>
          <w:color w:val="auto"/>
          <w:sz w:val="32"/>
          <w:szCs w:val="32"/>
          <w:lang w:val="en-US" w:eastAsia="zh-CN"/>
        </w:rPr>
        <w:t>6</w:t>
      </w:r>
      <w:r>
        <w:rPr>
          <w:rFonts w:hint="eastAsia" w:eastAsia="仿宋_GB2312" w:cs="Times New Roman"/>
          <w:color w:val="auto"/>
          <w:sz w:val="32"/>
          <w:szCs w:val="32"/>
          <w:lang w:val="zh-CN"/>
        </w:rPr>
        <w:t>号）文件要求，对照</w:t>
      </w:r>
      <w:r>
        <w:rPr>
          <w:rFonts w:hint="eastAsia" w:eastAsia="仿宋_GB2312" w:cs="Times New Roman"/>
          <w:color w:val="auto"/>
          <w:sz w:val="32"/>
          <w:szCs w:val="32"/>
          <w:lang w:val="en-US" w:eastAsia="zh-CN"/>
        </w:rPr>
        <w:t>2024年</w:t>
      </w:r>
      <w:r>
        <w:rPr>
          <w:rFonts w:hint="eastAsia" w:eastAsia="仿宋_GB2312" w:cs="Times New Roman"/>
          <w:color w:val="auto"/>
          <w:sz w:val="32"/>
          <w:szCs w:val="32"/>
          <w:lang w:val="zh-CN"/>
        </w:rPr>
        <w:t>专项预算项目绩效评价指标体系使用目标比较法，通过项目实际产生的效果与预定绩效目标对比，分析目标完成或未完成的原因，从而达到项目绩效评价的目的。</w:t>
      </w:r>
    </w:p>
    <w:p>
      <w:pPr>
        <w:keepNext w:val="0"/>
        <w:keepLines w:val="0"/>
        <w:pageBreakBefore w:val="0"/>
        <w:kinsoku/>
        <w:wordWrap/>
        <w:overflowPunct/>
        <w:topLinePunct w:val="0"/>
        <w:autoSpaceDE/>
        <w:autoSpaceDN/>
        <w:bidi w:val="0"/>
        <w:adjustRightInd w:val="0"/>
        <w:snapToGrid w:val="0"/>
        <w:spacing w:line="556" w:lineRule="exact"/>
        <w:ind w:firstLine="640" w:firstLineChars="200"/>
        <w:jc w:val="both"/>
        <w:textAlignment w:val="auto"/>
        <w:rPr>
          <w:rFonts w:ascii="仿宋_GB2312" w:hAnsi="宋体" w:eastAsia="仿宋_GB2312"/>
          <w:color w:val="auto"/>
          <w:sz w:val="32"/>
          <w:szCs w:val="32"/>
          <w:highlight w:val="none"/>
          <w:u w:val="none"/>
          <w:lang w:val="zh-CN"/>
        </w:rPr>
      </w:pPr>
      <w:r>
        <w:rPr>
          <w:rFonts w:hint="eastAsia" w:ascii="黑体" w:hAnsi="宋体" w:eastAsia="黑体"/>
          <w:color w:val="auto"/>
          <w:sz w:val="32"/>
          <w:szCs w:val="32"/>
          <w:highlight w:val="none"/>
          <w:u w:val="none"/>
        </w:rPr>
        <w:t>三、</w:t>
      </w:r>
      <w:r>
        <w:rPr>
          <w:rFonts w:hint="eastAsia" w:ascii="黑体" w:hAnsi="宋体" w:eastAsia="黑体"/>
          <w:color w:val="auto"/>
          <w:sz w:val="32"/>
          <w:szCs w:val="32"/>
          <w:highlight w:val="none"/>
          <w:u w:val="none"/>
          <w:lang w:eastAsia="zh-CN"/>
        </w:rPr>
        <w:t>绩效分析</w:t>
      </w:r>
      <w:r>
        <w:rPr>
          <w:rFonts w:hint="eastAsia" w:ascii="仿宋_GB2312" w:hAnsi="宋体" w:eastAsia="仿宋_GB2312"/>
          <w:color w:val="auto"/>
          <w:sz w:val="32"/>
          <w:szCs w:val="32"/>
          <w:highlight w:val="none"/>
          <w:u w:val="none"/>
          <w:lang w:val="zh-CN"/>
        </w:rPr>
        <w:tab/>
      </w:r>
    </w:p>
    <w:p>
      <w:pPr>
        <w:keepNext w:val="0"/>
        <w:keepLines w:val="0"/>
        <w:pageBreakBefore w:val="0"/>
        <w:widowControl w:val="0"/>
        <w:kinsoku/>
        <w:wordWrap/>
        <w:overflowPunct/>
        <w:topLinePunct w:val="0"/>
        <w:autoSpaceDE/>
        <w:autoSpaceDN/>
        <w:bidi w:val="0"/>
        <w:adjustRightInd/>
        <w:snapToGrid/>
        <w:spacing w:line="556" w:lineRule="exact"/>
        <w:ind w:firstLine="642" w:firstLineChars="200"/>
        <w:jc w:val="both"/>
        <w:textAlignment w:val="auto"/>
        <w:outlineLvl w:val="9"/>
        <w:rPr>
          <w:rFonts w:hint="default" w:ascii="Times New Roman" w:hAnsi="Times New Roman" w:eastAsia="楷体_GB2312" w:cs="Times New Roman"/>
          <w:b/>
          <w:bCs/>
          <w:color w:val="auto"/>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auto"/>
          <w:kern w:val="0"/>
          <w:sz w:val="32"/>
          <w:szCs w:val="32"/>
          <w:highlight w:val="none"/>
          <w:shd w:val="clear" w:color="auto" w:fill="FFFFFF"/>
          <w:lang w:val="zh-CN"/>
        </w:rPr>
        <w:t>绩效分析</w:t>
      </w:r>
    </w:p>
    <w:p>
      <w:pPr>
        <w:keepNext w:val="0"/>
        <w:keepLines w:val="0"/>
        <w:pageBreakBefore w:val="0"/>
        <w:widowControl w:val="0"/>
        <w:kinsoku/>
        <w:wordWrap/>
        <w:overflowPunct/>
        <w:topLinePunct w:val="0"/>
        <w:autoSpaceDE/>
        <w:autoSpaceDN/>
        <w:bidi w:val="0"/>
        <w:adjustRightInd/>
        <w:snapToGrid/>
        <w:spacing w:line="556" w:lineRule="exact"/>
        <w:ind w:firstLine="640" w:firstLineChars="200"/>
        <w:jc w:val="both"/>
        <w:textAlignment w:val="auto"/>
        <w:outlineLvl w:val="9"/>
        <w:rPr>
          <w:rFonts w:hint="default" w:eastAsia="仿宋_GB2312" w:cs="Times New Roman"/>
          <w:color w:val="auto"/>
          <w:sz w:val="32"/>
          <w:szCs w:val="32"/>
          <w:lang w:val="en-US" w:eastAsia="zh-CN"/>
        </w:rPr>
      </w:pPr>
      <w:r>
        <w:rPr>
          <w:rFonts w:hint="eastAsia" w:eastAsia="仿宋_GB2312" w:cs="Times New Roman"/>
          <w:color w:val="auto"/>
          <w:sz w:val="32"/>
          <w:szCs w:val="32"/>
          <w:lang w:val="en-US" w:eastAsia="zh-CN"/>
        </w:rPr>
        <w:t>1.</w:t>
      </w:r>
      <w:r>
        <w:rPr>
          <w:rFonts w:hint="eastAsia" w:ascii="楷体_GB2312" w:hAnsi="楷体_GB2312" w:eastAsia="楷体_GB2312" w:cs="楷体_GB2312"/>
          <w:color w:val="auto"/>
          <w:sz w:val="32"/>
          <w:szCs w:val="32"/>
          <w:lang w:val="zh-CN" w:eastAsia="zh-CN"/>
        </w:rPr>
        <w:t>项目决策</w:t>
      </w:r>
      <w:r>
        <w:rPr>
          <w:rFonts w:hint="eastAsia" w:eastAsia="仿宋_GB2312" w:cs="Times New Roman"/>
          <w:color w:val="auto"/>
          <w:sz w:val="32"/>
          <w:szCs w:val="32"/>
          <w:lang w:val="zh-CN" w:eastAsia="zh-CN"/>
        </w:rPr>
        <w:t>。我校</w:t>
      </w:r>
      <w:r>
        <w:rPr>
          <w:rFonts w:hint="eastAsia" w:eastAsia="仿宋_GB2312" w:cs="Times New Roman"/>
          <w:color w:val="auto"/>
          <w:sz w:val="32"/>
          <w:szCs w:val="32"/>
          <w:lang w:val="en-US" w:eastAsia="zh-CN"/>
        </w:rPr>
        <w:t>严格按照相关文件和规定，</w:t>
      </w:r>
      <w:r>
        <w:rPr>
          <w:rFonts w:hint="eastAsia" w:eastAsia="仿宋_GB2312" w:cs="Times New Roman"/>
          <w:color w:val="auto"/>
          <w:sz w:val="32"/>
          <w:szCs w:val="32"/>
          <w:lang w:val="zh-CN" w:eastAsia="zh-CN"/>
        </w:rPr>
        <w:t>发放</w:t>
      </w:r>
      <w:r>
        <w:rPr>
          <w:rFonts w:hint="eastAsia" w:eastAsia="仿宋_GB2312" w:cs="Times New Roman"/>
          <w:color w:val="auto"/>
          <w:sz w:val="32"/>
          <w:szCs w:val="32"/>
          <w:lang w:val="en-US" w:eastAsia="zh-CN"/>
        </w:rPr>
        <w:t>国家助学金</w:t>
      </w:r>
      <w:r>
        <w:rPr>
          <w:rFonts w:hint="eastAsia" w:eastAsia="仿宋_GB2312" w:cs="Times New Roman"/>
          <w:color w:val="auto"/>
          <w:sz w:val="32"/>
          <w:szCs w:val="32"/>
          <w:lang w:val="zh-CN" w:eastAsia="zh-CN"/>
        </w:rPr>
        <w:t>，</w:t>
      </w:r>
      <w:r>
        <w:rPr>
          <w:rFonts w:hint="eastAsia" w:eastAsia="仿宋_GB2312" w:cs="Times New Roman"/>
          <w:color w:val="auto"/>
          <w:sz w:val="32"/>
          <w:szCs w:val="32"/>
          <w:lang w:val="en-US" w:eastAsia="zh-CN"/>
        </w:rPr>
        <w:t>项目决策程序严密。项目设立、调整延续等方面符合资金管理基本规范和决策程序要求。项目规划论证符合中省市要求，项目绩效目标设置科学合理。项目资金与项目总体规划、相关行业事业发展相匹配。得分：18分</w:t>
      </w:r>
    </w:p>
    <w:p>
      <w:pPr>
        <w:keepNext w:val="0"/>
        <w:keepLines w:val="0"/>
        <w:pageBreakBefore w:val="0"/>
        <w:widowControl w:val="0"/>
        <w:kinsoku/>
        <w:wordWrap/>
        <w:overflowPunct/>
        <w:topLinePunct w:val="0"/>
        <w:autoSpaceDE/>
        <w:autoSpaceDN/>
        <w:bidi w:val="0"/>
        <w:adjustRightInd/>
        <w:snapToGrid/>
        <w:spacing w:line="556" w:lineRule="exact"/>
        <w:ind w:firstLine="640" w:firstLineChars="200"/>
        <w:jc w:val="both"/>
        <w:textAlignment w:val="auto"/>
        <w:outlineLvl w:val="9"/>
        <w:rPr>
          <w:rFonts w:hint="eastAsia" w:eastAsia="仿宋_GB2312" w:cs="Times New Roman"/>
          <w:color w:val="auto"/>
          <w:sz w:val="32"/>
          <w:szCs w:val="32"/>
          <w:lang w:val="en-US" w:eastAsia="zh-CN"/>
        </w:rPr>
      </w:pPr>
      <w:r>
        <w:rPr>
          <w:rFonts w:hint="eastAsia" w:ascii="楷体_GB2312" w:hAnsi="楷体_GB2312" w:eastAsia="楷体_GB2312" w:cs="楷体_GB2312"/>
          <w:color w:val="auto"/>
          <w:sz w:val="32"/>
          <w:szCs w:val="32"/>
          <w:lang w:val="en-US" w:eastAsia="zh-CN"/>
        </w:rPr>
        <w:t>2.</w:t>
      </w:r>
      <w:r>
        <w:rPr>
          <w:rFonts w:hint="eastAsia" w:ascii="楷体_GB2312" w:hAnsi="楷体_GB2312" w:eastAsia="楷体_GB2312" w:cs="楷体_GB2312"/>
          <w:color w:val="auto"/>
          <w:sz w:val="32"/>
          <w:szCs w:val="32"/>
          <w:lang w:eastAsia="zh-CN"/>
        </w:rPr>
        <w:t>项目管理。</w:t>
      </w:r>
      <w:r>
        <w:rPr>
          <w:rFonts w:hint="eastAsia" w:eastAsia="仿宋_GB2312" w:cs="Times New Roman"/>
          <w:color w:val="auto"/>
          <w:sz w:val="32"/>
          <w:szCs w:val="32"/>
          <w:lang w:val="en-US" w:eastAsia="zh-CN"/>
        </w:rPr>
        <w:t>严格按照相应的业务管理制度，规范专项资金拨付。资金使用规范，符合国家财经法规和财务管理以及有关专项资金管理办法的规定；资金的拨付有完整的审批程序和手续；不存在截留、挤占、挪用、虚列支出等情况。得分：18分</w:t>
      </w:r>
    </w:p>
    <w:p>
      <w:pPr>
        <w:keepNext w:val="0"/>
        <w:keepLines w:val="0"/>
        <w:pageBreakBefore w:val="0"/>
        <w:widowControl w:val="0"/>
        <w:kinsoku/>
        <w:wordWrap/>
        <w:overflowPunct/>
        <w:topLinePunct w:val="0"/>
        <w:autoSpaceDE/>
        <w:autoSpaceDN/>
        <w:bidi w:val="0"/>
        <w:adjustRightInd/>
        <w:snapToGrid/>
        <w:spacing w:line="556" w:lineRule="exact"/>
        <w:ind w:firstLine="640" w:firstLineChars="200"/>
        <w:jc w:val="both"/>
        <w:textAlignment w:val="auto"/>
        <w:outlineLvl w:val="9"/>
        <w:rPr>
          <w:rFonts w:hint="default" w:eastAsia="仿宋_GB2312" w:cs="Times New Roman"/>
          <w:color w:val="auto"/>
          <w:sz w:val="32"/>
          <w:szCs w:val="32"/>
          <w:lang w:val="en-US" w:eastAsia="zh-CN"/>
        </w:rPr>
      </w:pPr>
      <w:r>
        <w:rPr>
          <w:rFonts w:hint="default" w:ascii="楷体_GB2312" w:hAnsi="楷体_GB2312" w:eastAsia="楷体_GB2312" w:cs="楷体_GB2312"/>
          <w:color w:val="auto"/>
          <w:sz w:val="32"/>
          <w:szCs w:val="32"/>
          <w:lang w:eastAsia="zh-CN"/>
        </w:rPr>
        <w:t>3.</w:t>
      </w:r>
      <w:r>
        <w:rPr>
          <w:rFonts w:hint="eastAsia" w:ascii="楷体_GB2312" w:hAnsi="楷体_GB2312" w:eastAsia="楷体_GB2312" w:cs="楷体_GB2312"/>
          <w:color w:val="auto"/>
          <w:sz w:val="32"/>
          <w:szCs w:val="32"/>
          <w:lang w:val="en-US" w:eastAsia="zh-CN"/>
        </w:rPr>
        <w:t>项目实施。</w:t>
      </w:r>
      <w:r>
        <w:rPr>
          <w:rFonts w:hint="eastAsia" w:eastAsia="仿宋_GB2312" w:cs="Times New Roman"/>
          <w:color w:val="auto"/>
          <w:sz w:val="32"/>
          <w:szCs w:val="32"/>
          <w:lang w:val="en-US" w:eastAsia="zh-CN"/>
        </w:rPr>
        <w:t>2023秋季我校发放资助2765人(2023年11月有一名学生休学)，发放生活补助经费共计456.06万元，在2024年1月底全部发放到位。2024春季我校发放资助2764人，发放生活补助经费共计456.06万元，在2024年7月底全部发放到位。学校通过广元市惠民惠农财政补贴资金“一卡通”项目资金直接打入受资助学生本人社保卡中。得分：9分</w:t>
      </w:r>
    </w:p>
    <w:p>
      <w:pPr>
        <w:keepNext w:val="0"/>
        <w:keepLines w:val="0"/>
        <w:pageBreakBefore w:val="0"/>
        <w:widowControl w:val="0"/>
        <w:numPr>
          <w:ilvl w:val="0"/>
          <w:numId w:val="0"/>
        </w:numPr>
        <w:kinsoku/>
        <w:wordWrap/>
        <w:overflowPunct/>
        <w:topLinePunct w:val="0"/>
        <w:autoSpaceDE/>
        <w:autoSpaceDN/>
        <w:bidi w:val="0"/>
        <w:adjustRightInd/>
        <w:snapToGrid/>
        <w:spacing w:line="556" w:lineRule="exact"/>
        <w:ind w:firstLine="640" w:firstLineChars="200"/>
        <w:jc w:val="both"/>
        <w:textAlignment w:val="auto"/>
        <w:outlineLvl w:val="9"/>
        <w:rPr>
          <w:rFonts w:hint="eastAsia" w:eastAsia="仿宋_GB2312" w:cs="Times New Roman"/>
          <w:color w:val="auto"/>
          <w:sz w:val="32"/>
          <w:szCs w:val="32"/>
          <w:lang w:val="en-US" w:eastAsia="zh-CN"/>
        </w:rPr>
      </w:pPr>
      <w:r>
        <w:rPr>
          <w:rFonts w:hint="eastAsia" w:ascii="楷体_GB2312" w:hAnsi="楷体_GB2312" w:eastAsia="楷体_GB2312" w:cs="楷体_GB2312"/>
          <w:color w:val="auto"/>
          <w:sz w:val="32"/>
          <w:szCs w:val="32"/>
          <w:lang w:val="en-US" w:eastAsia="zh-CN"/>
        </w:rPr>
        <w:t>4.项目结果。</w:t>
      </w:r>
      <w:r>
        <w:rPr>
          <w:rFonts w:hint="eastAsia" w:eastAsia="仿宋_GB2312" w:cs="Times New Roman"/>
          <w:color w:val="auto"/>
          <w:sz w:val="32"/>
          <w:szCs w:val="32"/>
          <w:lang w:val="en-US" w:eastAsia="zh-CN"/>
        </w:rPr>
        <w:t>严格按照文件要求，及时、足额发放补助资金。项目设定数量指标全部完成。受助学生人数达到年度指标值，未截留指标。得分：9分</w:t>
      </w:r>
    </w:p>
    <w:p>
      <w:pPr>
        <w:keepNext w:val="0"/>
        <w:keepLines w:val="0"/>
        <w:pageBreakBefore w:val="0"/>
        <w:widowControl w:val="0"/>
        <w:kinsoku/>
        <w:wordWrap/>
        <w:overflowPunct/>
        <w:topLinePunct w:val="0"/>
        <w:autoSpaceDE/>
        <w:autoSpaceDN/>
        <w:bidi w:val="0"/>
        <w:adjustRightInd/>
        <w:snapToGrid/>
        <w:spacing w:line="556" w:lineRule="exact"/>
        <w:ind w:firstLine="642" w:firstLineChars="200"/>
        <w:jc w:val="both"/>
        <w:textAlignment w:val="auto"/>
        <w:outlineLvl w:val="9"/>
        <w:rPr>
          <w:rFonts w:hint="eastAsia" w:ascii="楷体_GB2312" w:hAnsi="楷体_GB2312" w:eastAsia="楷体_GB2312" w:cs="楷体_GB2312"/>
          <w:color w:val="auto"/>
          <w:sz w:val="32"/>
          <w:szCs w:val="32"/>
          <w:lang w:val="zh-CN" w:eastAsia="zh-CN"/>
        </w:rPr>
      </w:pPr>
      <w:r>
        <w:rPr>
          <w:rFonts w:hint="eastAsia" w:ascii="楷体_GB2312" w:hAnsi="宋体" w:eastAsia="楷体_GB2312" w:cs="Times New Roman"/>
          <w:b/>
          <w:color w:val="auto"/>
          <w:sz w:val="32"/>
          <w:szCs w:val="32"/>
          <w:highlight w:val="none"/>
          <w:u w:val="none"/>
          <w:lang w:val="zh-CN"/>
        </w:rPr>
        <w:t>（二）</w:t>
      </w:r>
      <w:r>
        <w:rPr>
          <w:rFonts w:hint="eastAsia" w:ascii="楷体_GB2312" w:hAnsi="宋体" w:eastAsia="楷体_GB2312" w:cs="Times New Roman"/>
          <w:b/>
          <w:color w:val="auto"/>
          <w:sz w:val="32"/>
          <w:szCs w:val="32"/>
          <w:highlight w:val="none"/>
          <w:u w:val="none"/>
          <w:lang w:val="en-US" w:eastAsia="zh-CN"/>
        </w:rPr>
        <w:t>专用指标</w:t>
      </w:r>
      <w:r>
        <w:rPr>
          <w:rFonts w:hint="default" w:ascii="Times New Roman" w:hAnsi="Times New Roman" w:eastAsia="楷体_GB2312" w:cs="Times New Roman"/>
          <w:b/>
          <w:bCs/>
          <w:color w:val="auto"/>
          <w:kern w:val="0"/>
          <w:sz w:val="32"/>
          <w:szCs w:val="32"/>
          <w:highlight w:val="none"/>
          <w:shd w:val="clear" w:color="auto" w:fill="FFFFFF"/>
          <w:lang w:val="zh-CN"/>
        </w:rPr>
        <w:t>绩效分析</w:t>
      </w:r>
    </w:p>
    <w:p>
      <w:pPr>
        <w:keepNext w:val="0"/>
        <w:keepLines w:val="0"/>
        <w:pageBreakBefore w:val="0"/>
        <w:widowControl w:val="0"/>
        <w:kinsoku/>
        <w:wordWrap/>
        <w:overflowPunct/>
        <w:topLinePunct w:val="0"/>
        <w:autoSpaceDE/>
        <w:autoSpaceDN/>
        <w:bidi w:val="0"/>
        <w:adjustRightInd/>
        <w:snapToGrid/>
        <w:spacing w:line="556" w:lineRule="exact"/>
        <w:ind w:left="0" w:leftChars="0" w:firstLine="640" w:firstLineChars="200"/>
        <w:jc w:val="both"/>
        <w:textAlignment w:val="auto"/>
        <w:outlineLvl w:val="9"/>
        <w:rPr>
          <w:rFonts w:hint="default" w:eastAsia="仿宋_GB2312" w:cs="Times New Roman"/>
          <w:color w:val="auto"/>
          <w:sz w:val="32"/>
          <w:szCs w:val="32"/>
          <w:lang w:val="en-US" w:eastAsia="zh-CN"/>
        </w:rPr>
      </w:pPr>
      <w:r>
        <w:rPr>
          <w:rFonts w:hint="eastAsia" w:ascii="楷体_GB2312" w:hAnsi="楷体_GB2312" w:eastAsia="楷体_GB2312" w:cs="楷体_GB2312"/>
          <w:color w:val="auto"/>
          <w:sz w:val="32"/>
          <w:szCs w:val="32"/>
          <w:lang w:val="zh-CN" w:eastAsia="zh-CN"/>
        </w:rPr>
        <w:t>民生保障：</w:t>
      </w:r>
      <w:r>
        <w:rPr>
          <w:rFonts w:hint="eastAsia" w:eastAsia="仿宋_GB2312" w:cs="Times New Roman"/>
          <w:color w:val="auto"/>
          <w:sz w:val="32"/>
          <w:szCs w:val="32"/>
          <w:lang w:val="zh-CN" w:eastAsia="zh-CN"/>
        </w:rPr>
        <w:t>较好地完成了预设工作任务，专项项目得到有序开展。截止202</w:t>
      </w:r>
      <w:r>
        <w:rPr>
          <w:rFonts w:hint="eastAsia" w:eastAsia="仿宋_GB2312" w:cs="Times New Roman"/>
          <w:color w:val="auto"/>
          <w:sz w:val="32"/>
          <w:szCs w:val="32"/>
          <w:lang w:val="en-US" w:eastAsia="zh-CN"/>
        </w:rPr>
        <w:t>4</w:t>
      </w:r>
      <w:r>
        <w:rPr>
          <w:rFonts w:hint="eastAsia" w:eastAsia="仿宋_GB2312" w:cs="Times New Roman"/>
          <w:color w:val="auto"/>
          <w:sz w:val="32"/>
          <w:szCs w:val="32"/>
          <w:lang w:val="zh-CN" w:eastAsia="zh-CN"/>
        </w:rPr>
        <w:t>年</w:t>
      </w:r>
      <w:r>
        <w:rPr>
          <w:rFonts w:hint="eastAsia" w:eastAsia="仿宋_GB2312" w:cs="Times New Roman"/>
          <w:color w:val="auto"/>
          <w:sz w:val="32"/>
          <w:szCs w:val="32"/>
          <w:lang w:val="en-US" w:eastAsia="zh-CN"/>
        </w:rPr>
        <w:t>7</w:t>
      </w:r>
      <w:r>
        <w:rPr>
          <w:rFonts w:hint="eastAsia" w:eastAsia="仿宋_GB2312" w:cs="Times New Roman"/>
          <w:color w:val="auto"/>
          <w:sz w:val="32"/>
          <w:szCs w:val="32"/>
          <w:lang w:val="zh-CN" w:eastAsia="zh-CN"/>
        </w:rPr>
        <w:t>月底，我校</w:t>
      </w:r>
      <w:r>
        <w:rPr>
          <w:rFonts w:hint="eastAsia" w:eastAsia="仿宋_GB2312" w:cs="Times New Roman"/>
          <w:color w:val="auto"/>
          <w:sz w:val="32"/>
          <w:szCs w:val="32"/>
          <w:lang w:val="en-US" w:eastAsia="zh-CN"/>
        </w:rPr>
        <w:t>2756</w:t>
      </w:r>
      <w:r>
        <w:rPr>
          <w:rFonts w:hint="eastAsia" w:eastAsia="仿宋_GB2312" w:cs="Times New Roman"/>
          <w:color w:val="auto"/>
          <w:sz w:val="32"/>
          <w:szCs w:val="32"/>
          <w:lang w:val="zh-CN" w:eastAsia="zh-CN"/>
        </w:rPr>
        <w:t>名</w:t>
      </w:r>
      <w:r>
        <w:rPr>
          <w:rFonts w:hint="eastAsia" w:eastAsia="仿宋_GB2312" w:cs="Times New Roman"/>
          <w:color w:val="auto"/>
          <w:sz w:val="32"/>
          <w:szCs w:val="32"/>
          <w:lang w:val="en-US" w:eastAsia="zh-CN"/>
        </w:rPr>
        <w:t>获评国家助学金学生补助</w:t>
      </w:r>
      <w:r>
        <w:rPr>
          <w:rFonts w:hint="eastAsia" w:eastAsia="仿宋_GB2312" w:cs="Times New Roman"/>
          <w:color w:val="auto"/>
          <w:sz w:val="32"/>
          <w:szCs w:val="32"/>
          <w:lang w:val="zh-CN" w:eastAsia="zh-CN"/>
        </w:rPr>
        <w:t>已全部拨付到位，项目实施完成100%。得分：</w:t>
      </w:r>
      <w:r>
        <w:rPr>
          <w:rFonts w:hint="eastAsia" w:eastAsia="仿宋_GB2312" w:cs="Times New Roman"/>
          <w:color w:val="auto"/>
          <w:sz w:val="32"/>
          <w:szCs w:val="32"/>
          <w:lang w:val="en-US" w:eastAsia="zh-CN"/>
        </w:rPr>
        <w:t>30分</w:t>
      </w:r>
    </w:p>
    <w:p>
      <w:pPr>
        <w:keepNext w:val="0"/>
        <w:keepLines w:val="0"/>
        <w:pageBreakBefore w:val="0"/>
        <w:widowControl w:val="0"/>
        <w:numPr>
          <w:ilvl w:val="0"/>
          <w:numId w:val="0"/>
        </w:numPr>
        <w:kinsoku/>
        <w:wordWrap/>
        <w:overflowPunct/>
        <w:topLinePunct w:val="0"/>
        <w:autoSpaceDE/>
        <w:autoSpaceDN/>
        <w:bidi w:val="0"/>
        <w:adjustRightInd/>
        <w:snapToGrid/>
        <w:spacing w:line="556" w:lineRule="exact"/>
        <w:ind w:leftChars="200"/>
        <w:jc w:val="both"/>
        <w:textAlignment w:val="auto"/>
        <w:outlineLvl w:val="9"/>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en-US" w:eastAsia="zh-CN"/>
        </w:rPr>
        <w:t>（三）个性指标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widowControl w:val="0"/>
        <w:kinsoku/>
        <w:wordWrap/>
        <w:overflowPunct/>
        <w:topLinePunct w:val="0"/>
        <w:autoSpaceDE/>
        <w:autoSpaceDN/>
        <w:bidi w:val="0"/>
        <w:adjustRightInd/>
        <w:snapToGrid/>
        <w:spacing w:line="556" w:lineRule="exact"/>
        <w:ind w:left="0" w:leftChars="0" w:firstLine="640" w:firstLineChars="200"/>
        <w:jc w:val="both"/>
        <w:textAlignment w:val="auto"/>
        <w:outlineLvl w:val="9"/>
        <w:rPr>
          <w:rFonts w:hint="default" w:eastAsia="仿宋_GB2312" w:cs="Times New Roman"/>
          <w:color w:val="auto"/>
          <w:sz w:val="32"/>
          <w:szCs w:val="32"/>
          <w:lang w:val="en-US" w:eastAsia="zh-CN"/>
        </w:rPr>
      </w:pPr>
      <w:r>
        <w:rPr>
          <w:rFonts w:hint="eastAsia" w:eastAsia="仿宋_GB2312" w:cs="Times New Roman"/>
          <w:color w:val="auto"/>
          <w:sz w:val="32"/>
          <w:szCs w:val="32"/>
          <w:lang w:val="en-US" w:eastAsia="zh-CN"/>
        </w:rPr>
        <w:t>一定程度上</w:t>
      </w:r>
      <w:r>
        <w:rPr>
          <w:rFonts w:hint="eastAsia" w:eastAsia="仿宋_GB2312" w:cs="Times New Roman"/>
          <w:color w:val="auto"/>
          <w:sz w:val="32"/>
          <w:szCs w:val="32"/>
          <w:lang w:val="zh-CN" w:eastAsia="zh-CN"/>
        </w:rPr>
        <w:t>缓解了</w:t>
      </w:r>
      <w:r>
        <w:rPr>
          <w:rFonts w:hint="eastAsia" w:eastAsia="仿宋_GB2312" w:cs="Times New Roman"/>
          <w:color w:val="auto"/>
          <w:sz w:val="32"/>
          <w:szCs w:val="32"/>
          <w:lang w:val="en-US" w:eastAsia="zh-CN"/>
        </w:rPr>
        <w:t>获评助学金学生</w:t>
      </w:r>
      <w:r>
        <w:rPr>
          <w:rFonts w:hint="eastAsia" w:eastAsia="仿宋_GB2312" w:cs="Times New Roman"/>
          <w:color w:val="auto"/>
          <w:sz w:val="32"/>
          <w:szCs w:val="32"/>
          <w:lang w:val="zh-CN" w:eastAsia="zh-CN"/>
        </w:rPr>
        <w:t>的经济压力，得到学生、家长及社会的好评。得分</w:t>
      </w:r>
      <w:r>
        <w:rPr>
          <w:rFonts w:hint="eastAsia" w:eastAsia="仿宋_GB2312" w:cs="Times New Roman"/>
          <w:color w:val="auto"/>
          <w:sz w:val="32"/>
          <w:szCs w:val="32"/>
          <w:lang w:val="en-US" w:eastAsia="zh-CN"/>
        </w:rPr>
        <w:t>16分</w:t>
      </w:r>
    </w:p>
    <w:p>
      <w:pPr>
        <w:keepNext w:val="0"/>
        <w:keepLines w:val="0"/>
        <w:pageBreakBefore w:val="0"/>
        <w:widowControl/>
        <w:numPr>
          <w:ilvl w:val="0"/>
          <w:numId w:val="0"/>
        </w:numPr>
        <w:tabs>
          <w:tab w:val="left" w:pos="2160"/>
        </w:tabs>
        <w:kinsoku/>
        <w:wordWrap/>
        <w:overflowPunct/>
        <w:topLinePunct w:val="0"/>
        <w:autoSpaceDE/>
        <w:autoSpaceDN/>
        <w:bidi w:val="0"/>
        <w:adjustRightInd/>
        <w:spacing w:line="556" w:lineRule="exact"/>
        <w:ind w:firstLine="640" w:firstLineChars="200"/>
        <w:jc w:val="both"/>
        <w:textAlignment w:val="auto"/>
        <w:rPr>
          <w:rFonts w:hint="eastAsia" w:ascii="黑体" w:hAnsi="宋体" w:eastAsia="黑体" w:cs="Times New Roman"/>
          <w:color w:val="auto"/>
          <w:kern w:val="0"/>
          <w:position w:val="3"/>
          <w:sz w:val="32"/>
          <w:szCs w:val="32"/>
          <w:highlight w:val="none"/>
          <w:u w:val="none"/>
          <w:lang w:val="en-US" w:eastAsia="en-US" w:bidi="ar-SA"/>
        </w:rPr>
      </w:pPr>
      <w:r>
        <w:rPr>
          <w:rFonts w:hint="eastAsia" w:ascii="黑体" w:hAnsi="宋体" w:eastAsia="黑体" w:cs="Times New Roman"/>
          <w:color w:val="auto"/>
          <w:kern w:val="0"/>
          <w:position w:val="3"/>
          <w:sz w:val="32"/>
          <w:szCs w:val="32"/>
          <w:highlight w:val="none"/>
          <w:u w:val="none"/>
          <w:lang w:val="en-US" w:eastAsia="zh-CN" w:bidi="ar-SA"/>
        </w:rPr>
        <w:t>四</w:t>
      </w:r>
      <w:r>
        <w:rPr>
          <w:rFonts w:hint="eastAsia" w:ascii="黑体" w:hAnsi="宋体" w:eastAsia="黑体" w:cs="Times New Roman"/>
          <w:color w:val="auto"/>
          <w:kern w:val="0"/>
          <w:position w:val="3"/>
          <w:sz w:val="32"/>
          <w:szCs w:val="32"/>
          <w:highlight w:val="none"/>
          <w:u w:val="none"/>
          <w:lang w:val="en-US" w:eastAsia="en-US" w:bidi="ar-SA"/>
        </w:rPr>
        <w:t>、评价结论</w:t>
      </w:r>
    </w:p>
    <w:p>
      <w:pPr>
        <w:keepNext w:val="0"/>
        <w:keepLines w:val="0"/>
        <w:pageBreakBefore w:val="0"/>
        <w:widowControl w:val="0"/>
        <w:kinsoku/>
        <w:wordWrap/>
        <w:overflowPunct/>
        <w:topLinePunct w:val="0"/>
        <w:autoSpaceDE/>
        <w:autoSpaceDN/>
        <w:bidi w:val="0"/>
        <w:adjustRightInd/>
        <w:snapToGrid/>
        <w:spacing w:line="556" w:lineRule="exact"/>
        <w:ind w:left="0" w:leftChars="0" w:firstLine="640" w:firstLineChars="200"/>
        <w:jc w:val="both"/>
        <w:textAlignment w:val="auto"/>
        <w:outlineLvl w:val="9"/>
        <w:rPr>
          <w:rFonts w:hint="eastAsia" w:eastAsia="仿宋_GB2312" w:cs="Times New Roman"/>
          <w:color w:val="auto"/>
          <w:sz w:val="32"/>
          <w:szCs w:val="32"/>
          <w:lang w:val="en-US" w:eastAsia="zh-CN"/>
        </w:rPr>
      </w:pPr>
      <w:r>
        <w:rPr>
          <w:rFonts w:hint="eastAsia" w:eastAsia="仿宋_GB2312" w:cs="Times New Roman"/>
          <w:color w:val="auto"/>
          <w:sz w:val="32"/>
          <w:szCs w:val="32"/>
          <w:lang w:val="en-US" w:eastAsia="zh-CN"/>
        </w:rPr>
        <w:t>1.项目经费及时拨付到位，支出合理合规，实现了预定的绩效目标。</w:t>
      </w:r>
    </w:p>
    <w:p>
      <w:pPr>
        <w:keepNext w:val="0"/>
        <w:keepLines w:val="0"/>
        <w:pageBreakBefore w:val="0"/>
        <w:widowControl w:val="0"/>
        <w:kinsoku/>
        <w:wordWrap/>
        <w:overflowPunct/>
        <w:topLinePunct w:val="0"/>
        <w:autoSpaceDE/>
        <w:autoSpaceDN/>
        <w:bidi w:val="0"/>
        <w:adjustRightInd/>
        <w:snapToGrid/>
        <w:spacing w:line="556" w:lineRule="exact"/>
        <w:ind w:left="0" w:leftChars="0" w:firstLine="640" w:firstLineChars="200"/>
        <w:jc w:val="both"/>
        <w:textAlignment w:val="auto"/>
        <w:outlineLvl w:val="9"/>
        <w:rPr>
          <w:rFonts w:hint="eastAsia" w:eastAsia="仿宋_GB2312" w:cs="Times New Roman"/>
          <w:color w:val="auto"/>
          <w:sz w:val="32"/>
          <w:szCs w:val="32"/>
          <w:lang w:val="en-US" w:eastAsia="zh-CN"/>
        </w:rPr>
      </w:pPr>
      <w:r>
        <w:rPr>
          <w:rFonts w:hint="eastAsia" w:eastAsia="仿宋_GB2312" w:cs="Times New Roman"/>
          <w:color w:val="auto"/>
          <w:sz w:val="32"/>
          <w:szCs w:val="32"/>
          <w:lang w:val="en-US" w:eastAsia="zh-CN"/>
        </w:rPr>
        <w:t>2.目标明确，项目实施工作有序开展。</w:t>
      </w:r>
    </w:p>
    <w:p>
      <w:pPr>
        <w:keepNext w:val="0"/>
        <w:keepLines w:val="0"/>
        <w:pageBreakBefore w:val="0"/>
        <w:widowControl w:val="0"/>
        <w:kinsoku/>
        <w:wordWrap/>
        <w:overflowPunct/>
        <w:topLinePunct w:val="0"/>
        <w:autoSpaceDE/>
        <w:autoSpaceDN/>
        <w:bidi w:val="0"/>
        <w:adjustRightInd/>
        <w:snapToGrid/>
        <w:spacing w:line="556" w:lineRule="exact"/>
        <w:ind w:left="0" w:leftChars="0" w:firstLine="640" w:firstLineChars="200"/>
        <w:jc w:val="both"/>
        <w:textAlignment w:val="auto"/>
        <w:outlineLvl w:val="9"/>
        <w:rPr>
          <w:rFonts w:hint="eastAsia" w:eastAsia="仿宋_GB2312" w:cs="Times New Roman"/>
          <w:color w:val="auto"/>
          <w:sz w:val="32"/>
          <w:szCs w:val="32"/>
          <w:lang w:val="en-US" w:eastAsia="zh-CN"/>
        </w:rPr>
      </w:pPr>
      <w:r>
        <w:rPr>
          <w:rFonts w:hint="eastAsia" w:eastAsia="仿宋_GB2312" w:cs="Times New Roman"/>
          <w:color w:val="auto"/>
          <w:sz w:val="32"/>
          <w:szCs w:val="32"/>
          <w:lang w:val="en-US" w:eastAsia="zh-CN"/>
        </w:rPr>
        <w:t>3.通过对专项资金的有效管理和使用，有效减轻了</w:t>
      </w:r>
      <w:r>
        <w:rPr>
          <w:rFonts w:hint="eastAsia" w:eastAsia="仿宋_GB2312" w:cs="Times New Roman"/>
          <w:color w:val="auto"/>
          <w:sz w:val="32"/>
          <w:szCs w:val="32"/>
          <w:lang w:val="zh-CN" w:eastAsia="zh-CN"/>
        </w:rPr>
        <w:t>我校</w:t>
      </w:r>
      <w:r>
        <w:rPr>
          <w:rFonts w:hint="eastAsia" w:eastAsia="仿宋_GB2312" w:cs="Times New Roman"/>
          <w:color w:val="auto"/>
          <w:sz w:val="32"/>
          <w:szCs w:val="32"/>
          <w:lang w:val="en-US" w:eastAsia="zh-CN"/>
        </w:rPr>
        <w:t>获评助学金学生</w:t>
      </w:r>
      <w:r>
        <w:rPr>
          <w:rFonts w:hint="eastAsia" w:eastAsia="仿宋_GB2312" w:cs="Times New Roman"/>
          <w:color w:val="auto"/>
          <w:sz w:val="32"/>
          <w:szCs w:val="32"/>
          <w:lang w:val="zh-CN" w:eastAsia="zh-CN"/>
        </w:rPr>
        <w:t>的经济压力</w:t>
      </w:r>
      <w:r>
        <w:rPr>
          <w:rFonts w:hint="eastAsia" w:eastAsia="仿宋_GB2312" w:cs="Times New Roman"/>
          <w:color w:val="auto"/>
          <w:sz w:val="32"/>
          <w:szCs w:val="32"/>
          <w:lang w:val="en-US" w:eastAsia="zh-CN"/>
        </w:rPr>
        <w:t>，激励受助学生成长成才。</w:t>
      </w:r>
    </w:p>
    <w:p>
      <w:pPr>
        <w:keepNext w:val="0"/>
        <w:keepLines w:val="0"/>
        <w:pageBreakBefore w:val="0"/>
        <w:widowControl/>
        <w:numPr>
          <w:ilvl w:val="0"/>
          <w:numId w:val="0"/>
        </w:numPr>
        <w:tabs>
          <w:tab w:val="left" w:pos="2160"/>
        </w:tabs>
        <w:kinsoku/>
        <w:wordWrap/>
        <w:overflowPunct/>
        <w:topLinePunct w:val="0"/>
        <w:autoSpaceDE/>
        <w:autoSpaceDN/>
        <w:bidi w:val="0"/>
        <w:adjustRightInd/>
        <w:spacing w:line="556" w:lineRule="exact"/>
        <w:ind w:firstLine="640" w:firstLineChars="200"/>
        <w:jc w:val="both"/>
        <w:textAlignment w:val="auto"/>
        <w:rPr>
          <w:rFonts w:hint="eastAsia" w:ascii="黑体" w:hAnsi="宋体" w:eastAsia="黑体" w:cs="Times New Roman"/>
          <w:color w:val="auto"/>
          <w:kern w:val="0"/>
          <w:position w:val="3"/>
          <w:sz w:val="32"/>
          <w:szCs w:val="32"/>
          <w:highlight w:val="none"/>
          <w:u w:val="none"/>
          <w:lang w:val="en-US" w:eastAsia="zh-CN" w:bidi="ar-SA"/>
        </w:rPr>
      </w:pPr>
      <w:r>
        <w:rPr>
          <w:rFonts w:hint="eastAsia" w:ascii="黑体" w:hAnsi="宋体" w:eastAsia="黑体" w:cs="Times New Roman"/>
          <w:color w:val="auto"/>
          <w:kern w:val="0"/>
          <w:position w:val="3"/>
          <w:sz w:val="32"/>
          <w:szCs w:val="32"/>
          <w:highlight w:val="none"/>
          <w:u w:val="none"/>
          <w:lang w:val="en-US" w:eastAsia="zh-CN" w:bidi="ar-SA"/>
        </w:rPr>
        <w:t>五、存在主要问题</w:t>
      </w:r>
    </w:p>
    <w:p>
      <w:pPr>
        <w:keepNext w:val="0"/>
        <w:keepLines w:val="0"/>
        <w:pageBreakBefore w:val="0"/>
        <w:widowControl w:val="0"/>
        <w:kinsoku/>
        <w:wordWrap/>
        <w:overflowPunct/>
        <w:topLinePunct w:val="0"/>
        <w:autoSpaceDE/>
        <w:autoSpaceDN/>
        <w:bidi w:val="0"/>
        <w:adjustRightInd/>
        <w:snapToGrid/>
        <w:spacing w:line="556" w:lineRule="exact"/>
        <w:ind w:left="0" w:leftChars="0" w:firstLine="640" w:firstLineChars="200"/>
        <w:jc w:val="both"/>
        <w:textAlignment w:val="auto"/>
        <w:outlineLvl w:val="9"/>
        <w:rPr>
          <w:rFonts w:hint="eastAsia" w:eastAsia="仿宋_GB2312" w:cs="Times New Roman"/>
          <w:color w:val="auto"/>
          <w:sz w:val="32"/>
          <w:szCs w:val="32"/>
          <w:lang w:val="en-US" w:eastAsia="zh-CN"/>
        </w:rPr>
      </w:pPr>
      <w:r>
        <w:rPr>
          <w:rFonts w:hint="eastAsia" w:eastAsia="仿宋_GB2312" w:cs="Times New Roman"/>
          <w:color w:val="auto"/>
          <w:sz w:val="32"/>
          <w:szCs w:val="32"/>
          <w:lang w:val="en-US" w:eastAsia="zh-CN"/>
        </w:rPr>
        <w:t>在发放国家助学金补助过程中因学生社保卡未激活社保功能或金融功能导致打卡失败情况较多，给发放工作带来了一定的现实阻碍，加大了后期清理的工作量。</w:t>
      </w:r>
    </w:p>
    <w:p>
      <w:pPr>
        <w:keepNext w:val="0"/>
        <w:keepLines w:val="0"/>
        <w:pageBreakBefore w:val="0"/>
        <w:widowControl/>
        <w:numPr>
          <w:ilvl w:val="0"/>
          <w:numId w:val="0"/>
        </w:numPr>
        <w:tabs>
          <w:tab w:val="left" w:pos="2160"/>
        </w:tabs>
        <w:kinsoku/>
        <w:wordWrap/>
        <w:overflowPunct/>
        <w:topLinePunct w:val="0"/>
        <w:autoSpaceDE/>
        <w:autoSpaceDN/>
        <w:bidi w:val="0"/>
        <w:adjustRightInd/>
        <w:spacing w:line="556" w:lineRule="exact"/>
        <w:ind w:firstLine="640" w:firstLineChars="200"/>
        <w:jc w:val="both"/>
        <w:textAlignment w:val="auto"/>
        <w:rPr>
          <w:rFonts w:hint="eastAsia" w:ascii="黑体" w:hAnsi="宋体" w:eastAsia="黑体" w:cs="Times New Roman"/>
          <w:color w:val="auto"/>
          <w:kern w:val="0"/>
          <w:position w:val="3"/>
          <w:sz w:val="32"/>
          <w:szCs w:val="32"/>
          <w:highlight w:val="none"/>
          <w:u w:val="none"/>
          <w:lang w:val="zh-CN" w:eastAsia="zh-CN" w:bidi="ar-SA"/>
        </w:rPr>
      </w:pPr>
      <w:r>
        <w:rPr>
          <w:rFonts w:hint="eastAsia" w:ascii="黑体" w:hAnsi="宋体" w:eastAsia="黑体" w:cs="Times New Roman"/>
          <w:color w:val="auto"/>
          <w:kern w:val="0"/>
          <w:position w:val="3"/>
          <w:sz w:val="32"/>
          <w:szCs w:val="32"/>
          <w:highlight w:val="none"/>
          <w:u w:val="none"/>
          <w:lang w:val="zh-CN" w:eastAsia="zh-CN" w:bidi="ar-SA"/>
        </w:rPr>
        <w:t>六、改进建议</w:t>
      </w:r>
    </w:p>
    <w:p>
      <w:pPr>
        <w:keepNext w:val="0"/>
        <w:keepLines w:val="0"/>
        <w:pageBreakBefore w:val="0"/>
        <w:tabs>
          <w:tab w:val="left" w:pos="1911"/>
        </w:tabs>
        <w:kinsoku/>
        <w:wordWrap/>
        <w:overflowPunct/>
        <w:topLinePunct w:val="0"/>
        <w:autoSpaceDE/>
        <w:autoSpaceDN/>
        <w:bidi w:val="0"/>
        <w:spacing w:line="556" w:lineRule="exact"/>
        <w:ind w:firstLine="640" w:firstLineChars="200"/>
        <w:jc w:val="both"/>
        <w:textAlignment w:val="auto"/>
        <w:rPr>
          <w:rFonts w:hint="eastAsia" w:ascii="仿宋_GB2312" w:hAnsi="仿宋_GB2312" w:eastAsia="仿宋_GB2312" w:cs="仿宋_GB2312"/>
          <w:b w:val="0"/>
          <w:bCs w:val="0"/>
          <w:kern w:val="0"/>
          <w:position w:val="0"/>
          <w:sz w:val="32"/>
          <w:szCs w:val="32"/>
          <w:highlight w:val="none"/>
          <w:lang w:val="en-US" w:eastAsia="zh-CN" w:bidi="ar-SA"/>
        </w:rPr>
      </w:pPr>
      <w:r>
        <w:rPr>
          <w:rFonts w:hint="eastAsia" w:ascii="仿宋_GB2312" w:hAnsi="仿宋_GB2312" w:eastAsia="仿宋_GB2312" w:cs="仿宋_GB2312"/>
          <w:b w:val="0"/>
          <w:bCs w:val="0"/>
          <w:kern w:val="0"/>
          <w:position w:val="0"/>
          <w:sz w:val="32"/>
          <w:szCs w:val="32"/>
          <w:highlight w:val="none"/>
          <w:lang w:val="en-US" w:eastAsia="zh-CN" w:bidi="ar-SA"/>
        </w:rPr>
        <w:t>提前通知、督促学生,办理激活社保卡金融功能。同时紧紧围绕“立德树人”这一根本宗旨，将培养青年学生全面发展作为资助育人工作的总目标，加强励志教育、诚信教育和社会责任感教育“三项教育”，培养青年学生自立自强、诚实守信、知恩感恩、勇于担当的良好品质。</w:t>
      </w:r>
    </w:p>
    <w:p>
      <w:pPr>
        <w:pStyle w:val="36"/>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方正小标宋简体" w:hAnsi="方正小标宋简体" w:eastAsia="方正小标宋简体" w:cs="方正小标宋简体"/>
          <w:color w:val="auto"/>
          <w:kern w:val="2"/>
          <w:sz w:val="44"/>
          <w:szCs w:val="44"/>
          <w:lang w:val="en-US"/>
        </w:rPr>
      </w:pPr>
    </w:p>
    <w:p>
      <w:pPr>
        <w:pStyle w:val="24"/>
        <w:outlineLvl w:val="9"/>
        <w:rPr>
          <w:rFonts w:hint="eastAsia"/>
          <w:lang w:val="en-US" w:eastAsia="zh-CN"/>
        </w:rPr>
        <w:sectPr>
          <w:pgSz w:w="11906" w:h="16838"/>
          <w:pgMar w:top="1440" w:right="1800" w:bottom="1440" w:left="1800" w:header="851" w:footer="992" w:gutter="0"/>
          <w:pgNumType w:fmt="decimal"/>
          <w:cols w:space="425" w:num="1"/>
          <w:titlePg/>
          <w:docGrid w:type="lines" w:linePitch="312" w:charSpace="0"/>
        </w:sectPr>
      </w:pPr>
    </w:p>
    <w:p>
      <w:pPr>
        <w:pStyle w:val="2"/>
        <w:rPr>
          <w:rFonts w:hint="default" w:ascii="黑体" w:hAnsi="黑体" w:eastAsia="黑体" w:cs="黑体"/>
          <w:color w:val="auto"/>
          <w:kern w:val="0"/>
          <w:sz w:val="32"/>
          <w:szCs w:val="32"/>
          <w:highlight w:val="none"/>
          <w:shd w:val="clear" w:color="auto" w:fill="FFFFFF"/>
          <w:lang w:val="en-US" w:eastAsia="zh-CN"/>
        </w:rPr>
      </w:pPr>
      <w:r>
        <w:rPr>
          <w:rFonts w:hint="eastAsia" w:ascii="黑体" w:hAnsi="黑体" w:eastAsia="黑体" w:cs="黑体"/>
          <w:color w:val="auto"/>
          <w:kern w:val="0"/>
          <w:sz w:val="32"/>
          <w:szCs w:val="32"/>
          <w:highlight w:val="none"/>
          <w:shd w:val="clear" w:color="auto" w:fill="FFFFFF"/>
          <w:lang w:val="zh-CN"/>
        </w:rPr>
        <w:t>附件</w:t>
      </w:r>
      <w:r>
        <w:rPr>
          <w:rFonts w:hint="eastAsia" w:ascii="黑体" w:hAnsi="黑体" w:eastAsia="黑体" w:cs="黑体"/>
          <w:color w:val="auto"/>
          <w:kern w:val="0"/>
          <w:sz w:val="32"/>
          <w:szCs w:val="32"/>
          <w:highlight w:val="none"/>
          <w:shd w:val="clear" w:color="auto" w:fill="FFFFFF"/>
          <w:lang w:val="en-US" w:eastAsia="zh-CN"/>
        </w:rPr>
        <w:t>2-7</w:t>
      </w:r>
    </w:p>
    <w:p>
      <w:pPr>
        <w:rPr>
          <w:rFonts w:hint="default"/>
          <w:lang w:val="en-US" w:eastAsia="zh-CN"/>
        </w:rPr>
      </w:pPr>
    </w:p>
    <w:p>
      <w:pPr>
        <w:pStyle w:val="36"/>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方正小标宋简体" w:hAnsi="方正小标宋简体" w:eastAsia="方正小标宋简体" w:cs="方正小标宋简体"/>
          <w:color w:val="auto"/>
          <w:kern w:val="2"/>
          <w:sz w:val="44"/>
          <w:szCs w:val="44"/>
          <w:lang w:val="en-US"/>
        </w:rPr>
      </w:pPr>
      <w:r>
        <w:rPr>
          <w:rFonts w:hint="eastAsia" w:ascii="方正小标宋简体" w:hAnsi="方正小标宋简体" w:eastAsia="方正小标宋简体" w:cs="方正小标宋简体"/>
          <w:color w:val="auto"/>
          <w:kern w:val="2"/>
          <w:sz w:val="44"/>
          <w:szCs w:val="44"/>
          <w:lang w:val="en-US"/>
        </w:rPr>
        <w:t>川北幼儿师范高等专科学校</w:t>
      </w:r>
    </w:p>
    <w:p>
      <w:pPr>
        <w:pStyle w:val="36"/>
        <w:keepNext w:val="0"/>
        <w:keepLines w:val="0"/>
        <w:pageBreakBefore w:val="0"/>
        <w:widowControl w:val="0"/>
        <w:kinsoku/>
        <w:wordWrap/>
        <w:overflowPunct/>
        <w:topLinePunct w:val="0"/>
        <w:autoSpaceDE/>
        <w:autoSpaceDN/>
        <w:bidi w:val="0"/>
        <w:spacing w:line="560" w:lineRule="exact"/>
        <w:ind w:left="0" w:leftChars="0"/>
        <w:jc w:val="center"/>
        <w:textAlignment w:val="auto"/>
        <w:rPr>
          <w:rFonts w:hint="eastAsia"/>
          <w:lang w:val="en-US" w:eastAsia="zh-CN"/>
        </w:rPr>
      </w:pPr>
      <w:r>
        <w:rPr>
          <w:rFonts w:hint="eastAsia" w:ascii="Times New Roman" w:hAnsi="Times New Roman" w:eastAsia="方正小标宋简体" w:cs="Times New Roman"/>
          <w:color w:val="auto"/>
          <w:kern w:val="2"/>
          <w:sz w:val="44"/>
          <w:szCs w:val="44"/>
          <w:highlight w:val="none"/>
          <w:lang w:val="en-US" w:eastAsia="zh-CN"/>
        </w:rPr>
        <w:t>2024年第十一届中小学生艺术展演活动</w:t>
      </w:r>
    </w:p>
    <w:p>
      <w:pPr>
        <w:pStyle w:val="36"/>
        <w:keepNext w:val="0"/>
        <w:keepLines w:val="0"/>
        <w:pageBreakBefore w:val="0"/>
        <w:widowControl w:val="0"/>
        <w:kinsoku/>
        <w:wordWrap/>
        <w:overflowPunct/>
        <w:topLinePunct w:val="0"/>
        <w:autoSpaceDE/>
        <w:autoSpaceDN/>
        <w:bidi w:val="0"/>
        <w:spacing w:line="560" w:lineRule="exact"/>
        <w:jc w:val="center"/>
        <w:textAlignment w:val="auto"/>
        <w:rPr>
          <w:rFonts w:hint="eastAsia" w:ascii="方正小标宋简体" w:hAnsi="方正小标宋简体" w:eastAsia="方正小标宋简体" w:cs="方正小标宋简体"/>
          <w:color w:val="auto"/>
          <w:kern w:val="2"/>
          <w:sz w:val="44"/>
          <w:szCs w:val="44"/>
          <w:highlight w:val="none"/>
          <w:lang w:val="en-US" w:eastAsia="zh-CN"/>
        </w:rPr>
      </w:pPr>
      <w:r>
        <w:rPr>
          <w:rFonts w:hint="eastAsia" w:ascii="方正小标宋简体" w:hAnsi="方正小标宋简体" w:eastAsia="方正小标宋简体" w:cs="方正小标宋简体"/>
          <w:color w:val="auto"/>
          <w:kern w:val="2"/>
          <w:sz w:val="44"/>
          <w:szCs w:val="44"/>
          <w:highlight w:val="none"/>
          <w:lang w:val="en-US" w:eastAsia="zh-CN"/>
        </w:rPr>
        <w:t>专项预算绩效评价报告</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黑体" w:hAnsi="黑体" w:eastAsia="黑体" w:cs="黑体"/>
          <w:sz w:val="32"/>
          <w:szCs w:val="32"/>
          <w:shd w:val="clear" w:color="auto" w:fill="FFFFFF"/>
          <w:lang w:eastAsia="zh-CN"/>
        </w:rPr>
      </w:pP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黑体" w:hAnsi="黑体" w:eastAsia="黑体" w:cs="黑体"/>
          <w:sz w:val="32"/>
          <w:szCs w:val="32"/>
          <w:shd w:val="clear" w:color="auto" w:fill="FFFFFF"/>
          <w:lang w:eastAsia="zh-CN"/>
        </w:rPr>
      </w:pPr>
      <w:r>
        <w:rPr>
          <w:rFonts w:hint="eastAsia" w:ascii="黑体" w:hAnsi="黑体" w:eastAsia="黑体" w:cs="黑体"/>
          <w:sz w:val="32"/>
          <w:szCs w:val="32"/>
          <w:shd w:val="clear" w:color="auto" w:fill="FFFFFF"/>
          <w:lang w:eastAsia="zh-CN"/>
        </w:rPr>
        <w:t>一、项目概况</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楷体_GB2312" w:hAnsi="楷体_GB2312" w:eastAsia="楷体_GB2312" w:cs="楷体_GB2312"/>
          <w:sz w:val="32"/>
          <w:szCs w:val="32"/>
          <w:shd w:val="clear" w:color="auto" w:fill="FFFFFF"/>
          <w:lang w:eastAsia="zh-CN"/>
        </w:rPr>
      </w:pPr>
      <w:r>
        <w:rPr>
          <w:rFonts w:hint="eastAsia" w:ascii="楷体_GB2312" w:hAnsi="楷体_GB2312" w:eastAsia="楷体_GB2312" w:cs="楷体_GB2312"/>
          <w:sz w:val="32"/>
          <w:szCs w:val="32"/>
          <w:shd w:val="clear" w:color="auto" w:fill="FFFFFF"/>
          <w:lang w:eastAsia="zh-CN"/>
        </w:rPr>
        <w:t>（一）设立背景及基本情况</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 w:eastAsia="仿宋_GB2312" w:cs="仿宋_GB2312"/>
          <w:sz w:val="32"/>
          <w:szCs w:val="32"/>
          <w:shd w:val="clear" w:color="auto" w:fill="FFFFFF"/>
          <w:lang w:eastAsia="zh-CN"/>
        </w:rPr>
      </w:pPr>
      <w:r>
        <w:rPr>
          <w:rFonts w:hint="eastAsia" w:ascii="仿宋_GB2312" w:hAnsi="仿宋" w:eastAsia="仿宋_GB2312" w:cs="仿宋_GB2312"/>
          <w:sz w:val="32"/>
          <w:szCs w:val="32"/>
          <w:shd w:val="clear" w:color="auto" w:fill="FFFFFF"/>
          <w:lang w:val="en-US" w:eastAsia="zh-CN"/>
        </w:rPr>
        <w:t>在国家深化美育改革的政策推动下，为破解广元市中小学艺术教育资源不均衡、课程创新不足等问题，市教育局于 2024年主办全市中小学艺术展演活动。活动覆盖各级各类学校，设置艺术表演、作品展示、工作坊及美育案例评选四大板块，通过专业评审与公众展示相结合的形式，全面呈现区域艺术教育成果。</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楷体_GB2312" w:hAnsi="楷体_GB2312" w:eastAsia="楷体_GB2312" w:cs="楷体_GB2312"/>
          <w:sz w:val="32"/>
          <w:szCs w:val="32"/>
          <w:shd w:val="clear" w:color="auto" w:fill="FFFFFF"/>
          <w:lang w:eastAsia="zh-CN"/>
        </w:rPr>
      </w:pPr>
      <w:r>
        <w:rPr>
          <w:rFonts w:hint="eastAsia" w:ascii="楷体_GB2312" w:hAnsi="楷体_GB2312" w:eastAsia="楷体_GB2312" w:cs="楷体_GB2312"/>
          <w:sz w:val="32"/>
          <w:szCs w:val="32"/>
          <w:shd w:val="clear" w:color="auto" w:fill="FFFFFF"/>
          <w:lang w:eastAsia="zh-CN"/>
        </w:rPr>
        <w:t>（二）实施目的及支持方向</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 w:eastAsia="仿宋_GB2312" w:cs="仿宋_GB2312"/>
          <w:sz w:val="32"/>
          <w:szCs w:val="32"/>
          <w:shd w:val="clear" w:color="auto" w:fill="FFFFFF"/>
          <w:lang w:eastAsia="zh-CN"/>
        </w:rPr>
      </w:pPr>
      <w:r>
        <w:rPr>
          <w:rFonts w:hint="eastAsia" w:ascii="仿宋_GB2312" w:hAnsi="仿宋" w:eastAsia="仿宋_GB2312" w:cs="仿宋_GB2312"/>
          <w:sz w:val="32"/>
          <w:szCs w:val="32"/>
          <w:shd w:val="clear" w:color="auto" w:fill="FFFFFF"/>
          <w:lang w:val="en-US" w:eastAsia="zh-CN"/>
        </w:rPr>
        <w:t>活动以“展示成果、交流经验、提升素养”为核心，旨在搭建学生艺术实践平台，推动学校艺术课程改革，强化社会对美育的认知认同。重点支持农村学校艺术教育发展，鼓励挖掘本土文化资源（如川北皮影、红色文化）融入艺术创作，缩小城乡艺术教育差距。</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楷体_GB2312" w:hAnsi="楷体_GB2312" w:eastAsia="楷体_GB2312" w:cs="楷体_GB2312"/>
          <w:sz w:val="32"/>
          <w:szCs w:val="32"/>
          <w:shd w:val="clear" w:color="auto" w:fill="FFFFFF"/>
          <w:lang w:eastAsia="zh-CN"/>
        </w:rPr>
      </w:pPr>
      <w:r>
        <w:rPr>
          <w:rFonts w:hint="eastAsia" w:ascii="楷体_GB2312" w:hAnsi="楷体_GB2312" w:eastAsia="楷体_GB2312" w:cs="楷体_GB2312"/>
          <w:sz w:val="32"/>
          <w:szCs w:val="32"/>
          <w:shd w:val="clear" w:color="auto" w:fill="FFFFFF"/>
          <w:lang w:eastAsia="zh-CN"/>
        </w:rPr>
        <w:t>（三）预算安排及分配管理</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 w:eastAsia="仿宋_GB2312" w:cs="仿宋_GB2312"/>
          <w:sz w:val="32"/>
          <w:szCs w:val="32"/>
          <w:shd w:val="clear" w:color="auto" w:fill="FFFFFF"/>
          <w:lang w:eastAsia="zh-CN"/>
        </w:rPr>
      </w:pPr>
      <w:r>
        <w:rPr>
          <w:rFonts w:hint="eastAsia" w:ascii="仿宋_GB2312" w:hAnsi="仿宋" w:eastAsia="仿宋_GB2312" w:cs="仿宋_GB2312"/>
          <w:sz w:val="32"/>
          <w:szCs w:val="32"/>
          <w:shd w:val="clear" w:color="auto" w:fill="FFFFFF"/>
          <w:lang w:val="en-US" w:eastAsia="zh-CN"/>
        </w:rPr>
        <w:t>活动资金主要来源于财政专项拨款，遵循“保基本、补短板”原则分配至各县区。其中，向艺术教育基础薄弱地区倾斜，重点保障场地布置、作品创作指导等必要支出，确保资金使用聚焦育人实效。</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楷体_GB2312" w:hAnsi="楷体_GB2312" w:eastAsia="楷体_GB2312" w:cs="楷体_GB2312"/>
          <w:sz w:val="32"/>
          <w:szCs w:val="32"/>
          <w:shd w:val="clear" w:color="auto" w:fill="FFFFFF"/>
          <w:lang w:eastAsia="zh-CN"/>
        </w:rPr>
      </w:pPr>
      <w:r>
        <w:rPr>
          <w:rFonts w:hint="eastAsia" w:ascii="楷体_GB2312" w:hAnsi="楷体_GB2312" w:eastAsia="楷体_GB2312" w:cs="楷体_GB2312"/>
          <w:sz w:val="32"/>
          <w:szCs w:val="32"/>
          <w:shd w:val="clear" w:color="auto" w:fill="FFFFFF"/>
          <w:lang w:eastAsia="zh-CN"/>
        </w:rPr>
        <w:t>（四）绩效目标设置</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 w:eastAsia="仿宋_GB2312" w:cs="仿宋_GB2312"/>
          <w:sz w:val="32"/>
          <w:szCs w:val="32"/>
          <w:shd w:val="clear" w:color="auto" w:fill="FFFFFF"/>
          <w:lang w:eastAsia="zh-CN"/>
        </w:rPr>
      </w:pPr>
      <w:r>
        <w:rPr>
          <w:rFonts w:hint="eastAsia" w:ascii="仿宋_GB2312" w:hAnsi="仿宋" w:eastAsia="仿宋_GB2312" w:cs="仿宋_GB2312"/>
          <w:sz w:val="32"/>
          <w:szCs w:val="32"/>
          <w:shd w:val="clear" w:color="auto" w:fill="FFFFFF"/>
          <w:lang w:eastAsia="zh-CN"/>
        </w:rPr>
        <w:t>总体目标：提升全市中小学艺术教育普及度与专业性，营造全员参与的美育生态。</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 w:eastAsia="仿宋_GB2312" w:cs="仿宋_GB2312"/>
          <w:sz w:val="32"/>
          <w:szCs w:val="32"/>
          <w:shd w:val="clear" w:color="auto" w:fill="FFFFFF"/>
          <w:lang w:eastAsia="zh-CN"/>
        </w:rPr>
      </w:pPr>
      <w:r>
        <w:rPr>
          <w:rFonts w:hint="eastAsia" w:ascii="仿宋_GB2312" w:hAnsi="仿宋" w:eastAsia="仿宋_GB2312" w:cs="仿宋_GB2312"/>
          <w:sz w:val="32"/>
          <w:szCs w:val="32"/>
          <w:shd w:val="clear" w:color="auto" w:fill="FFFFFF"/>
          <w:lang w:eastAsia="zh-CN"/>
        </w:rPr>
        <w:t>关键方向：扩大学校参与覆盖面，提升展演作品思想性与艺术性，增强艺术教育对学生成长的赋能作用。</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黑体" w:hAnsi="黑体" w:eastAsia="黑体" w:cs="黑体"/>
          <w:sz w:val="32"/>
          <w:szCs w:val="32"/>
          <w:shd w:val="clear" w:color="auto" w:fill="FFFFFF"/>
          <w:lang w:eastAsia="zh-CN"/>
        </w:rPr>
      </w:pPr>
      <w:r>
        <w:rPr>
          <w:rFonts w:hint="eastAsia" w:ascii="黑体" w:hAnsi="黑体" w:eastAsia="黑体" w:cs="黑体"/>
          <w:sz w:val="32"/>
          <w:szCs w:val="32"/>
          <w:shd w:val="clear" w:color="auto" w:fill="FFFFFF"/>
          <w:lang w:eastAsia="zh-CN"/>
        </w:rPr>
        <w:t>二、评价实施</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楷体_GB2312" w:hAnsi="楷体_GB2312" w:eastAsia="楷体_GB2312" w:cs="楷体_GB2312"/>
          <w:sz w:val="32"/>
          <w:szCs w:val="32"/>
          <w:shd w:val="clear" w:color="auto" w:fill="FFFFFF"/>
          <w:lang w:eastAsia="zh-CN"/>
        </w:rPr>
      </w:pPr>
      <w:r>
        <w:rPr>
          <w:rFonts w:hint="eastAsia" w:ascii="楷体_GB2312" w:hAnsi="楷体_GB2312" w:eastAsia="楷体_GB2312" w:cs="楷体_GB2312"/>
          <w:sz w:val="32"/>
          <w:szCs w:val="32"/>
          <w:shd w:val="clear" w:color="auto" w:fill="FFFFFF"/>
          <w:lang w:eastAsia="zh-CN"/>
        </w:rPr>
        <w:t>（一）评价目的</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 w:eastAsia="仿宋_GB2312" w:cs="仿宋_GB2312"/>
          <w:sz w:val="32"/>
          <w:szCs w:val="32"/>
          <w:shd w:val="clear" w:color="auto" w:fill="FFFFFF"/>
          <w:lang w:eastAsia="zh-CN"/>
        </w:rPr>
      </w:pPr>
      <w:r>
        <w:rPr>
          <w:rFonts w:hint="eastAsia" w:ascii="仿宋_GB2312" w:hAnsi="仿宋" w:eastAsia="仿宋_GB2312" w:cs="仿宋_GB2312"/>
          <w:sz w:val="32"/>
          <w:szCs w:val="32"/>
          <w:shd w:val="clear" w:color="auto" w:fill="FFFFFF"/>
          <w:lang w:val="en-US" w:eastAsia="zh-CN"/>
        </w:rPr>
        <w:t>通过复盘活动组织与实施效果，总结经验、发现问题，为优化未来展演机制、完善美育政策提供决策参考，推动艺术教育从“活动型”向“体系化”转变。</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楷体_GB2312" w:hAnsi="楷体_GB2312" w:eastAsia="楷体_GB2312" w:cs="楷体_GB2312"/>
          <w:sz w:val="32"/>
          <w:szCs w:val="32"/>
          <w:shd w:val="clear" w:color="auto" w:fill="FFFFFF"/>
          <w:lang w:eastAsia="zh-CN"/>
        </w:rPr>
      </w:pPr>
      <w:r>
        <w:rPr>
          <w:rFonts w:hint="eastAsia" w:ascii="楷体_GB2312" w:hAnsi="楷体_GB2312" w:eastAsia="楷体_GB2312" w:cs="楷体_GB2312"/>
          <w:sz w:val="32"/>
          <w:szCs w:val="32"/>
          <w:shd w:val="clear" w:color="auto" w:fill="FFFFFF"/>
          <w:lang w:eastAsia="zh-CN"/>
        </w:rPr>
        <w:t>（二）评价重点</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 w:eastAsia="仿宋_GB2312" w:cs="仿宋_GB2312"/>
          <w:sz w:val="32"/>
          <w:szCs w:val="32"/>
          <w:shd w:val="clear" w:color="auto" w:fill="FFFFFF"/>
          <w:lang w:eastAsia="zh-CN"/>
        </w:rPr>
      </w:pPr>
      <w:r>
        <w:rPr>
          <w:rFonts w:hint="eastAsia" w:ascii="仿宋_GB2312" w:hAnsi="仿宋" w:eastAsia="仿宋_GB2312" w:cs="仿宋_GB2312"/>
          <w:sz w:val="32"/>
          <w:szCs w:val="32"/>
          <w:shd w:val="clear" w:color="auto" w:fill="FFFFFF"/>
          <w:lang w:val="en-US" w:eastAsia="zh-CN"/>
        </w:rPr>
        <w:t>聚焦活动组织的规范性（如流程设计、资源调配）、内容的适切性（如作品主题与学生认知匹配度）、影响的持续性（如对学校艺术课程的后续带动）以及资金使用的合规性。</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楷体_GB2312" w:hAnsi="楷体_GB2312" w:eastAsia="楷体_GB2312" w:cs="楷体_GB2312"/>
          <w:sz w:val="32"/>
          <w:szCs w:val="32"/>
          <w:shd w:val="clear" w:color="auto" w:fill="FFFFFF"/>
          <w:lang w:eastAsia="zh-CN"/>
        </w:rPr>
      </w:pPr>
      <w:r>
        <w:rPr>
          <w:rFonts w:hint="eastAsia" w:ascii="楷体_GB2312" w:hAnsi="楷体_GB2312" w:eastAsia="楷体_GB2312" w:cs="楷体_GB2312"/>
          <w:sz w:val="32"/>
          <w:szCs w:val="32"/>
          <w:shd w:val="clear" w:color="auto" w:fill="FFFFFF"/>
          <w:lang w:eastAsia="zh-CN"/>
        </w:rPr>
        <w:t>（三）评价方式</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 w:eastAsia="仿宋_GB2312" w:cs="仿宋_GB2312"/>
          <w:sz w:val="32"/>
          <w:szCs w:val="32"/>
          <w:shd w:val="clear" w:color="auto" w:fill="FFFFFF"/>
          <w:lang w:eastAsia="zh-CN"/>
        </w:rPr>
      </w:pPr>
      <w:r>
        <w:rPr>
          <w:rFonts w:hint="eastAsia" w:ascii="仿宋_GB2312" w:hAnsi="仿宋" w:eastAsia="仿宋_GB2312" w:cs="仿宋_GB2312"/>
          <w:sz w:val="32"/>
          <w:szCs w:val="32"/>
          <w:shd w:val="clear" w:color="auto" w:fill="FFFFFF"/>
          <w:lang w:val="en-US" w:eastAsia="zh-CN"/>
        </w:rPr>
        <w:t>采用多元评价手段：</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 w:eastAsia="仿宋_GB2312" w:cs="仿宋_GB2312"/>
          <w:sz w:val="32"/>
          <w:szCs w:val="32"/>
          <w:shd w:val="clear" w:color="auto" w:fill="FFFFFF"/>
          <w:lang w:eastAsia="zh-CN"/>
        </w:rPr>
      </w:pPr>
      <w:r>
        <w:rPr>
          <w:rFonts w:hint="eastAsia" w:ascii="仿宋_GB2312" w:hAnsi="仿宋" w:eastAsia="仿宋_GB2312" w:cs="仿宋_GB2312"/>
          <w:sz w:val="32"/>
          <w:szCs w:val="32"/>
          <w:shd w:val="clear" w:color="auto" w:fill="FFFFFF"/>
          <w:lang w:eastAsia="zh-CN"/>
        </w:rPr>
        <w:t>实地调研：走访多个县区学校，观察展演筹备与实施过程；</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 w:eastAsia="仿宋_GB2312" w:cs="仿宋_GB2312"/>
          <w:sz w:val="32"/>
          <w:szCs w:val="32"/>
          <w:shd w:val="clear" w:color="auto" w:fill="FFFFFF"/>
          <w:lang w:eastAsia="zh-CN"/>
        </w:rPr>
      </w:pPr>
      <w:r>
        <w:rPr>
          <w:rFonts w:hint="eastAsia" w:ascii="仿宋_GB2312" w:hAnsi="仿宋" w:eastAsia="仿宋_GB2312" w:cs="仿宋_GB2312"/>
          <w:sz w:val="32"/>
          <w:szCs w:val="32"/>
          <w:shd w:val="clear" w:color="auto" w:fill="FFFFFF"/>
          <w:lang w:eastAsia="zh-CN"/>
        </w:rPr>
        <w:t>深度访谈：与教师、学生、家长座谈，收集对活动内容与形式的反馈；</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 w:eastAsia="仿宋_GB2312" w:cs="仿宋_GB2312"/>
          <w:sz w:val="32"/>
          <w:szCs w:val="32"/>
          <w:shd w:val="clear" w:color="auto" w:fill="FFFFFF"/>
          <w:lang w:eastAsia="zh-CN"/>
        </w:rPr>
      </w:pPr>
      <w:r>
        <w:rPr>
          <w:rFonts w:hint="eastAsia" w:ascii="仿宋_GB2312" w:hAnsi="仿宋" w:eastAsia="仿宋_GB2312" w:cs="仿宋_GB2312"/>
          <w:sz w:val="32"/>
          <w:szCs w:val="32"/>
          <w:shd w:val="clear" w:color="auto" w:fill="FFFFFF"/>
          <w:lang w:eastAsia="zh-CN"/>
        </w:rPr>
        <w:t>文档分析：查阅活动方案、评审记录、资金台账等资料，评估管理效能。</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黑体" w:hAnsi="黑体" w:eastAsia="黑体" w:cs="黑体"/>
          <w:sz w:val="32"/>
          <w:szCs w:val="32"/>
          <w:shd w:val="clear" w:color="auto" w:fill="FFFFFF"/>
          <w:lang w:eastAsia="zh-CN"/>
        </w:rPr>
      </w:pPr>
      <w:r>
        <w:rPr>
          <w:rFonts w:hint="eastAsia" w:ascii="黑体" w:hAnsi="黑体" w:eastAsia="黑体" w:cs="黑体"/>
          <w:sz w:val="32"/>
          <w:szCs w:val="32"/>
          <w:shd w:val="clear" w:color="auto" w:fill="FFFFFF"/>
          <w:lang w:eastAsia="zh-CN"/>
        </w:rPr>
        <w:t>三、绩效分析</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楷体_GB2312" w:hAnsi="楷体_GB2312" w:eastAsia="楷体_GB2312" w:cs="楷体_GB2312"/>
          <w:sz w:val="32"/>
          <w:szCs w:val="32"/>
          <w:shd w:val="clear" w:color="auto" w:fill="FFFFFF"/>
          <w:lang w:eastAsia="zh-CN"/>
        </w:rPr>
      </w:pPr>
      <w:r>
        <w:rPr>
          <w:rFonts w:hint="eastAsia" w:ascii="楷体_GB2312" w:hAnsi="楷体_GB2312" w:eastAsia="楷体_GB2312" w:cs="楷体_GB2312"/>
          <w:sz w:val="32"/>
          <w:szCs w:val="32"/>
          <w:shd w:val="clear" w:color="auto" w:fill="FFFFFF"/>
          <w:lang w:eastAsia="zh-CN"/>
        </w:rPr>
        <w:t>（一）实施成效</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 w:eastAsia="仿宋_GB2312" w:cs="仿宋_GB2312"/>
          <w:sz w:val="32"/>
          <w:szCs w:val="32"/>
          <w:shd w:val="clear" w:color="auto" w:fill="FFFFFF"/>
          <w:lang w:eastAsia="zh-CN"/>
        </w:rPr>
      </w:pPr>
      <w:r>
        <w:rPr>
          <w:rFonts w:hint="eastAsia" w:ascii="仿宋_GB2312" w:hAnsi="仿宋" w:eastAsia="仿宋_GB2312" w:cs="仿宋_GB2312"/>
          <w:sz w:val="32"/>
          <w:szCs w:val="32"/>
          <w:shd w:val="clear" w:color="auto" w:fill="FFFFFF"/>
          <w:lang w:val="en-US" w:eastAsia="zh-CN"/>
        </w:rPr>
        <w:t>1.</w:t>
      </w:r>
      <w:r>
        <w:rPr>
          <w:rFonts w:hint="eastAsia" w:ascii="仿宋_GB2312" w:hAnsi="仿宋" w:eastAsia="仿宋_GB2312" w:cs="仿宋_GB2312"/>
          <w:sz w:val="32"/>
          <w:szCs w:val="32"/>
          <w:shd w:val="clear" w:color="auto" w:fill="FFFFFF"/>
          <w:lang w:eastAsia="zh-CN"/>
        </w:rPr>
        <w:t>组织管理有序：建立 “市级统筹 — 县区落实 — 学校执行”三级联动机制，活动流程清晰、责任明确，保障了展演顺利开展。</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 w:eastAsia="仿宋_GB2312" w:cs="仿宋_GB2312"/>
          <w:sz w:val="32"/>
          <w:szCs w:val="32"/>
          <w:shd w:val="clear" w:color="auto" w:fill="FFFFFF"/>
          <w:lang w:eastAsia="zh-CN"/>
        </w:rPr>
      </w:pPr>
      <w:r>
        <w:rPr>
          <w:rFonts w:hint="eastAsia" w:ascii="仿宋_GB2312" w:hAnsi="仿宋" w:eastAsia="仿宋_GB2312" w:cs="仿宋_GB2312"/>
          <w:sz w:val="32"/>
          <w:szCs w:val="32"/>
          <w:shd w:val="clear" w:color="auto" w:fill="FFFFFF"/>
          <w:lang w:val="en-US" w:eastAsia="zh-CN"/>
        </w:rPr>
        <w:t>2.</w:t>
      </w:r>
      <w:r>
        <w:rPr>
          <w:rFonts w:hint="eastAsia" w:ascii="仿宋_GB2312" w:hAnsi="仿宋" w:eastAsia="仿宋_GB2312" w:cs="仿宋_GB2312"/>
          <w:sz w:val="32"/>
          <w:szCs w:val="32"/>
          <w:shd w:val="clear" w:color="auto" w:fill="FFFFFF"/>
          <w:lang w:eastAsia="zh-CN"/>
        </w:rPr>
        <w:t>成果亮点突出：展演作品涵盖合唱、舞蹈、绘画等多种形式，部分作品融入地域文化元素（如苍溪县的川北民歌表演），兼具艺术性与教育性，获评审专家肯定。</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 w:eastAsia="仿宋_GB2312" w:cs="仿宋_GB2312"/>
          <w:sz w:val="32"/>
          <w:szCs w:val="32"/>
          <w:shd w:val="clear" w:color="auto" w:fill="FFFFFF"/>
          <w:lang w:eastAsia="zh-CN"/>
        </w:rPr>
      </w:pPr>
      <w:r>
        <w:rPr>
          <w:rFonts w:hint="eastAsia" w:ascii="仿宋_GB2312" w:hAnsi="仿宋" w:eastAsia="仿宋_GB2312" w:cs="仿宋_GB2312"/>
          <w:sz w:val="32"/>
          <w:szCs w:val="32"/>
          <w:shd w:val="clear" w:color="auto" w:fill="FFFFFF"/>
          <w:lang w:val="en-US" w:eastAsia="zh-CN"/>
        </w:rPr>
        <w:t>3.</w:t>
      </w:r>
      <w:r>
        <w:rPr>
          <w:rFonts w:hint="eastAsia" w:ascii="仿宋_GB2312" w:hAnsi="仿宋" w:eastAsia="仿宋_GB2312" w:cs="仿宋_GB2312"/>
          <w:sz w:val="32"/>
          <w:szCs w:val="32"/>
          <w:shd w:val="clear" w:color="auto" w:fill="FFFFFF"/>
          <w:lang w:eastAsia="zh-CN"/>
        </w:rPr>
        <w:t>社会反响积极：活动吸引媒体报道与公众关注，家长普遍认可活动对学生审美能力的提升作用，部分学校借此推动了艺术社团常态化建设。</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楷体_GB2312" w:hAnsi="楷体_GB2312" w:eastAsia="楷体_GB2312" w:cs="楷体_GB2312"/>
          <w:sz w:val="32"/>
          <w:szCs w:val="32"/>
          <w:shd w:val="clear" w:color="auto" w:fill="FFFFFF"/>
          <w:lang w:eastAsia="zh-CN"/>
        </w:rPr>
      </w:pPr>
      <w:r>
        <w:rPr>
          <w:rFonts w:hint="eastAsia" w:ascii="楷体_GB2312" w:hAnsi="楷体_GB2312" w:eastAsia="楷体_GB2312" w:cs="楷体_GB2312"/>
          <w:sz w:val="32"/>
          <w:szCs w:val="32"/>
          <w:shd w:val="clear" w:color="auto" w:fill="FFFFFF"/>
          <w:lang w:eastAsia="zh-CN"/>
        </w:rPr>
        <w:t>（二）现存问题</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 w:eastAsia="仿宋_GB2312" w:cs="仿宋_GB2312"/>
          <w:sz w:val="32"/>
          <w:szCs w:val="32"/>
          <w:shd w:val="clear" w:color="auto" w:fill="FFFFFF"/>
          <w:lang w:eastAsia="zh-CN"/>
        </w:rPr>
      </w:pPr>
      <w:r>
        <w:rPr>
          <w:rFonts w:hint="eastAsia" w:ascii="仿宋_GB2312" w:hAnsi="仿宋" w:eastAsia="仿宋_GB2312" w:cs="仿宋_GB2312"/>
          <w:sz w:val="32"/>
          <w:szCs w:val="32"/>
          <w:shd w:val="clear" w:color="auto" w:fill="FFFFFF"/>
          <w:lang w:val="en-US" w:eastAsia="zh-CN"/>
        </w:rPr>
        <w:t>1.</w:t>
      </w:r>
      <w:r>
        <w:rPr>
          <w:rFonts w:hint="eastAsia" w:ascii="仿宋_GB2312" w:hAnsi="仿宋" w:eastAsia="仿宋_GB2312" w:cs="仿宋_GB2312"/>
          <w:sz w:val="32"/>
          <w:szCs w:val="32"/>
          <w:shd w:val="clear" w:color="auto" w:fill="FFFFFF"/>
          <w:lang w:eastAsia="zh-CN"/>
        </w:rPr>
        <w:t>城乡参与差异显著：农村学校受限于师资与设备，展演作品质量与城区存在差距，部分学校仅能提交基础类作品，创新型、复合型表演较少。</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 w:eastAsia="仿宋_GB2312" w:cs="仿宋_GB2312"/>
          <w:sz w:val="32"/>
          <w:szCs w:val="32"/>
          <w:shd w:val="clear" w:color="auto" w:fill="FFFFFF"/>
          <w:lang w:eastAsia="zh-CN"/>
        </w:rPr>
      </w:pPr>
      <w:r>
        <w:rPr>
          <w:rFonts w:hint="eastAsia" w:ascii="仿宋_GB2312" w:hAnsi="仿宋" w:eastAsia="仿宋_GB2312" w:cs="仿宋_GB2312"/>
          <w:sz w:val="32"/>
          <w:szCs w:val="32"/>
          <w:shd w:val="clear" w:color="auto" w:fill="FFFFFF"/>
          <w:lang w:val="en-US" w:eastAsia="zh-CN"/>
        </w:rPr>
        <w:t>2.</w:t>
      </w:r>
      <w:r>
        <w:rPr>
          <w:rFonts w:hint="eastAsia" w:ascii="仿宋_GB2312" w:hAnsi="仿宋" w:eastAsia="仿宋_GB2312" w:cs="仿宋_GB2312"/>
          <w:sz w:val="32"/>
          <w:szCs w:val="32"/>
          <w:shd w:val="clear" w:color="auto" w:fill="FFFFFF"/>
          <w:lang w:eastAsia="zh-CN"/>
        </w:rPr>
        <w:t>内容创新动力不足：部分节目存在形式雷同、主题浅显等问题，反映出学校在艺术课程开发中对学生创造力培养的重视程度有待加强。</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 w:eastAsia="仿宋_GB2312" w:cs="仿宋_GB2312"/>
          <w:sz w:val="32"/>
          <w:szCs w:val="32"/>
          <w:shd w:val="clear" w:color="auto" w:fill="FFFFFF"/>
          <w:lang w:eastAsia="zh-CN"/>
        </w:rPr>
      </w:pPr>
      <w:r>
        <w:rPr>
          <w:rFonts w:hint="eastAsia" w:ascii="仿宋_GB2312" w:hAnsi="仿宋" w:eastAsia="仿宋_GB2312" w:cs="仿宋_GB2312"/>
          <w:sz w:val="32"/>
          <w:szCs w:val="32"/>
          <w:shd w:val="clear" w:color="auto" w:fill="FFFFFF"/>
          <w:lang w:val="en-US" w:eastAsia="zh-CN"/>
        </w:rPr>
        <w:t>3.</w:t>
      </w:r>
      <w:r>
        <w:rPr>
          <w:rFonts w:hint="eastAsia" w:ascii="仿宋_GB2312" w:hAnsi="仿宋" w:eastAsia="仿宋_GB2312" w:cs="仿宋_GB2312"/>
          <w:sz w:val="32"/>
          <w:szCs w:val="32"/>
          <w:shd w:val="clear" w:color="auto" w:fill="FFFFFF"/>
          <w:lang w:eastAsia="zh-CN"/>
        </w:rPr>
        <w:t>后续转化机制缺失：活动结束后，缺乏对优秀作品的系统化推广（如未组织巡回展演），对学校日常艺术教学的引领作用未能充分发挥。</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黑体" w:hAnsi="黑体" w:eastAsia="黑体" w:cs="黑体"/>
          <w:sz w:val="32"/>
          <w:szCs w:val="32"/>
          <w:shd w:val="clear" w:color="auto" w:fill="FFFFFF"/>
          <w:lang w:eastAsia="zh-CN"/>
        </w:rPr>
      </w:pPr>
      <w:r>
        <w:rPr>
          <w:rFonts w:hint="eastAsia" w:ascii="黑体" w:hAnsi="黑体" w:eastAsia="黑体" w:cs="黑体"/>
          <w:sz w:val="32"/>
          <w:szCs w:val="32"/>
          <w:shd w:val="clear" w:color="auto" w:fill="FFFFFF"/>
          <w:lang w:eastAsia="zh-CN"/>
        </w:rPr>
        <w:t>四、评价结论</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 w:eastAsia="仿宋_GB2312" w:cs="仿宋_GB2312"/>
          <w:sz w:val="32"/>
          <w:szCs w:val="32"/>
          <w:shd w:val="clear" w:color="auto" w:fill="FFFFFF"/>
          <w:lang w:eastAsia="zh-CN"/>
        </w:rPr>
      </w:pPr>
      <w:r>
        <w:rPr>
          <w:rFonts w:hint="eastAsia" w:ascii="仿宋_GB2312" w:hAnsi="仿宋" w:eastAsia="仿宋_GB2312" w:cs="仿宋_GB2312"/>
          <w:sz w:val="32"/>
          <w:szCs w:val="32"/>
          <w:shd w:val="clear" w:color="auto" w:fill="FFFFFF"/>
          <w:lang w:val="en-US" w:eastAsia="zh-CN"/>
        </w:rPr>
        <w:t>活动整体达成预期目标，展现了广元市中小学艺术教育的阶段性成果，尤其在激发学生艺术兴趣、促进区域交流方面成效显著。但在资源均衡、内容创新、长效机制等方面仍需改进，需从“单一活动”向“育人体系”深化。</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黑体" w:hAnsi="黑体" w:eastAsia="黑体" w:cs="黑体"/>
          <w:sz w:val="32"/>
          <w:szCs w:val="32"/>
          <w:shd w:val="clear" w:color="auto" w:fill="FFFFFF"/>
          <w:lang w:eastAsia="zh-CN"/>
        </w:rPr>
      </w:pPr>
      <w:r>
        <w:rPr>
          <w:rFonts w:hint="default" w:ascii="黑体" w:hAnsi="黑体" w:eastAsia="黑体" w:cs="黑体"/>
          <w:sz w:val="32"/>
          <w:szCs w:val="32"/>
          <w:shd w:val="clear" w:color="auto" w:fill="FFFFFF"/>
          <w:lang w:eastAsia="zh-CN"/>
        </w:rPr>
        <w:t>五、存在主要问题</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楷体_GB2312" w:hAnsi="楷体_GB2312" w:eastAsia="楷体_GB2312" w:cs="楷体_GB2312"/>
          <w:sz w:val="32"/>
          <w:szCs w:val="32"/>
          <w:shd w:val="clear" w:color="auto" w:fill="FFFFFF"/>
          <w:lang w:val="en-US" w:eastAsia="zh-CN"/>
        </w:rPr>
      </w:pPr>
      <w:r>
        <w:rPr>
          <w:rFonts w:hint="eastAsia" w:ascii="楷体_GB2312" w:hAnsi="楷体_GB2312" w:eastAsia="楷体_GB2312" w:cs="楷体_GB2312"/>
          <w:sz w:val="32"/>
          <w:szCs w:val="32"/>
          <w:shd w:val="clear" w:color="auto" w:fill="FFFFFF"/>
          <w:lang w:val="en-US" w:eastAsia="zh-CN"/>
        </w:rPr>
        <w:t>（一）</w:t>
      </w:r>
      <w:r>
        <w:rPr>
          <w:rFonts w:hint="default" w:ascii="楷体_GB2312" w:hAnsi="楷体_GB2312" w:eastAsia="楷体_GB2312" w:cs="楷体_GB2312"/>
          <w:sz w:val="32"/>
          <w:szCs w:val="32"/>
          <w:shd w:val="clear" w:color="auto" w:fill="FFFFFF"/>
          <w:lang w:val="en-US" w:eastAsia="zh-CN"/>
        </w:rPr>
        <w:t>组织管理效能待提升</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 w:eastAsia="仿宋_GB2312" w:cs="仿宋_GB2312"/>
          <w:sz w:val="32"/>
          <w:szCs w:val="32"/>
          <w:shd w:val="clear" w:color="auto" w:fill="FFFFFF"/>
          <w:lang w:val="en-US" w:eastAsia="zh-CN"/>
        </w:rPr>
      </w:pPr>
      <w:r>
        <w:rPr>
          <w:rFonts w:hint="default" w:ascii="仿宋_GB2312" w:hAnsi="仿宋" w:eastAsia="仿宋_GB2312" w:cs="仿宋_GB2312"/>
          <w:sz w:val="32"/>
          <w:szCs w:val="32"/>
          <w:shd w:val="clear" w:color="auto" w:fill="FFFFFF"/>
          <w:lang w:val="en-US" w:eastAsia="zh-CN"/>
        </w:rPr>
        <w:t>部分县区报名信息统计流程滞后，依赖人工填报导致数据误差，影响展演节目编排效率</w:t>
      </w:r>
      <w:r>
        <w:rPr>
          <w:rFonts w:hint="eastAsia" w:ascii="仿宋_GB2312" w:hAnsi="仿宋" w:eastAsia="仿宋_GB2312" w:cs="仿宋_GB2312"/>
          <w:sz w:val="32"/>
          <w:szCs w:val="32"/>
          <w:shd w:val="clear" w:color="auto" w:fill="FFFFFF"/>
          <w:lang w:val="en-US" w:eastAsia="zh-CN"/>
        </w:rPr>
        <w:t>。</w:t>
      </w:r>
    </w:p>
    <w:p>
      <w:pPr>
        <w:keepNext w:val="0"/>
        <w:keepLines w:val="0"/>
        <w:pageBreakBefore w:val="0"/>
        <w:kinsoku/>
        <w:wordWrap/>
        <w:overflowPunct/>
        <w:topLinePunct w:val="0"/>
        <w:autoSpaceDE/>
        <w:autoSpaceDN/>
        <w:bidi w:val="0"/>
        <w:spacing w:line="560" w:lineRule="exact"/>
        <w:ind w:firstLine="640" w:firstLineChars="200"/>
        <w:textAlignment w:val="auto"/>
        <w:rPr>
          <w:rFonts w:hint="default" w:ascii="楷体_GB2312" w:hAnsi="楷体_GB2312" w:eastAsia="楷体_GB2312" w:cs="楷体_GB2312"/>
          <w:sz w:val="32"/>
          <w:szCs w:val="32"/>
          <w:shd w:val="clear" w:color="auto" w:fill="FFFFFF"/>
          <w:lang w:val="en-US" w:eastAsia="zh-CN"/>
        </w:rPr>
      </w:pPr>
      <w:r>
        <w:rPr>
          <w:rFonts w:hint="eastAsia" w:ascii="楷体_GB2312" w:hAnsi="楷体_GB2312" w:eastAsia="楷体_GB2312" w:cs="楷体_GB2312"/>
          <w:sz w:val="32"/>
          <w:szCs w:val="32"/>
          <w:shd w:val="clear" w:color="auto" w:fill="FFFFFF"/>
          <w:lang w:val="en-US" w:eastAsia="zh-CN"/>
        </w:rPr>
        <w:t>（二）</w:t>
      </w:r>
      <w:r>
        <w:rPr>
          <w:rFonts w:hint="default" w:ascii="楷体_GB2312" w:hAnsi="楷体_GB2312" w:eastAsia="楷体_GB2312" w:cs="楷体_GB2312"/>
          <w:sz w:val="32"/>
          <w:szCs w:val="32"/>
          <w:shd w:val="clear" w:color="auto" w:fill="FFFFFF"/>
          <w:lang w:val="en-US" w:eastAsia="zh-CN"/>
        </w:rPr>
        <w:t>城乡艺术教育资源落差显著</w:t>
      </w:r>
    </w:p>
    <w:p>
      <w:pPr>
        <w:keepNext w:val="0"/>
        <w:keepLines w:val="0"/>
        <w:pageBreakBefore w:val="0"/>
        <w:kinsoku/>
        <w:wordWrap/>
        <w:overflowPunct/>
        <w:topLinePunct w:val="0"/>
        <w:autoSpaceDE/>
        <w:autoSpaceDN/>
        <w:bidi w:val="0"/>
        <w:spacing w:line="560" w:lineRule="exact"/>
        <w:ind w:firstLine="640" w:firstLineChars="200"/>
        <w:textAlignment w:val="auto"/>
        <w:rPr>
          <w:rFonts w:hint="default" w:ascii="仿宋_GB2312" w:hAnsi="仿宋" w:eastAsia="仿宋_GB2312" w:cs="仿宋_GB2312"/>
          <w:sz w:val="32"/>
          <w:szCs w:val="32"/>
          <w:shd w:val="clear" w:color="auto" w:fill="FFFFFF"/>
          <w:lang w:val="en-US" w:eastAsia="zh-CN"/>
        </w:rPr>
      </w:pPr>
      <w:r>
        <w:rPr>
          <w:rFonts w:hint="eastAsia" w:ascii="仿宋_GB2312" w:hAnsi="仿宋" w:eastAsia="仿宋_GB2312" w:cs="仿宋_GB2312"/>
          <w:sz w:val="32"/>
          <w:szCs w:val="32"/>
          <w:shd w:val="clear" w:color="auto" w:fill="FFFFFF"/>
          <w:lang w:val="en-US" w:eastAsia="zh-CN"/>
        </w:rPr>
        <w:t>1.</w:t>
      </w:r>
      <w:r>
        <w:rPr>
          <w:rFonts w:hint="default" w:ascii="仿宋_GB2312" w:hAnsi="仿宋" w:eastAsia="仿宋_GB2312" w:cs="仿宋_GB2312"/>
          <w:sz w:val="32"/>
          <w:szCs w:val="32"/>
          <w:shd w:val="clear" w:color="auto" w:fill="FFFFFF"/>
          <w:lang w:val="en-US" w:eastAsia="zh-CN"/>
        </w:rPr>
        <w:t>农村学校受限于专业艺术教师短缺（部分乡镇学校无专职艺术教师）、设备不足（如乐器、美术材料匮乏），展演作品多停留在基础层面，缺乏深加工的创新表达；</w:t>
      </w:r>
    </w:p>
    <w:p>
      <w:pPr>
        <w:keepNext w:val="0"/>
        <w:keepLines w:val="0"/>
        <w:pageBreakBefore w:val="0"/>
        <w:kinsoku/>
        <w:wordWrap/>
        <w:overflowPunct/>
        <w:topLinePunct w:val="0"/>
        <w:autoSpaceDE/>
        <w:autoSpaceDN/>
        <w:bidi w:val="0"/>
        <w:spacing w:line="560" w:lineRule="exact"/>
        <w:ind w:firstLine="640" w:firstLineChars="200"/>
        <w:textAlignment w:val="auto"/>
        <w:rPr>
          <w:rFonts w:hint="default" w:ascii="仿宋_GB2312" w:hAnsi="仿宋" w:eastAsia="仿宋_GB2312" w:cs="仿宋_GB2312"/>
          <w:sz w:val="32"/>
          <w:szCs w:val="32"/>
          <w:shd w:val="clear" w:color="auto" w:fill="FFFFFF"/>
          <w:lang w:val="en-US" w:eastAsia="zh-CN"/>
        </w:rPr>
      </w:pPr>
      <w:r>
        <w:rPr>
          <w:rFonts w:hint="eastAsia" w:ascii="仿宋_GB2312" w:hAnsi="仿宋" w:eastAsia="仿宋_GB2312" w:cs="仿宋_GB2312"/>
          <w:sz w:val="32"/>
          <w:szCs w:val="32"/>
          <w:shd w:val="clear" w:color="auto" w:fill="FFFFFF"/>
          <w:lang w:val="en-US" w:eastAsia="zh-CN"/>
        </w:rPr>
        <w:t>2.</w:t>
      </w:r>
      <w:r>
        <w:rPr>
          <w:rFonts w:hint="default" w:ascii="仿宋_GB2312" w:hAnsi="仿宋" w:eastAsia="仿宋_GB2312" w:cs="仿宋_GB2312"/>
          <w:sz w:val="32"/>
          <w:szCs w:val="32"/>
          <w:shd w:val="clear" w:color="auto" w:fill="FFFFFF"/>
          <w:lang w:val="en-US" w:eastAsia="zh-CN"/>
        </w:rPr>
        <w:t>城区与农村学校的艺术交流机制尚未常态化，优质资源辐射范围有限。</w:t>
      </w:r>
    </w:p>
    <w:p>
      <w:pPr>
        <w:keepNext w:val="0"/>
        <w:keepLines w:val="0"/>
        <w:pageBreakBefore w:val="0"/>
        <w:kinsoku/>
        <w:wordWrap/>
        <w:overflowPunct/>
        <w:topLinePunct w:val="0"/>
        <w:autoSpaceDE/>
        <w:autoSpaceDN/>
        <w:bidi w:val="0"/>
        <w:spacing w:line="560" w:lineRule="exact"/>
        <w:ind w:firstLine="640" w:firstLineChars="200"/>
        <w:textAlignment w:val="auto"/>
        <w:rPr>
          <w:rFonts w:hint="default" w:ascii="楷体_GB2312" w:hAnsi="楷体_GB2312" w:eastAsia="楷体_GB2312" w:cs="楷体_GB2312"/>
          <w:sz w:val="32"/>
          <w:szCs w:val="32"/>
          <w:shd w:val="clear" w:color="auto" w:fill="FFFFFF"/>
          <w:lang w:val="en-US" w:eastAsia="zh-CN"/>
        </w:rPr>
      </w:pPr>
      <w:r>
        <w:rPr>
          <w:rFonts w:hint="eastAsia" w:ascii="楷体_GB2312" w:hAnsi="楷体_GB2312" w:eastAsia="楷体_GB2312" w:cs="楷体_GB2312"/>
          <w:sz w:val="32"/>
          <w:szCs w:val="32"/>
          <w:shd w:val="clear" w:color="auto" w:fill="FFFFFF"/>
          <w:lang w:val="en-US" w:eastAsia="zh-CN"/>
        </w:rPr>
        <w:t>（三）</w:t>
      </w:r>
      <w:r>
        <w:rPr>
          <w:rFonts w:hint="default" w:ascii="楷体_GB2312" w:hAnsi="楷体_GB2312" w:eastAsia="楷体_GB2312" w:cs="楷体_GB2312"/>
          <w:sz w:val="32"/>
          <w:szCs w:val="32"/>
          <w:shd w:val="clear" w:color="auto" w:fill="FFFFFF"/>
          <w:lang w:val="en-US" w:eastAsia="zh-CN"/>
        </w:rPr>
        <w:t>创新创作动力不足</w:t>
      </w:r>
    </w:p>
    <w:p>
      <w:pPr>
        <w:keepNext w:val="0"/>
        <w:keepLines w:val="0"/>
        <w:pageBreakBefore w:val="0"/>
        <w:kinsoku/>
        <w:wordWrap/>
        <w:overflowPunct/>
        <w:topLinePunct w:val="0"/>
        <w:autoSpaceDE/>
        <w:autoSpaceDN/>
        <w:bidi w:val="0"/>
        <w:spacing w:line="560" w:lineRule="exact"/>
        <w:ind w:firstLine="640" w:firstLineChars="200"/>
        <w:textAlignment w:val="auto"/>
        <w:rPr>
          <w:rFonts w:hint="default" w:ascii="仿宋_GB2312" w:hAnsi="仿宋" w:eastAsia="仿宋_GB2312" w:cs="仿宋_GB2312"/>
          <w:sz w:val="32"/>
          <w:szCs w:val="32"/>
          <w:shd w:val="clear" w:color="auto" w:fill="FFFFFF"/>
          <w:lang w:val="en-US" w:eastAsia="zh-CN"/>
        </w:rPr>
      </w:pPr>
      <w:r>
        <w:rPr>
          <w:rFonts w:hint="eastAsia" w:ascii="仿宋_GB2312" w:hAnsi="仿宋" w:eastAsia="仿宋_GB2312" w:cs="仿宋_GB2312"/>
          <w:sz w:val="32"/>
          <w:szCs w:val="32"/>
          <w:shd w:val="clear" w:color="auto" w:fill="FFFFFF"/>
          <w:lang w:val="en-US" w:eastAsia="zh-CN"/>
        </w:rPr>
        <w:t>1.</w:t>
      </w:r>
      <w:r>
        <w:rPr>
          <w:rFonts w:hint="default" w:ascii="仿宋_GB2312" w:hAnsi="仿宋" w:eastAsia="仿宋_GB2312" w:cs="仿宋_GB2312"/>
          <w:sz w:val="32"/>
          <w:szCs w:val="32"/>
          <w:shd w:val="clear" w:color="auto" w:fill="FFFFFF"/>
          <w:lang w:val="en-US" w:eastAsia="zh-CN"/>
        </w:rPr>
        <w:t>部分展演节目和作品存在主题同质化、形式模仿经典案例的现象，对本土文化（如蜀道文化、红色文化）的现代转化应用不够深入；</w:t>
      </w:r>
    </w:p>
    <w:p>
      <w:pPr>
        <w:keepNext w:val="0"/>
        <w:keepLines w:val="0"/>
        <w:pageBreakBefore w:val="0"/>
        <w:kinsoku/>
        <w:wordWrap/>
        <w:overflowPunct/>
        <w:topLinePunct w:val="0"/>
        <w:autoSpaceDE/>
        <w:autoSpaceDN/>
        <w:bidi w:val="0"/>
        <w:spacing w:line="560" w:lineRule="exact"/>
        <w:ind w:firstLine="640" w:firstLineChars="200"/>
        <w:textAlignment w:val="auto"/>
        <w:rPr>
          <w:rFonts w:hint="default" w:ascii="仿宋_GB2312" w:hAnsi="仿宋" w:eastAsia="仿宋_GB2312" w:cs="仿宋_GB2312"/>
          <w:sz w:val="32"/>
          <w:szCs w:val="32"/>
          <w:shd w:val="clear" w:color="auto" w:fill="FFFFFF"/>
          <w:lang w:val="en-US" w:eastAsia="zh-CN"/>
        </w:rPr>
      </w:pPr>
      <w:r>
        <w:rPr>
          <w:rFonts w:hint="eastAsia" w:ascii="仿宋_GB2312" w:hAnsi="仿宋" w:eastAsia="仿宋_GB2312" w:cs="仿宋_GB2312"/>
          <w:sz w:val="32"/>
          <w:szCs w:val="32"/>
          <w:shd w:val="clear" w:color="auto" w:fill="FFFFFF"/>
          <w:lang w:val="en-US" w:eastAsia="zh-CN"/>
        </w:rPr>
        <w:t>2.</w:t>
      </w:r>
      <w:r>
        <w:rPr>
          <w:rFonts w:hint="default" w:ascii="仿宋_GB2312" w:hAnsi="仿宋" w:eastAsia="仿宋_GB2312" w:cs="仿宋_GB2312"/>
          <w:sz w:val="32"/>
          <w:szCs w:val="32"/>
          <w:shd w:val="clear" w:color="auto" w:fill="FFFFFF"/>
          <w:lang w:val="en-US" w:eastAsia="zh-CN"/>
        </w:rPr>
        <w:t>教师在跨学科艺术课程设计、信息化教学工具应用等方面的培训需求未充分满足。</w:t>
      </w:r>
    </w:p>
    <w:p>
      <w:pPr>
        <w:keepNext w:val="0"/>
        <w:keepLines w:val="0"/>
        <w:pageBreakBefore w:val="0"/>
        <w:kinsoku/>
        <w:wordWrap/>
        <w:overflowPunct/>
        <w:topLinePunct w:val="0"/>
        <w:autoSpaceDE/>
        <w:autoSpaceDN/>
        <w:bidi w:val="0"/>
        <w:spacing w:line="560" w:lineRule="exact"/>
        <w:ind w:firstLine="640" w:firstLineChars="200"/>
        <w:textAlignment w:val="auto"/>
        <w:rPr>
          <w:rFonts w:hint="default" w:ascii="楷体_GB2312" w:hAnsi="楷体_GB2312" w:eastAsia="楷体_GB2312" w:cs="楷体_GB2312"/>
          <w:sz w:val="32"/>
          <w:szCs w:val="32"/>
          <w:shd w:val="clear" w:color="auto" w:fill="FFFFFF"/>
          <w:lang w:val="en-US" w:eastAsia="zh-CN"/>
        </w:rPr>
      </w:pPr>
      <w:r>
        <w:rPr>
          <w:rFonts w:hint="eastAsia" w:ascii="楷体_GB2312" w:hAnsi="楷体_GB2312" w:eastAsia="楷体_GB2312" w:cs="楷体_GB2312"/>
          <w:sz w:val="32"/>
          <w:szCs w:val="32"/>
          <w:shd w:val="clear" w:color="auto" w:fill="FFFFFF"/>
          <w:lang w:val="en-US" w:eastAsia="zh-CN"/>
        </w:rPr>
        <w:t>（四）</w:t>
      </w:r>
      <w:r>
        <w:rPr>
          <w:rFonts w:hint="default" w:ascii="楷体_GB2312" w:hAnsi="楷体_GB2312" w:eastAsia="楷体_GB2312" w:cs="楷体_GB2312"/>
          <w:sz w:val="32"/>
          <w:szCs w:val="32"/>
          <w:shd w:val="clear" w:color="auto" w:fill="FFFFFF"/>
          <w:lang w:val="en-US" w:eastAsia="zh-CN"/>
        </w:rPr>
        <w:t>活动成果转化机制缺失</w:t>
      </w:r>
    </w:p>
    <w:p>
      <w:pPr>
        <w:keepNext w:val="0"/>
        <w:keepLines w:val="0"/>
        <w:pageBreakBefore w:val="0"/>
        <w:kinsoku/>
        <w:wordWrap/>
        <w:overflowPunct/>
        <w:topLinePunct w:val="0"/>
        <w:autoSpaceDE/>
        <w:autoSpaceDN/>
        <w:bidi w:val="0"/>
        <w:spacing w:line="560" w:lineRule="exact"/>
        <w:ind w:firstLine="640" w:firstLineChars="200"/>
        <w:textAlignment w:val="auto"/>
        <w:rPr>
          <w:rFonts w:hint="default" w:ascii="仿宋_GB2312" w:hAnsi="仿宋" w:eastAsia="仿宋_GB2312" w:cs="仿宋_GB2312"/>
          <w:sz w:val="32"/>
          <w:szCs w:val="32"/>
          <w:shd w:val="clear" w:color="auto" w:fill="FFFFFF"/>
          <w:lang w:val="en-US" w:eastAsia="zh-CN"/>
        </w:rPr>
      </w:pPr>
      <w:r>
        <w:rPr>
          <w:rFonts w:hint="eastAsia" w:ascii="仿宋_GB2312" w:hAnsi="仿宋" w:eastAsia="仿宋_GB2312" w:cs="仿宋_GB2312"/>
          <w:sz w:val="32"/>
          <w:szCs w:val="32"/>
          <w:shd w:val="clear" w:color="auto" w:fill="FFFFFF"/>
          <w:lang w:val="en-US" w:eastAsia="zh-CN"/>
        </w:rPr>
        <w:t>1.</w:t>
      </w:r>
      <w:r>
        <w:rPr>
          <w:rFonts w:hint="default" w:ascii="仿宋_GB2312" w:hAnsi="仿宋" w:eastAsia="仿宋_GB2312" w:cs="仿宋_GB2312"/>
          <w:sz w:val="32"/>
          <w:szCs w:val="32"/>
          <w:shd w:val="clear" w:color="auto" w:fill="FFFFFF"/>
          <w:lang w:val="en-US" w:eastAsia="zh-CN"/>
        </w:rPr>
        <w:t>优秀作品仅停留在展演阶段，未形成“评选—推广—课程化”的闭环，如获奖舞蹈未改编为校本操、绘画作品未开发为校园文创；</w:t>
      </w:r>
    </w:p>
    <w:p>
      <w:pPr>
        <w:keepNext w:val="0"/>
        <w:keepLines w:val="0"/>
        <w:pageBreakBefore w:val="0"/>
        <w:kinsoku/>
        <w:wordWrap/>
        <w:overflowPunct/>
        <w:topLinePunct w:val="0"/>
        <w:autoSpaceDE/>
        <w:autoSpaceDN/>
        <w:bidi w:val="0"/>
        <w:spacing w:line="560" w:lineRule="exact"/>
        <w:ind w:firstLine="640" w:firstLineChars="200"/>
        <w:textAlignment w:val="auto"/>
        <w:rPr>
          <w:rFonts w:hint="default" w:ascii="仿宋_GB2312" w:hAnsi="仿宋" w:eastAsia="仿宋_GB2312" w:cs="仿宋_GB2312"/>
          <w:sz w:val="32"/>
          <w:szCs w:val="32"/>
          <w:shd w:val="clear" w:color="auto" w:fill="FFFFFF"/>
          <w:lang w:val="en-US" w:eastAsia="zh-CN"/>
        </w:rPr>
      </w:pPr>
      <w:r>
        <w:rPr>
          <w:rFonts w:hint="eastAsia" w:ascii="仿宋_GB2312" w:hAnsi="仿宋" w:eastAsia="仿宋_GB2312" w:cs="仿宋_GB2312"/>
          <w:sz w:val="32"/>
          <w:szCs w:val="32"/>
          <w:shd w:val="clear" w:color="auto" w:fill="FFFFFF"/>
          <w:lang w:val="en-US" w:eastAsia="zh-CN"/>
        </w:rPr>
        <w:t>2.</w:t>
      </w:r>
      <w:r>
        <w:rPr>
          <w:rFonts w:hint="default" w:ascii="仿宋_GB2312" w:hAnsi="仿宋" w:eastAsia="仿宋_GB2312" w:cs="仿宋_GB2312"/>
          <w:sz w:val="32"/>
          <w:szCs w:val="32"/>
          <w:shd w:val="clear" w:color="auto" w:fill="FFFFFF"/>
          <w:lang w:val="en-US" w:eastAsia="zh-CN"/>
        </w:rPr>
        <w:t>对学校后续艺术教育的跟踪指导不足，部分学校活动后社团活跃度下降。</w:t>
      </w:r>
    </w:p>
    <w:p>
      <w:pPr>
        <w:keepNext w:val="0"/>
        <w:keepLines w:val="0"/>
        <w:pageBreakBefore w:val="0"/>
        <w:kinsoku/>
        <w:wordWrap/>
        <w:overflowPunct/>
        <w:topLinePunct w:val="0"/>
        <w:autoSpaceDE/>
        <w:autoSpaceDN/>
        <w:bidi w:val="0"/>
        <w:spacing w:line="560" w:lineRule="exact"/>
        <w:ind w:firstLine="640" w:firstLineChars="200"/>
        <w:textAlignment w:val="auto"/>
        <w:rPr>
          <w:rFonts w:hint="default" w:ascii="黑体" w:hAnsi="黑体" w:eastAsia="黑体" w:cs="黑体"/>
          <w:sz w:val="32"/>
          <w:szCs w:val="32"/>
          <w:shd w:val="clear" w:color="auto" w:fill="FFFFFF"/>
          <w:lang w:val="en-US" w:eastAsia="zh-CN"/>
        </w:rPr>
      </w:pPr>
      <w:r>
        <w:rPr>
          <w:rFonts w:hint="default" w:ascii="黑体" w:hAnsi="黑体" w:eastAsia="黑体" w:cs="黑体"/>
          <w:sz w:val="32"/>
          <w:szCs w:val="32"/>
          <w:shd w:val="clear" w:color="auto" w:fill="FFFFFF"/>
          <w:lang w:val="en-US" w:eastAsia="zh-CN"/>
        </w:rPr>
        <w:t>六、改进建议</w:t>
      </w:r>
    </w:p>
    <w:p>
      <w:pPr>
        <w:keepNext w:val="0"/>
        <w:keepLines w:val="0"/>
        <w:pageBreakBefore w:val="0"/>
        <w:kinsoku/>
        <w:wordWrap/>
        <w:overflowPunct/>
        <w:topLinePunct w:val="0"/>
        <w:autoSpaceDE/>
        <w:autoSpaceDN/>
        <w:bidi w:val="0"/>
        <w:spacing w:line="560" w:lineRule="exact"/>
        <w:ind w:firstLine="640" w:firstLineChars="200"/>
        <w:textAlignment w:val="auto"/>
        <w:rPr>
          <w:rFonts w:hint="default" w:ascii="楷体_GB2312" w:hAnsi="楷体_GB2312" w:eastAsia="楷体_GB2312" w:cs="楷体_GB2312"/>
          <w:sz w:val="32"/>
          <w:szCs w:val="32"/>
          <w:shd w:val="clear" w:color="auto" w:fill="FFFFFF"/>
          <w:lang w:val="en-US" w:eastAsia="zh-CN"/>
        </w:rPr>
      </w:pPr>
      <w:r>
        <w:rPr>
          <w:rFonts w:hint="eastAsia" w:ascii="楷体_GB2312" w:hAnsi="楷体_GB2312" w:eastAsia="楷体_GB2312" w:cs="楷体_GB2312"/>
          <w:sz w:val="32"/>
          <w:szCs w:val="32"/>
          <w:shd w:val="clear" w:color="auto" w:fill="FFFFFF"/>
          <w:lang w:val="en-US" w:eastAsia="zh-CN"/>
        </w:rPr>
        <w:t>（一）</w:t>
      </w:r>
      <w:r>
        <w:rPr>
          <w:rFonts w:hint="default" w:ascii="楷体_GB2312" w:hAnsi="楷体_GB2312" w:eastAsia="楷体_GB2312" w:cs="楷体_GB2312"/>
          <w:sz w:val="32"/>
          <w:szCs w:val="32"/>
          <w:shd w:val="clear" w:color="auto" w:fill="FFFFFF"/>
          <w:lang w:val="en-US" w:eastAsia="zh-CN"/>
        </w:rPr>
        <w:t>数字化赋能管理升级</w:t>
      </w:r>
    </w:p>
    <w:p>
      <w:pPr>
        <w:keepNext w:val="0"/>
        <w:keepLines w:val="0"/>
        <w:pageBreakBefore w:val="0"/>
        <w:kinsoku/>
        <w:wordWrap/>
        <w:overflowPunct/>
        <w:topLinePunct w:val="0"/>
        <w:autoSpaceDE/>
        <w:autoSpaceDN/>
        <w:bidi w:val="0"/>
        <w:spacing w:line="560" w:lineRule="exact"/>
        <w:ind w:firstLine="640" w:firstLineChars="200"/>
        <w:textAlignment w:val="auto"/>
        <w:rPr>
          <w:rFonts w:hint="default" w:ascii="仿宋_GB2312" w:hAnsi="仿宋" w:eastAsia="仿宋_GB2312" w:cs="仿宋_GB2312"/>
          <w:sz w:val="32"/>
          <w:szCs w:val="32"/>
          <w:shd w:val="clear" w:color="auto" w:fill="FFFFFF"/>
          <w:lang w:val="en-US" w:eastAsia="zh-CN"/>
        </w:rPr>
      </w:pPr>
      <w:r>
        <w:rPr>
          <w:rFonts w:hint="eastAsia" w:ascii="仿宋_GB2312" w:hAnsi="仿宋" w:eastAsia="仿宋_GB2312" w:cs="仿宋_GB2312"/>
          <w:sz w:val="32"/>
          <w:szCs w:val="32"/>
          <w:shd w:val="clear" w:color="auto" w:fill="FFFFFF"/>
          <w:lang w:val="en-US" w:eastAsia="zh-CN"/>
        </w:rPr>
        <w:t>1.</w:t>
      </w:r>
      <w:r>
        <w:rPr>
          <w:rFonts w:hint="default" w:ascii="仿宋_GB2312" w:hAnsi="仿宋" w:eastAsia="仿宋_GB2312" w:cs="仿宋_GB2312"/>
          <w:sz w:val="32"/>
          <w:szCs w:val="32"/>
          <w:shd w:val="clear" w:color="auto" w:fill="FFFFFF"/>
          <w:lang w:val="en-US" w:eastAsia="zh-CN"/>
        </w:rPr>
        <w:t>开发“广元艺术展演管理系统”，集成在线报名、数据自动统计、进度追踪功能，实现全流程信息化管理；</w:t>
      </w:r>
    </w:p>
    <w:p>
      <w:pPr>
        <w:keepNext w:val="0"/>
        <w:keepLines w:val="0"/>
        <w:pageBreakBefore w:val="0"/>
        <w:kinsoku/>
        <w:wordWrap/>
        <w:overflowPunct/>
        <w:topLinePunct w:val="0"/>
        <w:autoSpaceDE/>
        <w:autoSpaceDN/>
        <w:bidi w:val="0"/>
        <w:spacing w:line="560" w:lineRule="exact"/>
        <w:ind w:firstLine="640" w:firstLineChars="200"/>
        <w:textAlignment w:val="auto"/>
        <w:rPr>
          <w:rFonts w:hint="default" w:ascii="仿宋_GB2312" w:hAnsi="仿宋" w:eastAsia="仿宋_GB2312" w:cs="仿宋_GB2312"/>
          <w:sz w:val="32"/>
          <w:szCs w:val="32"/>
          <w:shd w:val="clear" w:color="auto" w:fill="FFFFFF"/>
          <w:lang w:val="en-US" w:eastAsia="zh-CN"/>
        </w:rPr>
      </w:pPr>
      <w:r>
        <w:rPr>
          <w:rFonts w:hint="eastAsia" w:ascii="仿宋_GB2312" w:hAnsi="仿宋" w:eastAsia="仿宋_GB2312" w:cs="仿宋_GB2312"/>
          <w:sz w:val="32"/>
          <w:szCs w:val="32"/>
          <w:shd w:val="clear" w:color="auto" w:fill="FFFFFF"/>
          <w:lang w:val="en-US" w:eastAsia="zh-CN"/>
        </w:rPr>
        <w:t>2.</w:t>
      </w:r>
      <w:r>
        <w:rPr>
          <w:rFonts w:hint="default" w:ascii="仿宋_GB2312" w:hAnsi="仿宋" w:eastAsia="仿宋_GB2312" w:cs="仿宋_GB2312"/>
          <w:sz w:val="32"/>
          <w:szCs w:val="32"/>
          <w:shd w:val="clear" w:color="auto" w:fill="FFFFFF"/>
          <w:lang w:val="en-US" w:eastAsia="zh-CN"/>
        </w:rPr>
        <w:t>建立资金使用 “电子台账”，设置报销凭证智能审核模块，确保每笔支出可追溯、可核查。</w:t>
      </w:r>
    </w:p>
    <w:p>
      <w:pPr>
        <w:keepNext w:val="0"/>
        <w:keepLines w:val="0"/>
        <w:pageBreakBefore w:val="0"/>
        <w:kinsoku/>
        <w:wordWrap/>
        <w:overflowPunct/>
        <w:topLinePunct w:val="0"/>
        <w:autoSpaceDE/>
        <w:autoSpaceDN/>
        <w:bidi w:val="0"/>
        <w:spacing w:line="560" w:lineRule="exact"/>
        <w:ind w:firstLine="640" w:firstLineChars="200"/>
        <w:textAlignment w:val="auto"/>
        <w:rPr>
          <w:rFonts w:hint="default" w:ascii="楷体_GB2312" w:hAnsi="楷体_GB2312" w:eastAsia="楷体_GB2312" w:cs="楷体_GB2312"/>
          <w:sz w:val="32"/>
          <w:szCs w:val="32"/>
          <w:shd w:val="clear" w:color="auto" w:fill="FFFFFF"/>
          <w:lang w:val="en-US" w:eastAsia="zh-CN"/>
        </w:rPr>
      </w:pPr>
      <w:r>
        <w:rPr>
          <w:rFonts w:hint="eastAsia" w:ascii="楷体_GB2312" w:hAnsi="楷体_GB2312" w:eastAsia="楷体_GB2312" w:cs="楷体_GB2312"/>
          <w:sz w:val="32"/>
          <w:szCs w:val="32"/>
          <w:shd w:val="clear" w:color="auto" w:fill="FFFFFF"/>
          <w:lang w:val="en-US" w:eastAsia="zh-CN"/>
        </w:rPr>
        <w:t>（二）</w:t>
      </w:r>
      <w:r>
        <w:rPr>
          <w:rFonts w:hint="default" w:ascii="楷体_GB2312" w:hAnsi="楷体_GB2312" w:eastAsia="楷体_GB2312" w:cs="楷体_GB2312"/>
          <w:sz w:val="32"/>
          <w:szCs w:val="32"/>
          <w:shd w:val="clear" w:color="auto" w:fill="FFFFFF"/>
          <w:lang w:val="en-US" w:eastAsia="zh-CN"/>
        </w:rPr>
        <w:t>实施“城乡艺术教育均衡工程”</w:t>
      </w:r>
    </w:p>
    <w:p>
      <w:pPr>
        <w:keepNext w:val="0"/>
        <w:keepLines w:val="0"/>
        <w:pageBreakBefore w:val="0"/>
        <w:kinsoku/>
        <w:wordWrap/>
        <w:overflowPunct/>
        <w:topLinePunct w:val="0"/>
        <w:autoSpaceDE/>
        <w:autoSpaceDN/>
        <w:bidi w:val="0"/>
        <w:spacing w:line="560" w:lineRule="exact"/>
        <w:ind w:firstLine="640" w:firstLineChars="200"/>
        <w:textAlignment w:val="auto"/>
        <w:rPr>
          <w:rFonts w:hint="default" w:ascii="仿宋_GB2312" w:hAnsi="仿宋" w:eastAsia="仿宋_GB2312" w:cs="仿宋_GB2312"/>
          <w:sz w:val="32"/>
          <w:szCs w:val="32"/>
          <w:shd w:val="clear" w:color="auto" w:fill="FFFFFF"/>
          <w:lang w:val="en-US" w:eastAsia="zh-CN"/>
        </w:rPr>
      </w:pPr>
      <w:r>
        <w:rPr>
          <w:rFonts w:hint="eastAsia" w:ascii="仿宋_GB2312" w:hAnsi="仿宋" w:eastAsia="仿宋_GB2312" w:cs="仿宋_GB2312"/>
          <w:sz w:val="32"/>
          <w:szCs w:val="32"/>
          <w:shd w:val="clear" w:color="auto" w:fill="FFFFFF"/>
          <w:lang w:val="en-US" w:eastAsia="zh-CN"/>
        </w:rPr>
        <w:t>1.</w:t>
      </w:r>
      <w:r>
        <w:rPr>
          <w:rFonts w:hint="default" w:ascii="仿宋_GB2312" w:hAnsi="仿宋" w:eastAsia="仿宋_GB2312" w:cs="仿宋_GB2312"/>
          <w:sz w:val="32"/>
          <w:szCs w:val="32"/>
          <w:shd w:val="clear" w:color="auto" w:fill="FFFFFF"/>
          <w:lang w:val="en-US" w:eastAsia="zh-CN"/>
        </w:rPr>
        <w:t>设立农村艺术教育专项基金，定向采购便携式乐器（如口琴、尤克里里）、基础美术材料，解决硬件短板；</w:t>
      </w:r>
    </w:p>
    <w:p>
      <w:pPr>
        <w:keepNext w:val="0"/>
        <w:keepLines w:val="0"/>
        <w:pageBreakBefore w:val="0"/>
        <w:kinsoku/>
        <w:wordWrap/>
        <w:overflowPunct/>
        <w:topLinePunct w:val="0"/>
        <w:autoSpaceDE/>
        <w:autoSpaceDN/>
        <w:bidi w:val="0"/>
        <w:spacing w:line="560" w:lineRule="exact"/>
        <w:ind w:firstLine="640" w:firstLineChars="200"/>
        <w:textAlignment w:val="auto"/>
        <w:rPr>
          <w:rFonts w:hint="default" w:ascii="仿宋_GB2312" w:hAnsi="仿宋" w:eastAsia="仿宋_GB2312" w:cs="仿宋_GB2312"/>
          <w:sz w:val="32"/>
          <w:szCs w:val="32"/>
          <w:shd w:val="clear" w:color="auto" w:fill="FFFFFF"/>
          <w:lang w:val="en-US" w:eastAsia="zh-CN"/>
        </w:rPr>
      </w:pPr>
      <w:r>
        <w:rPr>
          <w:rFonts w:hint="eastAsia" w:ascii="仿宋_GB2312" w:hAnsi="仿宋" w:eastAsia="仿宋_GB2312" w:cs="仿宋_GB2312"/>
          <w:sz w:val="32"/>
          <w:szCs w:val="32"/>
          <w:shd w:val="clear" w:color="auto" w:fill="FFFFFF"/>
          <w:lang w:val="en-US" w:eastAsia="zh-CN"/>
        </w:rPr>
        <w:t>2.</w:t>
      </w:r>
      <w:r>
        <w:rPr>
          <w:rFonts w:hint="default" w:ascii="仿宋_GB2312" w:hAnsi="仿宋" w:eastAsia="仿宋_GB2312" w:cs="仿宋_GB2312"/>
          <w:sz w:val="32"/>
          <w:szCs w:val="32"/>
          <w:shd w:val="clear" w:color="auto" w:fill="FFFFFF"/>
          <w:lang w:val="en-US" w:eastAsia="zh-CN"/>
        </w:rPr>
        <w:t>推行“艺术教师轮岗制”，城区骨干教师每年赴农村学校驻点指导不少于20课时，同步开展“云端艺术课堂”实现资源共享。</w:t>
      </w:r>
    </w:p>
    <w:p>
      <w:pPr>
        <w:keepNext w:val="0"/>
        <w:keepLines w:val="0"/>
        <w:pageBreakBefore w:val="0"/>
        <w:kinsoku/>
        <w:wordWrap/>
        <w:overflowPunct/>
        <w:topLinePunct w:val="0"/>
        <w:autoSpaceDE/>
        <w:autoSpaceDN/>
        <w:bidi w:val="0"/>
        <w:spacing w:line="560" w:lineRule="exact"/>
        <w:ind w:firstLine="640" w:firstLineChars="200"/>
        <w:textAlignment w:val="auto"/>
        <w:rPr>
          <w:rFonts w:hint="default" w:ascii="楷体_GB2312" w:hAnsi="楷体_GB2312" w:eastAsia="楷体_GB2312" w:cs="楷体_GB2312"/>
          <w:sz w:val="32"/>
          <w:szCs w:val="32"/>
          <w:shd w:val="clear" w:color="auto" w:fill="FFFFFF"/>
          <w:lang w:val="en-US" w:eastAsia="zh-CN"/>
        </w:rPr>
      </w:pPr>
      <w:r>
        <w:rPr>
          <w:rFonts w:hint="eastAsia" w:ascii="楷体_GB2312" w:hAnsi="楷体_GB2312" w:eastAsia="楷体_GB2312" w:cs="楷体_GB2312"/>
          <w:sz w:val="32"/>
          <w:szCs w:val="32"/>
          <w:shd w:val="clear" w:color="auto" w:fill="FFFFFF"/>
          <w:lang w:val="en-US" w:eastAsia="zh-CN"/>
        </w:rPr>
        <w:t>（三）</w:t>
      </w:r>
      <w:r>
        <w:rPr>
          <w:rFonts w:hint="default" w:ascii="楷体_GB2312" w:hAnsi="楷体_GB2312" w:eastAsia="楷体_GB2312" w:cs="楷体_GB2312"/>
          <w:sz w:val="32"/>
          <w:szCs w:val="32"/>
          <w:shd w:val="clear" w:color="auto" w:fill="FFFFFF"/>
          <w:lang w:val="en-US" w:eastAsia="zh-CN"/>
        </w:rPr>
        <w:t>构建创新创作培育体系</w:t>
      </w:r>
    </w:p>
    <w:p>
      <w:pPr>
        <w:keepNext w:val="0"/>
        <w:keepLines w:val="0"/>
        <w:pageBreakBefore w:val="0"/>
        <w:kinsoku/>
        <w:wordWrap/>
        <w:overflowPunct/>
        <w:topLinePunct w:val="0"/>
        <w:autoSpaceDE/>
        <w:autoSpaceDN/>
        <w:bidi w:val="0"/>
        <w:spacing w:line="560" w:lineRule="exact"/>
        <w:ind w:firstLine="640" w:firstLineChars="200"/>
        <w:textAlignment w:val="auto"/>
        <w:rPr>
          <w:rFonts w:hint="default" w:ascii="仿宋_GB2312" w:hAnsi="仿宋" w:eastAsia="仿宋_GB2312" w:cs="仿宋_GB2312"/>
          <w:sz w:val="32"/>
          <w:szCs w:val="32"/>
          <w:shd w:val="clear" w:color="auto" w:fill="FFFFFF"/>
          <w:lang w:val="en-US" w:eastAsia="zh-CN"/>
        </w:rPr>
      </w:pPr>
      <w:r>
        <w:rPr>
          <w:rFonts w:hint="eastAsia" w:ascii="仿宋_GB2312" w:hAnsi="仿宋" w:eastAsia="仿宋_GB2312" w:cs="仿宋_GB2312"/>
          <w:sz w:val="32"/>
          <w:szCs w:val="32"/>
          <w:shd w:val="clear" w:color="auto" w:fill="FFFFFF"/>
          <w:lang w:val="en-US" w:eastAsia="zh-CN"/>
        </w:rPr>
        <w:t>1.</w:t>
      </w:r>
      <w:r>
        <w:rPr>
          <w:rFonts w:hint="default" w:ascii="仿宋_GB2312" w:hAnsi="仿宋" w:eastAsia="仿宋_GB2312" w:cs="仿宋_GB2312"/>
          <w:sz w:val="32"/>
          <w:szCs w:val="32"/>
          <w:shd w:val="clear" w:color="auto" w:fill="FFFFFF"/>
          <w:lang w:val="en-US" w:eastAsia="zh-CN"/>
        </w:rPr>
        <w:t>举办“地域文化+艺术创新”工作坊，邀请非遗传承人、青年艺术家与教师共同开发特色课程（如 “川北皮影音乐剧”“蜀道山水画工作坊”）；</w:t>
      </w:r>
    </w:p>
    <w:p>
      <w:pPr>
        <w:keepNext w:val="0"/>
        <w:keepLines w:val="0"/>
        <w:pageBreakBefore w:val="0"/>
        <w:kinsoku/>
        <w:wordWrap/>
        <w:overflowPunct/>
        <w:topLinePunct w:val="0"/>
        <w:autoSpaceDE/>
        <w:autoSpaceDN/>
        <w:bidi w:val="0"/>
        <w:spacing w:line="560" w:lineRule="exact"/>
        <w:ind w:firstLine="640" w:firstLineChars="200"/>
        <w:textAlignment w:val="auto"/>
        <w:rPr>
          <w:rFonts w:hint="default" w:ascii="仿宋_GB2312" w:hAnsi="仿宋" w:eastAsia="仿宋_GB2312" w:cs="仿宋_GB2312"/>
          <w:sz w:val="32"/>
          <w:szCs w:val="32"/>
          <w:shd w:val="clear" w:color="auto" w:fill="FFFFFF"/>
          <w:lang w:val="en-US" w:eastAsia="zh-CN"/>
        </w:rPr>
      </w:pPr>
      <w:r>
        <w:rPr>
          <w:rFonts w:hint="eastAsia" w:ascii="仿宋_GB2312" w:hAnsi="仿宋" w:eastAsia="仿宋_GB2312" w:cs="仿宋_GB2312"/>
          <w:sz w:val="32"/>
          <w:szCs w:val="32"/>
          <w:shd w:val="clear" w:color="auto" w:fill="FFFFFF"/>
          <w:lang w:val="en-US" w:eastAsia="zh-CN"/>
        </w:rPr>
        <w:t>2.</w:t>
      </w:r>
      <w:r>
        <w:rPr>
          <w:rFonts w:hint="default" w:ascii="仿宋_GB2312" w:hAnsi="仿宋" w:eastAsia="仿宋_GB2312" w:cs="仿宋_GB2312"/>
          <w:sz w:val="32"/>
          <w:szCs w:val="32"/>
          <w:shd w:val="clear" w:color="auto" w:fill="FFFFFF"/>
          <w:lang w:val="en-US" w:eastAsia="zh-CN"/>
        </w:rPr>
        <w:t>在展演评审中增设“创新突破奖”，对融合科技元素（如AI绘画、数字舞蹈）或本土文化的作品给予专项奖励。</w:t>
      </w:r>
    </w:p>
    <w:p>
      <w:pPr>
        <w:keepNext w:val="0"/>
        <w:keepLines w:val="0"/>
        <w:pageBreakBefore w:val="0"/>
        <w:kinsoku/>
        <w:wordWrap/>
        <w:overflowPunct/>
        <w:topLinePunct w:val="0"/>
        <w:autoSpaceDE/>
        <w:autoSpaceDN/>
        <w:bidi w:val="0"/>
        <w:spacing w:line="560" w:lineRule="exact"/>
        <w:ind w:firstLine="640" w:firstLineChars="200"/>
        <w:textAlignment w:val="auto"/>
        <w:rPr>
          <w:rFonts w:hint="default" w:ascii="楷体_GB2312" w:hAnsi="楷体_GB2312" w:eastAsia="楷体_GB2312" w:cs="楷体_GB2312"/>
          <w:sz w:val="32"/>
          <w:szCs w:val="32"/>
          <w:shd w:val="clear" w:color="auto" w:fill="FFFFFF"/>
          <w:lang w:val="en-US" w:eastAsia="zh-CN"/>
        </w:rPr>
      </w:pPr>
      <w:r>
        <w:rPr>
          <w:rFonts w:hint="eastAsia" w:ascii="楷体_GB2312" w:hAnsi="楷体_GB2312" w:eastAsia="楷体_GB2312" w:cs="楷体_GB2312"/>
          <w:sz w:val="32"/>
          <w:szCs w:val="32"/>
          <w:shd w:val="clear" w:color="auto" w:fill="FFFFFF"/>
          <w:lang w:val="en-US" w:eastAsia="zh-CN"/>
        </w:rPr>
        <w:t>（四）</w:t>
      </w:r>
      <w:r>
        <w:rPr>
          <w:rFonts w:hint="default" w:ascii="楷体_GB2312" w:hAnsi="楷体_GB2312" w:eastAsia="楷体_GB2312" w:cs="楷体_GB2312"/>
          <w:sz w:val="32"/>
          <w:szCs w:val="32"/>
          <w:shd w:val="clear" w:color="auto" w:fill="FFFFFF"/>
          <w:lang w:val="en-US" w:eastAsia="zh-CN"/>
        </w:rPr>
        <w:t>建立展演成果长效转化机制</w:t>
      </w:r>
    </w:p>
    <w:p>
      <w:pPr>
        <w:keepNext w:val="0"/>
        <w:keepLines w:val="0"/>
        <w:pageBreakBefore w:val="0"/>
        <w:kinsoku/>
        <w:wordWrap/>
        <w:overflowPunct/>
        <w:topLinePunct w:val="0"/>
        <w:autoSpaceDE/>
        <w:autoSpaceDN/>
        <w:bidi w:val="0"/>
        <w:spacing w:line="560" w:lineRule="exact"/>
        <w:ind w:firstLine="640" w:firstLineChars="200"/>
        <w:textAlignment w:val="auto"/>
        <w:rPr>
          <w:rFonts w:hint="default" w:ascii="仿宋_GB2312" w:hAnsi="仿宋" w:eastAsia="仿宋_GB2312" w:cs="仿宋_GB2312"/>
          <w:sz w:val="32"/>
          <w:szCs w:val="32"/>
          <w:shd w:val="clear" w:color="auto" w:fill="FFFFFF"/>
          <w:lang w:val="en-US" w:eastAsia="zh-CN"/>
        </w:rPr>
      </w:pPr>
      <w:r>
        <w:rPr>
          <w:rFonts w:hint="eastAsia" w:ascii="仿宋_GB2312" w:hAnsi="仿宋" w:eastAsia="仿宋_GB2312" w:cs="仿宋_GB2312"/>
          <w:sz w:val="32"/>
          <w:szCs w:val="32"/>
          <w:shd w:val="clear" w:color="auto" w:fill="FFFFFF"/>
          <w:lang w:val="en-US" w:eastAsia="zh-CN"/>
        </w:rPr>
        <w:t>1.</w:t>
      </w:r>
      <w:r>
        <w:rPr>
          <w:rFonts w:hint="default" w:ascii="仿宋_GB2312" w:hAnsi="仿宋" w:eastAsia="仿宋_GB2312" w:cs="仿宋_GB2312"/>
          <w:sz w:val="32"/>
          <w:szCs w:val="32"/>
          <w:shd w:val="clear" w:color="auto" w:fill="FFFFFF"/>
          <w:lang w:val="en-US" w:eastAsia="zh-CN"/>
        </w:rPr>
        <w:t>编制《广元市中小学艺术展演优秀成果集》，收录获奖作品并发放至各校作为教学素材；</w:t>
      </w:r>
    </w:p>
    <w:p>
      <w:pPr>
        <w:keepNext w:val="0"/>
        <w:keepLines w:val="0"/>
        <w:pageBreakBefore w:val="0"/>
        <w:kinsoku/>
        <w:wordWrap/>
        <w:overflowPunct/>
        <w:topLinePunct w:val="0"/>
        <w:autoSpaceDE/>
        <w:autoSpaceDN/>
        <w:bidi w:val="0"/>
        <w:spacing w:line="560" w:lineRule="exact"/>
        <w:ind w:firstLine="640" w:firstLineChars="200"/>
        <w:textAlignment w:val="auto"/>
        <w:rPr>
          <w:rFonts w:hint="default" w:ascii="仿宋_GB2312" w:hAnsi="仿宋" w:eastAsia="仿宋_GB2312" w:cs="仿宋_GB2312"/>
          <w:sz w:val="32"/>
          <w:szCs w:val="32"/>
          <w:shd w:val="clear" w:color="auto" w:fill="FFFFFF"/>
          <w:lang w:val="en-US" w:eastAsia="zh-CN"/>
        </w:rPr>
      </w:pPr>
      <w:r>
        <w:rPr>
          <w:rFonts w:hint="eastAsia" w:ascii="仿宋_GB2312" w:hAnsi="仿宋" w:eastAsia="仿宋_GB2312" w:cs="仿宋_GB2312"/>
          <w:sz w:val="32"/>
          <w:szCs w:val="32"/>
          <w:shd w:val="clear" w:color="auto" w:fill="FFFFFF"/>
          <w:lang w:val="en-US" w:eastAsia="zh-CN"/>
        </w:rPr>
        <w:t>2.</w:t>
      </w:r>
      <w:r>
        <w:rPr>
          <w:rFonts w:hint="default" w:ascii="仿宋_GB2312" w:hAnsi="仿宋" w:eastAsia="仿宋_GB2312" w:cs="仿宋_GB2312"/>
          <w:sz w:val="32"/>
          <w:szCs w:val="32"/>
          <w:shd w:val="clear" w:color="auto" w:fill="FFFFFF"/>
          <w:lang w:val="en-US" w:eastAsia="zh-CN"/>
        </w:rPr>
        <w:t>将展演纳入学校美育年度考核指标，要求每校至少转化1项展演成果为常态化课程或社团活动（如将获奖合唱曲目定为校歌</w:t>
      </w:r>
      <w:r>
        <w:rPr>
          <w:rFonts w:hint="eastAsia" w:ascii="仿宋_GB2312" w:hAnsi="仿宋" w:eastAsia="仿宋_GB2312" w:cs="仿宋_GB2312"/>
          <w:sz w:val="32"/>
          <w:szCs w:val="32"/>
          <w:shd w:val="clear" w:color="auto" w:fill="FFFFFF"/>
          <w:lang w:val="en-US" w:eastAsia="zh-CN"/>
        </w:rPr>
        <w:t>等</w:t>
      </w:r>
      <w:r>
        <w:rPr>
          <w:rFonts w:hint="default" w:ascii="仿宋_GB2312" w:hAnsi="仿宋" w:eastAsia="仿宋_GB2312" w:cs="仿宋_GB2312"/>
          <w:sz w:val="32"/>
          <w:szCs w:val="32"/>
          <w:shd w:val="clear" w:color="auto" w:fill="FFFFFF"/>
          <w:lang w:val="en-US" w:eastAsia="zh-CN"/>
        </w:rPr>
        <w:t>）；</w:t>
      </w:r>
    </w:p>
    <w:p>
      <w:pPr>
        <w:ind w:firstLine="640" w:firstLineChars="200"/>
        <w:rPr>
          <w:rFonts w:hint="default"/>
          <w:lang w:eastAsia="zh-CN"/>
        </w:rPr>
        <w:sectPr>
          <w:pgSz w:w="11906" w:h="16838"/>
          <w:pgMar w:top="1440" w:right="1800" w:bottom="1440" w:left="1800" w:header="851" w:footer="992" w:gutter="0"/>
          <w:pgNumType w:fmt="decimal"/>
          <w:cols w:space="425" w:num="1"/>
          <w:titlePg/>
          <w:docGrid w:type="lines" w:linePitch="312" w:charSpace="0"/>
        </w:sectPr>
      </w:pPr>
      <w:r>
        <w:rPr>
          <w:rFonts w:hint="eastAsia" w:ascii="仿宋_GB2312" w:hAnsi="仿宋" w:eastAsia="仿宋_GB2312" w:cs="仿宋_GB2312"/>
          <w:sz w:val="32"/>
          <w:szCs w:val="32"/>
          <w:shd w:val="clear" w:color="auto" w:fill="FFFFFF"/>
          <w:lang w:val="en-US" w:eastAsia="zh-CN"/>
        </w:rPr>
        <w:t>3.</w:t>
      </w:r>
      <w:r>
        <w:rPr>
          <w:rFonts w:hint="default" w:ascii="仿宋_GB2312" w:hAnsi="仿宋" w:eastAsia="仿宋_GB2312" w:cs="仿宋_GB2312"/>
          <w:sz w:val="32"/>
          <w:szCs w:val="32"/>
          <w:shd w:val="clear" w:color="auto" w:fill="FFFFFF"/>
          <w:lang w:val="en-US" w:eastAsia="zh-CN"/>
        </w:rPr>
        <w:t>联合文旅局等机构，举办 “校园艺术进社区” 巡回展，扩大社会影响力的同时反哺学校创作热情</w:t>
      </w:r>
      <w:r>
        <w:rPr>
          <w:rFonts w:hint="default" w:ascii="仿宋_GB2312" w:hAnsi="仿宋" w:eastAsia="仿宋_GB2312" w:cs="仿宋_GB2312"/>
          <w:sz w:val="32"/>
          <w:szCs w:val="32"/>
          <w:shd w:val="clear" w:color="auto" w:fill="FFFFFF"/>
          <w:lang w:eastAsia="zh-CN"/>
        </w:rPr>
        <w:t>。</w:t>
      </w:r>
    </w:p>
    <w:p>
      <w:pPr>
        <w:widowControl/>
        <w:jc w:val="center"/>
        <w:rPr>
          <w:rFonts w:hint="eastAsia" w:ascii="黑体" w:hAnsi="黑体" w:eastAsia="黑体"/>
          <w:color w:val="auto"/>
          <w:sz w:val="44"/>
          <w:szCs w:val="44"/>
          <w:highlight w:val="none"/>
        </w:rPr>
      </w:pPr>
    </w:p>
    <w:p>
      <w:pPr>
        <w:widowControl/>
        <w:jc w:val="center"/>
        <w:outlineLvl w:val="0"/>
        <w:rPr>
          <w:rFonts w:hint="eastAsia" w:ascii="仿宋" w:hAnsi="仿宋" w:eastAsia="仿宋"/>
          <w:b w:val="0"/>
          <w:color w:val="auto"/>
          <w:highlight w:val="none"/>
        </w:rPr>
      </w:pPr>
      <w:bookmarkStart w:id="115" w:name="_Toc30371"/>
      <w:r>
        <w:rPr>
          <w:rFonts w:hint="eastAsia" w:ascii="黑体" w:hAnsi="黑体" w:eastAsia="黑体"/>
          <w:color w:val="auto"/>
          <w:sz w:val="44"/>
          <w:szCs w:val="44"/>
          <w:highlight w:val="none"/>
        </w:rPr>
        <w:t>第</w:t>
      </w:r>
      <w:r>
        <w:rPr>
          <w:rStyle w:val="21"/>
          <w:rFonts w:hint="eastAsia" w:ascii="黑体" w:hAnsi="黑体" w:eastAsia="黑体"/>
          <w:b w:val="0"/>
          <w:color w:val="auto"/>
          <w:highlight w:val="none"/>
        </w:rPr>
        <w:t>五部分 附表</w:t>
      </w:r>
      <w:bookmarkEnd w:id="115"/>
    </w:p>
    <w:p>
      <w:pPr>
        <w:pStyle w:val="4"/>
        <w:rPr>
          <w:rFonts w:hint="eastAsia" w:ascii="仿宋_GB2312" w:hAnsi="仿宋_GB2312" w:eastAsia="仿宋_GB2312" w:cs="仿宋_GB2312"/>
          <w:color w:val="auto"/>
          <w:highlight w:val="none"/>
        </w:rPr>
      </w:pPr>
      <w:bookmarkStart w:id="116" w:name="_Toc16205"/>
      <w:bookmarkStart w:id="117" w:name="_Toc18361"/>
      <w:r>
        <w:rPr>
          <w:rFonts w:hint="eastAsia" w:ascii="仿宋_GB2312" w:hAnsi="仿宋_GB2312" w:eastAsia="仿宋_GB2312" w:cs="仿宋_GB2312"/>
          <w:b w:val="0"/>
          <w:color w:val="auto"/>
          <w:highlight w:val="none"/>
        </w:rPr>
        <w:t>一、收</w:t>
      </w:r>
      <w:r>
        <w:rPr>
          <w:rStyle w:val="22"/>
          <w:rFonts w:hint="eastAsia" w:ascii="仿宋_GB2312" w:hAnsi="仿宋_GB2312" w:eastAsia="仿宋_GB2312" w:cs="仿宋_GB2312"/>
          <w:b w:val="0"/>
          <w:bCs w:val="0"/>
          <w:color w:val="auto"/>
          <w:highlight w:val="none"/>
        </w:rPr>
        <w:t>入支出决算总表</w:t>
      </w:r>
      <w:bookmarkEnd w:id="116"/>
      <w:bookmarkEnd w:id="117"/>
    </w:p>
    <w:p>
      <w:pPr>
        <w:pStyle w:val="4"/>
        <w:rPr>
          <w:rFonts w:hint="eastAsia" w:ascii="仿宋_GB2312" w:hAnsi="仿宋_GB2312" w:eastAsia="仿宋_GB2312" w:cs="仿宋_GB2312"/>
          <w:color w:val="auto"/>
          <w:highlight w:val="none"/>
        </w:rPr>
      </w:pPr>
      <w:bookmarkStart w:id="118" w:name="_Toc30054"/>
      <w:bookmarkStart w:id="119" w:name="_Toc12933"/>
      <w:r>
        <w:rPr>
          <w:rFonts w:hint="eastAsia" w:ascii="仿宋_GB2312" w:hAnsi="仿宋_GB2312" w:eastAsia="仿宋_GB2312" w:cs="仿宋_GB2312"/>
          <w:b w:val="0"/>
          <w:color w:val="auto"/>
          <w:highlight w:val="none"/>
        </w:rPr>
        <w:t>二、收</w:t>
      </w:r>
      <w:r>
        <w:rPr>
          <w:rStyle w:val="22"/>
          <w:rFonts w:hint="eastAsia" w:ascii="仿宋_GB2312" w:hAnsi="仿宋_GB2312" w:eastAsia="仿宋_GB2312" w:cs="仿宋_GB2312"/>
          <w:b w:val="0"/>
          <w:bCs w:val="0"/>
          <w:color w:val="auto"/>
          <w:highlight w:val="none"/>
        </w:rPr>
        <w:t>入决算表</w:t>
      </w:r>
      <w:bookmarkEnd w:id="118"/>
      <w:bookmarkEnd w:id="119"/>
    </w:p>
    <w:p>
      <w:pPr>
        <w:pStyle w:val="4"/>
        <w:rPr>
          <w:rFonts w:hint="eastAsia" w:ascii="仿宋_GB2312" w:hAnsi="仿宋_GB2312" w:eastAsia="仿宋_GB2312" w:cs="仿宋_GB2312"/>
          <w:color w:val="auto"/>
          <w:highlight w:val="none"/>
        </w:rPr>
      </w:pPr>
      <w:bookmarkStart w:id="120" w:name="_Toc26351"/>
      <w:bookmarkStart w:id="121" w:name="_Toc19435"/>
      <w:r>
        <w:rPr>
          <w:rStyle w:val="22"/>
          <w:rFonts w:hint="eastAsia" w:ascii="仿宋_GB2312" w:hAnsi="仿宋_GB2312" w:eastAsia="仿宋_GB2312" w:cs="仿宋_GB2312"/>
          <w:b w:val="0"/>
          <w:bCs w:val="0"/>
          <w:color w:val="auto"/>
          <w:highlight w:val="none"/>
        </w:rPr>
        <w:t>三、</w:t>
      </w:r>
      <w:r>
        <w:rPr>
          <w:rFonts w:hint="eastAsia" w:ascii="仿宋_GB2312" w:hAnsi="仿宋_GB2312" w:eastAsia="仿宋_GB2312" w:cs="仿宋_GB2312"/>
          <w:b w:val="0"/>
          <w:color w:val="auto"/>
          <w:highlight w:val="none"/>
        </w:rPr>
        <w:t>支</w:t>
      </w:r>
      <w:r>
        <w:rPr>
          <w:rStyle w:val="22"/>
          <w:rFonts w:hint="eastAsia" w:ascii="仿宋_GB2312" w:hAnsi="仿宋_GB2312" w:eastAsia="仿宋_GB2312" w:cs="仿宋_GB2312"/>
          <w:b w:val="0"/>
          <w:bCs w:val="0"/>
          <w:color w:val="auto"/>
          <w:highlight w:val="none"/>
        </w:rPr>
        <w:t>出决算表</w:t>
      </w:r>
      <w:bookmarkEnd w:id="120"/>
      <w:bookmarkEnd w:id="121"/>
    </w:p>
    <w:p>
      <w:pPr>
        <w:pStyle w:val="4"/>
        <w:rPr>
          <w:rFonts w:hint="eastAsia" w:ascii="仿宋_GB2312" w:hAnsi="仿宋_GB2312" w:eastAsia="仿宋_GB2312" w:cs="仿宋_GB2312"/>
          <w:b w:val="0"/>
          <w:color w:val="auto"/>
          <w:highlight w:val="none"/>
        </w:rPr>
      </w:pPr>
      <w:bookmarkStart w:id="122" w:name="_Toc22152"/>
      <w:bookmarkStart w:id="123" w:name="_Toc14602"/>
      <w:r>
        <w:rPr>
          <w:rStyle w:val="22"/>
          <w:rFonts w:hint="eastAsia" w:ascii="仿宋_GB2312" w:hAnsi="仿宋_GB2312" w:eastAsia="仿宋_GB2312" w:cs="仿宋_GB2312"/>
          <w:b w:val="0"/>
          <w:bCs w:val="0"/>
          <w:color w:val="auto"/>
          <w:highlight w:val="none"/>
        </w:rPr>
        <w:t>四、</w:t>
      </w:r>
      <w:r>
        <w:rPr>
          <w:rFonts w:hint="eastAsia" w:ascii="仿宋_GB2312" w:hAnsi="仿宋_GB2312" w:eastAsia="仿宋_GB2312" w:cs="仿宋_GB2312"/>
          <w:b w:val="0"/>
          <w:color w:val="auto"/>
          <w:highlight w:val="none"/>
        </w:rPr>
        <w:t>财</w:t>
      </w:r>
      <w:r>
        <w:rPr>
          <w:rStyle w:val="22"/>
          <w:rFonts w:hint="eastAsia" w:ascii="仿宋_GB2312" w:hAnsi="仿宋_GB2312" w:eastAsia="仿宋_GB2312" w:cs="仿宋_GB2312"/>
          <w:b w:val="0"/>
          <w:bCs w:val="0"/>
          <w:color w:val="auto"/>
          <w:highlight w:val="none"/>
        </w:rPr>
        <w:t>政拨款收入支出决算总表</w:t>
      </w:r>
      <w:bookmarkEnd w:id="122"/>
      <w:bookmarkEnd w:id="123"/>
    </w:p>
    <w:p>
      <w:pPr>
        <w:pStyle w:val="4"/>
        <w:rPr>
          <w:rStyle w:val="22"/>
          <w:rFonts w:hint="eastAsia" w:ascii="仿宋_GB2312" w:hAnsi="仿宋_GB2312" w:eastAsia="仿宋_GB2312" w:cs="仿宋_GB2312"/>
          <w:b w:val="0"/>
          <w:bCs w:val="0"/>
          <w:color w:val="auto"/>
          <w:highlight w:val="none"/>
        </w:rPr>
      </w:pPr>
      <w:bookmarkStart w:id="124" w:name="_Toc26627"/>
      <w:bookmarkStart w:id="125" w:name="_Toc17847"/>
      <w:r>
        <w:rPr>
          <w:rStyle w:val="22"/>
          <w:rFonts w:hint="eastAsia" w:ascii="仿宋_GB2312" w:hAnsi="仿宋_GB2312" w:eastAsia="仿宋_GB2312" w:cs="仿宋_GB2312"/>
          <w:b w:val="0"/>
          <w:bCs w:val="0"/>
          <w:color w:val="auto"/>
          <w:highlight w:val="none"/>
        </w:rPr>
        <w:t>五、</w:t>
      </w:r>
      <w:r>
        <w:rPr>
          <w:rFonts w:hint="eastAsia" w:ascii="仿宋_GB2312" w:hAnsi="仿宋_GB2312" w:eastAsia="仿宋_GB2312" w:cs="仿宋_GB2312"/>
          <w:b w:val="0"/>
          <w:color w:val="auto"/>
          <w:highlight w:val="none"/>
        </w:rPr>
        <w:t>财</w:t>
      </w:r>
      <w:r>
        <w:rPr>
          <w:rStyle w:val="22"/>
          <w:rFonts w:hint="eastAsia" w:ascii="仿宋_GB2312" w:hAnsi="仿宋_GB2312" w:eastAsia="仿宋_GB2312" w:cs="仿宋_GB2312"/>
          <w:b w:val="0"/>
          <w:bCs w:val="0"/>
          <w:color w:val="auto"/>
          <w:highlight w:val="none"/>
        </w:rPr>
        <w:t>政拨款支出决算明细表</w:t>
      </w:r>
      <w:bookmarkEnd w:id="124"/>
      <w:bookmarkEnd w:id="125"/>
    </w:p>
    <w:p>
      <w:pPr>
        <w:pStyle w:val="4"/>
        <w:rPr>
          <w:rFonts w:hint="eastAsia" w:ascii="仿宋_GB2312" w:hAnsi="仿宋_GB2312" w:eastAsia="仿宋_GB2312" w:cs="仿宋_GB2312"/>
          <w:color w:val="auto"/>
          <w:highlight w:val="none"/>
        </w:rPr>
      </w:pPr>
      <w:bookmarkStart w:id="126" w:name="_Toc24299"/>
      <w:bookmarkStart w:id="127" w:name="_Toc20680"/>
      <w:r>
        <w:rPr>
          <w:rStyle w:val="22"/>
          <w:rFonts w:hint="eastAsia" w:ascii="仿宋_GB2312" w:hAnsi="仿宋_GB2312" w:eastAsia="仿宋_GB2312" w:cs="仿宋_GB2312"/>
          <w:b w:val="0"/>
          <w:bCs w:val="0"/>
          <w:color w:val="auto"/>
          <w:highlight w:val="none"/>
        </w:rPr>
        <w:t>六、</w:t>
      </w:r>
      <w:r>
        <w:rPr>
          <w:rFonts w:hint="eastAsia" w:ascii="仿宋_GB2312" w:hAnsi="仿宋_GB2312" w:eastAsia="仿宋_GB2312" w:cs="仿宋_GB2312"/>
          <w:b w:val="0"/>
          <w:color w:val="auto"/>
          <w:highlight w:val="none"/>
        </w:rPr>
        <w:t>一</w:t>
      </w:r>
      <w:r>
        <w:rPr>
          <w:rStyle w:val="22"/>
          <w:rFonts w:hint="eastAsia" w:ascii="仿宋_GB2312" w:hAnsi="仿宋_GB2312" w:eastAsia="仿宋_GB2312" w:cs="仿宋_GB2312"/>
          <w:b w:val="0"/>
          <w:bCs w:val="0"/>
          <w:color w:val="auto"/>
          <w:highlight w:val="none"/>
        </w:rPr>
        <w:t>般公共预算财政拨款支出决算表</w:t>
      </w:r>
      <w:bookmarkEnd w:id="126"/>
      <w:bookmarkEnd w:id="127"/>
    </w:p>
    <w:p>
      <w:pPr>
        <w:pStyle w:val="4"/>
        <w:rPr>
          <w:rFonts w:hint="eastAsia" w:ascii="仿宋_GB2312" w:hAnsi="仿宋_GB2312" w:eastAsia="仿宋_GB2312" w:cs="仿宋_GB2312"/>
          <w:color w:val="auto"/>
          <w:highlight w:val="none"/>
        </w:rPr>
      </w:pPr>
      <w:bookmarkStart w:id="128" w:name="_Toc21414"/>
      <w:bookmarkStart w:id="129" w:name="_Toc21672"/>
      <w:r>
        <w:rPr>
          <w:rStyle w:val="22"/>
          <w:rFonts w:hint="eastAsia" w:ascii="仿宋_GB2312" w:hAnsi="仿宋_GB2312" w:eastAsia="仿宋_GB2312" w:cs="仿宋_GB2312"/>
          <w:b w:val="0"/>
          <w:bCs w:val="0"/>
          <w:color w:val="auto"/>
          <w:highlight w:val="none"/>
        </w:rPr>
        <w:t>七、</w:t>
      </w:r>
      <w:r>
        <w:rPr>
          <w:rFonts w:hint="eastAsia" w:ascii="仿宋_GB2312" w:hAnsi="仿宋_GB2312" w:eastAsia="仿宋_GB2312" w:cs="仿宋_GB2312"/>
          <w:b w:val="0"/>
          <w:color w:val="auto"/>
          <w:highlight w:val="none"/>
        </w:rPr>
        <w:t>一</w:t>
      </w:r>
      <w:r>
        <w:rPr>
          <w:rStyle w:val="22"/>
          <w:rFonts w:hint="eastAsia" w:ascii="仿宋_GB2312" w:hAnsi="仿宋_GB2312" w:eastAsia="仿宋_GB2312" w:cs="仿宋_GB2312"/>
          <w:b w:val="0"/>
          <w:bCs w:val="0"/>
          <w:color w:val="auto"/>
          <w:highlight w:val="none"/>
        </w:rPr>
        <w:t>般公共预算财政拨款支出决算明细表</w:t>
      </w:r>
      <w:bookmarkEnd w:id="128"/>
      <w:bookmarkEnd w:id="129"/>
    </w:p>
    <w:p>
      <w:pPr>
        <w:pStyle w:val="4"/>
        <w:rPr>
          <w:rFonts w:hint="eastAsia" w:ascii="仿宋_GB2312" w:hAnsi="仿宋_GB2312" w:eastAsia="仿宋_GB2312" w:cs="仿宋_GB2312"/>
          <w:color w:val="auto"/>
          <w:highlight w:val="none"/>
        </w:rPr>
      </w:pPr>
      <w:bookmarkStart w:id="130" w:name="_Toc31309"/>
      <w:bookmarkStart w:id="131" w:name="_Toc3328"/>
      <w:r>
        <w:rPr>
          <w:rStyle w:val="22"/>
          <w:rFonts w:hint="eastAsia" w:ascii="仿宋_GB2312" w:hAnsi="仿宋_GB2312" w:eastAsia="仿宋_GB2312" w:cs="仿宋_GB2312"/>
          <w:b w:val="0"/>
          <w:bCs w:val="0"/>
          <w:color w:val="auto"/>
          <w:highlight w:val="none"/>
        </w:rPr>
        <w:t>八、</w:t>
      </w:r>
      <w:r>
        <w:rPr>
          <w:rFonts w:hint="eastAsia" w:ascii="仿宋_GB2312" w:hAnsi="仿宋_GB2312" w:eastAsia="仿宋_GB2312" w:cs="仿宋_GB2312"/>
          <w:b w:val="0"/>
          <w:color w:val="auto"/>
          <w:highlight w:val="none"/>
        </w:rPr>
        <w:t>一</w:t>
      </w:r>
      <w:r>
        <w:rPr>
          <w:rStyle w:val="22"/>
          <w:rFonts w:hint="eastAsia" w:ascii="仿宋_GB2312" w:hAnsi="仿宋_GB2312" w:eastAsia="仿宋_GB2312" w:cs="仿宋_GB2312"/>
          <w:b w:val="0"/>
          <w:bCs w:val="0"/>
          <w:color w:val="auto"/>
          <w:highlight w:val="none"/>
        </w:rPr>
        <w:t>般公共预算财政拨款基本支出决算表</w:t>
      </w:r>
      <w:bookmarkEnd w:id="130"/>
      <w:bookmarkEnd w:id="131"/>
    </w:p>
    <w:p>
      <w:pPr>
        <w:pStyle w:val="4"/>
        <w:rPr>
          <w:rFonts w:hint="eastAsia" w:ascii="仿宋_GB2312" w:hAnsi="仿宋_GB2312" w:eastAsia="仿宋_GB2312" w:cs="仿宋_GB2312"/>
          <w:color w:val="auto"/>
          <w:highlight w:val="none"/>
        </w:rPr>
      </w:pPr>
      <w:bookmarkStart w:id="132" w:name="_Toc1088"/>
      <w:bookmarkStart w:id="133" w:name="_Toc16002"/>
      <w:r>
        <w:rPr>
          <w:rStyle w:val="22"/>
          <w:rFonts w:hint="eastAsia" w:ascii="仿宋_GB2312" w:hAnsi="仿宋_GB2312" w:eastAsia="仿宋_GB2312" w:cs="仿宋_GB2312"/>
          <w:b w:val="0"/>
          <w:bCs w:val="0"/>
          <w:color w:val="auto"/>
          <w:highlight w:val="none"/>
        </w:rPr>
        <w:t>九、</w:t>
      </w:r>
      <w:r>
        <w:rPr>
          <w:rFonts w:hint="eastAsia" w:ascii="仿宋_GB2312" w:hAnsi="仿宋_GB2312" w:eastAsia="仿宋_GB2312" w:cs="仿宋_GB2312"/>
          <w:b w:val="0"/>
          <w:color w:val="auto"/>
          <w:highlight w:val="none"/>
        </w:rPr>
        <w:t>一</w:t>
      </w:r>
      <w:r>
        <w:rPr>
          <w:rStyle w:val="22"/>
          <w:rFonts w:hint="eastAsia" w:ascii="仿宋_GB2312" w:hAnsi="仿宋_GB2312" w:eastAsia="仿宋_GB2312" w:cs="仿宋_GB2312"/>
          <w:b w:val="0"/>
          <w:bCs w:val="0"/>
          <w:color w:val="auto"/>
          <w:highlight w:val="none"/>
        </w:rPr>
        <w:t>般公共预算财政拨款项目支出决算表</w:t>
      </w:r>
      <w:bookmarkEnd w:id="132"/>
      <w:bookmarkEnd w:id="133"/>
    </w:p>
    <w:p>
      <w:pPr>
        <w:pStyle w:val="4"/>
        <w:rPr>
          <w:rFonts w:hint="eastAsia" w:ascii="仿宋_GB2312" w:hAnsi="仿宋_GB2312" w:eastAsia="仿宋_GB2312" w:cs="仿宋_GB2312"/>
          <w:color w:val="auto"/>
          <w:highlight w:val="none"/>
        </w:rPr>
      </w:pPr>
      <w:bookmarkStart w:id="134" w:name="_Toc1890"/>
      <w:bookmarkStart w:id="135" w:name="_Toc26378"/>
      <w:r>
        <w:rPr>
          <w:rStyle w:val="22"/>
          <w:rFonts w:hint="eastAsia" w:ascii="仿宋_GB2312" w:hAnsi="仿宋_GB2312" w:eastAsia="仿宋_GB2312" w:cs="仿宋_GB2312"/>
          <w:b w:val="0"/>
          <w:bCs w:val="0"/>
          <w:color w:val="auto"/>
          <w:highlight w:val="none"/>
        </w:rPr>
        <w:t>十、</w:t>
      </w:r>
      <w:r>
        <w:rPr>
          <w:rFonts w:hint="eastAsia" w:ascii="仿宋_GB2312" w:hAnsi="仿宋_GB2312" w:eastAsia="仿宋_GB2312" w:cs="仿宋_GB2312"/>
          <w:b w:val="0"/>
          <w:color w:val="auto"/>
          <w:highlight w:val="none"/>
        </w:rPr>
        <w:t>政</w:t>
      </w:r>
      <w:r>
        <w:rPr>
          <w:rStyle w:val="22"/>
          <w:rFonts w:hint="eastAsia" w:ascii="仿宋_GB2312" w:hAnsi="仿宋_GB2312" w:eastAsia="仿宋_GB2312" w:cs="仿宋_GB2312"/>
          <w:b w:val="0"/>
          <w:bCs w:val="0"/>
          <w:color w:val="auto"/>
          <w:highlight w:val="none"/>
        </w:rPr>
        <w:t>府性基金预算财政拨款收入支出决算表</w:t>
      </w:r>
      <w:bookmarkEnd w:id="134"/>
      <w:bookmarkEnd w:id="135"/>
    </w:p>
    <w:p>
      <w:pPr>
        <w:pStyle w:val="4"/>
        <w:rPr>
          <w:rFonts w:hint="eastAsia" w:ascii="仿宋_GB2312" w:hAnsi="仿宋_GB2312" w:eastAsia="仿宋_GB2312" w:cs="仿宋_GB2312"/>
          <w:color w:val="auto"/>
          <w:highlight w:val="none"/>
        </w:rPr>
      </w:pPr>
      <w:bookmarkStart w:id="136" w:name="_Toc2811"/>
      <w:bookmarkStart w:id="137" w:name="_Toc4154"/>
      <w:r>
        <w:rPr>
          <w:rStyle w:val="22"/>
          <w:rFonts w:hint="eastAsia" w:ascii="仿宋_GB2312" w:hAnsi="仿宋_GB2312" w:eastAsia="仿宋_GB2312" w:cs="仿宋_GB2312"/>
          <w:b w:val="0"/>
          <w:bCs w:val="0"/>
          <w:color w:val="auto"/>
          <w:highlight w:val="none"/>
        </w:rPr>
        <w:t>十一、</w:t>
      </w:r>
      <w:r>
        <w:rPr>
          <w:rFonts w:hint="eastAsia" w:ascii="仿宋_GB2312" w:hAnsi="仿宋_GB2312" w:eastAsia="仿宋_GB2312" w:cs="仿宋_GB2312"/>
          <w:b w:val="0"/>
          <w:color w:val="auto"/>
          <w:highlight w:val="none"/>
        </w:rPr>
        <w:t>国</w:t>
      </w:r>
      <w:r>
        <w:rPr>
          <w:rStyle w:val="22"/>
          <w:rFonts w:hint="eastAsia" w:ascii="仿宋_GB2312" w:hAnsi="仿宋_GB2312" w:eastAsia="仿宋_GB2312" w:cs="仿宋_GB2312"/>
          <w:b w:val="0"/>
          <w:bCs w:val="0"/>
          <w:color w:val="auto"/>
          <w:highlight w:val="none"/>
        </w:rPr>
        <w:t>有资本经营预算</w:t>
      </w:r>
      <w:r>
        <w:rPr>
          <w:rStyle w:val="22"/>
          <w:rFonts w:hint="eastAsia" w:ascii="仿宋_GB2312" w:hAnsi="仿宋_GB2312" w:eastAsia="仿宋_GB2312" w:cs="仿宋_GB2312"/>
          <w:b w:val="0"/>
          <w:bCs w:val="0"/>
          <w:color w:val="auto"/>
          <w:highlight w:val="none"/>
          <w:lang w:eastAsia="zh-CN"/>
        </w:rPr>
        <w:t>财政拨款收入</w:t>
      </w:r>
      <w:r>
        <w:rPr>
          <w:rStyle w:val="22"/>
          <w:rFonts w:hint="eastAsia" w:ascii="仿宋_GB2312" w:hAnsi="仿宋_GB2312" w:eastAsia="仿宋_GB2312" w:cs="仿宋_GB2312"/>
          <w:b w:val="0"/>
          <w:bCs w:val="0"/>
          <w:color w:val="auto"/>
          <w:highlight w:val="none"/>
        </w:rPr>
        <w:t>支出决算表</w:t>
      </w:r>
      <w:bookmarkEnd w:id="136"/>
      <w:bookmarkEnd w:id="137"/>
    </w:p>
    <w:p>
      <w:pPr>
        <w:pStyle w:val="4"/>
        <w:rPr>
          <w:rFonts w:hint="eastAsia" w:ascii="仿宋_GB2312" w:hAnsi="仿宋_GB2312" w:eastAsia="仿宋_GB2312" w:cs="仿宋_GB2312"/>
          <w:color w:val="auto"/>
          <w:highlight w:val="none"/>
        </w:rPr>
      </w:pPr>
      <w:bookmarkStart w:id="138" w:name="_Toc18789"/>
      <w:bookmarkStart w:id="139" w:name="_Toc24197"/>
      <w:r>
        <w:rPr>
          <w:rStyle w:val="22"/>
          <w:rFonts w:hint="eastAsia" w:ascii="仿宋_GB2312" w:hAnsi="仿宋_GB2312" w:eastAsia="仿宋_GB2312" w:cs="仿宋_GB2312"/>
          <w:b w:val="0"/>
          <w:bCs w:val="0"/>
          <w:color w:val="auto"/>
          <w:highlight w:val="none"/>
        </w:rPr>
        <w:t>十二、</w:t>
      </w:r>
      <w:r>
        <w:rPr>
          <w:rStyle w:val="22"/>
          <w:rFonts w:hint="eastAsia" w:ascii="仿宋_GB2312" w:hAnsi="仿宋_GB2312" w:eastAsia="仿宋_GB2312" w:cs="仿宋_GB2312"/>
          <w:b w:val="0"/>
          <w:bCs w:val="0"/>
          <w:color w:val="auto"/>
          <w:highlight w:val="none"/>
          <w:lang w:eastAsia="zh-CN"/>
        </w:rPr>
        <w:t>国有资本经营预算财政拨款支出决算表</w:t>
      </w:r>
      <w:bookmarkEnd w:id="138"/>
      <w:bookmarkEnd w:id="139"/>
    </w:p>
    <w:p>
      <w:pPr>
        <w:pStyle w:val="4"/>
        <w:rPr>
          <w:rStyle w:val="22"/>
          <w:rFonts w:hint="eastAsia" w:ascii="仿宋_GB2312" w:hAnsi="仿宋_GB2312" w:eastAsia="仿宋_GB2312" w:cs="仿宋_GB2312"/>
          <w:b w:val="0"/>
          <w:bCs w:val="0"/>
          <w:color w:val="auto"/>
          <w:highlight w:val="none"/>
          <w:lang w:eastAsia="zh-CN"/>
        </w:rPr>
      </w:pPr>
      <w:bookmarkStart w:id="140" w:name="_Toc8697"/>
      <w:bookmarkStart w:id="141" w:name="_Toc16257"/>
      <w:r>
        <w:rPr>
          <w:rStyle w:val="22"/>
          <w:rFonts w:hint="eastAsia" w:ascii="仿宋_GB2312" w:hAnsi="仿宋_GB2312" w:eastAsia="仿宋_GB2312" w:cs="仿宋_GB2312"/>
          <w:b w:val="0"/>
          <w:bCs w:val="0"/>
          <w:color w:val="auto"/>
          <w:highlight w:val="none"/>
        </w:rPr>
        <w:t>十三、</w:t>
      </w:r>
      <w:r>
        <w:rPr>
          <w:rStyle w:val="22"/>
          <w:rFonts w:hint="eastAsia" w:ascii="仿宋_GB2312" w:hAnsi="仿宋_GB2312" w:eastAsia="仿宋_GB2312" w:cs="仿宋_GB2312"/>
          <w:b w:val="0"/>
          <w:bCs w:val="0"/>
          <w:color w:val="auto"/>
          <w:highlight w:val="none"/>
          <w:lang w:eastAsia="zh-CN"/>
        </w:rPr>
        <w:t>财政拨款“三公”经费支出决算表</w:t>
      </w:r>
      <w:bookmarkEnd w:id="140"/>
      <w:bookmarkEnd w:id="141"/>
    </w:p>
    <w:bookmarkEnd w:id="78"/>
    <w:bookmarkEnd w:id="103"/>
    <w:p>
      <w:pPr>
        <w:keepNext w:val="0"/>
        <w:keepLines w:val="0"/>
        <w:pageBreakBefore w:val="0"/>
        <w:widowControl w:val="0"/>
        <w:kinsoku/>
        <w:wordWrap/>
        <w:overflowPunct/>
        <w:topLinePunct w:val="0"/>
        <w:autoSpaceDE/>
        <w:autoSpaceDN/>
        <w:bidi w:val="0"/>
        <w:spacing w:line="578" w:lineRule="exact"/>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p>
    <w:sectPr>
      <w:pgSz w:w="11906" w:h="16838"/>
      <w:pgMar w:top="1440" w:right="1800" w:bottom="1440" w:left="1800" w:header="851" w:footer="992" w:gutter="0"/>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
    <w:altName w:val="Mangal"/>
    <w:panose1 w:val="00000000000000000000"/>
    <w:charset w:val="00"/>
    <w:family w:val="roman"/>
    <w:pitch w:val="default"/>
    <w:sig w:usb0="00000000" w:usb1="00000000" w:usb2="00000000" w:usb3="00000000" w:csb0="00000000" w:csb1="00000000"/>
  </w:font>
  <w:font w:name="sim sun">
    <w:altName w:val="Mangal"/>
    <w:panose1 w:val="00000000000000000000"/>
    <w:charset w:val="00"/>
    <w:family w:val="auto"/>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 w:name="Mangal">
    <w:panose1 w:val="00000400000000000000"/>
    <w:charset w:val="00"/>
    <w:family w:val="auto"/>
    <w:pitch w:val="default"/>
    <w:sig w:usb0="00008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GQA+L8aAgAAKwQAAA4AAAAAAAAAAQAgAAAANQEAAGRycy9lMm9Eb2MueG1sUEsFBgAA&#10;AAAGAAYAWQEAAMEF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2</w:t>
                    </w:r>
                    <w:r>
                      <w:fldChar w:fldCharType="end"/>
                    </w:r>
                  </w:p>
                </w:txbxContent>
              </v:textbox>
            </v:shape>
          </w:pict>
        </mc:Fallback>
      </mc:AlternateContent>
    </w:r>
  </w:p>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zQKKhHAIAACs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s0CioRwCAAArBAAADgAAAAAAAAABACAAAAA1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18"/>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MGCRB0dAgAAKwQAAA4AAAAAAAAAAQAgAAAANQEAAGRycy9lMm9Eb2MueG1sUEsF&#10;BgAAAAAGAAYAWQEAAMQF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2</w:t>
                    </w:r>
                    <w:r>
                      <w:fldChar w:fldCharType="end"/>
                    </w:r>
                  </w:p>
                </w:txbxContent>
              </v:textbox>
            </v:shape>
          </w:pict>
        </mc:Fallback>
      </mc:AlternateContent>
    </w:r>
  </w:p>
  <w:p>
    <w:pPr>
      <w:pStyle w:val="1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B3BFp0dAgAAKwQAAA4AAAAAAAAAAQAgAAAANQEAAGRycy9lMm9Eb2MueG1sUEsF&#10;BgAAAAAGAAYAWQEAAMQF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18"/>
      </w:rP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848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DMAmVgdAgAAKwQAAA4AAAAAAAAAAQAgAAAANQEAAGRycy9lMm9Eb2MueG1sUEsF&#10;BgAAAAAGAAYAWQEAAMQF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mc:Fallback>
      </mc:AlternateContent>
    </w:r>
  </w:p>
  <w:p>
    <w:pPr>
      <w:pStyle w:val="11"/>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950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Id+3GxwCAAArBAAADgAAAAAAAAABACAAAAA1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18"/>
      </w:rP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MqBTIMdAgAAKwQAAA4AAAAAAAAAAQAgAAAANQEAAGRycy9lMm9Eb2MueG1sUEsF&#10;BgAAAAAGAAYAWQEAAMQF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2</w:t>
                    </w:r>
                    <w:r>
                      <w:fldChar w:fldCharType="end"/>
                    </w:r>
                  </w:p>
                </w:txbxContent>
              </v:textbox>
            </v:shape>
          </w:pict>
        </mc:Fallback>
      </mc:AlternateContent>
    </w:r>
  </w:p>
  <w:p>
    <w:pPr>
      <w:pStyle w:val="11"/>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745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QcJ/5BwCAAArBAAADgAAAAAAAAABACAAAAA1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9CB6DA"/>
    <w:multiLevelType w:val="singleLevel"/>
    <w:tmpl w:val="A39CB6DA"/>
    <w:lvl w:ilvl="0" w:tentative="0">
      <w:start w:val="1"/>
      <w:numFmt w:val="decimal"/>
      <w:suff w:val="nothing"/>
      <w:lvlText w:val="%1．"/>
      <w:lvlJc w:val="left"/>
      <w:pPr>
        <w:ind w:left="0" w:firstLine="400"/>
      </w:pPr>
      <w:rPr>
        <w:rFonts w:hint="default"/>
        <w:color w:val="auto"/>
      </w:rPr>
    </w:lvl>
  </w:abstractNum>
  <w:abstractNum w:abstractNumId="1">
    <w:nsid w:val="BA85B6D9"/>
    <w:multiLevelType w:val="singleLevel"/>
    <w:tmpl w:val="BA85B6D9"/>
    <w:lvl w:ilvl="0" w:tentative="0">
      <w:start w:val="2"/>
      <w:numFmt w:val="chineseCounting"/>
      <w:suff w:val="nothing"/>
      <w:lvlText w:val="（%1）"/>
      <w:lvlJc w:val="left"/>
      <w:rPr>
        <w:rFonts w:hint="eastAsia"/>
      </w:rPr>
    </w:lvl>
  </w:abstractNum>
  <w:abstractNum w:abstractNumId="2">
    <w:nsid w:val="E371C83E"/>
    <w:multiLevelType w:val="singleLevel"/>
    <w:tmpl w:val="E371C83E"/>
    <w:lvl w:ilvl="0" w:tentative="0">
      <w:start w:val="2"/>
      <w:numFmt w:val="chineseCounting"/>
      <w:suff w:val="nothing"/>
      <w:lvlText w:val="（%1）"/>
      <w:lvlJc w:val="left"/>
      <w:rPr>
        <w:rFonts w:hint="eastAsia"/>
      </w:rPr>
    </w:lvl>
  </w:abstractNum>
  <w:abstractNum w:abstractNumId="3">
    <w:nsid w:val="29750CB9"/>
    <w:multiLevelType w:val="singleLevel"/>
    <w:tmpl w:val="29750CB9"/>
    <w:lvl w:ilvl="0" w:tentative="0">
      <w:start w:val="3"/>
      <w:numFmt w:val="decimal"/>
      <w:suff w:val="nothing"/>
      <w:lvlText w:val="（%1）"/>
      <w:lvlJc w:val="left"/>
    </w:lvl>
  </w:abstractNum>
  <w:abstractNum w:abstractNumId="4">
    <w:nsid w:val="5664A262"/>
    <w:multiLevelType w:val="singleLevel"/>
    <w:tmpl w:val="5664A262"/>
    <w:lvl w:ilvl="0" w:tentative="0">
      <w:start w:val="4"/>
      <w:numFmt w:val="decimal"/>
      <w:suff w:val="nothing"/>
      <w:lvlText w:val="（%1）"/>
      <w:lvlJc w:val="left"/>
    </w:lvl>
  </w:abstractNum>
  <w:abstractNum w:abstractNumId="5">
    <w:nsid w:val="5D3B94F2"/>
    <w:multiLevelType w:val="singleLevel"/>
    <w:tmpl w:val="5D3B94F2"/>
    <w:lvl w:ilvl="0" w:tentative="0">
      <w:start w:val="1"/>
      <w:numFmt w:val="chineseCounting"/>
      <w:suff w:val="nothing"/>
      <w:lvlText w:val="%1、"/>
      <w:lvlJc w:val="left"/>
      <w:rPr>
        <w:rFonts w:hint="eastAsia"/>
      </w:rPr>
    </w:lvl>
  </w:abstractNum>
  <w:abstractNum w:abstractNumId="6">
    <w:nsid w:val="64ADBB60"/>
    <w:multiLevelType w:val="singleLevel"/>
    <w:tmpl w:val="64ADBB60"/>
    <w:lvl w:ilvl="0" w:tentative="0">
      <w:start w:val="3"/>
      <w:numFmt w:val="chineseCounting"/>
      <w:suff w:val="nothing"/>
      <w:lvlText w:val="（%1）"/>
      <w:lvlJc w:val="left"/>
      <w:rPr>
        <w:rFonts w:hint="eastAsia"/>
      </w:rPr>
    </w:lvl>
  </w:abstractNum>
  <w:abstractNum w:abstractNumId="7">
    <w:nsid w:val="6E729A6B"/>
    <w:multiLevelType w:val="singleLevel"/>
    <w:tmpl w:val="6E729A6B"/>
    <w:lvl w:ilvl="0" w:tentative="0">
      <w:start w:val="2"/>
      <w:numFmt w:val="chineseCounting"/>
      <w:suff w:val="nothing"/>
      <w:lvlText w:val="（%1）"/>
      <w:lvlJc w:val="left"/>
      <w:rPr>
        <w:rFonts w:hint="eastAsia"/>
      </w:rPr>
    </w:lvl>
  </w:abstractNum>
  <w:num w:numId="1">
    <w:abstractNumId w:val="5"/>
  </w:num>
  <w:num w:numId="2">
    <w:abstractNumId w:val="0"/>
  </w:num>
  <w:num w:numId="3">
    <w:abstractNumId w:val="1"/>
  </w:num>
  <w:num w:numId="4">
    <w:abstractNumId w:val="4"/>
  </w:num>
  <w:num w:numId="5">
    <w:abstractNumId w:val="3"/>
  </w:num>
  <w:num w:numId="6">
    <w:abstractNumId w:val="7"/>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RiNDZkZDBlMmNkMTVhYTk1NGMzYzBhYTRkMzkzZDE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106B"/>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1B36BD0"/>
    <w:rsid w:val="02B80216"/>
    <w:rsid w:val="02FEBE30"/>
    <w:rsid w:val="030F1665"/>
    <w:rsid w:val="04916F1E"/>
    <w:rsid w:val="04EE35BF"/>
    <w:rsid w:val="052D3FC7"/>
    <w:rsid w:val="061E35DE"/>
    <w:rsid w:val="063F59DB"/>
    <w:rsid w:val="066E0107"/>
    <w:rsid w:val="07552981"/>
    <w:rsid w:val="07996F6E"/>
    <w:rsid w:val="07DFD8BA"/>
    <w:rsid w:val="087B67B0"/>
    <w:rsid w:val="09867E8F"/>
    <w:rsid w:val="09FB7DFE"/>
    <w:rsid w:val="0A2032A3"/>
    <w:rsid w:val="0B8D339F"/>
    <w:rsid w:val="0C8307B6"/>
    <w:rsid w:val="0CA8290A"/>
    <w:rsid w:val="0D35B1ED"/>
    <w:rsid w:val="0E254B6B"/>
    <w:rsid w:val="0E3540AB"/>
    <w:rsid w:val="0E7B03C8"/>
    <w:rsid w:val="0F98263C"/>
    <w:rsid w:val="101860EC"/>
    <w:rsid w:val="101F47CC"/>
    <w:rsid w:val="1058475A"/>
    <w:rsid w:val="10C055FF"/>
    <w:rsid w:val="11525735"/>
    <w:rsid w:val="11694EBD"/>
    <w:rsid w:val="11772AA4"/>
    <w:rsid w:val="118107EC"/>
    <w:rsid w:val="11C2175E"/>
    <w:rsid w:val="12324E13"/>
    <w:rsid w:val="12955EAD"/>
    <w:rsid w:val="12C8302A"/>
    <w:rsid w:val="12E24EE2"/>
    <w:rsid w:val="137F104A"/>
    <w:rsid w:val="13D50BC4"/>
    <w:rsid w:val="141A488D"/>
    <w:rsid w:val="14B17F78"/>
    <w:rsid w:val="15D2575D"/>
    <w:rsid w:val="165E0673"/>
    <w:rsid w:val="16B831D5"/>
    <w:rsid w:val="16BB723D"/>
    <w:rsid w:val="17837933"/>
    <w:rsid w:val="17E50567"/>
    <w:rsid w:val="181549DB"/>
    <w:rsid w:val="186504BB"/>
    <w:rsid w:val="193F7F0D"/>
    <w:rsid w:val="19A445FC"/>
    <w:rsid w:val="1A147FD0"/>
    <w:rsid w:val="1B440441"/>
    <w:rsid w:val="1BE8440E"/>
    <w:rsid w:val="1D155CEE"/>
    <w:rsid w:val="1D1638FE"/>
    <w:rsid w:val="1E312DEB"/>
    <w:rsid w:val="1E6E167D"/>
    <w:rsid w:val="1E740ACF"/>
    <w:rsid w:val="1EA24383"/>
    <w:rsid w:val="1FF35744"/>
    <w:rsid w:val="1FF6BC77"/>
    <w:rsid w:val="201E137B"/>
    <w:rsid w:val="20930C62"/>
    <w:rsid w:val="2186353C"/>
    <w:rsid w:val="232C6A8B"/>
    <w:rsid w:val="23860B96"/>
    <w:rsid w:val="23887CF0"/>
    <w:rsid w:val="240371BF"/>
    <w:rsid w:val="244F3473"/>
    <w:rsid w:val="24C97D99"/>
    <w:rsid w:val="25A718F0"/>
    <w:rsid w:val="25BB59F6"/>
    <w:rsid w:val="260C26F4"/>
    <w:rsid w:val="260F557C"/>
    <w:rsid w:val="26970054"/>
    <w:rsid w:val="26E33FFD"/>
    <w:rsid w:val="27B92CBD"/>
    <w:rsid w:val="280451E0"/>
    <w:rsid w:val="281408E2"/>
    <w:rsid w:val="2873387A"/>
    <w:rsid w:val="29D9625D"/>
    <w:rsid w:val="29FD04D3"/>
    <w:rsid w:val="2BEE0BB4"/>
    <w:rsid w:val="2BFF7BC6"/>
    <w:rsid w:val="2C37313A"/>
    <w:rsid w:val="2C8A61B5"/>
    <w:rsid w:val="2DD81875"/>
    <w:rsid w:val="2DF04E50"/>
    <w:rsid w:val="2E586DFA"/>
    <w:rsid w:val="2ECA39BA"/>
    <w:rsid w:val="2F040D46"/>
    <w:rsid w:val="2F6B035B"/>
    <w:rsid w:val="2FAE5751"/>
    <w:rsid w:val="2FB1A395"/>
    <w:rsid w:val="2FD9A7D8"/>
    <w:rsid w:val="2FDBF714"/>
    <w:rsid w:val="30AB6865"/>
    <w:rsid w:val="30EB429A"/>
    <w:rsid w:val="319F7F4E"/>
    <w:rsid w:val="31AD68E8"/>
    <w:rsid w:val="32BD1EF1"/>
    <w:rsid w:val="3304709D"/>
    <w:rsid w:val="336559E2"/>
    <w:rsid w:val="33A773CB"/>
    <w:rsid w:val="33EB1E15"/>
    <w:rsid w:val="344405E9"/>
    <w:rsid w:val="349D6851"/>
    <w:rsid w:val="36AA5135"/>
    <w:rsid w:val="36BE0DA7"/>
    <w:rsid w:val="36E22F71"/>
    <w:rsid w:val="376B6AA6"/>
    <w:rsid w:val="376D39B2"/>
    <w:rsid w:val="37E16F03"/>
    <w:rsid w:val="37F53A3B"/>
    <w:rsid w:val="389B6C89"/>
    <w:rsid w:val="38D469F0"/>
    <w:rsid w:val="39627CCD"/>
    <w:rsid w:val="397BAF1F"/>
    <w:rsid w:val="3A8F302F"/>
    <w:rsid w:val="3AB79AF3"/>
    <w:rsid w:val="3AD222BE"/>
    <w:rsid w:val="3AE834C0"/>
    <w:rsid w:val="3B7EF35A"/>
    <w:rsid w:val="3B9FDB6C"/>
    <w:rsid w:val="3BF5BC2F"/>
    <w:rsid w:val="3CEBA265"/>
    <w:rsid w:val="3D98207C"/>
    <w:rsid w:val="3DEE7CF3"/>
    <w:rsid w:val="3E740A63"/>
    <w:rsid w:val="3E78745D"/>
    <w:rsid w:val="3EE17838"/>
    <w:rsid w:val="3F55381A"/>
    <w:rsid w:val="3F7F7599"/>
    <w:rsid w:val="3FF4CAE0"/>
    <w:rsid w:val="3FF7B227"/>
    <w:rsid w:val="40737270"/>
    <w:rsid w:val="42FF0960"/>
    <w:rsid w:val="445552E9"/>
    <w:rsid w:val="44A83646"/>
    <w:rsid w:val="44E268DA"/>
    <w:rsid w:val="450D13D7"/>
    <w:rsid w:val="45506656"/>
    <w:rsid w:val="486A6C7A"/>
    <w:rsid w:val="4A3C7735"/>
    <w:rsid w:val="4A627F82"/>
    <w:rsid w:val="4B0E749A"/>
    <w:rsid w:val="4B2477C4"/>
    <w:rsid w:val="4B4F25DA"/>
    <w:rsid w:val="4B723A4E"/>
    <w:rsid w:val="4BE068DB"/>
    <w:rsid w:val="4D577224"/>
    <w:rsid w:val="4D7D24C3"/>
    <w:rsid w:val="4DBF1CEB"/>
    <w:rsid w:val="4DF0007C"/>
    <w:rsid w:val="4EAB630A"/>
    <w:rsid w:val="4ECE2238"/>
    <w:rsid w:val="4F3C4402"/>
    <w:rsid w:val="4F833267"/>
    <w:rsid w:val="4FBB0A8A"/>
    <w:rsid w:val="4FD72B23"/>
    <w:rsid w:val="4FE9BD67"/>
    <w:rsid w:val="4FFB052F"/>
    <w:rsid w:val="509F56E0"/>
    <w:rsid w:val="529620AE"/>
    <w:rsid w:val="52C61160"/>
    <w:rsid w:val="537E6D0A"/>
    <w:rsid w:val="53F74C96"/>
    <w:rsid w:val="543A77DF"/>
    <w:rsid w:val="55170BA8"/>
    <w:rsid w:val="553218C9"/>
    <w:rsid w:val="555C6CBA"/>
    <w:rsid w:val="567E1AA5"/>
    <w:rsid w:val="56AA2565"/>
    <w:rsid w:val="56E47B74"/>
    <w:rsid w:val="57175D52"/>
    <w:rsid w:val="579D448B"/>
    <w:rsid w:val="57BD3DD4"/>
    <w:rsid w:val="582D1BD5"/>
    <w:rsid w:val="58342AEA"/>
    <w:rsid w:val="58461AB3"/>
    <w:rsid w:val="59E4754B"/>
    <w:rsid w:val="59EE3DC8"/>
    <w:rsid w:val="5A4006AD"/>
    <w:rsid w:val="5AD11A54"/>
    <w:rsid w:val="5AF92295"/>
    <w:rsid w:val="5B250254"/>
    <w:rsid w:val="5BDD79E6"/>
    <w:rsid w:val="5BF561CA"/>
    <w:rsid w:val="5BFF5DFC"/>
    <w:rsid w:val="5CD71FC4"/>
    <w:rsid w:val="5D1F11B5"/>
    <w:rsid w:val="5D695134"/>
    <w:rsid w:val="5DAE1B18"/>
    <w:rsid w:val="5DE7D9E5"/>
    <w:rsid w:val="5E006789"/>
    <w:rsid w:val="5ECEC941"/>
    <w:rsid w:val="5FBF9FF3"/>
    <w:rsid w:val="5FCD4E2C"/>
    <w:rsid w:val="5FEF394A"/>
    <w:rsid w:val="5FF67715"/>
    <w:rsid w:val="608E5CCE"/>
    <w:rsid w:val="621737D7"/>
    <w:rsid w:val="62BF3928"/>
    <w:rsid w:val="63B3701E"/>
    <w:rsid w:val="647F5392"/>
    <w:rsid w:val="65E66580"/>
    <w:rsid w:val="664B1D71"/>
    <w:rsid w:val="664B4E8E"/>
    <w:rsid w:val="67277B67"/>
    <w:rsid w:val="67AA3209"/>
    <w:rsid w:val="689E42BA"/>
    <w:rsid w:val="69126A56"/>
    <w:rsid w:val="691307BF"/>
    <w:rsid w:val="698D0931"/>
    <w:rsid w:val="69DD3320"/>
    <w:rsid w:val="6A7FE5F3"/>
    <w:rsid w:val="6AE33C34"/>
    <w:rsid w:val="6B053271"/>
    <w:rsid w:val="6BDD78B3"/>
    <w:rsid w:val="6C4A05C8"/>
    <w:rsid w:val="6C8742B8"/>
    <w:rsid w:val="6D08089B"/>
    <w:rsid w:val="6D2917A9"/>
    <w:rsid w:val="6D9679C7"/>
    <w:rsid w:val="6DBF5E93"/>
    <w:rsid w:val="6DFF077E"/>
    <w:rsid w:val="6E714EF0"/>
    <w:rsid w:val="6E7E3605"/>
    <w:rsid w:val="6E7FDCC7"/>
    <w:rsid w:val="6ED6A62E"/>
    <w:rsid w:val="6EE00B15"/>
    <w:rsid w:val="6F20011E"/>
    <w:rsid w:val="6F336CB4"/>
    <w:rsid w:val="6F6FB3EB"/>
    <w:rsid w:val="6F8731EA"/>
    <w:rsid w:val="6F97331F"/>
    <w:rsid w:val="6FCE6052"/>
    <w:rsid w:val="6FD57C00"/>
    <w:rsid w:val="6FEFFFD8"/>
    <w:rsid w:val="6FF5CC65"/>
    <w:rsid w:val="6FFB47EC"/>
    <w:rsid w:val="6FFF034A"/>
    <w:rsid w:val="70375E10"/>
    <w:rsid w:val="70484440"/>
    <w:rsid w:val="708129AD"/>
    <w:rsid w:val="712A28F1"/>
    <w:rsid w:val="715C0E4B"/>
    <w:rsid w:val="71992E7C"/>
    <w:rsid w:val="72233669"/>
    <w:rsid w:val="72734D90"/>
    <w:rsid w:val="72B700B6"/>
    <w:rsid w:val="72CC13A7"/>
    <w:rsid w:val="73160E6D"/>
    <w:rsid w:val="7332FE48"/>
    <w:rsid w:val="73792B48"/>
    <w:rsid w:val="73AB61DA"/>
    <w:rsid w:val="73AD73D5"/>
    <w:rsid w:val="73B6EB34"/>
    <w:rsid w:val="73FA497D"/>
    <w:rsid w:val="744731E5"/>
    <w:rsid w:val="74BBD01D"/>
    <w:rsid w:val="74ED5379"/>
    <w:rsid w:val="7569489B"/>
    <w:rsid w:val="75DEEEC2"/>
    <w:rsid w:val="75E32345"/>
    <w:rsid w:val="76E3355F"/>
    <w:rsid w:val="76FF5125"/>
    <w:rsid w:val="776F6FFA"/>
    <w:rsid w:val="778769C8"/>
    <w:rsid w:val="77A75DCA"/>
    <w:rsid w:val="77DC22F5"/>
    <w:rsid w:val="77E450F1"/>
    <w:rsid w:val="783E271A"/>
    <w:rsid w:val="78616DE9"/>
    <w:rsid w:val="78935F8D"/>
    <w:rsid w:val="78CF1617"/>
    <w:rsid w:val="78E875D7"/>
    <w:rsid w:val="79086DAD"/>
    <w:rsid w:val="79D7FD79"/>
    <w:rsid w:val="79DF42A9"/>
    <w:rsid w:val="79EE5BA4"/>
    <w:rsid w:val="7A894339"/>
    <w:rsid w:val="7AD284E8"/>
    <w:rsid w:val="7AFF7572"/>
    <w:rsid w:val="7B6C7DFB"/>
    <w:rsid w:val="7BBFBED0"/>
    <w:rsid w:val="7BC3E394"/>
    <w:rsid w:val="7C0C1B00"/>
    <w:rsid w:val="7C0C2330"/>
    <w:rsid w:val="7C1C4D1F"/>
    <w:rsid w:val="7C1F3737"/>
    <w:rsid w:val="7CBFC87B"/>
    <w:rsid w:val="7CFE0F48"/>
    <w:rsid w:val="7D272ABC"/>
    <w:rsid w:val="7D2E22E0"/>
    <w:rsid w:val="7D7EC23E"/>
    <w:rsid w:val="7E081CC6"/>
    <w:rsid w:val="7E4412F7"/>
    <w:rsid w:val="7E8ADEBF"/>
    <w:rsid w:val="7E9A54B7"/>
    <w:rsid w:val="7EEF11D3"/>
    <w:rsid w:val="7EFE4840"/>
    <w:rsid w:val="7F0971A6"/>
    <w:rsid w:val="7F1D62E7"/>
    <w:rsid w:val="7F315A30"/>
    <w:rsid w:val="7F3F679B"/>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7FFA32EC"/>
    <w:rsid w:val="99FF2014"/>
    <w:rsid w:val="9BF69FF8"/>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7D5DF2"/>
    <w:rsid w:val="EFBFB2F4"/>
    <w:rsid w:val="EFBFFA21"/>
    <w:rsid w:val="F2BEBCB8"/>
    <w:rsid w:val="F36FB518"/>
    <w:rsid w:val="F3DE1A04"/>
    <w:rsid w:val="F3F722E5"/>
    <w:rsid w:val="F4FBCD07"/>
    <w:rsid w:val="F8D6A839"/>
    <w:rsid w:val="FA5F1E70"/>
    <w:rsid w:val="FA5FDB97"/>
    <w:rsid w:val="FB7F486A"/>
    <w:rsid w:val="FBFF5B2E"/>
    <w:rsid w:val="FD7FFE2B"/>
    <w:rsid w:val="FDEE196B"/>
    <w:rsid w:val="FDFE6575"/>
    <w:rsid w:val="FEDFDDC2"/>
    <w:rsid w:val="FEED32F6"/>
    <w:rsid w:val="FEF781DD"/>
    <w:rsid w:val="FF3F7E3F"/>
    <w:rsid w:val="FFBA12D7"/>
    <w:rsid w:val="FFCBD314"/>
    <w:rsid w:val="FFDBCE83"/>
    <w:rsid w:val="FFDFF91C"/>
    <w:rsid w:val="FFDFFAEE"/>
    <w:rsid w:val="FFEF6777"/>
    <w:rsid w:val="FFF9B57B"/>
    <w:rsid w:val="FFFD05C9"/>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3"/>
    <w:unhideWhenUsed/>
    <w:qFormat/>
    <w:uiPriority w:val="9"/>
    <w:pPr>
      <w:keepNext/>
      <w:keepLines/>
      <w:spacing w:before="260" w:after="260" w:line="416" w:lineRule="auto"/>
      <w:outlineLvl w:val="2"/>
    </w:pPr>
    <w:rPr>
      <w:b/>
      <w:bCs/>
      <w:sz w:val="32"/>
      <w:szCs w:val="32"/>
    </w:rPr>
  </w:style>
  <w:style w:type="paragraph" w:styleId="6">
    <w:name w:val="heading 4"/>
    <w:basedOn w:val="1"/>
    <w:next w:val="1"/>
    <w:qFormat/>
    <w:uiPriority w:val="0"/>
    <w:pPr>
      <w:spacing w:before="240" w:after="180"/>
    </w:pPr>
    <w:rPr>
      <w:b/>
      <w:sz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30"/>
    <w:qFormat/>
    <w:uiPriority w:val="99"/>
    <w:pPr>
      <w:spacing w:beforeLines="30"/>
    </w:pPr>
    <w:rPr>
      <w:rFonts w:ascii="仿宋_GB2312" w:eastAsia="仿宋_GB2312"/>
      <w:kern w:val="0"/>
      <w:sz w:val="30"/>
    </w:rPr>
  </w:style>
  <w:style w:type="paragraph" w:styleId="7">
    <w:name w:val="Body Text Indent"/>
    <w:basedOn w:val="1"/>
    <w:next w:val="8"/>
    <w:qFormat/>
    <w:uiPriority w:val="0"/>
    <w:pPr>
      <w:spacing w:after="120"/>
      <w:ind w:leftChars="200"/>
    </w:pPr>
    <w:rPr>
      <w:rFonts w:ascii="仿宋_GB2312"/>
      <w:szCs w:val="32"/>
    </w:rPr>
  </w:style>
  <w:style w:type="paragraph" w:styleId="8">
    <w:name w:val="Body Text First Indent 2"/>
    <w:basedOn w:val="7"/>
    <w:next w:val="1"/>
    <w:unhideWhenUsed/>
    <w:qFormat/>
    <w:uiPriority w:val="99"/>
    <w:pPr>
      <w:ind w:firstLine="420" w:firstLineChars="200"/>
    </w:p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4"/>
    <w:semiHidden/>
    <w:unhideWhenUsed/>
    <w:qFormat/>
    <w:uiPriority w:val="99"/>
    <w:rPr>
      <w:sz w:val="18"/>
      <w:szCs w:val="18"/>
    </w:rPr>
  </w:style>
  <w:style w:type="paragraph" w:styleId="11">
    <w:name w:val="footer"/>
    <w:basedOn w:val="1"/>
    <w:link w:val="28"/>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6"/>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footnote text"/>
    <w:basedOn w:val="1"/>
    <w:next w:val="8"/>
    <w:semiHidden/>
    <w:qFormat/>
    <w:uiPriority w:val="0"/>
    <w:pPr>
      <w:snapToGrid w:val="0"/>
      <w:jc w:val="left"/>
    </w:pPr>
    <w:rPr>
      <w:sz w:val="18"/>
      <w:szCs w:val="18"/>
    </w:rPr>
  </w:style>
  <w:style w:type="paragraph" w:styleId="15">
    <w:name w:val="toc 2"/>
    <w:basedOn w:val="1"/>
    <w:next w:val="1"/>
    <w:unhideWhenUsed/>
    <w:qFormat/>
    <w:uiPriority w:val="39"/>
    <w:pPr>
      <w:tabs>
        <w:tab w:val="right" w:leader="dot" w:pos="8296"/>
      </w:tabs>
      <w:ind w:left="420" w:leftChars="200"/>
    </w:pPr>
  </w:style>
  <w:style w:type="table" w:styleId="17">
    <w:name w:val="Table Grid"/>
    <w:basedOn w:val="16"/>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blHeader/>
    </w:trPr>
    <w:tcPr>
      <w:shd w:val="clear" w:color="auto" w:fill="auto"/>
    </w:tcPr>
  </w:style>
  <w:style w:type="character" w:styleId="19">
    <w:name w:val="Strong"/>
    <w:basedOn w:val="18"/>
    <w:qFormat/>
    <w:uiPriority w:val="99"/>
    <w:rPr>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character" w:customStyle="1" w:styleId="21">
    <w:name w:val="标题 1 Char"/>
    <w:basedOn w:val="18"/>
    <w:link w:val="3"/>
    <w:qFormat/>
    <w:uiPriority w:val="9"/>
    <w:rPr>
      <w:rFonts w:ascii="Times New Roman" w:hAnsi="Times New Roman"/>
      <w:b/>
      <w:bCs/>
      <w:kern w:val="44"/>
      <w:sz w:val="44"/>
      <w:szCs w:val="44"/>
    </w:rPr>
  </w:style>
  <w:style w:type="character" w:customStyle="1" w:styleId="22">
    <w:name w:val="标题 2 Char"/>
    <w:basedOn w:val="18"/>
    <w:link w:val="4"/>
    <w:qFormat/>
    <w:uiPriority w:val="9"/>
    <w:rPr>
      <w:rFonts w:asciiTheme="majorHAnsi" w:hAnsiTheme="majorHAnsi" w:eastAsiaTheme="majorEastAsia" w:cstheme="majorBidi"/>
      <w:b/>
      <w:bCs/>
      <w:kern w:val="2"/>
      <w:sz w:val="32"/>
      <w:szCs w:val="32"/>
    </w:rPr>
  </w:style>
  <w:style w:type="character" w:customStyle="1" w:styleId="23">
    <w:name w:val="标题 3 Char"/>
    <w:basedOn w:val="18"/>
    <w:link w:val="5"/>
    <w:qFormat/>
    <w:uiPriority w:val="9"/>
    <w:rPr>
      <w:rFonts w:ascii="Times New Roman" w:hAnsi="Times New Roman"/>
      <w:b/>
      <w:bCs/>
      <w:kern w:val="2"/>
      <w:sz w:val="32"/>
      <w:szCs w:val="32"/>
    </w:rPr>
  </w:style>
  <w:style w:type="paragraph" w:customStyle="1" w:styleId="24">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5">
    <w:name w:val="Header Char"/>
    <w:basedOn w:val="18"/>
    <w:semiHidden/>
    <w:qFormat/>
    <w:uiPriority w:val="99"/>
    <w:rPr>
      <w:rFonts w:ascii="Times New Roman" w:hAnsi="Times New Roman"/>
      <w:sz w:val="18"/>
      <w:szCs w:val="18"/>
    </w:rPr>
  </w:style>
  <w:style w:type="character" w:customStyle="1" w:styleId="26">
    <w:name w:val="页眉 Char"/>
    <w:link w:val="12"/>
    <w:semiHidden/>
    <w:qFormat/>
    <w:locked/>
    <w:uiPriority w:val="99"/>
    <w:rPr>
      <w:sz w:val="18"/>
    </w:rPr>
  </w:style>
  <w:style w:type="character" w:customStyle="1" w:styleId="27">
    <w:name w:val="Footer Char"/>
    <w:basedOn w:val="18"/>
    <w:semiHidden/>
    <w:qFormat/>
    <w:uiPriority w:val="99"/>
    <w:rPr>
      <w:rFonts w:ascii="Times New Roman" w:hAnsi="Times New Roman"/>
      <w:sz w:val="18"/>
      <w:szCs w:val="18"/>
    </w:rPr>
  </w:style>
  <w:style w:type="character" w:customStyle="1" w:styleId="28">
    <w:name w:val="页脚 Char"/>
    <w:link w:val="11"/>
    <w:qFormat/>
    <w:locked/>
    <w:uiPriority w:val="99"/>
    <w:rPr>
      <w:sz w:val="18"/>
    </w:rPr>
  </w:style>
  <w:style w:type="character" w:customStyle="1" w:styleId="29">
    <w:name w:val="Body Text Char"/>
    <w:basedOn w:val="18"/>
    <w:semiHidden/>
    <w:qFormat/>
    <w:uiPriority w:val="99"/>
    <w:rPr>
      <w:rFonts w:ascii="Times New Roman" w:hAnsi="Times New Roman"/>
      <w:szCs w:val="24"/>
    </w:rPr>
  </w:style>
  <w:style w:type="character" w:customStyle="1" w:styleId="30">
    <w:name w:val="正文文本 Char"/>
    <w:link w:val="2"/>
    <w:qFormat/>
    <w:locked/>
    <w:uiPriority w:val="99"/>
    <w:rPr>
      <w:rFonts w:ascii="仿宋_GB2312" w:hAnsi="Times New Roman" w:eastAsia="仿宋_GB2312"/>
      <w:sz w:val="24"/>
    </w:rPr>
  </w:style>
  <w:style w:type="paragraph" w:customStyle="1" w:styleId="31">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2">
    <w:name w:val="List Paragraph"/>
    <w:basedOn w:val="1"/>
    <w:qFormat/>
    <w:uiPriority w:val="34"/>
    <w:pPr>
      <w:ind w:firstLine="420" w:firstLineChars="200"/>
    </w:pPr>
  </w:style>
  <w:style w:type="paragraph" w:customStyle="1" w:styleId="33">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4">
    <w:name w:val="批注框文本 Char"/>
    <w:basedOn w:val="18"/>
    <w:link w:val="10"/>
    <w:semiHidden/>
    <w:qFormat/>
    <w:uiPriority w:val="99"/>
    <w:rPr>
      <w:rFonts w:ascii="Times New Roman" w:hAnsi="Times New Roman"/>
      <w:kern w:val="2"/>
      <w:sz w:val="18"/>
      <w:szCs w:val="18"/>
    </w:rPr>
  </w:style>
  <w:style w:type="paragraph" w:customStyle="1" w:styleId="35">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6">
    <w:name w:val="四号正文"/>
    <w:basedOn w:val="1"/>
    <w:qFormat/>
    <w:uiPriority w:val="0"/>
    <w:pPr>
      <w:spacing w:line="360" w:lineRule="auto"/>
    </w:pPr>
    <w:rPr>
      <w:rFonts w:ascii="??" w:hAnsi="??" w:eastAsia="宋体"/>
      <w:color w:val="000000"/>
      <w:kern w:val="0"/>
      <w:sz w:val="28"/>
      <w:szCs w:val="21"/>
      <w:lang w:val="zh-CN" w:eastAsia="zh-CN"/>
    </w:rPr>
  </w:style>
  <w:style w:type="character" w:customStyle="1" w:styleId="37">
    <w:name w:val="font31"/>
    <w:basedOn w:val="18"/>
    <w:qFormat/>
    <w:uiPriority w:val="0"/>
    <w:rPr>
      <w:rFonts w:hint="eastAsia" w:ascii="黑体" w:hAnsi="黑体" w:eastAsia="黑体" w:cs="黑体"/>
      <w:color w:val="000000"/>
      <w:sz w:val="18"/>
      <w:szCs w:val="18"/>
      <w:u w:val="none"/>
    </w:rPr>
  </w:style>
  <w:style w:type="character" w:customStyle="1" w:styleId="38">
    <w:name w:val="font51"/>
    <w:basedOn w:val="18"/>
    <w:qFormat/>
    <w:uiPriority w:val="0"/>
    <w:rPr>
      <w:rFonts w:ascii="仿宋" w:hAnsi="仿宋" w:eastAsia="仿宋" w:cs="仿宋"/>
      <w:color w:val="000000"/>
      <w:sz w:val="18"/>
      <w:szCs w:val="18"/>
      <w:u w:val="none"/>
    </w:rPr>
  </w:style>
  <w:style w:type="character" w:customStyle="1" w:styleId="39">
    <w:name w:val="font11"/>
    <w:basedOn w:val="18"/>
    <w:qFormat/>
    <w:uiPriority w:val="0"/>
    <w:rPr>
      <w:rFonts w:hint="eastAsia" w:ascii="黑体" w:hAnsi="宋体" w:eastAsia="黑体" w:cs="黑体"/>
      <w:b/>
      <w:bCs/>
      <w:color w:val="000000"/>
      <w:sz w:val="24"/>
      <w:szCs w:val="24"/>
      <w:u w:val="none"/>
    </w:rPr>
  </w:style>
  <w:style w:type="character" w:customStyle="1" w:styleId="40">
    <w:name w:val="font21"/>
    <w:basedOn w:val="18"/>
    <w:qFormat/>
    <w:uiPriority w:val="0"/>
    <w:rPr>
      <w:rFonts w:ascii="sim sun" w:hAnsi="sim sun" w:eastAsia="sim sun" w:cs="sim sun"/>
      <w:b/>
      <w:bCs/>
      <w:color w:val="000000"/>
      <w:sz w:val="24"/>
      <w:szCs w:val="24"/>
      <w:u w:val="none"/>
    </w:rPr>
  </w:style>
  <w:style w:type="character" w:customStyle="1" w:styleId="41">
    <w:name w:val="font41"/>
    <w:basedOn w:val="18"/>
    <w:qFormat/>
    <w:uiPriority w:val="0"/>
    <w:rPr>
      <w:rFonts w:hint="default" w:ascii="sim sun" w:hAnsi="sim sun" w:eastAsia="sim sun" w:cs="sim sun"/>
      <w:color w:val="000000"/>
      <w:sz w:val="18"/>
      <w:szCs w:val="18"/>
      <w:u w:val="none"/>
    </w:rPr>
  </w:style>
  <w:style w:type="character" w:customStyle="1" w:styleId="42">
    <w:name w:val="font81"/>
    <w:basedOn w:val="18"/>
    <w:qFormat/>
    <w:uiPriority w:val="0"/>
    <w:rPr>
      <w:rFonts w:hint="eastAsia" w:ascii="宋体" w:hAnsi="宋体" w:eastAsia="宋体" w:cs="宋体"/>
      <w:color w:val="000000"/>
      <w:sz w:val="18"/>
      <w:szCs w:val="18"/>
      <w:u w:val="none"/>
    </w:rPr>
  </w:style>
  <w:style w:type="character" w:customStyle="1" w:styleId="43">
    <w:name w:val="font112"/>
    <w:basedOn w:val="18"/>
    <w:qFormat/>
    <w:uiPriority w:val="0"/>
    <w:rPr>
      <w:rFonts w:hint="eastAsia" w:ascii="宋体" w:hAnsi="宋体" w:eastAsia="宋体" w:cs="宋体"/>
      <w:color w:val="000000"/>
      <w:sz w:val="20"/>
      <w:szCs w:val="20"/>
      <w:u w:val="none"/>
    </w:rPr>
  </w:style>
  <w:style w:type="character" w:customStyle="1" w:styleId="44">
    <w:name w:val="font121"/>
    <w:basedOn w:val="18"/>
    <w:qFormat/>
    <w:uiPriority w:val="0"/>
    <w:rPr>
      <w:rFonts w:hint="eastAsia" w:ascii="宋体" w:hAnsi="宋体" w:eastAsia="宋体" w:cs="宋体"/>
      <w:color w:val="000000"/>
      <w:sz w:val="20"/>
      <w:szCs w:val="20"/>
      <w:u w:val="none"/>
    </w:rPr>
  </w:style>
  <w:style w:type="character" w:customStyle="1" w:styleId="45">
    <w:name w:val="font71"/>
    <w:basedOn w:val="18"/>
    <w:qFormat/>
    <w:uiPriority w:val="0"/>
    <w:rPr>
      <w:rFonts w:hint="eastAsia" w:ascii="宋体" w:hAnsi="宋体" w:eastAsia="宋体" w:cs="宋体"/>
      <w:color w:val="000000"/>
      <w:sz w:val="20"/>
      <w:szCs w:val="20"/>
      <w:u w:val="none"/>
    </w:rPr>
  </w:style>
  <w:style w:type="character" w:customStyle="1" w:styleId="46">
    <w:name w:val="font91"/>
    <w:basedOn w:val="18"/>
    <w:qFormat/>
    <w:uiPriority w:val="0"/>
    <w:rPr>
      <w:rFonts w:hint="eastAsia" w:ascii="宋体" w:hAnsi="宋体" w:eastAsia="宋体" w:cs="宋体"/>
      <w:color w:val="000000"/>
      <w:sz w:val="20"/>
      <w:szCs w:val="20"/>
      <w:u w:val="none"/>
    </w:rPr>
  </w:style>
  <w:style w:type="paragraph" w:customStyle="1" w:styleId="47">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chart" Target="charts/chart6.xml"/><Relationship Id="rId18" Type="http://schemas.openxmlformats.org/officeDocument/2006/relationships/chart" Target="charts/chart5.xml"/><Relationship Id="rId17" Type="http://schemas.openxmlformats.org/officeDocument/2006/relationships/chart" Target="charts/chart4.xml"/><Relationship Id="rId16" Type="http://schemas.openxmlformats.org/officeDocument/2006/relationships/chart" Target="charts/chart3.xml"/><Relationship Id="rId15" Type="http://schemas.openxmlformats.org/officeDocument/2006/relationships/chart" Target="charts/chart2.xml"/><Relationship Id="rId14" Type="http://schemas.openxmlformats.org/officeDocument/2006/relationships/chart" Target="charts/chart1.xml"/><Relationship Id="rId13" Type="http://schemas.openxmlformats.org/officeDocument/2006/relationships/theme" Target="theme/theme1.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C:\Users\Administrator\Desktop\&#22270;&#34920;2024.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C:\Users\Administrator\Desktop\&#22270;&#34920;2024.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C:\Users\Administrator\Desktop\&#22270;&#34920;2024.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C:\Users\Administrator\Desktop\&#22270;&#34920;2024.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Administrator\Desktop\&#22270;&#34920;2024.xlsx"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Administrator\Desktop\&#22270;&#34920;202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[图表2024.xlsx]Sheet1!$A$1:$B$1</c:f>
              <c:strCache>
                <c:ptCount val="2"/>
                <c:pt idx="0">
                  <c:v>2023年度</c:v>
                </c:pt>
                <c:pt idx="1">
                  <c:v>2024年度</c:v>
                </c:pt>
              </c:strCache>
            </c:strRef>
          </c:cat>
          <c:val>
            <c:numRef>
              <c:f>[图表2024.xlsx]Sheet1!$A$2:$B$2</c:f>
              <c:numCache>
                <c:formatCode>#,##0.00</c:formatCode>
                <c:ptCount val="2"/>
                <c:pt idx="0">
                  <c:v>23521.75</c:v>
                </c:pt>
                <c:pt idx="1" c:formatCode="General">
                  <c:v>22146.16</c:v>
                </c:pt>
              </c:numCache>
            </c:numRef>
          </c:val>
        </c:ser>
        <c:dLbls>
          <c:showLegendKey val="false"/>
          <c:showVal val="true"/>
          <c:showCatName val="false"/>
          <c:showSerName val="false"/>
          <c:showPercent val="false"/>
          <c:showBubbleSize val="false"/>
        </c:dLbls>
        <c:gapWidth val="219"/>
        <c:overlap val="-27"/>
        <c:axId val="250552728"/>
        <c:axId val="248995433"/>
      </c:barChart>
      <c:catAx>
        <c:axId val="250552728"/>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248995433"/>
        <c:crosses val="autoZero"/>
        <c:auto val="true"/>
        <c:lblAlgn val="ctr"/>
        <c:lblOffset val="100"/>
        <c:noMultiLvlLbl val="false"/>
      </c:catAx>
      <c:valAx>
        <c:axId val="248995433"/>
        <c:scaling>
          <c:orientation val="minMax"/>
        </c:scaling>
        <c:delete val="false"/>
        <c:axPos val="l"/>
        <c:majorGridlines>
          <c:spPr>
            <a:ln w="9525" cap="flat" cmpd="sng" algn="ctr">
              <a:solidFill>
                <a:schemeClr val="tx1">
                  <a:lumMod val="15000"/>
                  <a:lumOff val="85000"/>
                </a:schemeClr>
              </a:solidFill>
              <a:round/>
            </a:ln>
            <a:effectLst/>
          </c:spPr>
        </c:majorGridlines>
        <c:numFmt formatCode="#,##0.00"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250552728"/>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[图表2024.xlsx]Sheet1!$H$1:$H$3</c:f>
              <c:strCache>
                <c:ptCount val="3"/>
                <c:pt idx="0">
                  <c:v>一般公共预算财政拨款收入</c:v>
                </c:pt>
                <c:pt idx="1">
                  <c:v>事业收入</c:v>
                </c:pt>
                <c:pt idx="2">
                  <c:v>其他收入</c:v>
                </c:pt>
              </c:strCache>
            </c:strRef>
          </c:cat>
          <c:val>
            <c:numRef>
              <c:f>[图表2024.xlsx]Sheet1!$I$1:$I$3</c:f>
              <c:numCache>
                <c:formatCode>General</c:formatCode>
                <c:ptCount val="3"/>
                <c:pt idx="0">
                  <c:v>13376.64</c:v>
                </c:pt>
                <c:pt idx="1">
                  <c:v>8080.6</c:v>
                </c:pt>
                <c:pt idx="2">
                  <c:v>6.38</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r"/>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[图表2024.xlsx]Sheet1!$N$1:$N$2</c:f>
              <c:strCache>
                <c:ptCount val="2"/>
                <c:pt idx="0">
                  <c:v>基本支出</c:v>
                </c:pt>
                <c:pt idx="1">
                  <c:v>项目支出</c:v>
                </c:pt>
              </c:strCache>
            </c:strRef>
          </c:cat>
          <c:val>
            <c:numRef>
              <c:f>[图表2024.xlsx]Sheet1!$O$1:$O$2</c:f>
              <c:numCache>
                <c:formatCode>General</c:formatCode>
                <c:ptCount val="2"/>
                <c:pt idx="0">
                  <c:v>13486.39</c:v>
                </c:pt>
                <c:pt idx="1">
                  <c:v>8250.15</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r"/>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[图表2024.xlsx]Sheet1!$A$24:$B$24</c:f>
              <c:strCache>
                <c:ptCount val="2"/>
                <c:pt idx="0">
                  <c:v>2023年度</c:v>
                </c:pt>
                <c:pt idx="1">
                  <c:v>2024年度</c:v>
                </c:pt>
              </c:strCache>
            </c:strRef>
          </c:cat>
          <c:val>
            <c:numRef>
              <c:f>[图表2024.xlsx]Sheet1!$A$25:$B$25</c:f>
              <c:numCache>
                <c:formatCode>#,##0.00</c:formatCode>
                <c:ptCount val="2"/>
                <c:pt idx="0">
                  <c:v>16472.95</c:v>
                </c:pt>
                <c:pt idx="1" c:formatCode="General">
                  <c:v>13419.04</c:v>
                </c:pt>
              </c:numCache>
            </c:numRef>
          </c:val>
        </c:ser>
        <c:dLbls>
          <c:showLegendKey val="false"/>
          <c:showVal val="true"/>
          <c:showCatName val="false"/>
          <c:showSerName val="false"/>
          <c:showPercent val="false"/>
          <c:showBubbleSize val="false"/>
        </c:dLbls>
        <c:gapWidth val="219"/>
        <c:overlap val="-27"/>
        <c:axId val="375441161"/>
        <c:axId val="462822780"/>
      </c:barChart>
      <c:catAx>
        <c:axId val="375441161"/>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462822780"/>
        <c:crosses val="autoZero"/>
        <c:auto val="true"/>
        <c:lblAlgn val="ctr"/>
        <c:lblOffset val="100"/>
        <c:noMultiLvlLbl val="false"/>
      </c:catAx>
      <c:valAx>
        <c:axId val="462822780"/>
        <c:scaling>
          <c:orientation val="minMax"/>
        </c:scaling>
        <c:delete val="false"/>
        <c:axPos val="l"/>
        <c:majorGridlines>
          <c:spPr>
            <a:ln w="9525" cap="flat" cmpd="sng" algn="ctr">
              <a:solidFill>
                <a:schemeClr val="tx1">
                  <a:lumMod val="15000"/>
                  <a:lumOff val="85000"/>
                </a:schemeClr>
              </a:solidFill>
              <a:round/>
            </a:ln>
            <a:effectLst/>
          </c:spPr>
        </c:majorGridlines>
        <c:numFmt formatCode="#,##0.00"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375441161"/>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[图表2024.xlsx]Sheet1!$H$27:$I$27</c:f>
              <c:strCache>
                <c:ptCount val="2"/>
                <c:pt idx="0">
                  <c:v>2023年度</c:v>
                </c:pt>
                <c:pt idx="1">
                  <c:v>2024年度</c:v>
                </c:pt>
              </c:strCache>
            </c:strRef>
          </c:cat>
          <c:val>
            <c:numRef>
              <c:f>[图表2024.xlsx]Sheet1!$H$28:$I$28</c:f>
              <c:numCache>
                <c:formatCode>#,##0.00_ </c:formatCode>
                <c:ptCount val="2"/>
                <c:pt idx="0">
                  <c:v>13410.55</c:v>
                </c:pt>
                <c:pt idx="1">
                  <c:v>13387.54</c:v>
                </c:pt>
              </c:numCache>
            </c:numRef>
          </c:val>
        </c:ser>
        <c:dLbls>
          <c:showLegendKey val="false"/>
          <c:showVal val="true"/>
          <c:showCatName val="false"/>
          <c:showSerName val="false"/>
          <c:showPercent val="false"/>
          <c:showBubbleSize val="false"/>
        </c:dLbls>
        <c:gapWidth val="219"/>
        <c:overlap val="-27"/>
        <c:axId val="290360351"/>
        <c:axId val="362822550"/>
      </c:barChart>
      <c:catAx>
        <c:axId val="290360351"/>
        <c:scaling>
          <c:orientation val="minMax"/>
        </c:scaling>
        <c:delete val="false"/>
        <c:axPos val="b"/>
        <c:majorTickMark val="out"/>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362822550"/>
        <c:crosses val="autoZero"/>
        <c:auto val="true"/>
        <c:lblAlgn val="ctr"/>
        <c:lblOffset val="100"/>
        <c:tickLblSkip val="1"/>
        <c:noMultiLvlLbl val="false"/>
      </c:catAx>
      <c:valAx>
        <c:axId val="362822550"/>
        <c:scaling>
          <c:orientation val="minMax"/>
          <c:min val="13000"/>
        </c:scaling>
        <c:delete val="false"/>
        <c:axPos val="l"/>
        <c:majorGridlines>
          <c:spPr>
            <a:ln w="9525" cap="flat" cmpd="sng" algn="ctr">
              <a:solidFill>
                <a:schemeClr val="tx1">
                  <a:lumMod val="15000"/>
                  <a:lumOff val="85000"/>
                </a:schemeClr>
              </a:solidFill>
              <a:round/>
            </a:ln>
            <a:effectLst/>
          </c:spPr>
        </c:majorGridlines>
        <c:numFmt formatCode="#,##0.00_ "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290360351"/>
        <c:crosses val="autoZero"/>
        <c:crossBetween val="between"/>
        <c:majorUnit val="100"/>
        <c:minorUnit val="2"/>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Pt>
            <c:idx val="3"/>
            <c:bubble3D val="false"/>
            <c:spPr>
              <a:solidFill>
                <a:schemeClr val="accent4"/>
              </a:solidFill>
              <a:ln w="19050">
                <a:solidFill>
                  <a:schemeClr val="lt1"/>
                </a:solidFill>
              </a:ln>
              <a:effectLst/>
            </c:spPr>
          </c:dPt>
          <c:dPt>
            <c:idx val="4"/>
            <c:bubble3D val="false"/>
            <c:spPr>
              <a:solidFill>
                <a:schemeClr val="accent5"/>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[图表2024.xlsx]Sheet1!$N$26:$N$30</c:f>
              <c:strCache>
                <c:ptCount val="5"/>
                <c:pt idx="0">
                  <c:v>教育支出</c:v>
                </c:pt>
                <c:pt idx="1">
                  <c:v>文化旅游体育与传媒支出</c:v>
                </c:pt>
                <c:pt idx="2">
                  <c:v>社会和保障就业支出</c:v>
                </c:pt>
                <c:pt idx="3">
                  <c:v>卫生健康支出</c:v>
                </c:pt>
                <c:pt idx="4">
                  <c:v>住房保障支出</c:v>
                </c:pt>
              </c:strCache>
            </c:strRef>
          </c:cat>
          <c:val>
            <c:numRef>
              <c:f>[图表2024.xlsx]Sheet1!$O$26:$O$30</c:f>
              <c:numCache>
                <c:formatCode>General</c:formatCode>
                <c:ptCount val="5"/>
                <c:pt idx="0">
                  <c:v>11368.78</c:v>
                </c:pt>
                <c:pt idx="1">
                  <c:v>20</c:v>
                </c:pt>
                <c:pt idx="2">
                  <c:v>1003.55</c:v>
                </c:pt>
                <c:pt idx="3">
                  <c:v>249.16</c:v>
                </c:pt>
                <c:pt idx="4">
                  <c:v>746.05</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r"/>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116</Pages>
  <Words>46291</Words>
  <Characters>51758</Characters>
  <Lines>61</Lines>
  <Paragraphs>17</Paragraphs>
  <TotalTime>23</TotalTime>
  <ScaleCrop>false</ScaleCrop>
  <LinksUpToDate>false</LinksUpToDate>
  <CharactersWithSpaces>52043</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2020-08-10T01:49:00Z</dcterms:created>
  <dc:creator>曹颖</dc:creator>
  <cp:lastModifiedBy> </cp:lastModifiedBy>
  <cp:lastPrinted>2025-08-07T09:34:00Z</cp:lastPrinted>
  <dcterms:modified xsi:type="dcterms:W3CDTF">2025-09-29T09:54:25Z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F5E70912E32C4B119057D29D10612AE6_13</vt:lpwstr>
  </property>
  <property fmtid="{D5CDD505-2E9C-101B-9397-08002B2CF9AE}" pid="4" name="KSOTemplateDocerSaveRecord">
    <vt:lpwstr>eyJoZGlkIjoiYTc2ZGZiNzZiNDVlOGViOWVmM2JhOTY0NGJkNjUyYzgiLCJ1c2VySWQiOiIyMjA2OTAwNTAifQ==</vt:lpwstr>
  </property>
</Properties>
</file>