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rPr>
          <w:rFonts w:ascii="方正小标宋简体" w:hAnsi="宋体" w:eastAsia="方正小标宋简体"/>
          <w:sz w:val="72"/>
          <w:szCs w:val="72"/>
        </w:rPr>
      </w:pPr>
    </w:p>
    <w:p>
      <w:pPr>
        <w:pStyle w:val="5"/>
        <w:pageBreakBefore w:val="0"/>
        <w:kinsoku/>
        <w:wordWrap/>
        <w:overflowPunct/>
        <w:topLinePunct w:val="0"/>
        <w:bidi w:val="0"/>
        <w:spacing w:beforeLines="0" w:line="576" w:lineRule="exact"/>
        <w:ind w:left="0" w:leftChars="0" w:right="0"/>
        <w:textAlignment w:val="auto"/>
      </w:pPr>
    </w:p>
    <w:p>
      <w:pPr>
        <w:pageBreakBefore w:val="0"/>
        <w:kinsoku/>
        <w:wordWrap/>
        <w:overflowPunct/>
        <w:topLinePunct w:val="0"/>
        <w:bidi w:val="0"/>
        <w:spacing w:line="576" w:lineRule="exact"/>
        <w:ind w:left="0" w:leftChars="0" w:right="0"/>
        <w:jc w:val="center"/>
        <w:textAlignment w:val="auto"/>
        <w:outlineLvl w:val="9"/>
        <w:rPr>
          <w:rFonts w:ascii="方正小标宋简体" w:hAnsi="宋体" w:eastAsia="方正小标宋简体"/>
          <w:sz w:val="72"/>
          <w:szCs w:val="72"/>
        </w:rPr>
      </w:pPr>
    </w:p>
    <w:p>
      <w:pPr>
        <w:autoSpaceDE w:val="0"/>
        <w:autoSpaceDN w:val="0"/>
        <w:adjustRightInd w:val="0"/>
        <w:spacing w:line="360" w:lineRule="auto"/>
        <w:jc w:val="center"/>
        <w:rPr>
          <w:rFonts w:ascii="方正小标宋简体" w:hAnsi="Calibri" w:eastAsia="方正小标宋简体" w:cs="方正小标宋简体"/>
          <w:kern w:val="2"/>
          <w:sz w:val="72"/>
          <w:szCs w:val="72"/>
          <w:lang w:val="zh-CN"/>
        </w:rPr>
      </w:pPr>
    </w:p>
    <w:p>
      <w:pPr>
        <w:autoSpaceDE w:val="0"/>
        <w:autoSpaceDN w:val="0"/>
        <w:adjustRightInd w:val="0"/>
        <w:spacing w:line="360" w:lineRule="auto"/>
        <w:jc w:val="center"/>
        <w:rPr>
          <w:rFonts w:ascii="方正小标宋简体" w:hAnsi="Calibri" w:eastAsia="方正小标宋简体" w:cs="方正小标宋简体"/>
          <w:kern w:val="2"/>
          <w:sz w:val="72"/>
          <w:szCs w:val="72"/>
          <w:lang w:val="zh-CN"/>
        </w:rPr>
      </w:pPr>
      <w:r>
        <w:rPr>
          <w:rFonts w:hint="eastAsia" w:ascii="方正小标宋简体" w:hAnsi="Calibri" w:eastAsia="方正小标宋简体" w:cs="方正小标宋简体"/>
          <w:kern w:val="2"/>
          <w:sz w:val="72"/>
          <w:szCs w:val="72"/>
          <w:lang w:val="zh-CN"/>
        </w:rPr>
        <w:t>202</w:t>
      </w:r>
      <w:r>
        <w:rPr>
          <w:rFonts w:hint="eastAsia" w:ascii="方正小标宋简体" w:hAnsi="Calibri" w:eastAsia="方正小标宋简体" w:cs="方正小标宋简体"/>
          <w:kern w:val="2"/>
          <w:sz w:val="72"/>
          <w:szCs w:val="72"/>
          <w:lang w:val="en-US" w:eastAsia="zh-CN"/>
        </w:rPr>
        <w:t>4</w:t>
      </w:r>
      <w:r>
        <w:rPr>
          <w:rFonts w:hint="eastAsia" w:ascii="方正小标宋简体" w:hAnsi="Calibri" w:eastAsia="方正小标宋简体" w:cs="方正小标宋简体"/>
          <w:kern w:val="2"/>
          <w:sz w:val="72"/>
          <w:szCs w:val="72"/>
          <w:lang w:val="zh-CN"/>
        </w:rPr>
        <w:t>年度</w:t>
      </w:r>
    </w:p>
    <w:p>
      <w:pPr>
        <w:autoSpaceDE w:val="0"/>
        <w:autoSpaceDN w:val="0"/>
        <w:adjustRightInd w:val="0"/>
        <w:spacing w:line="360" w:lineRule="auto"/>
        <w:jc w:val="center"/>
        <w:outlineLvl w:val="0"/>
        <w:rPr>
          <w:rFonts w:hint="eastAsia" w:ascii="黑体" w:hAnsi="黑体" w:eastAsia="黑体"/>
          <w:sz w:val="48"/>
          <w:szCs w:val="48"/>
        </w:rPr>
        <w:sectPr>
          <w:footerReference r:id="rId5" w:type="first"/>
          <w:headerReference r:id="rId3" w:type="default"/>
          <w:footerReference r:id="rId4" w:type="default"/>
          <w:pgSz w:w="11906" w:h="16838"/>
          <w:pgMar w:top="2098" w:right="1474" w:bottom="1984" w:left="1587" w:header="851" w:footer="992" w:gutter="0"/>
          <w:pgNumType w:fmt="decimal" w:start="1"/>
          <w:cols w:space="425" w:num="1"/>
          <w:titlePg/>
          <w:docGrid w:type="lines" w:linePitch="312" w:charSpace="0"/>
        </w:sectPr>
      </w:pPr>
      <w:bookmarkStart w:id="0" w:name="_Toc15377426"/>
      <w:bookmarkStart w:id="1" w:name="_Toc15378442"/>
      <w:bookmarkStart w:id="2" w:name="_Toc28952"/>
      <w:bookmarkStart w:id="3" w:name="_Toc15396476"/>
      <w:bookmarkStart w:id="4" w:name="_Toc15728"/>
      <w:bookmarkStart w:id="5" w:name="_Toc15377194"/>
      <w:bookmarkStart w:id="6" w:name="_Toc849"/>
      <w:bookmarkStart w:id="7" w:name="_Toc15396598"/>
      <w:r>
        <w:rPr>
          <w:rFonts w:hint="eastAsia" w:ascii="方正小标宋简体" w:hAnsi="Calibri" w:eastAsia="方正小标宋简体" w:cs="方正小标宋简体"/>
          <w:kern w:val="2"/>
          <w:sz w:val="72"/>
          <w:szCs w:val="72"/>
          <w:lang w:val="zh-CN"/>
        </w:rPr>
        <w:t>四川省</w:t>
      </w:r>
      <w:bookmarkStart w:id="8" w:name="_Toc15306268"/>
      <w:r>
        <w:rPr>
          <w:rFonts w:hint="eastAsia" w:ascii="方正小标宋简体" w:hAnsi="Calibri" w:eastAsia="方正小标宋简体" w:cs="方正小标宋简体"/>
          <w:kern w:val="2"/>
          <w:sz w:val="72"/>
          <w:szCs w:val="72"/>
          <w:lang w:val="zh-CN" w:eastAsia="zh-CN"/>
        </w:rPr>
        <w:t>广元市工商业联合会</w:t>
      </w:r>
      <w:r>
        <w:rPr>
          <w:rFonts w:hint="eastAsia" w:ascii="方正小标宋简体" w:hAnsi="Calibri" w:eastAsia="方正小标宋简体" w:cs="方正小标宋简体"/>
          <w:kern w:val="2"/>
          <w:sz w:val="72"/>
          <w:szCs w:val="72"/>
          <w:lang w:val="zh-CN"/>
        </w:rPr>
        <w:t>部门决算</w:t>
      </w:r>
      <w:bookmarkEnd w:id="0"/>
      <w:bookmarkEnd w:id="1"/>
      <w:bookmarkEnd w:id="2"/>
      <w:bookmarkEnd w:id="3"/>
      <w:bookmarkEnd w:id="4"/>
      <w:bookmarkEnd w:id="5"/>
      <w:bookmarkEnd w:id="6"/>
      <w:bookmarkEnd w:id="7"/>
      <w:bookmarkEnd w:id="8"/>
    </w:p>
    <w:p>
      <w:pPr>
        <w:pStyle w:val="11"/>
        <w:rPr>
          <w:rFonts w:eastAsia="黑体" w:cstheme="minorBidi"/>
          <w:sz w:val="28"/>
          <w:szCs w:val="28"/>
        </w:rPr>
      </w:pPr>
    </w:p>
    <w:p>
      <w:pPr>
        <w:spacing w:before="0" w:beforeLines="0" w:after="0" w:afterLines="0" w:line="240" w:lineRule="auto"/>
        <w:ind w:left="0" w:leftChars="0" w:right="0" w:rightChars="0" w:firstLine="0" w:firstLineChars="0"/>
        <w:jc w:val="both"/>
        <w:rPr>
          <w:rFonts w:ascii="宋体" w:hAnsi="宋体" w:eastAsia="宋体" w:cs="Times New Roman"/>
          <w:kern w:val="2"/>
          <w:sz w:val="21"/>
          <w:szCs w:val="24"/>
          <w:lang w:val="en-US" w:eastAsia="zh-CN" w:bidi="ar-SA"/>
        </w:rPr>
      </w:pPr>
    </w:p>
    <w:sdt>
      <w:sdtPr>
        <w:rPr>
          <w:rFonts w:hint="eastAsia" w:ascii="黑体" w:hAnsi="黑体" w:eastAsia="黑体" w:cs="黑体"/>
          <w:kern w:val="2"/>
          <w:sz w:val="44"/>
          <w:szCs w:val="44"/>
          <w:lang w:val="en-US" w:eastAsia="zh-CN" w:bidi="ar-SA"/>
        </w:rPr>
        <w:id w:val="147469646"/>
        <w15:color w:val="DBDBDB"/>
        <w:docPartObj>
          <w:docPartGallery w:val="Table of Contents"/>
          <w:docPartUnique/>
        </w:docPartObj>
      </w:sdtPr>
      <w:sdtEndPr>
        <w:rPr>
          <w:rFonts w:hint="eastAsia" w:ascii="仿宋_GB2312" w:hAnsi="仿宋_GB2312" w:eastAsia="仿宋_GB2312" w:cs="仿宋_GB2312"/>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bookmarkStart w:id="9" w:name="_Toc15377196"/>
          <w:bookmarkStart w:id="10" w:name="_Toc15396599"/>
          <w:r>
            <w:rPr>
              <w:rFonts w:hint="eastAsia" w:ascii="黑体" w:hAnsi="黑体" w:eastAsia="黑体" w:cs="黑体"/>
              <w:sz w:val="44"/>
              <w:szCs w:val="44"/>
            </w:rPr>
            <w:t>目录</w:t>
          </w:r>
        </w:p>
        <w:p>
          <w:pPr>
            <w:pStyle w:val="2"/>
            <w:jc w:val="center"/>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公开时间：2025年10月2日</w:t>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_Toc11765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第一部分 部门概况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_Toc11765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_Toc17845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部门职责</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_Toc17845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_Toc7992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二、机</w:t>
          </w:r>
          <w:r>
            <w:rPr>
              <w:rFonts w:hint="eastAsia" w:ascii="仿宋_GB2312" w:hAnsi="仿宋_GB2312" w:eastAsia="仿宋_GB2312" w:cs="仿宋_GB2312"/>
              <w:bCs w:val="0"/>
              <w:sz w:val="32"/>
              <w:szCs w:val="32"/>
            </w:rPr>
            <w:t>构设置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_Toc7992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_Toc23129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第二部分 2024年度部门决算情况说明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_Toc23129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_Toc5159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一、收入支出决算总体情况说明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_Toc5159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_Toc11079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二、收入决算情况说明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_Toc11079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_Toc9341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_Toc9341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_Toc26947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四、财政拨款收入支出决算总体情况说明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_Toc26947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_Toc30115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五、一般公共预算财政拨款支出决算情况说明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_Toc30115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_Toc4184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六、一般公共预算财政拨款基本支出决算情况说明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_Toc4184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_Toc20711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七、财政拨款“三公”经费支出决算情况说明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_Toc20711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_Toc11427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八、政府性基金预算支出决算情况说明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_Toc11427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_Toc4838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九、国有资本经营预算支出决算情况说明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_Toc4838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_Toc16042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十、其他重要事项的情况说明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_Toc16042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_Toc32484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第三部分 名词解释</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_Toc32484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_Toc5653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第四部分 附件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_Toc5653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_Toc8598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_Toc8598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_Toc16838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一、部门（单位）基本情况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_Toc16838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_Toc14160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资金收支情况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_Toc14160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_Toc14802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三、部门预算绩效分析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_Toc14802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_Toc6300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评价结论及建议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_Toc6300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_Toc23104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附件</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_Toc23104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_Toc2173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_Toc2173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_Toc15540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二、</w:t>
          </w:r>
          <w:r>
            <w:rPr>
              <w:rFonts w:hint="eastAsia" w:ascii="仿宋_GB2312" w:hAnsi="仿宋_GB2312" w:eastAsia="仿宋_GB2312" w:cs="仿宋_GB2312"/>
              <w:sz w:val="32"/>
              <w:szCs w:val="32"/>
              <w:lang w:val="zh-CN" w:eastAsia="zh-CN"/>
            </w:rPr>
            <w:t>评价实施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_Toc15540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_Toc23031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三、</w:t>
          </w:r>
          <w:r>
            <w:rPr>
              <w:rFonts w:hint="eastAsia" w:ascii="仿宋_GB2312" w:hAnsi="仿宋_GB2312" w:eastAsia="仿宋_GB2312" w:cs="仿宋_GB2312"/>
              <w:sz w:val="32"/>
              <w:szCs w:val="32"/>
              <w:lang w:val="zh-CN" w:eastAsia="zh-CN"/>
            </w:rPr>
            <w:t>绩效分析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_Toc23031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_Toc12395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四、评价结论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_Toc12395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_Toc20102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五、存在主要问题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_Toc20102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_Toc19261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eastAsia="zh-CN"/>
            </w:rPr>
            <w:t>六、改进建议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_Toc19261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_Toc23985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第五部分 附表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_Toc23985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_Toc9082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一、收入支出决算总表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_Toc9082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二、收入决算表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_Toc475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三、支出决算表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_Toc475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_Toc2322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四、财政拨款收入支出决算总表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_Toc2322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_Toc5093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五、财政拨款支出决算明细表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_Toc5093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_Toc3122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六、一般公共预算财政拨款支出决算表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_Toc3122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_Toc10858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七、一般公共预算财政拨款支出决算明细表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_Toc10858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_Toc1557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八、一般公共预算财政拨款基本支出决算表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_Toc1557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_Toc11535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九、一般公共预算财政拨款项目支出决算表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_Toc11535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_Toc13159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十、政府性基金预算财政拨款收入支出决算表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_Toc13159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_Toc29435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十一、国有资本经营预算财政拨款收入支出决算表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_Toc29435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_Toc12056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十二、国有资本经营预算财政拨款支出决算表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_Toc12056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_Toc29221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十三、财政拨款“三公”经费支出决算表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_Toc29221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76" w:lineRule="exact"/>
            <w:textAlignment w:val="auto"/>
          </w:pPr>
          <w:r>
            <w:rPr>
              <w:rFonts w:hint="eastAsia" w:ascii="仿宋_GB2312" w:hAnsi="仿宋_GB2312" w:eastAsia="仿宋_GB2312" w:cs="仿宋_GB2312"/>
              <w:sz w:val="32"/>
              <w:szCs w:val="32"/>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eastAsia="仿宋_GB2312"/>
          <w:lang w:val="en-US" w:eastAsia="zh-CN"/>
        </w:rPr>
      </w:pPr>
      <w:r>
        <w:rPr>
          <w:rFonts w:hint="eastAsia" w:eastAsia="仿宋_GB2312" w:cs="仿宋_GB2312"/>
          <w:b/>
          <w:sz w:val="32"/>
          <w:szCs w:val="32"/>
        </w:rPr>
        <w:br w:type="page"/>
      </w:r>
    </w:p>
    <w:p/>
    <w:p>
      <w:pPr>
        <w:pStyle w:val="3"/>
        <w:keepNext/>
        <w:keepLines/>
        <w:pageBreakBefore w:val="0"/>
        <w:widowControl w:val="0"/>
        <w:numPr>
          <w:ilvl w:val="0"/>
          <w:numId w:val="1"/>
        </w:numPr>
        <w:kinsoku/>
        <w:wordWrap/>
        <w:overflowPunct/>
        <w:topLinePunct w:val="0"/>
        <w:autoSpaceDE/>
        <w:autoSpaceDN/>
        <w:bidi w:val="0"/>
        <w:adjustRightInd/>
        <w:snapToGrid/>
        <w:spacing w:before="0" w:after="0" w:line="576" w:lineRule="exact"/>
        <w:ind w:leftChars="0"/>
        <w:jc w:val="center"/>
        <w:textAlignment w:val="auto"/>
        <w:rPr>
          <w:rStyle w:val="15"/>
          <w:rFonts w:hint="eastAsia" w:eastAsia="方正小标宋简体" w:cs="方正小标宋简体"/>
          <w:b w:val="0"/>
          <w:bCs w:val="0"/>
        </w:rPr>
      </w:pPr>
      <w:bookmarkStart w:id="11" w:name="_Toc11765"/>
      <w:r>
        <w:rPr>
          <w:rStyle w:val="15"/>
          <w:rFonts w:hint="eastAsia" w:eastAsia="方正小标宋简体" w:cs="方正小标宋简体"/>
          <w:b w:val="0"/>
          <w:bCs w:val="0"/>
        </w:rPr>
        <w:t>部门概况</w:t>
      </w:r>
      <w:bookmarkEnd w:id="9"/>
      <w:bookmarkEnd w:id="10"/>
      <w:bookmarkEnd w:id="11"/>
    </w:p>
    <w:p>
      <w:pPr>
        <w:pStyle w:val="4"/>
        <w:pageBreakBefore w:val="0"/>
        <w:widowControl w:val="0"/>
        <w:numPr>
          <w:ilvl w:val="0"/>
          <w:numId w:val="0"/>
        </w:numPr>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eastAsia="zh-CN"/>
        </w:rPr>
      </w:pPr>
    </w:p>
    <w:p>
      <w:pPr>
        <w:pStyle w:val="4"/>
        <w:pageBreakBefore w:val="0"/>
        <w:widowControl w:val="0"/>
        <w:numPr>
          <w:ilvl w:val="0"/>
          <w:numId w:val="0"/>
        </w:numPr>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rPr>
      </w:pPr>
      <w:bookmarkStart w:id="12" w:name="_Toc17845"/>
      <w:r>
        <w:rPr>
          <w:rFonts w:hint="eastAsia" w:ascii="Times New Roman" w:hAnsi="Times New Roman" w:eastAsia="黑体"/>
          <w:b w:val="0"/>
          <w:lang w:eastAsia="zh-CN"/>
        </w:rPr>
        <w:t>一、</w:t>
      </w:r>
      <w:r>
        <w:rPr>
          <w:rFonts w:hint="eastAsia" w:ascii="Times New Roman" w:hAnsi="Times New Roman" w:eastAsia="黑体"/>
          <w:b w:val="0"/>
        </w:rPr>
        <w:t>部门职责</w:t>
      </w:r>
      <w:bookmarkEnd w:id="12"/>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default"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工商联工作是党的统一战线工作和经济工作的重要内容。广元市工商业联合会（广元市总商会）是中共广元市委领导的以民营企业和民营经济人士为主体，具有统战性、经济性、民间性有机统一基本特征的人民团体和商会组织，是党和政府联系民营经济人士的桥梁纽带，是政府管理和服务民营经济的助手，是中国人民政治协商会议广元市委员会的重要组成部分，主要职能职责如下。</w:t>
      </w:r>
      <w:r>
        <w:rPr>
          <w:rFonts w:hint="default" w:ascii="仿宋_GB2312" w:hAnsi="Times New Roman" w:eastAsia="仿宋_GB2312" w:cs="Times New Roman"/>
          <w:sz w:val="32"/>
          <w:szCs w:val="32"/>
          <w:lang w:eastAsia="zh-CN"/>
        </w:rPr>
        <w:t xml:space="preserve">           </w:t>
      </w:r>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default" w:ascii="仿宋_GB2312" w:hAnsi="Times New Roman" w:eastAsia="仿宋_GB2312" w:cs="Times New Roman"/>
          <w:sz w:val="32"/>
          <w:szCs w:val="32"/>
          <w:lang w:eastAsia="zh-CN"/>
        </w:rPr>
        <w:t> </w:t>
      </w: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lang w:eastAsia="zh-CN"/>
        </w:rPr>
        <w:t>参与市委、市政府大政方针及政治、经济、社会生活中的重要问题的政治协商，发挥民主监督作用，参政议政。</w:t>
      </w:r>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lang w:eastAsia="zh-CN"/>
        </w:rPr>
        <w:t>引导会员积极参加国家经济建设，推动社会主义市场经济体制逐步完善。</w:t>
      </w:r>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lang w:eastAsia="zh-CN"/>
        </w:rPr>
        <w:t>做好工商界代表人士政治安排的推荐工作。</w:t>
      </w:r>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lang w:eastAsia="zh-CN"/>
        </w:rPr>
        <w:t>指导同业公会和行业商会等专业组织的工作。</w:t>
      </w:r>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lang w:eastAsia="zh-CN"/>
        </w:rPr>
        <w:t>发扬自我教育的优良传统，宣传、贯彻党和国家的方针政策，加强和改进思想政治工作，坚持对广大会员进行团结、帮助、引导、教育，促进非公有制经济健康发展，提倡爱国、敬业、守法，提高会员素质，培养积极分子队伍。</w:t>
      </w:r>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6.</w:t>
      </w:r>
      <w:r>
        <w:rPr>
          <w:rFonts w:hint="eastAsia" w:ascii="仿宋_GB2312" w:hAnsi="Times New Roman" w:eastAsia="仿宋_GB2312" w:cs="Times New Roman"/>
          <w:sz w:val="32"/>
          <w:szCs w:val="32"/>
          <w:lang w:eastAsia="zh-CN"/>
        </w:rPr>
        <w:t>代表并维护会员的合法权益，反映会员的意见、要求和建议；为会员提供有关证明，协调关系，参与调解经济纠纷。</w:t>
      </w:r>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7.</w:t>
      </w:r>
      <w:r>
        <w:rPr>
          <w:rFonts w:hint="eastAsia" w:ascii="仿宋_GB2312" w:hAnsi="Times New Roman" w:eastAsia="仿宋_GB2312" w:cs="Times New Roman"/>
          <w:sz w:val="32"/>
          <w:szCs w:val="32"/>
          <w:lang w:eastAsia="zh-CN"/>
        </w:rPr>
        <w:t>引导会员把自身企业的发展与国家发展结合起来，把个人富裕与全体人民的共同富裕结合起来，把遵守市场规则与发扬社会主义道德结合起来，弘扬中华民族传统美德，先富帮后富，走共同富裕的道路，热心社会公益事业，积极参加扶贫光彩事业。</w:t>
      </w:r>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8.</w:t>
      </w:r>
      <w:r>
        <w:rPr>
          <w:rFonts w:hint="eastAsia" w:ascii="仿宋_GB2312" w:hAnsi="Times New Roman" w:eastAsia="仿宋_GB2312" w:cs="Times New Roman"/>
          <w:sz w:val="32"/>
          <w:szCs w:val="32"/>
          <w:lang w:eastAsia="zh-CN"/>
        </w:rPr>
        <w:t>为会员提供信息、培训、科技、管理、法律、会计、审计、融资、咨询等服务，帮助会员改进经营管理，完善财会制度，照章纳税，提高自身素质和生产技术、产品质量等。</w:t>
      </w:r>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9.</w:t>
      </w:r>
      <w:r>
        <w:rPr>
          <w:rFonts w:hint="eastAsia" w:ascii="仿宋_GB2312" w:hAnsi="Times New Roman" w:eastAsia="仿宋_GB2312" w:cs="Times New Roman"/>
          <w:sz w:val="32"/>
          <w:szCs w:val="32"/>
          <w:lang w:eastAsia="zh-CN"/>
        </w:rPr>
        <w:t>组织会员出国、出境考察访问，举办和参加各种对内对外展销会、交易会，帮助会员开拓国内、国际市场；增进与港澳特别行政区、台湾地区和世界各国工商社团及工商经济界人士的联系和友谊，促进经济、技术和贸易合作的发展，协助引进资金、技术、人才。</w:t>
      </w:r>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10.</w:t>
      </w:r>
      <w:r>
        <w:rPr>
          <w:rFonts w:hint="eastAsia" w:ascii="仿宋_GB2312" w:hAnsi="Times New Roman" w:eastAsia="仿宋_GB2312" w:cs="Times New Roman"/>
          <w:sz w:val="32"/>
          <w:szCs w:val="32"/>
          <w:lang w:eastAsia="zh-CN"/>
        </w:rPr>
        <w:t>办好会办企业、事业。</w:t>
      </w:r>
    </w:p>
    <w:p>
      <w:pPr>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hint="eastAsia"/>
        </w:rPr>
      </w:pPr>
      <w:r>
        <w:rPr>
          <w:rFonts w:hint="eastAsia" w:ascii="仿宋_GB2312" w:hAnsi="Times New Roman" w:eastAsia="仿宋_GB2312" w:cs="Times New Roman"/>
          <w:sz w:val="32"/>
          <w:szCs w:val="32"/>
          <w:lang w:val="en-US" w:eastAsia="zh-CN"/>
        </w:rPr>
        <w:t>11.</w:t>
      </w:r>
      <w:r>
        <w:rPr>
          <w:rFonts w:hint="eastAsia" w:ascii="仿宋_GB2312" w:hAnsi="Times New Roman" w:eastAsia="仿宋_GB2312" w:cs="Times New Roman"/>
          <w:sz w:val="32"/>
          <w:szCs w:val="32"/>
          <w:lang w:eastAsia="zh-CN"/>
        </w:rPr>
        <w:t>承办市委、市政府交办和有关部门委托的事项。</w:t>
      </w:r>
    </w:p>
    <w:p>
      <w:pPr>
        <w:pStyle w:val="4"/>
        <w:pageBreakBefore w:val="0"/>
        <w:widowControl w:val="0"/>
        <w:kinsoku/>
        <w:wordWrap/>
        <w:overflowPunct/>
        <w:topLinePunct w:val="0"/>
        <w:bidi w:val="0"/>
        <w:snapToGrid/>
        <w:spacing w:before="0" w:after="0" w:line="576" w:lineRule="exact"/>
        <w:ind w:firstLine="640" w:firstLineChars="200"/>
        <w:textAlignment w:val="auto"/>
        <w:rPr>
          <w:rStyle w:val="16"/>
          <w:rFonts w:ascii="Times New Roman" w:hAnsi="Times New Roman"/>
          <w:b w:val="0"/>
          <w:bCs w:val="0"/>
        </w:rPr>
      </w:pPr>
      <w:bookmarkStart w:id="13" w:name="_Toc15396601"/>
      <w:bookmarkStart w:id="14" w:name="_Toc15377200"/>
      <w:bookmarkStart w:id="15" w:name="_Toc7992"/>
      <w:r>
        <w:rPr>
          <w:rFonts w:hint="eastAsia" w:ascii="Times New Roman" w:hAnsi="Times New Roman" w:eastAsia="黑体"/>
          <w:b w:val="0"/>
        </w:rPr>
        <w:t>二、机</w:t>
      </w:r>
      <w:r>
        <w:rPr>
          <w:rStyle w:val="16"/>
          <w:rFonts w:hint="eastAsia" w:ascii="Times New Roman" w:hAnsi="Times New Roman" w:eastAsia="黑体"/>
          <w:b w:val="0"/>
          <w:bCs w:val="0"/>
        </w:rPr>
        <w:t>构设置</w:t>
      </w:r>
      <w:bookmarkEnd w:id="13"/>
      <w:bookmarkEnd w:id="14"/>
      <w:bookmarkEnd w:id="15"/>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Times New Roman" w:eastAsia="仿宋_GB2312" w:cs="Times New Roman"/>
          <w:sz w:val="32"/>
          <w:szCs w:val="32"/>
          <w:lang w:eastAsia="zh-CN"/>
        </w:rPr>
        <w:t>广元市工商业联合会</w:t>
      </w:r>
      <w:r>
        <w:rPr>
          <w:rFonts w:hint="eastAsia" w:ascii="仿宋_GB2312" w:eastAsia="仿宋_GB2312" w:cs="Times New Roman"/>
          <w:sz w:val="32"/>
          <w:szCs w:val="32"/>
          <w:lang w:eastAsia="zh-CN"/>
        </w:rPr>
        <w:t>为</w:t>
      </w:r>
      <w:r>
        <w:rPr>
          <w:rFonts w:hint="eastAsia" w:ascii="仿宋_GB2312" w:hAnsi="Times New Roman" w:eastAsia="仿宋_GB2312" w:cs="Times New Roman"/>
          <w:sz w:val="32"/>
          <w:szCs w:val="32"/>
          <w:lang w:eastAsia="zh-CN"/>
        </w:rPr>
        <w:t>一级预算单位，</w:t>
      </w:r>
      <w:r>
        <w:rPr>
          <w:rFonts w:hint="eastAsia" w:ascii="仿宋_GB2312" w:eastAsia="仿宋_GB2312" w:cs="Times New Roman"/>
          <w:sz w:val="32"/>
          <w:szCs w:val="32"/>
          <w:lang w:eastAsia="zh-CN"/>
        </w:rPr>
        <w:t>行政单位，</w:t>
      </w:r>
      <w:r>
        <w:rPr>
          <w:rFonts w:hint="eastAsia" w:ascii="仿宋_GB2312" w:eastAsia="仿宋_GB2312"/>
          <w:sz w:val="32"/>
          <w:szCs w:val="32"/>
        </w:rPr>
        <w:t>内设机构为“四部一室”，即：</w:t>
      </w:r>
      <w:r>
        <w:rPr>
          <w:rFonts w:ascii="仿宋_GB2312" w:eastAsia="仿宋_GB2312"/>
          <w:sz w:val="32"/>
          <w:szCs w:val="32"/>
        </w:rPr>
        <w:t>办公室</w:t>
      </w:r>
      <w:r>
        <w:rPr>
          <w:rFonts w:hint="eastAsia" w:ascii="仿宋_GB2312" w:eastAsia="仿宋_GB2312"/>
          <w:sz w:val="32"/>
          <w:szCs w:val="32"/>
        </w:rPr>
        <w:t>、</w:t>
      </w:r>
      <w:r>
        <w:rPr>
          <w:rFonts w:ascii="仿宋_GB2312" w:eastAsia="仿宋_GB2312"/>
          <w:sz w:val="32"/>
          <w:szCs w:val="32"/>
        </w:rPr>
        <w:t>会员部</w:t>
      </w:r>
      <w:r>
        <w:rPr>
          <w:rFonts w:hint="eastAsia" w:ascii="仿宋_GB2312" w:eastAsia="仿宋_GB2312"/>
          <w:sz w:val="32"/>
          <w:szCs w:val="32"/>
        </w:rPr>
        <w:t>、</w:t>
      </w:r>
      <w:r>
        <w:rPr>
          <w:rFonts w:ascii="仿宋_GB2312" w:eastAsia="仿宋_GB2312"/>
          <w:sz w:val="32"/>
          <w:szCs w:val="32"/>
        </w:rPr>
        <w:t>经济联络部</w:t>
      </w:r>
      <w:bookmarkStart w:id="114" w:name="_GoBack"/>
      <w:r>
        <w:rPr>
          <w:rFonts w:hint="eastAsia" w:ascii="仿宋_GB2312" w:hAnsi="仿宋_GB2312" w:eastAsia="仿宋_GB2312" w:cs="仿宋_GB2312"/>
          <w:sz w:val="32"/>
          <w:szCs w:val="32"/>
          <w:lang w:eastAsia="zh-CN"/>
        </w:rPr>
        <w:t>（维权部）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宣传教育部（调研部）、</w:t>
      </w:r>
      <w:r>
        <w:rPr>
          <w:rFonts w:hint="eastAsia" w:ascii="仿宋_GB2312" w:hAnsi="仿宋_GB2312" w:eastAsia="仿宋_GB2312" w:cs="仿宋_GB2312"/>
          <w:sz w:val="32"/>
          <w:szCs w:val="32"/>
        </w:rPr>
        <w:t>直属商协会党建工作部。</w:t>
      </w:r>
      <w:r>
        <w:rPr>
          <w:rFonts w:hint="eastAsia" w:ascii="仿宋_GB2312" w:hAnsi="仿宋_GB2312" w:eastAsia="仿宋_GB2312" w:cs="仿宋_GB2312"/>
          <w:sz w:val="32"/>
          <w:szCs w:val="32"/>
          <w:lang w:eastAsia="zh-CN"/>
        </w:rPr>
        <w:t>无下属二级预算单位。</w:t>
      </w:r>
      <w:r>
        <w:rPr>
          <w:rFonts w:hint="eastAsia" w:ascii="仿宋_GB2312" w:hAnsi="仿宋_GB2312" w:eastAsia="仿宋_GB2312" w:cs="仿宋_GB2312"/>
          <w:sz w:val="32"/>
          <w:szCs w:val="32"/>
        </w:rPr>
        <w:br w:type="page"/>
      </w:r>
    </w:p>
    <w:bookmarkEnd w:id="114"/>
    <w:p>
      <w:pPr>
        <w:pStyle w:val="3"/>
        <w:keepNext/>
        <w:keepLines/>
        <w:pageBreakBefore w:val="0"/>
        <w:widowControl w:val="0"/>
        <w:numPr>
          <w:ilvl w:val="0"/>
          <w:numId w:val="1"/>
        </w:numPr>
        <w:kinsoku/>
        <w:wordWrap/>
        <w:overflowPunct/>
        <w:topLinePunct w:val="0"/>
        <w:autoSpaceDE/>
        <w:autoSpaceDN/>
        <w:bidi w:val="0"/>
        <w:adjustRightInd/>
        <w:snapToGrid/>
        <w:spacing w:before="0" w:after="0" w:line="576" w:lineRule="exact"/>
        <w:ind w:leftChars="0"/>
        <w:jc w:val="center"/>
        <w:textAlignment w:val="auto"/>
        <w:rPr>
          <w:rStyle w:val="15"/>
          <w:rFonts w:hint="eastAsia" w:eastAsia="方正小标宋简体" w:cs="方正小标宋简体"/>
          <w:b w:val="0"/>
          <w:bCs w:val="0"/>
        </w:rPr>
      </w:pPr>
      <w:bookmarkStart w:id="16" w:name="_Toc15396602"/>
      <w:bookmarkStart w:id="17" w:name="_Toc15377204"/>
      <w:r>
        <w:rPr>
          <w:rStyle w:val="15"/>
          <w:rFonts w:hint="eastAsia" w:eastAsia="方正小标宋简体" w:cs="方正小标宋简体"/>
          <w:b w:val="0"/>
          <w:bCs w:val="0"/>
          <w:lang w:val="en-US" w:eastAsia="zh-CN"/>
        </w:rPr>
        <w:t xml:space="preserve"> </w:t>
      </w:r>
      <w:bookmarkStart w:id="18" w:name="_Toc23129"/>
      <w:r>
        <w:rPr>
          <w:rStyle w:val="15"/>
          <w:rFonts w:hint="eastAsia" w:eastAsia="方正小标宋简体" w:cs="方正小标宋简体"/>
          <w:b w:val="0"/>
          <w:bCs w:val="0"/>
        </w:rPr>
        <w:t>2024年度部门决算情况说明</w:t>
      </w:r>
      <w:bookmarkEnd w:id="16"/>
      <w:bookmarkEnd w:id="17"/>
      <w:bookmarkEnd w:id="18"/>
    </w:p>
    <w:p>
      <w:pPr>
        <w:pageBreakBefore w:val="0"/>
        <w:widowControl w:val="0"/>
        <w:kinsoku/>
        <w:wordWrap/>
        <w:overflowPunct/>
        <w:topLinePunct w:val="0"/>
        <w:autoSpaceDE/>
        <w:autoSpaceDN/>
        <w:bidi w:val="0"/>
        <w:adjustRightInd/>
        <w:snapToGrid/>
        <w:spacing w:line="576" w:lineRule="exact"/>
        <w:textAlignment w:val="auto"/>
      </w:pP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rPr>
      </w:pPr>
      <w:bookmarkStart w:id="19" w:name="_Toc5159"/>
      <w:bookmarkStart w:id="20" w:name="_Toc15396603"/>
      <w:bookmarkStart w:id="21" w:name="_Toc15377205"/>
      <w:r>
        <w:rPr>
          <w:rFonts w:hint="eastAsia" w:ascii="Times New Roman" w:hAnsi="Times New Roman" w:eastAsia="黑体"/>
          <w:b w:val="0"/>
        </w:rPr>
        <w:t>一、收入支出决算总体情况说明</w:t>
      </w:r>
      <w:bookmarkEnd w:id="19"/>
      <w:bookmarkEnd w:id="20"/>
      <w:bookmarkEnd w:id="21"/>
    </w:p>
    <w:p>
      <w:pPr>
        <w:pStyle w:val="17"/>
        <w:pageBreakBefore w:val="0"/>
        <w:widowControl w:val="0"/>
        <w:kinsoku/>
        <w:wordWrap/>
        <w:overflowPunct/>
        <w:topLinePunct w:val="0"/>
        <w:autoSpaceDE/>
        <w:autoSpaceDN/>
        <w:bidi w:val="0"/>
        <w:adjustRightInd/>
        <w:snapToGrid/>
        <w:spacing w:line="576" w:lineRule="exact"/>
        <w:ind w:firstLine="640"/>
        <w:textAlignment w:val="auto"/>
        <w:outlineLvl w:val="1"/>
        <w:rPr>
          <w:rFonts w:hint="default" w:eastAsia="仿宋_GB2312" w:cs="仿宋_GB2312"/>
          <w:sz w:val="32"/>
          <w:szCs w:val="32"/>
          <w:lang w:val="en-US" w:eastAsia="zh-CN"/>
        </w:rPr>
      </w:pPr>
      <w:bookmarkStart w:id="22" w:name="_Toc24542"/>
      <w:bookmarkStart w:id="23" w:name="_Toc25777"/>
      <w:bookmarkStart w:id="24" w:name="_Toc7837"/>
      <w:r>
        <w:rPr>
          <w:rFonts w:hint="eastAsia" w:eastAsia="仿宋_GB2312" w:cs="仿宋_GB2312"/>
          <w:sz w:val="32"/>
          <w:szCs w:val="32"/>
        </w:rPr>
        <w:t>2024年度收入、支出总计均为</w:t>
      </w:r>
      <w:r>
        <w:rPr>
          <w:rFonts w:hint="eastAsia" w:ascii="仿宋_GB2312" w:hAnsi="仿宋_GB2312" w:eastAsia="仿宋_GB2312" w:cs="仿宋_GB2312"/>
          <w:sz w:val="32"/>
          <w:szCs w:val="32"/>
        </w:rPr>
        <w:t>411.16</w:t>
      </w:r>
      <w:r>
        <w:rPr>
          <w:rFonts w:hint="eastAsia" w:eastAsia="仿宋_GB2312" w:cs="仿宋_GB2312"/>
          <w:sz w:val="32"/>
          <w:szCs w:val="32"/>
        </w:rPr>
        <w:t>万元。与2023年度相比，收入、支出总计各减少</w:t>
      </w:r>
      <w:r>
        <w:rPr>
          <w:rFonts w:hint="eastAsia" w:eastAsia="仿宋_GB2312" w:cs="仿宋_GB2312"/>
          <w:sz w:val="32"/>
          <w:szCs w:val="32"/>
          <w:lang w:val="en-US" w:eastAsia="zh-CN"/>
        </w:rPr>
        <w:t>17.45</w:t>
      </w:r>
      <w:r>
        <w:rPr>
          <w:rFonts w:hint="eastAsia" w:eastAsia="仿宋_GB2312" w:cs="仿宋_GB2312"/>
          <w:sz w:val="32"/>
          <w:szCs w:val="32"/>
        </w:rPr>
        <w:t>万元，下降</w:t>
      </w:r>
      <w:r>
        <w:rPr>
          <w:rFonts w:hint="eastAsia" w:eastAsia="仿宋_GB2312" w:cs="仿宋_GB2312"/>
          <w:sz w:val="32"/>
          <w:szCs w:val="32"/>
          <w:lang w:val="en-US" w:eastAsia="zh-CN"/>
        </w:rPr>
        <w:t>4.1</w:t>
      </w:r>
      <w:r>
        <w:rPr>
          <w:rFonts w:hint="eastAsia" w:eastAsia="仿宋_GB2312" w:cs="仿宋_GB2312"/>
          <w:sz w:val="32"/>
          <w:szCs w:val="32"/>
        </w:rPr>
        <w:t>%。主要变动原因</w:t>
      </w:r>
      <w:bookmarkEnd w:id="22"/>
      <w:r>
        <w:rPr>
          <w:rFonts w:hint="eastAsia" w:eastAsia="仿宋_GB2312" w:cs="仿宋_GB2312"/>
          <w:sz w:val="32"/>
          <w:szCs w:val="32"/>
          <w:lang w:eastAsia="zh-CN"/>
        </w:rPr>
        <w:t>一是</w:t>
      </w:r>
      <w:r>
        <w:rPr>
          <w:rFonts w:hint="eastAsia" w:eastAsia="仿宋_GB2312" w:cs="仿宋_GB2312"/>
          <w:sz w:val="32"/>
          <w:szCs w:val="32"/>
          <w:lang w:val="en-US" w:eastAsia="zh-CN"/>
        </w:rPr>
        <w:t>2024年上半年机关退休工作人员一名，相应减少了人员经费。二是</w:t>
      </w:r>
      <w:r>
        <w:rPr>
          <w:rFonts w:hint="eastAsia" w:ascii="仿宋_GB2312" w:hAnsi="Times New Roman" w:eastAsia="仿宋_GB2312" w:cs="Times New Roman"/>
          <w:sz w:val="32"/>
          <w:szCs w:val="32"/>
          <w:lang w:val="en-US" w:eastAsia="zh-CN"/>
        </w:rPr>
        <w:t>2023年承办了</w:t>
      </w:r>
      <w:r>
        <w:rPr>
          <w:rFonts w:hint="eastAsia" w:ascii="仿宋_GB2312" w:hAnsi="仿宋_GB2312" w:eastAsia="仿宋_GB2312" w:cs="仿宋_GB2312"/>
          <w:sz w:val="32"/>
          <w:szCs w:val="32"/>
          <w:lang w:eastAsia="zh-CN"/>
        </w:rPr>
        <w:t>全国万企兴万村行动西部片区广元座谈会、全省万企兴万村行动推进会和知名川商广元行活动</w:t>
      </w:r>
      <w:r>
        <w:rPr>
          <w:rFonts w:hint="eastAsia" w:ascii="仿宋_GB2312" w:hAnsi="Times New Roman" w:eastAsia="仿宋_GB2312" w:cs="Times New Roman"/>
          <w:sz w:val="32"/>
          <w:szCs w:val="32"/>
          <w:lang w:val="en-US" w:eastAsia="zh-CN"/>
        </w:rPr>
        <w:t>，该项目为年中追加一次性项目，2024年无该项目经费。</w:t>
      </w:r>
      <w:bookmarkEnd w:id="23"/>
      <w:bookmarkEnd w:id="24"/>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仿宋_GB2312" w:cs="仿宋_GB2312"/>
          <w:sz w:val="32"/>
          <w:szCs w:val="32"/>
        </w:rPr>
      </w:pPr>
      <w:r>
        <w:rPr>
          <w:rFonts w:hint="eastAsia" w:eastAsia="仿宋_GB2312" w:cs="仿宋_GB2312"/>
          <w:sz w:val="32"/>
          <w:szCs w:val="32"/>
        </w:rPr>
        <w:t>（图1：收入、支出决算总计变动情况图）</w:t>
      </w:r>
    </w:p>
    <w:p>
      <w:pPr>
        <w:ind w:firstLine="420" w:firstLineChars="200"/>
        <w:rPr>
          <w:rFonts w:eastAsia="仿宋_GB2312" w:cs="仿宋_GB2312"/>
          <w:sz w:val="32"/>
          <w:szCs w:val="32"/>
        </w:rPr>
      </w:pPr>
      <w:r>
        <w:drawing>
          <wp:inline distT="0" distB="0" distL="114300" distR="114300">
            <wp:extent cx="4826000" cy="2743200"/>
            <wp:effectExtent l="4445" t="4445" r="825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rPr>
      </w:pPr>
      <w:bookmarkStart w:id="25" w:name="_Toc15396604"/>
      <w:bookmarkStart w:id="26" w:name="_Toc15377206"/>
      <w:bookmarkStart w:id="27" w:name="_Toc11079"/>
      <w:r>
        <w:rPr>
          <w:rFonts w:hint="eastAsia" w:ascii="Times New Roman" w:hAnsi="Times New Roman" w:eastAsia="黑体"/>
          <w:b w:val="0"/>
        </w:rPr>
        <w:t>二、收入决算情况说明</w:t>
      </w:r>
      <w:bookmarkEnd w:id="25"/>
      <w:bookmarkEnd w:id="26"/>
      <w:bookmarkEnd w:id="2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eastAsia="仿宋_GB2312" w:cs="仿宋_GB2312"/>
          <w:b/>
          <w:bCs/>
          <w:strike/>
          <w:dstrike w:val="0"/>
          <w:sz w:val="32"/>
          <w:szCs w:val="32"/>
          <w:highlight w:val="yellow"/>
        </w:rPr>
      </w:pPr>
      <w:bookmarkStart w:id="28" w:name="_Toc21762"/>
      <w:bookmarkStart w:id="29" w:name="_Toc17940"/>
      <w:bookmarkStart w:id="30" w:name="_Toc14432"/>
      <w:r>
        <w:rPr>
          <w:rFonts w:hint="eastAsia" w:ascii="仿宋_GB2312" w:hAnsi="仿宋_GB2312" w:eastAsia="仿宋_GB2312" w:cs="仿宋_GB2312"/>
          <w:sz w:val="32"/>
          <w:szCs w:val="32"/>
        </w:rPr>
        <w:t>2024年度本年收入合计411.16万元，其中：一般公共预算财政拨款收入411.16万元，占100%。</w:t>
      </w:r>
      <w:bookmarkEnd w:id="28"/>
      <w:bookmarkEnd w:id="29"/>
      <w:bookmarkEnd w:id="30"/>
    </w:p>
    <w:p>
      <w:pPr>
        <w:keepNext w:val="0"/>
        <w:keepLines w:val="0"/>
        <w:pageBreakBefore w:val="0"/>
        <w:widowControl w:val="0"/>
        <w:kinsoku/>
        <w:wordWrap/>
        <w:overflowPunct/>
        <w:topLinePunct w:val="0"/>
        <w:autoSpaceDE/>
        <w:autoSpaceDN/>
        <w:bidi w:val="0"/>
        <w:adjustRightInd/>
        <w:snapToGrid/>
        <w:spacing w:line="576" w:lineRule="exact"/>
        <w:ind w:firstLine="800" w:firstLineChars="250"/>
        <w:textAlignment w:val="auto"/>
        <w:rPr>
          <w:rFonts w:eastAsia="仿宋_GB2312" w:cs="仿宋_GB2312"/>
          <w:sz w:val="32"/>
          <w:szCs w:val="32"/>
        </w:rPr>
      </w:pPr>
      <w:r>
        <w:rPr>
          <w:rFonts w:hint="eastAsia" w:eastAsia="仿宋_GB2312" w:cs="仿宋_GB2312"/>
          <w:sz w:val="32"/>
          <w:szCs w:val="32"/>
        </w:rPr>
        <w:t>（图2：收入决算结构图）（饼状图）</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rPr>
      </w:pPr>
      <w:bookmarkStart w:id="31" w:name="_Toc15377207"/>
      <w:bookmarkStart w:id="32" w:name="_Toc15396605"/>
      <w:bookmarkStart w:id="33" w:name="_Toc9341"/>
      <w:r>
        <w:rPr>
          <w:rFonts w:hint="eastAsia" w:ascii="Times New Roman" w:hAnsi="Times New Roman" w:eastAsia="黑体"/>
          <w:b w:val="0"/>
        </w:rPr>
        <w:drawing>
          <wp:anchor distT="0" distB="0" distL="114300" distR="114300" simplePos="0" relativeHeight="251659264" behindDoc="0" locked="0" layoutInCell="1" allowOverlap="1">
            <wp:simplePos x="0" y="0"/>
            <wp:positionH relativeFrom="column">
              <wp:posOffset>580390</wp:posOffset>
            </wp:positionH>
            <wp:positionV relativeFrom="paragraph">
              <wp:posOffset>180975</wp:posOffset>
            </wp:positionV>
            <wp:extent cx="4323715" cy="2428875"/>
            <wp:effectExtent l="4445" t="5080" r="15240" b="4445"/>
            <wp:wrapTopAndBottom/>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hint="eastAsia" w:ascii="Times New Roman" w:hAnsi="Times New Roman" w:eastAsia="黑体"/>
          <w:b w:val="0"/>
        </w:rPr>
        <w:t>三、支出决算情况说明</w:t>
      </w:r>
      <w:bookmarkEnd w:id="31"/>
      <w:bookmarkEnd w:id="32"/>
      <w:bookmarkEnd w:id="33"/>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rPr>
          <w:rFonts w:eastAsia="仿宋_GB2312" w:cs="仿宋_GB2312"/>
          <w:strike/>
          <w:dstrike w:val="0"/>
          <w:sz w:val="32"/>
          <w:szCs w:val="32"/>
          <w:highlight w:val="yellow"/>
        </w:rPr>
      </w:pPr>
      <w:bookmarkStart w:id="34" w:name="_Toc11245"/>
      <w:r>
        <w:rPr>
          <w:rFonts w:hint="eastAsia" w:ascii="仿宋_GB2312" w:hAnsi="仿宋_GB2312" w:eastAsia="仿宋_GB2312" w:cs="仿宋_GB2312"/>
          <w:sz w:val="32"/>
          <w:szCs w:val="32"/>
        </w:rPr>
        <w:t>2024年度本年支出合计411.16万元，其中：基本支出382.05万元，占92.92%；项目支出29.11万元，占7.07%。</w:t>
      </w:r>
      <w:bookmarkEnd w:id="34"/>
    </w:p>
    <w:p>
      <w:pPr>
        <w:keepNext w:val="0"/>
        <w:keepLines w:val="0"/>
        <w:pageBreakBefore w:val="0"/>
        <w:widowControl w:val="0"/>
        <w:kinsoku/>
        <w:wordWrap/>
        <w:overflowPunct/>
        <w:topLinePunct w:val="0"/>
        <w:bidi w:val="0"/>
        <w:snapToGrid/>
        <w:spacing w:line="576" w:lineRule="exact"/>
        <w:ind w:firstLine="800" w:firstLineChars="250"/>
        <w:textAlignment w:val="auto"/>
        <w:rPr>
          <w:rFonts w:eastAsia="仿宋_GB2312" w:cs="仿宋_GB2312"/>
          <w:sz w:val="32"/>
          <w:szCs w:val="32"/>
        </w:rPr>
      </w:pPr>
      <w:r>
        <w:rPr>
          <w:rFonts w:hint="eastAsia" w:eastAsia="仿宋_GB2312" w:cs="仿宋_GB2312"/>
          <w:sz w:val="32"/>
          <w:szCs w:val="32"/>
        </w:rPr>
        <w:t>（图3：支出决算结构图）（饼状图）</w:t>
      </w:r>
    </w:p>
    <w:p>
      <w:pPr>
        <w:ind w:firstLine="525" w:firstLineChars="250"/>
        <w:jc w:val="center"/>
        <w:rPr>
          <w:rFonts w:eastAsia="仿宋_GB2312" w:cs="仿宋_GB2312"/>
          <w:sz w:val="32"/>
          <w:szCs w:val="32"/>
        </w:rPr>
      </w:pPr>
      <w:r>
        <w:drawing>
          <wp:inline distT="0" distB="0" distL="114300" distR="114300">
            <wp:extent cx="4291330" cy="2243455"/>
            <wp:effectExtent l="4445" t="5080" r="9525" b="1841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rPr>
      </w:pPr>
      <w:bookmarkStart w:id="35" w:name="_Toc15377208"/>
      <w:bookmarkStart w:id="36" w:name="_Toc15396606"/>
      <w:bookmarkStart w:id="37" w:name="_Toc26947"/>
      <w:r>
        <w:rPr>
          <w:rFonts w:hint="eastAsia" w:ascii="Times New Roman" w:hAnsi="Times New Roman" w:eastAsia="黑体"/>
          <w:b w:val="0"/>
        </w:rPr>
        <w:t>四、财政拨款收入支出决算总体情况说明</w:t>
      </w:r>
      <w:bookmarkEnd w:id="35"/>
      <w:bookmarkEnd w:id="36"/>
      <w:bookmarkEnd w:id="37"/>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eastAsia="仿宋_GB2312" w:cs="仿宋_GB2312"/>
          <w:sz w:val="32"/>
          <w:szCs w:val="32"/>
        </w:rPr>
      </w:pPr>
      <w:r>
        <w:rPr>
          <w:rFonts w:hint="eastAsia" w:eastAsia="仿宋_GB2312" w:cs="仿宋_GB2312"/>
          <w:sz w:val="32"/>
          <w:szCs w:val="32"/>
        </w:rPr>
        <w:t>2024年度财政拨款收入、支出总计均为</w:t>
      </w:r>
      <w:r>
        <w:rPr>
          <w:rFonts w:hint="eastAsia" w:ascii="仿宋_GB2312" w:hAnsi="仿宋_GB2312" w:eastAsia="仿宋_GB2312" w:cs="仿宋_GB2312"/>
          <w:sz w:val="32"/>
          <w:szCs w:val="32"/>
        </w:rPr>
        <w:t>411.16</w:t>
      </w:r>
      <w:r>
        <w:rPr>
          <w:rFonts w:hint="eastAsia" w:eastAsia="仿宋_GB2312" w:cs="仿宋_GB2312"/>
          <w:sz w:val="32"/>
          <w:szCs w:val="32"/>
        </w:rPr>
        <w:t>万元。与2023年度相比，财政拨款收入总计、支出总计各减少</w:t>
      </w:r>
      <w:r>
        <w:rPr>
          <w:rFonts w:hint="eastAsia" w:eastAsia="仿宋_GB2312" w:cs="仿宋_GB2312"/>
          <w:sz w:val="32"/>
          <w:szCs w:val="32"/>
          <w:lang w:val="en-US" w:eastAsia="zh-CN"/>
        </w:rPr>
        <w:t>17.45</w:t>
      </w:r>
      <w:r>
        <w:rPr>
          <w:rFonts w:hint="eastAsia" w:eastAsia="仿宋_GB2312" w:cs="仿宋_GB2312"/>
          <w:sz w:val="32"/>
          <w:szCs w:val="32"/>
        </w:rPr>
        <w:t>万元，下降</w:t>
      </w:r>
      <w:r>
        <w:rPr>
          <w:rFonts w:hint="eastAsia" w:eastAsia="仿宋_GB2312" w:cs="仿宋_GB2312"/>
          <w:sz w:val="32"/>
          <w:szCs w:val="32"/>
          <w:lang w:val="en-US" w:eastAsia="zh-CN"/>
        </w:rPr>
        <w:t>4.1</w:t>
      </w:r>
      <w:r>
        <w:rPr>
          <w:rFonts w:hint="eastAsia" w:eastAsia="仿宋_GB2312" w:cs="仿宋_GB2312"/>
          <w:sz w:val="32"/>
          <w:szCs w:val="32"/>
        </w:rPr>
        <w:t>%。主要变动原因</w:t>
      </w:r>
      <w:r>
        <w:rPr>
          <w:rFonts w:hint="eastAsia" w:eastAsia="仿宋_GB2312" w:cs="仿宋_GB2312"/>
          <w:sz w:val="32"/>
          <w:szCs w:val="32"/>
          <w:lang w:eastAsia="zh-CN"/>
        </w:rPr>
        <w:t>一是</w:t>
      </w:r>
      <w:r>
        <w:rPr>
          <w:rFonts w:hint="eastAsia" w:eastAsia="仿宋_GB2312" w:cs="仿宋_GB2312"/>
          <w:sz w:val="32"/>
          <w:szCs w:val="32"/>
          <w:lang w:val="en-US" w:eastAsia="zh-CN"/>
        </w:rPr>
        <w:t>2024年上半年机关退休工作人员一名，相应减少了人员经费。二是</w:t>
      </w:r>
      <w:r>
        <w:rPr>
          <w:rFonts w:hint="eastAsia" w:ascii="仿宋_GB2312" w:hAnsi="Times New Roman" w:eastAsia="仿宋_GB2312" w:cs="Times New Roman"/>
          <w:sz w:val="32"/>
          <w:szCs w:val="32"/>
          <w:lang w:val="en-US" w:eastAsia="zh-CN"/>
        </w:rPr>
        <w:t>2023年承办了</w:t>
      </w:r>
      <w:r>
        <w:rPr>
          <w:rFonts w:hint="eastAsia" w:ascii="仿宋_GB2312" w:hAnsi="仿宋_GB2312" w:eastAsia="仿宋_GB2312" w:cs="仿宋_GB2312"/>
          <w:sz w:val="32"/>
          <w:szCs w:val="32"/>
          <w:lang w:eastAsia="zh-CN"/>
        </w:rPr>
        <w:t>全国万企兴万村行动西部片区广元座谈会、全省万企兴万村行动推进会和知名川商广元行活动</w:t>
      </w:r>
      <w:r>
        <w:rPr>
          <w:rFonts w:hint="eastAsia" w:ascii="仿宋_GB2312" w:hAnsi="Times New Roman" w:eastAsia="仿宋_GB2312" w:cs="Times New Roman"/>
          <w:sz w:val="32"/>
          <w:szCs w:val="32"/>
          <w:lang w:val="en-US" w:eastAsia="zh-CN"/>
        </w:rPr>
        <w:t>，该项目为年中追加一次性项目，2024年无该项目经费。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仿宋_GB2312" w:cs="仿宋_GB2312"/>
          <w:sz w:val="32"/>
          <w:szCs w:val="32"/>
        </w:rPr>
      </w:pPr>
      <w:r>
        <w:rPr>
          <w:rFonts w:hint="eastAsia" w:eastAsia="仿宋_GB2312" w:cs="仿宋_GB2312"/>
          <w:sz w:val="32"/>
          <w:szCs w:val="32"/>
        </w:rPr>
        <w:t>（图4：财政拨款收、支决算总计变动情况）</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rPr>
      </w:pPr>
      <w:bookmarkStart w:id="38" w:name="_Toc15396607"/>
      <w:bookmarkStart w:id="39" w:name="_Toc30115"/>
      <w:bookmarkStart w:id="40" w:name="_Toc15377209"/>
      <w:r>
        <w:rPr>
          <w:rFonts w:hint="eastAsia" w:ascii="Times New Roman" w:hAnsi="Times New Roman" w:eastAsia="黑体"/>
          <w:b w:val="0"/>
        </w:rPr>
        <w:drawing>
          <wp:anchor distT="0" distB="0" distL="114300" distR="114300" simplePos="0" relativeHeight="251660288" behindDoc="0" locked="0" layoutInCell="1" allowOverlap="1">
            <wp:simplePos x="0" y="0"/>
            <wp:positionH relativeFrom="column">
              <wp:posOffset>410210</wp:posOffset>
            </wp:positionH>
            <wp:positionV relativeFrom="paragraph">
              <wp:posOffset>83185</wp:posOffset>
            </wp:positionV>
            <wp:extent cx="4826000" cy="2743200"/>
            <wp:effectExtent l="4445" t="4445" r="8255" b="14605"/>
            <wp:wrapTopAndBottom/>
            <wp:docPr id="1"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Pr>
          <w:rFonts w:hint="eastAsia" w:ascii="Times New Roman" w:hAnsi="Times New Roman" w:eastAsia="黑体"/>
          <w:b w:val="0"/>
        </w:rPr>
        <w:t>五、一般公共预算财政拨款支出决算情况说明</w:t>
      </w:r>
      <w:bookmarkEnd w:id="38"/>
      <w:bookmarkEnd w:id="39"/>
      <w:bookmarkEnd w:id="40"/>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outlineLvl w:val="2"/>
        <w:rPr>
          <w:rFonts w:eastAsia="楷体_GB2312" w:cs="楷体_GB2312"/>
          <w:b/>
          <w:sz w:val="32"/>
          <w:szCs w:val="32"/>
        </w:rPr>
      </w:pPr>
      <w:bookmarkStart w:id="41" w:name="_Toc15377210"/>
      <w:r>
        <w:rPr>
          <w:rFonts w:hint="eastAsia" w:eastAsia="楷体_GB2312" w:cs="楷体_GB2312"/>
          <w:b/>
          <w:sz w:val="32"/>
          <w:szCs w:val="32"/>
        </w:rPr>
        <w:t>（一）一般公共预算财政拨款支出决算总体情况</w:t>
      </w:r>
      <w:bookmarkEnd w:id="41"/>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eastAsia" w:eastAsia="仿宋_GB2312" w:cs="仿宋_GB2312"/>
          <w:sz w:val="32"/>
          <w:szCs w:val="32"/>
          <w:lang w:eastAsia="zh-CN"/>
        </w:rPr>
      </w:pPr>
      <w:r>
        <w:drawing>
          <wp:anchor distT="0" distB="0" distL="114300" distR="114300" simplePos="0" relativeHeight="251661312" behindDoc="0" locked="0" layoutInCell="1" allowOverlap="1">
            <wp:simplePos x="0" y="0"/>
            <wp:positionH relativeFrom="column">
              <wp:posOffset>424815</wp:posOffset>
            </wp:positionH>
            <wp:positionV relativeFrom="paragraph">
              <wp:posOffset>1108075</wp:posOffset>
            </wp:positionV>
            <wp:extent cx="4660265" cy="2636520"/>
            <wp:effectExtent l="4445" t="5080" r="21590" b="6350"/>
            <wp:wrapTopAndBottom/>
            <wp:docPr id="3"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Pr>
          <w:rFonts w:hint="eastAsia" w:ascii="仿宋_GB2312" w:hAnsi="仿宋_GB2312" w:eastAsia="仿宋_GB2312" w:cs="仿宋_GB2312"/>
          <w:sz w:val="32"/>
          <w:szCs w:val="32"/>
        </w:rPr>
        <w:t>2024年度一般公共预算财政拨款支出411.16万元，占本年支出合计的100%。与2023年度相比，一般公共预算财政拨款支出</w:t>
      </w:r>
      <w:r>
        <w:rPr>
          <w:rFonts w:hint="eastAsia" w:eastAsia="仿宋_GB2312" w:cs="仿宋_GB2312"/>
          <w:sz w:val="32"/>
          <w:szCs w:val="32"/>
        </w:rPr>
        <w:t>减少</w:t>
      </w:r>
      <w:r>
        <w:rPr>
          <w:rFonts w:hint="eastAsia" w:eastAsia="仿宋_GB2312" w:cs="仿宋_GB2312"/>
          <w:sz w:val="32"/>
          <w:szCs w:val="32"/>
          <w:lang w:val="en-US" w:eastAsia="zh-CN"/>
        </w:rPr>
        <w:t>17.45</w:t>
      </w:r>
      <w:r>
        <w:rPr>
          <w:rFonts w:hint="eastAsia" w:eastAsia="仿宋_GB2312" w:cs="仿宋_GB2312"/>
          <w:sz w:val="32"/>
          <w:szCs w:val="32"/>
        </w:rPr>
        <w:t>万元，下降</w:t>
      </w:r>
      <w:r>
        <w:rPr>
          <w:rFonts w:hint="eastAsia" w:eastAsia="仿宋_GB2312" w:cs="仿宋_GB2312"/>
          <w:sz w:val="32"/>
          <w:szCs w:val="32"/>
          <w:lang w:val="en-US" w:eastAsia="zh-CN"/>
        </w:rPr>
        <w:t>4.1</w:t>
      </w:r>
      <w:r>
        <w:rPr>
          <w:rFonts w:hint="eastAsia" w:eastAsia="仿宋_GB2312" w:cs="仿宋_GB2312"/>
          <w:sz w:val="32"/>
          <w:szCs w:val="32"/>
        </w:rPr>
        <w:t>%</w:t>
      </w:r>
      <w:r>
        <w:rPr>
          <w:rFonts w:hint="eastAsia" w:eastAsia="仿宋_GB2312" w:cs="仿宋_GB2312"/>
          <w:sz w:val="32"/>
          <w:szCs w:val="32"/>
          <w:lang w:eastAsia="zh-CN"/>
        </w:rPr>
        <w:t>。</w:t>
      </w:r>
      <w:r>
        <w:rPr>
          <w:rFonts w:hint="eastAsia" w:ascii="仿宋_GB2312" w:hAnsi="仿宋_GB2312" w:eastAsia="仿宋_GB2312" w:cs="仿宋_GB2312"/>
          <w:sz w:val="32"/>
          <w:szCs w:val="32"/>
        </w:rPr>
        <w:t>主要变动原因</w:t>
      </w:r>
      <w:r>
        <w:rPr>
          <w:rFonts w:hint="eastAsia" w:ascii="仿宋_GB2312" w:hAnsi="仿宋_GB2312" w:eastAsia="仿宋_GB2312" w:cs="仿宋_GB2312"/>
          <w:sz w:val="32"/>
          <w:szCs w:val="32"/>
          <w:lang w:eastAsia="zh-CN"/>
        </w:rPr>
        <w:t>同上。</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eastAsia" w:eastAsia="仿宋_GB2312" w:cs="仿宋_GB2312"/>
          <w:sz w:val="32"/>
          <w:szCs w:val="32"/>
        </w:rPr>
      </w:pPr>
      <w:r>
        <w:rPr>
          <w:rFonts w:hint="eastAsia" w:eastAsia="仿宋_GB2312" w:cs="仿宋_GB2312"/>
          <w:sz w:val="32"/>
          <w:szCs w:val="32"/>
        </w:rPr>
        <w:t>（图5：一般公共预算财政拨款支出决算变动情况）</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outlineLvl w:val="2"/>
        <w:rPr>
          <w:rFonts w:eastAsia="楷体_GB2312" w:cs="楷体_GB2312"/>
          <w:b/>
          <w:sz w:val="32"/>
          <w:szCs w:val="32"/>
        </w:rPr>
      </w:pPr>
      <w:bookmarkStart w:id="42" w:name="_Toc15377211"/>
      <w:r>
        <w:rPr>
          <w:rFonts w:hint="eastAsia" w:eastAsia="楷体_GB2312" w:cs="楷体_GB2312"/>
          <w:b/>
          <w:sz w:val="32"/>
          <w:szCs w:val="32"/>
        </w:rPr>
        <w:t>（二）一般公共预算财政拨款支出决算结构情况</w:t>
      </w:r>
      <w:bookmarkEnd w:id="42"/>
    </w:p>
    <w:p>
      <w:pPr>
        <w:keepNext w:val="0"/>
        <w:keepLines w:val="0"/>
        <w:pageBreakBefore w:val="0"/>
        <w:widowControl w:val="0"/>
        <w:kinsoku/>
        <w:wordWrap/>
        <w:overflowPunct/>
        <w:topLinePunct w:val="0"/>
        <w:autoSpaceDE/>
        <w:autoSpaceDN/>
        <w:bidi w:val="0"/>
        <w:adjustRightInd/>
        <w:snapToGrid/>
        <w:spacing w:line="576" w:lineRule="exact"/>
        <w:ind w:firstLine="641"/>
        <w:textAlignment w:val="auto"/>
        <w:rPr>
          <w:rFonts w:hint="eastAsia" w:eastAsia="仿宋_GB2312" w:cs="仿宋_GB2312"/>
          <w:b/>
          <w:bCs/>
          <w:sz w:val="32"/>
          <w:szCs w:val="32"/>
        </w:rPr>
      </w:pPr>
      <w:r>
        <w:rPr>
          <w:rFonts w:hint="eastAsia" w:eastAsia="仿宋_GB2312" w:cs="仿宋_GB2312"/>
          <w:sz w:val="32"/>
          <w:szCs w:val="32"/>
        </w:rPr>
        <w:t>2024年度一般公共预算财政拨款支出</w:t>
      </w:r>
      <w:r>
        <w:rPr>
          <w:rFonts w:hint="eastAsia" w:ascii="仿宋_GB2312" w:hAnsi="仿宋_GB2312" w:eastAsia="仿宋_GB2312" w:cs="仿宋_GB2312"/>
          <w:sz w:val="32"/>
          <w:szCs w:val="32"/>
        </w:rPr>
        <w:t>411.16万元</w:t>
      </w:r>
      <w:r>
        <w:rPr>
          <w:rFonts w:hint="eastAsia" w:eastAsia="仿宋_GB2312" w:cs="仿宋_GB2312"/>
          <w:sz w:val="32"/>
          <w:szCs w:val="32"/>
        </w:rPr>
        <w:t>，主要用于以下方面：一般公共服务支出</w:t>
      </w:r>
      <w:r>
        <w:rPr>
          <w:rFonts w:hint="eastAsia" w:eastAsia="仿宋_GB2312" w:cs="仿宋_GB2312"/>
          <w:sz w:val="32"/>
          <w:szCs w:val="32"/>
          <w:lang w:val="en-US" w:eastAsia="zh-CN"/>
        </w:rPr>
        <w:t>338.11</w:t>
      </w:r>
      <w:r>
        <w:rPr>
          <w:rFonts w:hint="eastAsia" w:eastAsia="仿宋_GB2312" w:cs="仿宋_GB2312"/>
          <w:sz w:val="32"/>
          <w:szCs w:val="32"/>
        </w:rPr>
        <w:t>万元，占</w:t>
      </w:r>
      <w:r>
        <w:rPr>
          <w:rFonts w:hint="eastAsia" w:eastAsia="仿宋_GB2312" w:cs="仿宋_GB2312"/>
          <w:sz w:val="32"/>
          <w:szCs w:val="32"/>
          <w:lang w:val="en-US" w:eastAsia="zh-CN"/>
        </w:rPr>
        <w:t>82.2</w:t>
      </w:r>
      <w:r>
        <w:rPr>
          <w:rFonts w:hint="eastAsia" w:eastAsia="仿宋_GB2312" w:cs="仿宋_GB2312"/>
          <w:sz w:val="32"/>
          <w:szCs w:val="32"/>
        </w:rPr>
        <w:t>%；社会保障和就业支出</w:t>
      </w:r>
      <w:r>
        <w:rPr>
          <w:rFonts w:hint="eastAsia" w:eastAsia="仿宋_GB2312" w:cs="仿宋_GB2312"/>
          <w:sz w:val="32"/>
          <w:szCs w:val="32"/>
          <w:lang w:val="en-US" w:eastAsia="zh-CN"/>
        </w:rPr>
        <w:t>37.99</w:t>
      </w:r>
      <w:r>
        <w:rPr>
          <w:rFonts w:hint="eastAsia" w:eastAsia="仿宋_GB2312" w:cs="仿宋_GB2312"/>
          <w:sz w:val="32"/>
          <w:szCs w:val="32"/>
        </w:rPr>
        <w:t>万元，占</w:t>
      </w:r>
      <w:r>
        <w:rPr>
          <w:rFonts w:hint="eastAsia" w:eastAsia="仿宋_GB2312" w:cs="仿宋_GB2312"/>
          <w:sz w:val="32"/>
          <w:szCs w:val="32"/>
          <w:lang w:val="en-US" w:eastAsia="zh-CN"/>
        </w:rPr>
        <w:t>9.2</w:t>
      </w:r>
      <w:r>
        <w:rPr>
          <w:rFonts w:hint="eastAsia" w:eastAsia="仿宋_GB2312" w:cs="仿宋_GB2312"/>
          <w:sz w:val="32"/>
          <w:szCs w:val="32"/>
        </w:rPr>
        <w:t>%；卫生健康支出</w:t>
      </w:r>
      <w:r>
        <w:rPr>
          <w:rFonts w:hint="eastAsia" w:eastAsia="仿宋_GB2312" w:cs="仿宋_GB2312"/>
          <w:sz w:val="32"/>
          <w:szCs w:val="32"/>
          <w:lang w:val="en-US" w:eastAsia="zh-CN"/>
        </w:rPr>
        <w:t>9.81</w:t>
      </w:r>
      <w:r>
        <w:rPr>
          <w:rFonts w:hint="eastAsia" w:eastAsia="仿宋_GB2312" w:cs="仿宋_GB2312"/>
          <w:sz w:val="32"/>
          <w:szCs w:val="32"/>
        </w:rPr>
        <w:t>万元，占</w:t>
      </w:r>
      <w:r>
        <w:rPr>
          <w:rFonts w:hint="eastAsia" w:eastAsia="仿宋_GB2312" w:cs="仿宋_GB2312"/>
          <w:sz w:val="32"/>
          <w:szCs w:val="32"/>
          <w:lang w:val="en-US" w:eastAsia="zh-CN"/>
        </w:rPr>
        <w:t>2.4</w:t>
      </w:r>
      <w:r>
        <w:rPr>
          <w:rFonts w:hint="eastAsia" w:eastAsia="仿宋_GB2312" w:cs="仿宋_GB2312"/>
          <w:sz w:val="32"/>
          <w:szCs w:val="32"/>
        </w:rPr>
        <w:t>%；住房保障支出</w:t>
      </w:r>
      <w:r>
        <w:rPr>
          <w:rFonts w:hint="eastAsia" w:eastAsia="仿宋_GB2312" w:cs="仿宋_GB2312"/>
          <w:sz w:val="32"/>
          <w:szCs w:val="32"/>
          <w:lang w:val="en-US" w:eastAsia="zh-CN"/>
        </w:rPr>
        <w:t>25.25</w:t>
      </w:r>
      <w:r>
        <w:rPr>
          <w:rFonts w:hint="eastAsia" w:eastAsia="仿宋_GB2312" w:cs="仿宋_GB2312"/>
          <w:sz w:val="32"/>
          <w:szCs w:val="32"/>
        </w:rPr>
        <w:t>万元，占</w:t>
      </w:r>
      <w:r>
        <w:rPr>
          <w:rFonts w:hint="eastAsia" w:eastAsia="仿宋_GB2312" w:cs="仿宋_GB2312"/>
          <w:sz w:val="32"/>
          <w:szCs w:val="32"/>
          <w:lang w:val="en-US" w:eastAsia="zh-CN"/>
        </w:rPr>
        <w:t>6.1</w:t>
      </w:r>
      <w:r>
        <w:rPr>
          <w:rFonts w:hint="eastAsia" w:eastAsia="仿宋_GB2312" w:cs="仿宋_GB2312"/>
          <w:sz w:val="32"/>
          <w:szCs w:val="32"/>
        </w:rPr>
        <w:t>%</w:t>
      </w:r>
      <w:r>
        <w:rPr>
          <w:rFonts w:hint="eastAsia"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1"/>
        <w:textAlignment w:val="auto"/>
        <w:rPr>
          <w:rFonts w:hint="eastAsia" w:eastAsia="仿宋_GB2312" w:cs="仿宋_GB2312"/>
          <w:sz w:val="32"/>
          <w:szCs w:val="32"/>
        </w:rPr>
      </w:pPr>
      <w:r>
        <w:rPr>
          <w:rFonts w:hint="eastAsia" w:eastAsia="仿宋_GB2312" w:cs="仿宋_GB2312"/>
          <w:sz w:val="32"/>
          <w:szCs w:val="32"/>
        </w:rPr>
        <w:t>（图6：一般公共预算财政拨款支出决算结构）</w:t>
      </w:r>
      <w:r>
        <w:drawing>
          <wp:anchor distT="0" distB="0" distL="114300" distR="114300" simplePos="0" relativeHeight="251662336" behindDoc="0" locked="0" layoutInCell="1" allowOverlap="1">
            <wp:simplePos x="0" y="0"/>
            <wp:positionH relativeFrom="column">
              <wp:posOffset>934720</wp:posOffset>
            </wp:positionH>
            <wp:positionV relativeFrom="paragraph">
              <wp:posOffset>417830</wp:posOffset>
            </wp:positionV>
            <wp:extent cx="3754755" cy="2089785"/>
            <wp:effectExtent l="4445" t="4445" r="12700" b="20320"/>
            <wp:wrapTopAndBottom/>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pPr>
        <w:spacing w:line="600" w:lineRule="exact"/>
        <w:ind w:firstLine="642" w:firstLineChars="200"/>
        <w:outlineLvl w:val="2"/>
        <w:rPr>
          <w:rFonts w:eastAsia="楷体_GB2312" w:cs="楷体_GB2312"/>
          <w:b/>
          <w:sz w:val="32"/>
          <w:szCs w:val="32"/>
        </w:rPr>
      </w:pPr>
      <w:bookmarkStart w:id="43" w:name="_Toc15377212"/>
      <w:r>
        <w:rPr>
          <w:rFonts w:hint="eastAsia" w:eastAsia="楷体_GB2312" w:cs="楷体_GB2312"/>
          <w:b/>
          <w:sz w:val="32"/>
          <w:szCs w:val="32"/>
        </w:rPr>
        <w:t>（三）一般公共预算财政拨款支出决算具体情况</w:t>
      </w:r>
      <w:bookmarkEnd w:id="43"/>
    </w:p>
    <w:p>
      <w:pPr>
        <w:spacing w:line="600" w:lineRule="exact"/>
        <w:ind w:firstLine="640"/>
        <w:rPr>
          <w:rFonts w:eastAsia="仿宋_GB2312" w:cs="仿宋_GB2312"/>
          <w:sz w:val="32"/>
          <w:szCs w:val="32"/>
        </w:rPr>
      </w:pPr>
      <w:bookmarkStart w:id="44" w:name="_Toc15377444"/>
      <w:bookmarkStart w:id="45" w:name="_Toc15378460"/>
      <w:bookmarkStart w:id="46" w:name="_Toc15377213"/>
      <w:r>
        <w:rPr>
          <w:rFonts w:hint="eastAsia" w:eastAsia="仿宋_GB2312" w:cs="仿宋_GB2312"/>
          <w:sz w:val="32"/>
          <w:szCs w:val="32"/>
        </w:rPr>
        <w:t>2024年度一般公共预算财政拨款支出决算数为</w:t>
      </w:r>
      <w:r>
        <w:rPr>
          <w:rFonts w:hint="eastAsia" w:ascii="仿宋_GB2312" w:hAnsi="仿宋_GB2312" w:eastAsia="仿宋_GB2312" w:cs="仿宋_GB2312"/>
          <w:sz w:val="32"/>
          <w:szCs w:val="32"/>
        </w:rPr>
        <w:t>411.16</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44"/>
      <w:bookmarkEnd w:id="45"/>
      <w:bookmarkEnd w:id="46"/>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lang w:eastAsia="zh-CN"/>
        </w:rPr>
        <w:t>一般公共服务（类）民主党派及工商联事务（款）行政运行（项）</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 xml:space="preserve"> 支出决算为</w:t>
      </w:r>
      <w:r>
        <w:rPr>
          <w:rFonts w:hint="eastAsia" w:ascii="仿宋_GB2312" w:hAnsi="Times New Roman" w:eastAsia="仿宋_GB2312" w:cs="Times New Roman"/>
          <w:sz w:val="32"/>
          <w:szCs w:val="32"/>
          <w:lang w:val="en-US" w:eastAsia="zh-CN"/>
        </w:rPr>
        <w:t>309</w:t>
      </w:r>
      <w:r>
        <w:rPr>
          <w:rFonts w:hint="eastAsia" w:ascii="仿宋_GB2312" w:hAnsi="Times New Roman" w:eastAsia="仿宋_GB2312" w:cs="Times New Roman"/>
          <w:sz w:val="32"/>
          <w:szCs w:val="32"/>
          <w:lang w:eastAsia="zh-CN"/>
        </w:rPr>
        <w:t>万元，完成预算100%。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lang w:eastAsia="zh-CN"/>
        </w:rPr>
        <w:t>一般公共服务（类）民主党派及工商联事务（款）一般行政管理事务（项）：支出决算为</w:t>
      </w:r>
      <w:r>
        <w:rPr>
          <w:rFonts w:hint="eastAsia" w:ascii="仿宋_GB2312" w:hAnsi="Times New Roman" w:eastAsia="仿宋_GB2312" w:cs="Times New Roman"/>
          <w:sz w:val="32"/>
          <w:szCs w:val="32"/>
          <w:lang w:val="en-US" w:eastAsia="zh-CN"/>
        </w:rPr>
        <w:t>29.11万元，完成预算100%。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lang w:eastAsia="zh-CN"/>
        </w:rPr>
        <w:t>社会保障和就业支出（类）行政事业单位养老支出（款）行政单位离退休（项）：支出决算为</w:t>
      </w:r>
      <w:r>
        <w:rPr>
          <w:rFonts w:hint="eastAsia" w:ascii="仿宋_GB2312" w:hAnsi="Times New Roman" w:eastAsia="仿宋_GB2312" w:cs="Times New Roman"/>
          <w:sz w:val="32"/>
          <w:szCs w:val="32"/>
          <w:lang w:val="en-US" w:eastAsia="zh-CN"/>
        </w:rPr>
        <w:t>1.51</w:t>
      </w:r>
      <w:r>
        <w:rPr>
          <w:rFonts w:hint="eastAsia" w:ascii="仿宋_GB2312" w:hAnsi="Times New Roman" w:eastAsia="仿宋_GB2312" w:cs="Times New Roman"/>
          <w:sz w:val="32"/>
          <w:szCs w:val="32"/>
          <w:lang w:eastAsia="zh-CN"/>
        </w:rPr>
        <w:t>万元，完成预算100%。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lang w:eastAsia="zh-CN"/>
        </w:rPr>
        <w:t>社会保障和就业支出（类）行政事业单位养老支出（款）机关事业单位基本养老保险缴费（项）：支出决算为</w:t>
      </w:r>
      <w:r>
        <w:rPr>
          <w:rFonts w:hint="eastAsia" w:ascii="仿宋_GB2312" w:hAnsi="Times New Roman" w:eastAsia="仿宋_GB2312" w:cs="Times New Roman"/>
          <w:sz w:val="32"/>
          <w:szCs w:val="32"/>
          <w:lang w:val="en-US" w:eastAsia="zh-CN"/>
        </w:rPr>
        <w:t>30.36</w:t>
      </w:r>
      <w:r>
        <w:rPr>
          <w:rFonts w:hint="eastAsia" w:ascii="仿宋_GB2312" w:hAnsi="Times New Roman" w:eastAsia="仿宋_GB2312" w:cs="Times New Roman"/>
          <w:sz w:val="32"/>
          <w:szCs w:val="32"/>
          <w:lang w:eastAsia="zh-CN"/>
        </w:rPr>
        <w:t>万元，完成预算100%。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lang w:eastAsia="zh-CN"/>
        </w:rPr>
        <w:t>社会保障和就业支出（类）行政事业单位养老支出（款）机关事业单位职业年金缴费支出（项）：支出决算为</w:t>
      </w:r>
      <w:r>
        <w:rPr>
          <w:rFonts w:hint="eastAsia" w:ascii="仿宋_GB2312" w:hAnsi="Times New Roman" w:eastAsia="仿宋_GB2312" w:cs="Times New Roman"/>
          <w:sz w:val="32"/>
          <w:szCs w:val="32"/>
          <w:lang w:val="en-US" w:eastAsia="zh-CN"/>
        </w:rPr>
        <w:t>5.96</w:t>
      </w:r>
      <w:r>
        <w:rPr>
          <w:rFonts w:hint="eastAsia" w:ascii="仿宋_GB2312" w:hAnsi="Times New Roman" w:eastAsia="仿宋_GB2312" w:cs="Times New Roman"/>
          <w:sz w:val="32"/>
          <w:szCs w:val="32"/>
          <w:lang w:eastAsia="zh-CN"/>
        </w:rPr>
        <w:t>万元，完成预算100%。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6.</w:t>
      </w:r>
      <w:r>
        <w:rPr>
          <w:rFonts w:hint="eastAsia" w:ascii="仿宋_GB2312" w:hAnsi="Times New Roman" w:eastAsia="仿宋_GB2312" w:cs="Times New Roman"/>
          <w:sz w:val="32"/>
          <w:szCs w:val="32"/>
          <w:lang w:eastAsia="zh-CN"/>
        </w:rPr>
        <w:t>社会保障和就业支出（类）行政事业单位养老支出（款）其他社会保障和就业支出（项）：支出决算为</w:t>
      </w:r>
      <w:r>
        <w:rPr>
          <w:rFonts w:hint="eastAsia" w:ascii="仿宋_GB2312" w:hAnsi="Times New Roman" w:eastAsia="仿宋_GB2312" w:cs="Times New Roman"/>
          <w:sz w:val="32"/>
          <w:szCs w:val="32"/>
          <w:lang w:val="en-US" w:eastAsia="zh-CN"/>
        </w:rPr>
        <w:t>0.17</w:t>
      </w:r>
      <w:r>
        <w:rPr>
          <w:rFonts w:hint="eastAsia" w:ascii="仿宋_GB2312" w:hAnsi="Times New Roman" w:eastAsia="仿宋_GB2312" w:cs="Times New Roman"/>
          <w:sz w:val="32"/>
          <w:szCs w:val="32"/>
          <w:lang w:eastAsia="zh-CN"/>
        </w:rPr>
        <w:t>万元，完成预算100%。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7.</w:t>
      </w:r>
      <w:r>
        <w:rPr>
          <w:rFonts w:hint="eastAsia" w:ascii="仿宋_GB2312" w:hAnsi="Times New Roman" w:eastAsia="仿宋_GB2312" w:cs="Times New Roman"/>
          <w:sz w:val="32"/>
          <w:szCs w:val="32"/>
          <w:lang w:eastAsia="zh-CN"/>
        </w:rPr>
        <w:t>卫生健康支出（类）行政事业单位医疗（款）行政单位医疗（项）：支出决算为</w:t>
      </w:r>
      <w:r>
        <w:rPr>
          <w:rFonts w:hint="eastAsia" w:ascii="仿宋_GB2312" w:hAnsi="Times New Roman" w:eastAsia="仿宋_GB2312" w:cs="Times New Roman"/>
          <w:sz w:val="32"/>
          <w:szCs w:val="32"/>
          <w:lang w:val="en-US" w:eastAsia="zh-CN"/>
        </w:rPr>
        <w:t>9.81</w:t>
      </w:r>
      <w:r>
        <w:rPr>
          <w:rFonts w:hint="eastAsia" w:ascii="仿宋_GB2312" w:hAnsi="Times New Roman" w:eastAsia="仿宋_GB2312" w:cs="Times New Roman"/>
          <w:sz w:val="32"/>
          <w:szCs w:val="32"/>
          <w:lang w:eastAsia="zh-CN"/>
        </w:rPr>
        <w:t>万元，完成预算100%。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eastAsia="仿宋_GB2312" w:cs="仿宋_GB2312"/>
          <w:sz w:val="32"/>
          <w:szCs w:val="32"/>
        </w:rPr>
      </w:pPr>
      <w:r>
        <w:rPr>
          <w:rFonts w:hint="eastAsia" w:ascii="仿宋_GB2312" w:hAnsi="Times New Roman" w:eastAsia="仿宋_GB2312" w:cs="Times New Roman"/>
          <w:sz w:val="32"/>
          <w:szCs w:val="32"/>
          <w:lang w:val="en-US" w:eastAsia="zh-CN"/>
        </w:rPr>
        <w:t>8.</w:t>
      </w:r>
      <w:r>
        <w:rPr>
          <w:rFonts w:hint="eastAsia" w:ascii="仿宋_GB2312" w:hAnsi="Times New Roman" w:eastAsia="仿宋_GB2312" w:cs="Times New Roman"/>
          <w:sz w:val="32"/>
          <w:szCs w:val="32"/>
          <w:lang w:eastAsia="zh-CN"/>
        </w:rPr>
        <w:t>住房保障支出（类）住房改革支出（款）住房公积金（项）支出决算为</w:t>
      </w:r>
      <w:r>
        <w:rPr>
          <w:rFonts w:hint="eastAsia" w:ascii="仿宋_GB2312" w:hAnsi="Times New Roman" w:eastAsia="仿宋_GB2312" w:cs="Times New Roman"/>
          <w:sz w:val="32"/>
          <w:szCs w:val="32"/>
          <w:lang w:val="en-US" w:eastAsia="zh-CN"/>
        </w:rPr>
        <w:t>25.25</w:t>
      </w:r>
      <w:r>
        <w:rPr>
          <w:rFonts w:hint="eastAsia" w:ascii="仿宋_GB2312" w:hAnsi="Times New Roman" w:eastAsia="仿宋_GB2312" w:cs="Times New Roman"/>
          <w:sz w:val="32"/>
          <w:szCs w:val="32"/>
          <w:lang w:eastAsia="zh-CN"/>
        </w:rPr>
        <w:t>万元</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完成预算100%。</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rPr>
      </w:pPr>
      <w:bookmarkStart w:id="47" w:name="_Toc4184"/>
      <w:bookmarkStart w:id="48" w:name="_Toc15377214"/>
      <w:bookmarkStart w:id="49" w:name="_Toc15396608"/>
      <w:r>
        <w:rPr>
          <w:rFonts w:hint="eastAsia" w:ascii="Times New Roman" w:hAnsi="Times New Roman" w:eastAsia="黑体"/>
          <w:b w:val="0"/>
        </w:rPr>
        <w:t>六、一般公共预算财政拨款基本支出决算情况说明</w:t>
      </w:r>
      <w:bookmarkEnd w:id="47"/>
      <w:bookmarkEnd w:id="48"/>
      <w:bookmarkEnd w:id="49"/>
      <w:r>
        <w:rPr>
          <w:rFonts w:hint="eastAsia" w:ascii="Times New Roman" w:hAnsi="Times New Roman" w:eastAsia="黑体"/>
          <w:b w:val="0"/>
        </w:rPr>
        <w:tab/>
      </w:r>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w:t>
      </w:r>
      <w:r>
        <w:rPr>
          <w:rFonts w:hint="eastAsia" w:ascii="仿宋_GB2312" w:hAnsi="仿宋_GB2312" w:eastAsia="仿宋_GB2312" w:cs="仿宋_GB2312"/>
          <w:sz w:val="32"/>
          <w:szCs w:val="32"/>
        </w:rPr>
        <w:t>382.05万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w:t>
      </w:r>
      <w:r>
        <w:rPr>
          <w:rFonts w:hint="eastAsia" w:ascii="仿宋_GB2312" w:hAnsi="仿宋_GB2312" w:eastAsia="仿宋_GB2312" w:cs="仿宋_GB2312"/>
          <w:sz w:val="32"/>
          <w:szCs w:val="32"/>
        </w:rPr>
        <w:t>330.2万</w:t>
      </w:r>
      <w:r>
        <w:rPr>
          <w:rFonts w:hint="eastAsia" w:eastAsia="仿宋_GB2312" w:cs="仿宋_GB2312"/>
          <w:sz w:val="32"/>
          <w:szCs w:val="32"/>
        </w:rPr>
        <w:t>元，主要包括：基本工资、津贴补贴、奖金、机关事业单位基本养老保险缴费、职业年金缴费、职工基本医疗保险缴费</w:t>
      </w:r>
      <w:r>
        <w:rPr>
          <w:rFonts w:hint="eastAsia" w:eastAsia="仿宋_GB2312" w:cs="仿宋_GB2312"/>
          <w:sz w:val="32"/>
          <w:szCs w:val="32"/>
          <w:lang w:eastAsia="zh-CN"/>
        </w:rPr>
        <w:t>、</w:t>
      </w:r>
      <w:r>
        <w:rPr>
          <w:rFonts w:hint="eastAsia" w:eastAsia="仿宋_GB2312" w:cs="仿宋_GB2312"/>
          <w:sz w:val="32"/>
          <w:szCs w:val="32"/>
        </w:rPr>
        <w:t>其他社会保障缴费、住房公积金</w:t>
      </w:r>
      <w:r>
        <w:rPr>
          <w:rFonts w:hint="eastAsia" w:eastAsia="仿宋_GB2312" w:cs="仿宋_GB2312"/>
          <w:sz w:val="32"/>
          <w:szCs w:val="32"/>
          <w:lang w:eastAsia="zh-CN"/>
        </w:rPr>
        <w:t>、</w:t>
      </w:r>
      <w:r>
        <w:rPr>
          <w:rFonts w:hint="eastAsia" w:eastAsia="仿宋_GB2312" w:cs="仿宋_GB2312"/>
          <w:sz w:val="32"/>
          <w:szCs w:val="32"/>
        </w:rPr>
        <w:t>生活补助、</w:t>
      </w:r>
      <w:r>
        <w:rPr>
          <w:rFonts w:hint="eastAsia" w:eastAsia="仿宋_GB2312" w:cs="仿宋_GB2312"/>
          <w:sz w:val="32"/>
          <w:szCs w:val="32"/>
          <w:lang w:eastAsia="zh-CN"/>
        </w:rPr>
        <w:t>奖励金</w:t>
      </w:r>
      <w:r>
        <w:rPr>
          <w:rFonts w:hint="eastAsia" w:eastAsia="仿宋_GB2312" w:cs="仿宋_GB2312"/>
          <w:sz w:val="32"/>
          <w:szCs w:val="32"/>
        </w:rPr>
        <w:t>。</w:t>
      </w:r>
      <w:r>
        <w:rPr>
          <w:rFonts w:hint="eastAsia" w:eastAsia="仿宋_GB2312" w:cs="仿宋_GB2312"/>
          <w:sz w:val="32"/>
          <w:szCs w:val="32"/>
        </w:rPr>
        <w:br w:type="textWrapping"/>
      </w:r>
      <w:r>
        <w:rPr>
          <w:rFonts w:hint="eastAsia" w:eastAsia="仿宋_GB2312" w:cs="仿宋_GB2312"/>
          <w:sz w:val="32"/>
          <w:szCs w:val="32"/>
        </w:rPr>
        <w:t>　　公用经费</w:t>
      </w:r>
      <w:r>
        <w:rPr>
          <w:rFonts w:hint="eastAsia" w:ascii="仿宋_GB2312" w:hAnsi="仿宋_GB2312" w:eastAsia="仿宋_GB2312" w:cs="仿宋_GB2312"/>
          <w:sz w:val="32"/>
          <w:szCs w:val="32"/>
        </w:rPr>
        <w:t>51.85万</w:t>
      </w:r>
      <w:r>
        <w:rPr>
          <w:rFonts w:hint="eastAsia" w:eastAsia="仿宋_GB2312" w:cs="仿宋_GB2312"/>
          <w:sz w:val="32"/>
          <w:szCs w:val="32"/>
        </w:rPr>
        <w:t>元，主要包括：办公费、印刷费、水费、电费、邮电费、差旅费、公务接待费、工会经费、福利费、其他交通费</w:t>
      </w:r>
      <w:r>
        <w:rPr>
          <w:rFonts w:hint="eastAsia" w:eastAsia="仿宋_GB2312" w:cs="仿宋_GB2312"/>
          <w:sz w:val="32"/>
          <w:szCs w:val="32"/>
          <w:lang w:eastAsia="zh-CN"/>
        </w:rPr>
        <w:t>用</w:t>
      </w:r>
      <w:r>
        <w:rPr>
          <w:rFonts w:hint="eastAsia" w:eastAsia="仿宋_GB2312" w:cs="仿宋_GB2312"/>
          <w:sz w:val="32"/>
          <w:szCs w:val="32"/>
        </w:rPr>
        <w:t>、其他商品和服务支出。</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rPr>
      </w:pPr>
      <w:bookmarkStart w:id="50" w:name="_Toc20711"/>
      <w:bookmarkStart w:id="51" w:name="_Toc15396609"/>
      <w:bookmarkStart w:id="52" w:name="_Toc15377215"/>
      <w:r>
        <w:rPr>
          <w:rFonts w:hint="eastAsia" w:ascii="Times New Roman" w:hAnsi="Times New Roman" w:eastAsia="黑体"/>
          <w:b w:val="0"/>
        </w:rPr>
        <w:t>七、财政拨款“三公”经费支出决算情况说明</w:t>
      </w:r>
      <w:bookmarkEnd w:id="50"/>
      <w:bookmarkEnd w:id="51"/>
      <w:bookmarkEnd w:id="52"/>
    </w:p>
    <w:p>
      <w:pPr>
        <w:spacing w:line="600" w:lineRule="exact"/>
        <w:ind w:firstLine="642" w:firstLineChars="200"/>
        <w:outlineLvl w:val="2"/>
        <w:rPr>
          <w:rFonts w:eastAsia="楷体_GB2312" w:cs="楷体_GB2312"/>
          <w:b/>
          <w:sz w:val="32"/>
          <w:szCs w:val="32"/>
        </w:rPr>
      </w:pPr>
      <w:bookmarkStart w:id="53" w:name="_Toc15377216"/>
      <w:r>
        <w:rPr>
          <w:rFonts w:hint="eastAsia" w:eastAsia="楷体_GB2312" w:cs="楷体_GB2312"/>
          <w:b/>
          <w:sz w:val="32"/>
          <w:szCs w:val="32"/>
        </w:rPr>
        <w:t>（一）“三公”经费财政拨款支出决算总体情况说明</w:t>
      </w:r>
      <w:bookmarkEnd w:id="53"/>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2024年度“三公”经费财政拨款支出决算为</w:t>
      </w:r>
      <w:r>
        <w:rPr>
          <w:rFonts w:hint="eastAsia" w:ascii="仿宋_GB2312" w:hAnsi="仿宋_GB2312" w:eastAsia="仿宋_GB2312" w:cs="仿宋_GB2312"/>
          <w:sz w:val="32"/>
          <w:szCs w:val="32"/>
        </w:rPr>
        <w:t>0.73万元，完成预算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eastAsia="仿宋_GB2312" w:cs="仿宋_GB2312"/>
          <w:sz w:val="32"/>
          <w:szCs w:val="32"/>
        </w:rPr>
        <w:t>较上年度减少</w:t>
      </w:r>
      <w:r>
        <w:rPr>
          <w:rFonts w:hint="eastAsia" w:eastAsia="仿宋_GB2312" w:cs="仿宋_GB2312"/>
          <w:sz w:val="32"/>
          <w:szCs w:val="32"/>
          <w:lang w:val="en-US" w:eastAsia="zh-CN"/>
        </w:rPr>
        <w:t>0.09</w:t>
      </w:r>
      <w:r>
        <w:rPr>
          <w:rFonts w:hint="eastAsia" w:eastAsia="仿宋_GB2312" w:cs="仿宋_GB2312"/>
          <w:sz w:val="32"/>
          <w:szCs w:val="32"/>
        </w:rPr>
        <w:t>万元，下降</w:t>
      </w:r>
      <w:r>
        <w:rPr>
          <w:rFonts w:hint="eastAsia" w:eastAsia="仿宋_GB2312" w:cs="仿宋_GB2312"/>
          <w:sz w:val="32"/>
          <w:szCs w:val="32"/>
          <w:lang w:val="en-US" w:eastAsia="zh-CN"/>
        </w:rPr>
        <w:t>11</w:t>
      </w:r>
      <w:r>
        <w:rPr>
          <w:rFonts w:hint="eastAsia" w:eastAsia="仿宋_GB2312" w:cs="仿宋_GB2312"/>
          <w:sz w:val="32"/>
          <w:szCs w:val="32"/>
        </w:rPr>
        <w:t>%。</w:t>
      </w:r>
      <w:r>
        <w:rPr>
          <w:rFonts w:hint="eastAsia" w:eastAsia="仿宋_GB2312" w:cs="仿宋_GB2312"/>
          <w:sz w:val="32"/>
          <w:szCs w:val="32"/>
          <w:lang w:eastAsia="zh-CN"/>
        </w:rPr>
        <w:t>决算数与预算数持平。</w:t>
      </w:r>
    </w:p>
    <w:p>
      <w:pPr>
        <w:spacing w:line="600" w:lineRule="exact"/>
        <w:ind w:firstLine="642" w:firstLineChars="200"/>
        <w:outlineLvl w:val="2"/>
        <w:rPr>
          <w:rFonts w:eastAsia="楷体_GB2312" w:cs="楷体_GB2312"/>
          <w:b/>
          <w:sz w:val="32"/>
          <w:szCs w:val="32"/>
        </w:rPr>
      </w:pPr>
      <w:bookmarkStart w:id="54" w:name="_Toc15377217"/>
      <w:r>
        <w:rPr>
          <w:rFonts w:hint="eastAsia" w:eastAsia="楷体_GB2312" w:cs="楷体_GB2312"/>
          <w:b/>
          <w:sz w:val="32"/>
          <w:szCs w:val="32"/>
        </w:rPr>
        <w:t>（二）“三公”经费财政拨款支出决算具体情况说明</w:t>
      </w:r>
      <w:bookmarkEnd w:id="54"/>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2024年度“三公”经费财政拨款支出决算中，因公出国（境）费支出决算0万元，占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%；公务用车购置及运行维护费支出决算0万元，占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%；公务接待费支出决算0.73万元，占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%。具体情况如下：</w:t>
      </w:r>
    </w:p>
    <w:p>
      <w:pPr>
        <w:spacing w:line="600" w:lineRule="exact"/>
        <w:ind w:firstLine="640"/>
        <w:rPr>
          <w:rFonts w:hint="eastAsia" w:eastAsia="仿宋_GB2312" w:cs="仿宋_GB2312"/>
          <w:sz w:val="32"/>
          <w:szCs w:val="32"/>
        </w:rPr>
      </w:pPr>
      <w:r>
        <w:drawing>
          <wp:anchor distT="0" distB="0" distL="114300" distR="114300" simplePos="0" relativeHeight="251663360" behindDoc="0" locked="0" layoutInCell="1" allowOverlap="1">
            <wp:simplePos x="0" y="0"/>
            <wp:positionH relativeFrom="column">
              <wp:posOffset>461645</wp:posOffset>
            </wp:positionH>
            <wp:positionV relativeFrom="paragraph">
              <wp:posOffset>391795</wp:posOffset>
            </wp:positionV>
            <wp:extent cx="4549775" cy="2781300"/>
            <wp:effectExtent l="4445" t="4445" r="17780" b="14605"/>
            <wp:wrapTopAndBottom/>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r>
        <w:rPr>
          <w:rFonts w:hint="eastAsia" w:eastAsia="仿宋_GB2312" w:cs="仿宋_GB2312"/>
          <w:sz w:val="32"/>
          <w:szCs w:val="32"/>
        </w:rPr>
        <w:t>（图7：“三公”经费财政拨款支出结构）（饼状图）</w:t>
      </w:r>
    </w:p>
    <w:p>
      <w:pPr>
        <w:pageBreakBefore w:val="0"/>
        <w:kinsoku/>
        <w:wordWrap/>
        <w:overflowPunct/>
        <w:topLinePunct w:val="0"/>
        <w:bidi w:val="0"/>
        <w:spacing w:line="576" w:lineRule="exact"/>
        <w:ind w:left="0" w:leftChars="0" w:right="0" w:firstLine="640"/>
        <w:textAlignment w:val="auto"/>
        <w:rPr>
          <w:rFonts w:ascii="仿宋_GB2312" w:eastAsia="仿宋_GB2312"/>
          <w:b/>
          <w:sz w:val="32"/>
          <w:szCs w:val="32"/>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w:t>
      </w:r>
      <w:r>
        <w:rPr>
          <w:rFonts w:hint="eastAsia" w:ascii="仿宋_GB2312" w:hAnsi="Times New Roman" w:eastAsia="仿宋_GB2312" w:cs="Times New Roman"/>
          <w:sz w:val="32"/>
          <w:szCs w:val="32"/>
          <w:lang w:eastAsia="zh-CN"/>
        </w:rPr>
        <w:t>全年未安排预算。因公出国（境）支出决算较202</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lang w:eastAsia="zh-CN"/>
        </w:rPr>
        <w:t>年无变化。</w:t>
      </w:r>
    </w:p>
    <w:p>
      <w:pPr>
        <w:spacing w:line="600" w:lineRule="exact"/>
        <w:ind w:firstLine="640"/>
        <w:rPr>
          <w:rFonts w:hint="eastAsia" w:ascii="仿宋_GB2312" w:eastAsia="仿宋_GB2312"/>
          <w:sz w:val="32"/>
          <w:szCs w:val="32"/>
        </w:rPr>
      </w:pPr>
      <w:r>
        <w:rPr>
          <w:rFonts w:hint="eastAsia" w:eastAsia="仿宋_GB2312" w:cs="仿宋_GB2312"/>
          <w:b/>
          <w:bCs/>
          <w:sz w:val="32"/>
          <w:szCs w:val="32"/>
        </w:rPr>
        <w:t>2.公务用车购置及运行维护费支出</w:t>
      </w:r>
      <w:r>
        <w:rPr>
          <w:rFonts w:hint="eastAsia" w:ascii="仿宋_GB2312" w:hAnsi="仿宋_GB2312" w:eastAsia="仿宋_GB2312" w:cs="仿宋_GB2312"/>
          <w:b/>
          <w:bCs/>
          <w:sz w:val="32"/>
          <w:szCs w:val="32"/>
        </w:rPr>
        <w:t>0万</w:t>
      </w:r>
      <w:r>
        <w:rPr>
          <w:rFonts w:hint="eastAsia" w:eastAsia="仿宋_GB2312" w:cs="仿宋_GB2312"/>
          <w:b/>
          <w:bCs/>
          <w:sz w:val="32"/>
          <w:szCs w:val="32"/>
        </w:rPr>
        <w:t>元，</w:t>
      </w:r>
      <w:r>
        <w:rPr>
          <w:rFonts w:hint="eastAsia" w:ascii="仿宋_GB2312" w:hAnsi="Times New Roman" w:eastAsia="仿宋_GB2312" w:cs="Times New Roman"/>
          <w:sz w:val="32"/>
          <w:szCs w:val="32"/>
          <w:lang w:eastAsia="zh-CN"/>
        </w:rPr>
        <w:t>全年未安排预算。公务用车购置及运行维护费支出决算较202</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lang w:eastAsia="zh-CN"/>
        </w:rPr>
        <w:t>年无变化。其中：</w:t>
      </w:r>
      <w:r>
        <w:rPr>
          <w:rFonts w:hint="eastAsia" w:ascii="仿宋_GB2312" w:eastAsia="仿宋_GB2312"/>
          <w:b/>
          <w:sz w:val="32"/>
          <w:szCs w:val="32"/>
        </w:rPr>
        <w:t>公务用车购置支出</w:t>
      </w:r>
      <w:r>
        <w:rPr>
          <w:rFonts w:hint="eastAsia" w:ascii="仿宋_GB2312" w:hAnsi="Times New Roman" w:eastAsia="仿宋_GB2312" w:cs="Times New Roman"/>
          <w:sz w:val="32"/>
          <w:szCs w:val="32"/>
          <w:lang w:eastAsia="zh-CN"/>
        </w:rPr>
        <w:t>0万元</w:t>
      </w:r>
      <w:r>
        <w:rPr>
          <w:rFonts w:hint="eastAsia" w:ascii="仿宋_GB2312" w:eastAsia="仿宋_GB2312"/>
          <w:sz w:val="32"/>
          <w:szCs w:val="32"/>
          <w:lang w:eastAsia="zh-CN"/>
        </w:rPr>
        <w:t>，</w:t>
      </w:r>
      <w:r>
        <w:rPr>
          <w:rFonts w:hint="eastAsia" w:ascii="仿宋_GB2312" w:eastAsia="仿宋_GB2312"/>
          <w:b/>
          <w:sz w:val="32"/>
          <w:szCs w:val="32"/>
        </w:rPr>
        <w:t>公务用车运行维护费支出</w:t>
      </w:r>
      <w:r>
        <w:rPr>
          <w:rFonts w:hint="eastAsia" w:ascii="仿宋_GB2312" w:hAnsi="Times New Roman" w:eastAsia="仿宋_GB2312" w:cs="Times New Roman"/>
          <w:sz w:val="32"/>
          <w:szCs w:val="32"/>
          <w:lang w:eastAsia="zh-CN"/>
        </w:rPr>
        <w:t>0万元</w:t>
      </w:r>
      <w:r>
        <w:rPr>
          <w:rFonts w:hint="eastAsia" w:ascii="仿宋_GB2312" w:eastAsia="仿宋_GB2312"/>
          <w:sz w:val="32"/>
          <w:szCs w:val="32"/>
        </w:rPr>
        <w:t>。</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rPr>
        <w:t>0.73万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ascii="Times New Roman" w:hAnsi="Times New Roman" w:eastAsia="仿宋_GB2312" w:cs="仿宋_GB2312"/>
          <w:b/>
          <w:bCs/>
          <w:sz w:val="32"/>
          <w:szCs w:val="32"/>
        </w:rPr>
        <w:t>%。</w:t>
      </w:r>
      <w:r>
        <w:rPr>
          <w:rFonts w:hint="eastAsia" w:eastAsia="仿宋_GB2312" w:cs="仿宋_GB2312"/>
          <w:sz w:val="32"/>
          <w:szCs w:val="32"/>
        </w:rPr>
        <w:t>公务接待费支出决算比2023年度减少</w:t>
      </w:r>
      <w:r>
        <w:rPr>
          <w:rFonts w:hint="eastAsia" w:eastAsia="仿宋_GB2312" w:cs="仿宋_GB2312"/>
          <w:sz w:val="32"/>
          <w:szCs w:val="32"/>
          <w:lang w:val="en-US" w:eastAsia="zh-CN"/>
        </w:rPr>
        <w:t>0.09</w:t>
      </w:r>
      <w:r>
        <w:rPr>
          <w:rFonts w:hint="eastAsia" w:eastAsia="仿宋_GB2312" w:cs="仿宋_GB2312"/>
          <w:sz w:val="32"/>
          <w:szCs w:val="32"/>
        </w:rPr>
        <w:t>万元，下降</w:t>
      </w:r>
      <w:r>
        <w:rPr>
          <w:rFonts w:hint="eastAsia" w:eastAsia="仿宋_GB2312" w:cs="仿宋_GB2312"/>
          <w:sz w:val="32"/>
          <w:szCs w:val="32"/>
          <w:lang w:val="en-US" w:eastAsia="zh-CN"/>
        </w:rPr>
        <w:t>11</w:t>
      </w:r>
      <w:r>
        <w:rPr>
          <w:rFonts w:hint="eastAsia" w:eastAsia="仿宋_GB2312" w:cs="仿宋_GB2312"/>
          <w:sz w:val="32"/>
          <w:szCs w:val="32"/>
        </w:rPr>
        <w:t>%。主要原因是</w:t>
      </w:r>
      <w:r>
        <w:rPr>
          <w:rFonts w:hint="eastAsia" w:eastAsia="仿宋_GB2312" w:cs="仿宋_GB2312"/>
          <w:sz w:val="32"/>
          <w:szCs w:val="32"/>
          <w:lang w:eastAsia="zh-CN"/>
        </w:rPr>
        <w:t>严格落实“过紧日子”要求，压减“三公”经费，从严审批“三公”经费开支。</w:t>
      </w:r>
    </w:p>
    <w:p>
      <w:pPr>
        <w:spacing w:line="600" w:lineRule="exact"/>
        <w:ind w:firstLine="640"/>
        <w:rPr>
          <w:rFonts w:hint="eastAsia" w:ascii="仿宋_GB2312" w:hAnsi="Times New Roman" w:eastAsia="仿宋_GB2312" w:cs="Times New Roman"/>
          <w:sz w:val="32"/>
          <w:szCs w:val="32"/>
          <w:lang w:eastAsia="zh-CN"/>
        </w:rPr>
      </w:pPr>
      <w:r>
        <w:rPr>
          <w:rFonts w:hint="eastAsia" w:eastAsia="仿宋_GB2312" w:cs="仿宋_GB2312"/>
          <w:sz w:val="32"/>
          <w:szCs w:val="32"/>
        </w:rPr>
        <w:t>国内公务接待支</w:t>
      </w:r>
      <w:r>
        <w:rPr>
          <w:rFonts w:hint="eastAsia" w:ascii="仿宋_GB2312" w:hAnsi="仿宋_GB2312" w:eastAsia="仿宋_GB2312" w:cs="仿宋_GB2312"/>
          <w:sz w:val="32"/>
          <w:szCs w:val="32"/>
        </w:rPr>
        <w:t>出0.73万</w:t>
      </w:r>
      <w:r>
        <w:rPr>
          <w:rFonts w:hint="eastAsia" w:eastAsia="仿宋_GB2312" w:cs="仿宋_GB2312"/>
          <w:sz w:val="32"/>
          <w:szCs w:val="32"/>
        </w:rPr>
        <w:t>元，主要用于开展业务活动开支的用餐费。国内公务接</w:t>
      </w:r>
      <w:r>
        <w:rPr>
          <w:rFonts w:hint="eastAsia" w:ascii="仿宋_GB2312" w:hAnsi="仿宋_GB2312" w:eastAsia="仿宋_GB2312" w:cs="仿宋_GB2312"/>
          <w:sz w:val="32"/>
          <w:szCs w:val="32"/>
        </w:rPr>
        <w:t>待</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批次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44</w:t>
      </w:r>
      <w:r>
        <w:rPr>
          <w:rFonts w:hint="eastAsia" w:eastAsia="仿宋_GB2312" w:cs="仿宋_GB2312"/>
          <w:sz w:val="32"/>
          <w:szCs w:val="32"/>
        </w:rPr>
        <w:t>人次（不包括陪同人员），具体内容包括：</w:t>
      </w:r>
      <w:bookmarkStart w:id="55" w:name="_Toc15377218"/>
      <w:bookmarkStart w:id="56" w:name="_Toc15396610"/>
      <w:r>
        <w:rPr>
          <w:rFonts w:hint="eastAsia" w:ascii="仿宋_GB2312" w:hAnsi="Times New Roman" w:eastAsia="仿宋_GB2312" w:cs="Times New Roman"/>
          <w:sz w:val="32"/>
          <w:szCs w:val="32"/>
          <w:lang w:eastAsia="zh-CN"/>
        </w:rPr>
        <w:t>正常公务运转接待以及向上级争取资金开展活动等产生的餐费共计</w:t>
      </w:r>
      <w:r>
        <w:rPr>
          <w:rFonts w:hint="eastAsia" w:ascii="仿宋_GB2312" w:hAnsi="Times New Roman" w:eastAsia="仿宋_GB2312" w:cs="Times New Roman"/>
          <w:sz w:val="32"/>
          <w:szCs w:val="32"/>
          <w:lang w:val="en-US" w:eastAsia="zh-CN"/>
        </w:rPr>
        <w:t>0.73万元</w:t>
      </w:r>
      <w:r>
        <w:rPr>
          <w:rFonts w:hint="eastAsia" w:ascii="仿宋_GB2312" w:hAnsi="Times New Roman" w:eastAsia="仿宋_GB2312" w:cs="Times New Roman"/>
          <w:sz w:val="32"/>
          <w:szCs w:val="32"/>
          <w:lang w:eastAsia="zh-CN"/>
        </w:rPr>
        <w:t>。</w:t>
      </w:r>
    </w:p>
    <w:p>
      <w:pPr>
        <w:pageBreakBefore w:val="0"/>
        <w:kinsoku/>
        <w:wordWrap/>
        <w:overflowPunct/>
        <w:topLinePunct w:val="0"/>
        <w:bidi w:val="0"/>
        <w:spacing w:line="576" w:lineRule="exact"/>
        <w:ind w:left="0" w:leftChars="0" w:right="0" w:firstLine="642" w:firstLineChars="200"/>
        <w:textAlignment w:val="auto"/>
        <w:rPr>
          <w:rFonts w:hint="eastAsia" w:ascii="仿宋_GB2312" w:hAnsi="Times New Roman" w:eastAsia="仿宋_GB2312" w:cs="Times New Roman"/>
          <w:sz w:val="32"/>
          <w:szCs w:val="32"/>
          <w:lang w:eastAsia="zh-CN"/>
        </w:rPr>
      </w:pPr>
      <w:r>
        <w:rPr>
          <w:rFonts w:hint="eastAsia" w:ascii="仿宋" w:hAnsi="仿宋" w:eastAsia="仿宋"/>
          <w:b/>
          <w:sz w:val="32"/>
          <w:szCs w:val="32"/>
        </w:rPr>
        <w:t>外事接待支出</w:t>
      </w:r>
      <w:r>
        <w:rPr>
          <w:rFonts w:hint="eastAsia" w:ascii="仿宋" w:hAnsi="仿宋" w:eastAsia="仿宋"/>
          <w:b/>
          <w:sz w:val="32"/>
          <w:szCs w:val="32"/>
          <w:lang w:val="en-US" w:eastAsia="zh-CN"/>
        </w:rPr>
        <w:t>0</w:t>
      </w:r>
      <w:r>
        <w:rPr>
          <w:rFonts w:hint="eastAsia" w:ascii="仿宋_GB2312" w:eastAsia="仿宋_GB2312"/>
          <w:sz w:val="32"/>
          <w:szCs w:val="32"/>
        </w:rPr>
        <w:t>万元。</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rPr>
      </w:pPr>
      <w:bookmarkStart w:id="57" w:name="_Toc11427"/>
      <w:r>
        <w:rPr>
          <w:rFonts w:hint="eastAsia" w:ascii="Times New Roman" w:hAnsi="Times New Roman" w:eastAsia="黑体"/>
          <w:b w:val="0"/>
        </w:rPr>
        <w:t>八、政府性基金预算支出决算情况说明</w:t>
      </w:r>
      <w:bookmarkEnd w:id="55"/>
      <w:bookmarkEnd w:id="56"/>
      <w:bookmarkEnd w:id="57"/>
    </w:p>
    <w:p>
      <w:pPr>
        <w:spacing w:line="600" w:lineRule="exact"/>
        <w:ind w:firstLine="640"/>
        <w:rPr>
          <w:rFonts w:hint="eastAsia" w:eastAsia="仿宋_GB2312" w:cs="仿宋_GB2312"/>
          <w:sz w:val="32"/>
          <w:szCs w:val="32"/>
          <w:lang w:eastAsia="zh-CN"/>
        </w:rPr>
      </w:pPr>
      <w:r>
        <w:rPr>
          <w:rFonts w:hint="eastAsia" w:ascii="仿宋_GB2312" w:hAnsi="仿宋_GB2312" w:eastAsia="仿宋_GB2312" w:cs="仿宋_GB2312"/>
          <w:sz w:val="32"/>
          <w:szCs w:val="32"/>
        </w:rPr>
        <w:t>2024年度政府性基金预算财政拨款支出0万元</w:t>
      </w:r>
      <w:r>
        <w:rPr>
          <w:rFonts w:hint="eastAsia" w:ascii="仿宋_GB2312" w:hAnsi="仿宋_GB2312" w:eastAsia="仿宋_GB2312" w:cs="仿宋_GB2312"/>
          <w:sz w:val="32"/>
          <w:szCs w:val="32"/>
          <w:lang w:eastAsia="zh-CN"/>
        </w:rPr>
        <w:t>。</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rPr>
      </w:pPr>
      <w:bookmarkStart w:id="58" w:name="_Toc4838"/>
      <w:bookmarkStart w:id="59" w:name="_Toc15396611"/>
      <w:bookmarkStart w:id="60" w:name="_Toc15377219"/>
      <w:r>
        <w:rPr>
          <w:rFonts w:hint="eastAsia" w:ascii="Times New Roman" w:hAnsi="Times New Roman" w:eastAsia="黑体"/>
          <w:b w:val="0"/>
        </w:rPr>
        <w:t>九、国有资本经营预算支出决算情况说明</w:t>
      </w:r>
      <w:bookmarkEnd w:id="58"/>
      <w:bookmarkEnd w:id="59"/>
      <w:bookmarkEnd w:id="60"/>
    </w:p>
    <w:p>
      <w:pPr>
        <w:spacing w:line="600" w:lineRule="exact"/>
        <w:ind w:firstLine="640"/>
        <w:rPr>
          <w:rFonts w:hint="eastAsia" w:ascii="仿宋_GB2312" w:hAnsi="仿宋_GB2312" w:eastAsia="仿宋_GB2312" w:cs="仿宋_GB2312"/>
          <w:sz w:val="32"/>
          <w:szCs w:val="32"/>
          <w:lang w:eastAsia="zh-CN"/>
        </w:rPr>
      </w:pPr>
      <w:r>
        <w:rPr>
          <w:rFonts w:hint="eastAsia" w:eastAsia="仿宋_GB2312" w:cs="仿宋_GB2312"/>
          <w:sz w:val="32"/>
          <w:szCs w:val="32"/>
        </w:rPr>
        <w:t>2024年度国有资本经营预算财政拨款支出</w:t>
      </w:r>
      <w:r>
        <w:rPr>
          <w:rFonts w:hint="eastAsia" w:ascii="仿宋_GB2312" w:hAnsi="仿宋_GB2312" w:eastAsia="仿宋_GB2312" w:cs="仿宋_GB2312"/>
          <w:sz w:val="32"/>
          <w:szCs w:val="32"/>
        </w:rPr>
        <w:t>0万元</w:t>
      </w:r>
      <w:r>
        <w:rPr>
          <w:rFonts w:hint="eastAsia" w:ascii="仿宋_GB2312" w:hAnsi="仿宋_GB2312" w:eastAsia="仿宋_GB2312" w:cs="仿宋_GB2312"/>
          <w:sz w:val="32"/>
          <w:szCs w:val="32"/>
          <w:lang w:eastAsia="zh-CN"/>
        </w:rPr>
        <w:t>。</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rPr>
      </w:pPr>
      <w:bookmarkStart w:id="61" w:name="_Toc16042"/>
      <w:bookmarkStart w:id="62" w:name="_Toc15377221"/>
      <w:bookmarkStart w:id="63" w:name="_Toc15396612"/>
      <w:r>
        <w:rPr>
          <w:rFonts w:hint="eastAsia" w:ascii="Times New Roman" w:hAnsi="Times New Roman" w:eastAsia="黑体"/>
          <w:b w:val="0"/>
        </w:rPr>
        <w:t>十、其他重要事项的情况说明</w:t>
      </w:r>
      <w:bookmarkEnd w:id="61"/>
      <w:bookmarkEnd w:id="62"/>
      <w:bookmarkEnd w:id="63"/>
    </w:p>
    <w:p>
      <w:pPr>
        <w:spacing w:line="600" w:lineRule="exact"/>
        <w:ind w:firstLine="642" w:firstLineChars="200"/>
        <w:outlineLvl w:val="2"/>
        <w:rPr>
          <w:rFonts w:eastAsia="楷体_GB2312" w:cs="楷体_GB2312"/>
          <w:b/>
          <w:sz w:val="32"/>
          <w:szCs w:val="32"/>
        </w:rPr>
      </w:pPr>
      <w:bookmarkStart w:id="64" w:name="_Toc15377222"/>
      <w:r>
        <w:rPr>
          <w:rFonts w:hint="eastAsia" w:eastAsia="楷体_GB2312" w:cs="楷体_GB2312"/>
          <w:b/>
          <w:sz w:val="32"/>
          <w:szCs w:val="32"/>
        </w:rPr>
        <w:t>（一）机关运行经费支出情况</w:t>
      </w:r>
      <w:bookmarkEnd w:id="64"/>
    </w:p>
    <w:p>
      <w:pPr>
        <w:spacing w:line="600" w:lineRule="exact"/>
        <w:ind w:firstLine="640"/>
        <w:rPr>
          <w:rFonts w:hint="eastAsia" w:ascii="仿宋_GB2312" w:hAnsi="仿宋_GB2312"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，广元市工商业联合会机关运行经费支出51.85万</w:t>
      </w:r>
      <w:r>
        <w:rPr>
          <w:rFonts w:hint="eastAsia" w:eastAsia="仿宋_GB2312" w:cs="仿宋_GB2312"/>
          <w:sz w:val="32"/>
          <w:szCs w:val="32"/>
        </w:rPr>
        <w:t>元，比2023年度增加</w:t>
      </w:r>
      <w:r>
        <w:rPr>
          <w:rFonts w:hint="eastAsia" w:eastAsia="仿宋_GB2312" w:cs="仿宋_GB2312"/>
          <w:sz w:val="32"/>
          <w:szCs w:val="32"/>
          <w:lang w:val="en-US" w:eastAsia="zh-CN"/>
        </w:rPr>
        <w:t>6.91</w:t>
      </w:r>
      <w:r>
        <w:rPr>
          <w:rFonts w:hint="eastAsia" w:eastAsia="仿宋_GB2312" w:cs="仿宋_GB2312"/>
          <w:sz w:val="32"/>
          <w:szCs w:val="32"/>
        </w:rPr>
        <w:t>万元，增长</w:t>
      </w:r>
      <w:r>
        <w:rPr>
          <w:rFonts w:hint="eastAsia" w:eastAsia="仿宋_GB2312" w:cs="仿宋_GB2312"/>
          <w:sz w:val="32"/>
          <w:szCs w:val="32"/>
          <w:lang w:val="en-US" w:eastAsia="zh-CN"/>
        </w:rPr>
        <w:t>15.4</w:t>
      </w:r>
      <w:r>
        <w:rPr>
          <w:rFonts w:hint="eastAsia" w:eastAsia="仿宋_GB2312" w:cs="仿宋_GB2312"/>
          <w:sz w:val="32"/>
          <w:szCs w:val="32"/>
        </w:rPr>
        <w:t>%</w:t>
      </w:r>
      <w:r>
        <w:rPr>
          <w:rFonts w:hint="eastAsia" w:ascii="仿宋_GB2312" w:hAnsi="仿宋_GB2312" w:eastAsia="仿宋_GB2312" w:cs="仿宋_GB2312"/>
          <w:sz w:val="32"/>
          <w:szCs w:val="32"/>
          <w:lang w:eastAsia="zh-CN"/>
        </w:rPr>
        <w:t>，主要原因一是是</w:t>
      </w:r>
      <w:r>
        <w:rPr>
          <w:rFonts w:hint="eastAsia" w:ascii="仿宋_GB2312" w:hAnsi="仿宋_GB2312" w:eastAsia="仿宋_GB2312" w:cs="仿宋_GB2312"/>
          <w:sz w:val="32"/>
          <w:szCs w:val="32"/>
          <w:lang w:val="en-US" w:eastAsia="zh-CN"/>
        </w:rPr>
        <w:t>2023年新录用公务员一名，调入公务员一名，相应增加了车补、水电费、办公费等预算。</w:t>
      </w:r>
    </w:p>
    <w:p>
      <w:pPr>
        <w:spacing w:line="600" w:lineRule="exact"/>
        <w:ind w:firstLine="642" w:firstLineChars="200"/>
        <w:outlineLvl w:val="2"/>
        <w:rPr>
          <w:rFonts w:eastAsia="楷体_GB2312" w:cs="楷体_GB2312"/>
          <w:b/>
          <w:sz w:val="32"/>
          <w:szCs w:val="32"/>
        </w:rPr>
      </w:pPr>
      <w:bookmarkStart w:id="65" w:name="_Toc15377223"/>
      <w:r>
        <w:rPr>
          <w:rFonts w:hint="eastAsia" w:eastAsia="楷体_GB2312" w:cs="楷体_GB2312"/>
          <w:b/>
          <w:sz w:val="32"/>
          <w:szCs w:val="32"/>
        </w:rPr>
        <w:t>（二）政府采购支出情况</w:t>
      </w:r>
      <w:bookmarkEnd w:id="65"/>
    </w:p>
    <w:p>
      <w:pPr>
        <w:spacing w:line="600" w:lineRule="exact"/>
        <w:ind w:firstLine="640"/>
        <w:rPr>
          <w:rFonts w:hint="eastAsia" w:eastAsia="仿宋_GB2312" w:cs="仿宋_GB2312"/>
          <w:sz w:val="32"/>
          <w:szCs w:val="32"/>
          <w:lang w:eastAsia="zh-CN"/>
        </w:rPr>
      </w:pPr>
      <w:r>
        <w:rPr>
          <w:rFonts w:hint="eastAsia" w:ascii="仿宋_GB2312" w:hAnsi="仿宋_GB2312" w:eastAsia="仿宋_GB2312" w:cs="仿宋_GB2312"/>
          <w:sz w:val="32"/>
          <w:szCs w:val="32"/>
        </w:rPr>
        <w:t>2024年度，广元市工商业联合会政府采购支出总额0万元</w:t>
      </w:r>
      <w:r>
        <w:rPr>
          <w:rFonts w:hint="eastAsia" w:ascii="仿宋_GB2312" w:hAnsi="仿宋_GB2312" w:eastAsia="仿宋_GB2312" w:cs="仿宋_GB2312"/>
          <w:sz w:val="32"/>
          <w:szCs w:val="32"/>
          <w:lang w:eastAsia="zh-CN"/>
        </w:rPr>
        <w:t>。</w:t>
      </w:r>
    </w:p>
    <w:p>
      <w:pPr>
        <w:spacing w:line="600" w:lineRule="exact"/>
        <w:ind w:firstLine="642" w:firstLineChars="200"/>
        <w:outlineLvl w:val="2"/>
        <w:rPr>
          <w:rFonts w:eastAsia="楷体_GB2312" w:cs="楷体_GB2312"/>
          <w:b/>
          <w:sz w:val="32"/>
          <w:szCs w:val="32"/>
        </w:rPr>
      </w:pPr>
      <w:bookmarkStart w:id="66" w:name="_Toc15377224"/>
      <w:r>
        <w:rPr>
          <w:rFonts w:hint="eastAsia" w:eastAsia="楷体_GB2312" w:cs="楷体_GB2312"/>
          <w:b/>
          <w:sz w:val="32"/>
          <w:szCs w:val="32"/>
        </w:rPr>
        <w:t>（三）国有资产占有使用情况</w:t>
      </w:r>
      <w:bookmarkEnd w:id="66"/>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截至2024年12月31日，广元市工商业联合会</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hAnsi="Times New Roman" w:eastAsia="仿宋_GB2312" w:cs="Times New Roman"/>
          <w:sz w:val="32"/>
          <w:szCs w:val="32"/>
          <w:lang w:eastAsia="zh-CN"/>
        </w:rPr>
        <w:t>。单价100万元以上设备（不含车辆）0台（套）</w:t>
      </w:r>
      <w:r>
        <w:rPr>
          <w:rFonts w:hint="eastAsia" w:eastAsia="仿宋_GB2312" w:cs="仿宋_GB2312"/>
          <w:sz w:val="32"/>
          <w:szCs w:val="32"/>
        </w:rPr>
        <w:t>。</w:t>
      </w:r>
    </w:p>
    <w:p>
      <w:pPr>
        <w:spacing w:line="600" w:lineRule="exact"/>
        <w:ind w:firstLine="642" w:firstLineChars="200"/>
        <w:outlineLvl w:val="2"/>
        <w:rPr>
          <w:rFonts w:eastAsia="楷体_GB2312" w:cs="楷体_GB2312"/>
          <w:b/>
          <w:sz w:val="32"/>
          <w:szCs w:val="32"/>
        </w:rPr>
      </w:pPr>
      <w:r>
        <w:rPr>
          <w:rFonts w:hint="eastAsia" w:eastAsia="楷体_GB2312" w:cs="楷体_GB2312"/>
          <w:b/>
          <w:sz w:val="32"/>
          <w:szCs w:val="32"/>
        </w:rPr>
        <w:t>（四）预算绩效管理情况</w:t>
      </w:r>
    </w:p>
    <w:p>
      <w:pPr>
        <w:pageBreakBefore w:val="0"/>
        <w:kinsoku/>
        <w:wordWrap/>
        <w:overflowPunct/>
        <w:topLinePunct w:val="0"/>
        <w:bidi w:val="0"/>
        <w:spacing w:line="576" w:lineRule="exact"/>
        <w:ind w:left="0" w:leftChars="0" w:righ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根据预算绩效管理要求，本部门在2023年度预算编制阶段，组织对</w:t>
      </w:r>
      <w:r>
        <w:rPr>
          <w:rFonts w:hint="eastAsia" w:ascii="仿宋_GB2312" w:hAnsi="Cambria" w:eastAsia="仿宋_GB2312" w:cs="仿宋_GB2312"/>
          <w:kern w:val="2"/>
          <w:sz w:val="32"/>
          <w:szCs w:val="32"/>
        </w:rPr>
        <w:t>经济服务及维权经费、宣传调研工作经费、组织建设工作经费</w:t>
      </w:r>
      <w:r>
        <w:rPr>
          <w:rFonts w:hint="eastAsia" w:ascii="仿宋_GB2312" w:hAnsi="Cambria" w:eastAsia="仿宋_GB2312" w:cs="仿宋_GB2312"/>
          <w:kern w:val="2"/>
          <w:sz w:val="32"/>
          <w:szCs w:val="32"/>
          <w:lang w:eastAsia="zh-CN"/>
        </w:rPr>
        <w:t>、乡村振兴工作经费、万企兴万村经费</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个项目编制了绩效目标，预算执行过程中，</w:t>
      </w:r>
      <w:r>
        <w:rPr>
          <w:rFonts w:hint="eastAsia" w:ascii="仿宋_GB2312" w:hAnsi="仿宋_GB2312" w:eastAsia="仿宋_GB2312" w:cs="仿宋_GB2312"/>
          <w:sz w:val="32"/>
          <w:szCs w:val="32"/>
          <w:lang w:eastAsia="zh-CN"/>
        </w:rPr>
        <w:t>对全部</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绩效监控。</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组织对2024年度一般公共预算资金全面开展绩效自评，形成广元市工商业联合会整体（含部门预算项目）绩效自评报告、两新党建工作经费专项预算绩效自评报告，其中</w:t>
      </w:r>
      <w:r>
        <w:rPr>
          <w:rFonts w:hint="eastAsia" w:ascii="仿宋_GB2312" w:eastAsia="仿宋_GB2312" w:cs="Times New Roman"/>
          <w:sz w:val="32"/>
          <w:szCs w:val="32"/>
          <w:lang w:val="en-US" w:eastAsia="zh-CN"/>
        </w:rPr>
        <w:t>：</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广元市工商业联合会整体（含部门预算项目）绩效自评得分为99.89分，绩效自评综述：我单位支出绩效总体良好，各项目达到了相应时期执行进度，各项目经费按预算实施，使财政收支预算执行都得到了良好的制度保障和实施效果</w:t>
      </w:r>
      <w:r>
        <w:rPr>
          <w:rFonts w:hint="eastAsia" w:ascii="仿宋_GB2312" w:eastAsia="仿宋_GB2312" w:cs="Times New Roman"/>
          <w:sz w:val="32"/>
          <w:szCs w:val="32"/>
          <w:lang w:val="en-US" w:eastAsia="zh-CN"/>
        </w:rPr>
        <w:t>。</w:t>
      </w:r>
    </w:p>
    <w:p>
      <w:pPr>
        <w:spacing w:line="600" w:lineRule="exact"/>
        <w:ind w:firstLine="64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两新党建工作经费专项预算项目</w:t>
      </w:r>
      <w:r>
        <w:rPr>
          <w:rFonts w:hint="eastAsia" w:ascii="仿宋_GB2312" w:eastAsia="仿宋_GB2312" w:cs="Times New Roman"/>
          <w:sz w:val="32"/>
          <w:szCs w:val="32"/>
          <w:lang w:val="en-US" w:eastAsia="zh-CN"/>
        </w:rPr>
        <w:t>涉及评分细则满分84分，</w:t>
      </w:r>
      <w:r>
        <w:rPr>
          <w:rFonts w:hint="eastAsia" w:ascii="仿宋_GB2312" w:hAnsi="Times New Roman" w:eastAsia="仿宋_GB2312" w:cs="Times New Roman"/>
          <w:sz w:val="32"/>
          <w:szCs w:val="32"/>
          <w:lang w:val="en-US" w:eastAsia="zh-CN"/>
        </w:rPr>
        <w:t>绩效自评得分为84分，绩效自评综述：市工商联直属商协会联合党委及9个商协会党支部党建工作经费严格按文件要求支出使用，党支部书记认真履职，党支部班子的关键作用得到有效发挥。</w:t>
      </w:r>
    </w:p>
    <w:p>
      <w:pPr>
        <w:spacing w:line="600" w:lineRule="exact"/>
        <w:ind w:firstLine="640"/>
        <w:rPr>
          <w:rFonts w:hint="eastAsia" w:eastAsia="仿宋_GB2312" w:cs="仿宋_GB2312"/>
          <w:sz w:val="32"/>
          <w:szCs w:val="32"/>
        </w:rPr>
        <w:sectPr>
          <w:headerReference r:id="rId7" w:type="first"/>
          <w:footerReference r:id="rId9" w:type="first"/>
          <w:headerReference r:id="rId6" w:type="default"/>
          <w:footerReference r:id="rId8" w:type="default"/>
          <w:pgSz w:w="11906" w:h="16838"/>
          <w:pgMar w:top="2098" w:right="1474" w:bottom="1984" w:left="1587" w:header="851" w:footer="992" w:gutter="0"/>
          <w:pgNumType w:fmt="decimal" w:start="1"/>
          <w:cols w:space="425" w:num="1"/>
          <w:titlePg/>
          <w:docGrid w:type="lines" w:linePitch="312" w:charSpace="0"/>
        </w:sectPr>
      </w:pPr>
      <w:r>
        <w:rPr>
          <w:rFonts w:hint="eastAsia" w:eastAsia="仿宋_GB2312" w:cs="仿宋_GB2312"/>
          <w:sz w:val="32"/>
          <w:szCs w:val="32"/>
        </w:rPr>
        <w:t>绩效自评报告详见附件</w:t>
      </w:r>
    </w:p>
    <w:p>
      <w:pPr>
        <w:pStyle w:val="2"/>
      </w:pPr>
    </w:p>
    <w:p>
      <w:pPr>
        <w:pStyle w:val="3"/>
        <w:keepNext/>
        <w:keepLines/>
        <w:pageBreakBefore w:val="0"/>
        <w:widowControl w:val="0"/>
        <w:numPr>
          <w:ilvl w:val="0"/>
          <w:numId w:val="1"/>
        </w:numPr>
        <w:kinsoku/>
        <w:wordWrap/>
        <w:overflowPunct/>
        <w:topLinePunct w:val="0"/>
        <w:autoSpaceDE/>
        <w:autoSpaceDN/>
        <w:bidi w:val="0"/>
        <w:adjustRightInd/>
        <w:snapToGrid/>
        <w:spacing w:before="0" w:after="0" w:line="576" w:lineRule="exact"/>
        <w:ind w:leftChars="0"/>
        <w:jc w:val="center"/>
        <w:textAlignment w:val="auto"/>
        <w:rPr>
          <w:rStyle w:val="15"/>
          <w:rFonts w:hint="eastAsia" w:eastAsia="方正小标宋简体" w:cs="方正小标宋简体"/>
          <w:b w:val="0"/>
          <w:bCs w:val="0"/>
        </w:rPr>
      </w:pPr>
      <w:bookmarkStart w:id="67" w:name="_Toc15377225"/>
      <w:bookmarkStart w:id="68" w:name="_Toc32484"/>
      <w:bookmarkStart w:id="69" w:name="_Toc15396613"/>
      <w:r>
        <w:rPr>
          <w:rStyle w:val="15"/>
          <w:rFonts w:hint="eastAsia" w:eastAsia="方正小标宋简体" w:cs="方正小标宋简体"/>
          <w:b w:val="0"/>
          <w:bCs w:val="0"/>
        </w:rPr>
        <w:t>名词解释</w:t>
      </w:r>
      <w:bookmarkEnd w:id="67"/>
      <w:bookmarkEnd w:id="68"/>
      <w:bookmarkEnd w:id="69"/>
    </w:p>
    <w:p>
      <w:pPr>
        <w:spacing w:line="600" w:lineRule="exact"/>
        <w:jc w:val="left"/>
        <w:rPr>
          <w:b/>
          <w:sz w:val="44"/>
          <w:szCs w:val="44"/>
        </w:rPr>
      </w:pPr>
    </w:p>
    <w:p>
      <w:pPr>
        <w:numPr>
          <w:ilvl w:val="0"/>
          <w:numId w:val="2"/>
        </w:numPr>
        <w:spacing w:line="600" w:lineRule="exact"/>
        <w:ind w:left="0" w:leftChars="0" w:firstLine="400" w:firstLineChars="0"/>
        <w:rPr>
          <w:rFonts w:eastAsia="仿宋_GB2312" w:cs="仿宋_GB2312"/>
          <w:sz w:val="32"/>
          <w:szCs w:val="32"/>
        </w:rPr>
      </w:pPr>
      <w:r>
        <w:rPr>
          <w:rFonts w:hint="eastAsia" w:eastAsia="仿宋_GB2312" w:cs="仿宋_GB2312"/>
          <w:sz w:val="32"/>
          <w:szCs w:val="32"/>
        </w:rPr>
        <w:t>财政拨款收入：指单位从同级财政部门取得的财政预算资金。</w:t>
      </w:r>
    </w:p>
    <w:p>
      <w:pPr>
        <w:pageBreakBefore w:val="0"/>
        <w:numPr>
          <w:ilvl w:val="0"/>
          <w:numId w:val="2"/>
        </w:numPr>
        <w:kinsoku/>
        <w:wordWrap/>
        <w:overflowPunct/>
        <w:topLinePunct w:val="0"/>
        <w:bidi w:val="0"/>
        <w:spacing w:line="576" w:lineRule="exact"/>
        <w:ind w:left="0" w:leftChars="0" w:right="0" w:firstLine="400" w:firstLineChars="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一般公共服务支出（类）民主党派及工商联事务（款） 行政运行（项）指工商联部门日常运转经费开支，包括水费、电费、办公费、差旅费印刷费等。</w:t>
      </w:r>
    </w:p>
    <w:p>
      <w:pPr>
        <w:pageBreakBefore w:val="0"/>
        <w:numPr>
          <w:ilvl w:val="0"/>
          <w:numId w:val="2"/>
        </w:numPr>
        <w:kinsoku/>
        <w:wordWrap/>
        <w:overflowPunct/>
        <w:topLinePunct w:val="0"/>
        <w:bidi w:val="0"/>
        <w:spacing w:line="576" w:lineRule="exact"/>
        <w:ind w:left="0" w:leftChars="0" w:right="0" w:firstLine="400" w:firstLineChars="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一般公共服务支出（类）民主党派及工商联事务（款）一般行政管理事务（项），指工商联部门开展业务项目工作专项经费支出。</w:t>
      </w:r>
    </w:p>
    <w:p>
      <w:pPr>
        <w:pageBreakBefore w:val="0"/>
        <w:numPr>
          <w:ilvl w:val="0"/>
          <w:numId w:val="2"/>
        </w:numPr>
        <w:kinsoku/>
        <w:wordWrap/>
        <w:overflowPunct/>
        <w:topLinePunct w:val="0"/>
        <w:bidi w:val="0"/>
        <w:spacing w:line="576" w:lineRule="exact"/>
        <w:ind w:left="0" w:leftChars="0" w:right="0" w:firstLine="400" w:firstLineChars="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社会保障和就业支出（类）行政事业单位养老支出（款）行政单位离退休（项）：指行政事业单位退休人员的退休费以及独生子女费等补贴。</w:t>
      </w:r>
    </w:p>
    <w:p>
      <w:pPr>
        <w:pageBreakBefore w:val="0"/>
        <w:numPr>
          <w:ilvl w:val="0"/>
          <w:numId w:val="2"/>
        </w:numPr>
        <w:kinsoku/>
        <w:wordWrap/>
        <w:overflowPunct/>
        <w:topLinePunct w:val="0"/>
        <w:bidi w:val="0"/>
        <w:spacing w:line="576" w:lineRule="exact"/>
        <w:ind w:left="0" w:leftChars="0" w:right="0" w:firstLine="400" w:firstLineChars="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社会保障和就业支出（类） 行政事业单位养老支出 （款）机关事业单位基本养老保险缴费（项）支出，指行政事业单位职工养老保险支出。</w:t>
      </w:r>
    </w:p>
    <w:p>
      <w:pPr>
        <w:pageBreakBefore w:val="0"/>
        <w:numPr>
          <w:ilvl w:val="0"/>
          <w:numId w:val="2"/>
        </w:numPr>
        <w:kinsoku/>
        <w:wordWrap/>
        <w:overflowPunct/>
        <w:topLinePunct w:val="0"/>
        <w:bidi w:val="0"/>
        <w:spacing w:line="576" w:lineRule="exact"/>
        <w:ind w:left="0" w:leftChars="0" w:right="0" w:firstLine="400" w:firstLineChars="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社会保障和就业支出（类） 行政事业单位养老支出 （款）机关事业单位职业年金缴费（项）支出，指行政事业单位职工年金支出。</w:t>
      </w:r>
    </w:p>
    <w:p>
      <w:pPr>
        <w:pageBreakBefore w:val="0"/>
        <w:numPr>
          <w:ilvl w:val="0"/>
          <w:numId w:val="2"/>
        </w:numPr>
        <w:kinsoku/>
        <w:wordWrap/>
        <w:overflowPunct/>
        <w:topLinePunct w:val="0"/>
        <w:bidi w:val="0"/>
        <w:spacing w:line="576" w:lineRule="exact"/>
        <w:ind w:left="0" w:leftChars="0" w:right="0" w:firstLine="400" w:firstLineChars="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社会保障和就业支出（类）其他社会保障和就业支出（款）其他社会保障和就业支出（项）：指行政事业单位职工所开支的工伤、失业保险费等。</w:t>
      </w:r>
    </w:p>
    <w:p>
      <w:pPr>
        <w:pageBreakBefore w:val="0"/>
        <w:numPr>
          <w:ilvl w:val="0"/>
          <w:numId w:val="2"/>
        </w:numPr>
        <w:kinsoku/>
        <w:wordWrap/>
        <w:overflowPunct/>
        <w:topLinePunct w:val="0"/>
        <w:bidi w:val="0"/>
        <w:spacing w:line="576" w:lineRule="exact"/>
        <w:ind w:left="0" w:leftChars="0" w:right="0" w:firstLine="400" w:firstLineChars="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卫生健康支出（类）行政事业单位医疗（款）行政单位医疗（项）支出，指行政事业单位职工医疗保险费用支出。</w:t>
      </w:r>
    </w:p>
    <w:p>
      <w:pPr>
        <w:pageBreakBefore w:val="0"/>
        <w:numPr>
          <w:ilvl w:val="0"/>
          <w:numId w:val="2"/>
        </w:numPr>
        <w:kinsoku/>
        <w:wordWrap/>
        <w:overflowPunct/>
        <w:topLinePunct w:val="0"/>
        <w:bidi w:val="0"/>
        <w:spacing w:line="576" w:lineRule="exact"/>
        <w:ind w:left="0" w:leftChars="0" w:right="0" w:firstLine="400" w:firstLineChars="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住房保障支出（类）住房改革性支出（款）住房公积金（项），指行政事业单位职工住房公积金费用支出。</w:t>
      </w:r>
    </w:p>
    <w:p>
      <w:pPr>
        <w:pageBreakBefore w:val="0"/>
        <w:numPr>
          <w:ilvl w:val="0"/>
          <w:numId w:val="2"/>
        </w:numPr>
        <w:kinsoku/>
        <w:wordWrap/>
        <w:overflowPunct/>
        <w:topLinePunct w:val="0"/>
        <w:bidi w:val="0"/>
        <w:spacing w:line="576" w:lineRule="exact"/>
        <w:ind w:left="0" w:leftChars="0" w:right="0" w:firstLine="400" w:firstLineChars="0"/>
        <w:textAlignment w:val="auto"/>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pageBreakBefore w:val="0"/>
        <w:numPr>
          <w:ilvl w:val="0"/>
          <w:numId w:val="2"/>
        </w:numPr>
        <w:kinsoku/>
        <w:wordWrap/>
        <w:overflowPunct/>
        <w:topLinePunct w:val="0"/>
        <w:bidi w:val="0"/>
        <w:spacing w:line="576" w:lineRule="exact"/>
        <w:ind w:left="0" w:leftChars="0" w:right="0" w:firstLine="400" w:firstLineChars="0"/>
        <w:textAlignment w:val="auto"/>
        <w:rPr>
          <w:rFonts w:ascii="仿宋_GB2312" w:eastAsia="仿宋_GB2312"/>
          <w:sz w:val="32"/>
          <w:szCs w:val="32"/>
        </w:rPr>
      </w:pPr>
      <w:r>
        <w:rPr>
          <w:rFonts w:hint="eastAsia" w:ascii="仿宋_GB2312" w:eastAsia="仿宋_GB2312"/>
          <w:sz w:val="32"/>
          <w:szCs w:val="32"/>
        </w:rPr>
        <w:t xml:space="preserve">项目支出：指在基本支出之外为完成特定行政任务和事业发展目标所发生的支出。 </w:t>
      </w:r>
    </w:p>
    <w:p>
      <w:pPr>
        <w:pageBreakBefore w:val="0"/>
        <w:numPr>
          <w:ilvl w:val="0"/>
          <w:numId w:val="2"/>
        </w:numPr>
        <w:kinsoku/>
        <w:wordWrap/>
        <w:overflowPunct/>
        <w:topLinePunct w:val="0"/>
        <w:bidi w:val="0"/>
        <w:spacing w:line="576" w:lineRule="exact"/>
        <w:ind w:left="0" w:leftChars="0" w:right="0" w:firstLine="400" w:firstLineChars="0"/>
        <w:textAlignment w:val="auto"/>
        <w:rPr>
          <w:rFonts w:ascii="仿宋_GB2312" w:eastAsia="仿宋_GB2312"/>
          <w:sz w:val="32"/>
          <w:szCs w:val="32"/>
        </w:rPr>
      </w:pP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numPr>
          <w:ilvl w:val="0"/>
          <w:numId w:val="2"/>
        </w:numPr>
        <w:kinsoku/>
        <w:wordWrap/>
        <w:overflowPunct/>
        <w:topLinePunct w:val="0"/>
        <w:bidi w:val="0"/>
        <w:spacing w:line="576" w:lineRule="exact"/>
        <w:ind w:left="0" w:leftChars="0" w:right="0" w:firstLine="400" w:firstLineChars="0"/>
        <w:textAlignment w:val="auto"/>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
        <w:keepNext/>
        <w:keepLines/>
        <w:pageBreakBefore w:val="0"/>
        <w:widowControl w:val="0"/>
        <w:numPr>
          <w:ilvl w:val="0"/>
          <w:numId w:val="1"/>
        </w:numPr>
        <w:kinsoku/>
        <w:wordWrap/>
        <w:overflowPunct/>
        <w:topLinePunct w:val="0"/>
        <w:autoSpaceDE/>
        <w:autoSpaceDN/>
        <w:bidi w:val="0"/>
        <w:adjustRightInd/>
        <w:snapToGrid/>
        <w:spacing w:before="0" w:after="0" w:line="576" w:lineRule="exact"/>
        <w:ind w:leftChars="0"/>
        <w:jc w:val="center"/>
        <w:textAlignment w:val="auto"/>
        <w:rPr>
          <w:rStyle w:val="15"/>
          <w:rFonts w:hint="eastAsia" w:eastAsia="方正小标宋简体" w:cs="方正小标宋简体"/>
          <w:b w:val="0"/>
          <w:bCs w:val="0"/>
        </w:rPr>
      </w:pPr>
      <w:bookmarkStart w:id="70" w:name="_Toc15377226"/>
      <w:r>
        <w:rPr>
          <w:rFonts w:hint="eastAsia" w:eastAsia="仿宋_GB2312" w:cs="仿宋_GB2312"/>
          <w:sz w:val="32"/>
          <w:szCs w:val="32"/>
        </w:rPr>
        <w:br w:type="page"/>
      </w:r>
      <w:bookmarkStart w:id="71" w:name="_Toc15396614"/>
      <w:bookmarkStart w:id="72" w:name="_Toc5653"/>
      <w:r>
        <w:rPr>
          <w:rStyle w:val="15"/>
          <w:rFonts w:hint="eastAsia" w:eastAsia="方正小标宋简体" w:cs="方正小标宋简体"/>
          <w:b w:val="0"/>
          <w:bCs w:val="0"/>
        </w:rPr>
        <w:t>附件</w:t>
      </w:r>
      <w:bookmarkEnd w:id="71"/>
      <w:bookmarkEnd w:id="72"/>
    </w:p>
    <w:p>
      <w:pPr>
        <w:spacing w:line="572" w:lineRule="exact"/>
        <w:jc w:val="left"/>
        <w:outlineLvl w:val="0"/>
        <w:rPr>
          <w:rFonts w:eastAsia="黑体" w:cs="黑体"/>
          <w:color w:val="FF0000"/>
          <w:sz w:val="32"/>
          <w:szCs w:val="32"/>
        </w:rPr>
      </w:pPr>
    </w:p>
    <w:p>
      <w:pPr>
        <w:spacing w:line="572" w:lineRule="exact"/>
        <w:jc w:val="left"/>
        <w:outlineLvl w:val="0"/>
        <w:rPr>
          <w:rFonts w:eastAsia="黑体" w:cs="方正小标宋简体"/>
          <w:sz w:val="44"/>
          <w:szCs w:val="44"/>
        </w:rPr>
      </w:pPr>
      <w:bookmarkStart w:id="73" w:name="_Toc8598"/>
      <w:r>
        <w:rPr>
          <w:rFonts w:hint="eastAsia" w:eastAsia="黑体" w:cs="黑体"/>
          <w:sz w:val="32"/>
          <w:szCs w:val="32"/>
        </w:rPr>
        <w:t>附件1</w:t>
      </w:r>
      <w:bookmarkEnd w:id="73"/>
    </w:p>
    <w:p>
      <w:pPr>
        <w:keepNext w:val="0"/>
        <w:keepLines w:val="0"/>
        <w:pageBreakBefore w:val="0"/>
        <w:widowControl/>
        <w:kinsoku/>
        <w:wordWrap/>
        <w:overflowPunct/>
        <w:topLinePunct w:val="0"/>
        <w:autoSpaceDE/>
        <w:autoSpaceDN/>
        <w:bidi w:val="0"/>
        <w:spacing w:line="576" w:lineRule="exact"/>
        <w:contextualSpacing/>
        <w:jc w:val="center"/>
        <w:textAlignment w:val="auto"/>
        <w:outlineLvl w:val="9"/>
        <w:rPr>
          <w:rFonts w:hint="eastAsia" w:ascii="方正小标宋简体" w:hAnsi="方正小标宋简体" w:eastAsia="方正小标宋简体" w:cs="方正小标宋简体"/>
          <w:b w:val="0"/>
          <w:bCs/>
          <w:sz w:val="44"/>
          <w:szCs w:val="44"/>
          <w:highlight w:val="none"/>
          <w:shd w:val="clear" w:color="auto" w:fill="FFFFFF"/>
          <w:lang w:eastAsia="zh-CN"/>
        </w:rPr>
      </w:pPr>
      <w:r>
        <w:rPr>
          <w:rFonts w:hint="eastAsia" w:ascii="方正小标宋简体" w:hAnsi="方正小标宋简体" w:eastAsia="方正小标宋简体" w:cs="方正小标宋简体"/>
          <w:b w:val="0"/>
          <w:bCs/>
          <w:sz w:val="44"/>
          <w:szCs w:val="44"/>
          <w:highlight w:val="none"/>
          <w:shd w:val="clear" w:color="auto" w:fill="FFFFFF"/>
          <w:lang w:eastAsia="zh-CN"/>
        </w:rPr>
        <w:t>广元市工商业联合会</w:t>
      </w:r>
    </w:p>
    <w:p>
      <w:pPr>
        <w:keepNext w:val="0"/>
        <w:keepLines w:val="0"/>
        <w:pageBreakBefore w:val="0"/>
        <w:widowControl/>
        <w:kinsoku/>
        <w:wordWrap/>
        <w:overflowPunct/>
        <w:topLinePunct w:val="0"/>
        <w:autoSpaceDE/>
        <w:autoSpaceDN/>
        <w:bidi w:val="0"/>
        <w:spacing w:line="576" w:lineRule="exact"/>
        <w:contextualSpacing/>
        <w:jc w:val="center"/>
        <w:textAlignment w:val="auto"/>
        <w:outlineLvl w:val="9"/>
        <w:rPr>
          <w:rFonts w:hint="eastAsia" w:ascii="方正小标宋简体" w:hAnsi="方正小标宋简体" w:eastAsia="方正小标宋简体" w:cs="方正小标宋简体"/>
          <w:b w:val="0"/>
          <w:bCs/>
          <w:sz w:val="44"/>
          <w:szCs w:val="44"/>
          <w:highlight w:val="none"/>
          <w:shd w:val="clear" w:color="auto" w:fill="FFFFFF"/>
        </w:rPr>
      </w:pPr>
      <w:r>
        <w:rPr>
          <w:rFonts w:hint="eastAsia" w:ascii="方正小标宋简体" w:hAnsi="方正小标宋简体" w:eastAsia="方正小标宋简体" w:cs="方正小标宋简体"/>
          <w:b w:val="0"/>
          <w:bCs/>
          <w:sz w:val="44"/>
          <w:szCs w:val="44"/>
          <w:highlight w:val="none"/>
          <w:shd w:val="clear" w:color="auto" w:fill="FFFFFF"/>
          <w:lang w:val="en-US" w:eastAsia="zh-CN"/>
        </w:rPr>
        <w:t>2024年</w:t>
      </w:r>
      <w:r>
        <w:rPr>
          <w:rFonts w:hint="eastAsia" w:ascii="方正小标宋简体" w:hAnsi="方正小标宋简体" w:eastAsia="方正小标宋简体" w:cs="方正小标宋简体"/>
          <w:b w:val="0"/>
          <w:bCs/>
          <w:sz w:val="44"/>
          <w:szCs w:val="44"/>
          <w:highlight w:val="none"/>
          <w:shd w:val="clear" w:color="auto" w:fill="FFFFFF"/>
        </w:rPr>
        <w:t>部门</w:t>
      </w:r>
      <w:r>
        <w:rPr>
          <w:rFonts w:hint="eastAsia" w:ascii="方正小标宋简体" w:hAnsi="方正小标宋简体" w:eastAsia="方正小标宋简体" w:cs="方正小标宋简体"/>
          <w:b w:val="0"/>
          <w:bCs/>
          <w:sz w:val="44"/>
          <w:szCs w:val="44"/>
          <w:highlight w:val="none"/>
          <w:shd w:val="clear" w:color="auto" w:fill="FFFFFF"/>
          <w:lang w:eastAsia="zh-CN"/>
        </w:rPr>
        <w:t>整体预算</w:t>
      </w:r>
      <w:r>
        <w:rPr>
          <w:rFonts w:hint="eastAsia" w:ascii="方正小标宋简体" w:hAnsi="方正小标宋简体" w:eastAsia="方正小标宋简体" w:cs="方正小标宋简体"/>
          <w:b w:val="0"/>
          <w:bCs/>
          <w:sz w:val="44"/>
          <w:szCs w:val="44"/>
          <w:highlight w:val="none"/>
          <w:shd w:val="clear" w:color="auto" w:fill="FFFFFF"/>
        </w:rPr>
        <w:t>绩效</w:t>
      </w:r>
      <w:r>
        <w:rPr>
          <w:rFonts w:hint="eastAsia" w:ascii="方正小标宋简体" w:hAnsi="方正小标宋简体" w:eastAsia="方正小标宋简体" w:cs="方正小标宋简体"/>
          <w:b w:val="0"/>
          <w:bCs/>
          <w:sz w:val="44"/>
          <w:szCs w:val="44"/>
          <w:highlight w:val="none"/>
          <w:shd w:val="clear" w:color="auto" w:fill="FFFFFF"/>
          <w:lang w:eastAsia="zh-CN"/>
        </w:rPr>
        <w:t>评价</w:t>
      </w:r>
      <w:r>
        <w:rPr>
          <w:rFonts w:hint="eastAsia" w:ascii="方正小标宋简体" w:hAnsi="方正小标宋简体" w:eastAsia="方正小标宋简体" w:cs="方正小标宋简体"/>
          <w:b w:val="0"/>
          <w:bCs/>
          <w:sz w:val="44"/>
          <w:szCs w:val="44"/>
          <w:highlight w:val="none"/>
          <w:shd w:val="clear" w:color="auto" w:fill="FFFFFF"/>
        </w:rPr>
        <w:t>报告</w:t>
      </w:r>
    </w:p>
    <w:p>
      <w:pPr>
        <w:widowControl/>
        <w:adjustRightInd w:val="0"/>
        <w:snapToGrid w:val="0"/>
        <w:spacing w:line="578" w:lineRule="exact"/>
        <w:ind w:firstLine="640" w:firstLineChars="200"/>
        <w:contextualSpacing/>
        <w:jc w:val="left"/>
        <w:rPr>
          <w:rFonts w:hint="eastAsia" w:eastAsia="黑体"/>
          <w:color w:val="000000"/>
          <w:kern w:val="0"/>
          <w:sz w:val="32"/>
          <w:szCs w:val="32"/>
          <w:shd w:val="clear" w:color="auto" w:fill="FFFFFF"/>
          <w:lang w:val="zh-CN"/>
        </w:rPr>
      </w:pPr>
    </w:p>
    <w:p>
      <w:pPr>
        <w:pStyle w:val="4"/>
        <w:pageBreakBefore w:val="0"/>
        <w:widowControl w:val="0"/>
        <w:kinsoku/>
        <w:wordWrap/>
        <w:overflowPunct/>
        <w:topLinePunct w:val="0"/>
        <w:bidi w:val="0"/>
        <w:snapToGrid/>
        <w:spacing w:before="0" w:after="0" w:line="576" w:lineRule="exact"/>
        <w:ind w:firstLine="640" w:firstLineChars="200"/>
        <w:textAlignment w:val="auto"/>
        <w:rPr>
          <w:rFonts w:hint="default" w:ascii="Times New Roman" w:hAnsi="Times New Roman" w:eastAsia="黑体"/>
          <w:b w:val="0"/>
        </w:rPr>
      </w:pPr>
      <w:bookmarkStart w:id="74" w:name="_Toc16838"/>
      <w:r>
        <w:rPr>
          <w:rFonts w:hint="default" w:ascii="Times New Roman" w:hAnsi="Times New Roman" w:eastAsia="黑体"/>
          <w:b w:val="0"/>
          <w:lang w:val="zh-CN"/>
        </w:rPr>
        <w:t>一、部门（单位）基本情况</w:t>
      </w:r>
      <w:bookmarkEnd w:id="74"/>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default" w:ascii="Times New Roman" w:hAnsi="Times New Roman" w:eastAsia="楷体_GB2312" w:cs="Times New Roman"/>
          <w:b w:val="0"/>
          <w:bCs w:val="0"/>
          <w:color w:val="auto"/>
          <w:kern w:val="0"/>
          <w:sz w:val="32"/>
          <w:szCs w:val="32"/>
          <w:highlight w:val="none"/>
          <w:shd w:val="clear" w:color="auto" w:fill="FFFFFF"/>
          <w:lang w:val="zh-CN"/>
        </w:rPr>
        <w:t>（一）机构组成。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b w:val="0"/>
          <w:bCs w:val="0"/>
          <w:color w:val="auto"/>
          <w:sz w:val="32"/>
          <w:szCs w:val="32"/>
        </w:rPr>
      </w:pPr>
      <w:r>
        <w:rPr>
          <w:rFonts w:hint="eastAsia" w:ascii="仿宋_GB2312" w:eastAsia="仿宋_GB2312"/>
          <w:sz w:val="32"/>
          <w:szCs w:val="32"/>
        </w:rPr>
        <w:t>广元市工商业联合会会为市级直属一级预算单位，内设机构为“四部一室”，即：</w:t>
      </w:r>
      <w:r>
        <w:rPr>
          <w:rFonts w:ascii="仿宋_GB2312" w:eastAsia="仿宋_GB2312"/>
          <w:sz w:val="32"/>
          <w:szCs w:val="32"/>
        </w:rPr>
        <w:t>办公室</w:t>
      </w:r>
      <w:r>
        <w:rPr>
          <w:rFonts w:hint="eastAsia" w:ascii="仿宋_GB2312" w:eastAsia="仿宋_GB2312"/>
          <w:sz w:val="32"/>
          <w:szCs w:val="32"/>
        </w:rPr>
        <w:t>、</w:t>
      </w:r>
      <w:r>
        <w:rPr>
          <w:rFonts w:ascii="仿宋_GB2312" w:eastAsia="仿宋_GB2312"/>
          <w:sz w:val="32"/>
          <w:szCs w:val="32"/>
        </w:rPr>
        <w:t>会员部</w:t>
      </w:r>
      <w:r>
        <w:rPr>
          <w:rFonts w:hint="eastAsia" w:ascii="仿宋_GB2312" w:eastAsia="仿宋_GB2312"/>
          <w:sz w:val="32"/>
          <w:szCs w:val="32"/>
        </w:rPr>
        <w:t>、</w:t>
      </w:r>
      <w:r>
        <w:rPr>
          <w:rFonts w:ascii="仿宋_GB2312" w:eastAsia="仿宋_GB2312"/>
          <w:sz w:val="32"/>
          <w:szCs w:val="32"/>
        </w:rPr>
        <w:t>经济联络部</w:t>
      </w:r>
      <w:r>
        <w:rPr>
          <w:rFonts w:hint="eastAsia" w:ascii="仿宋_GB2312"/>
          <w:sz w:val="32"/>
          <w:szCs w:val="32"/>
          <w:lang w:eastAsia="zh-CN"/>
        </w:rPr>
        <w:t>（维权部）</w:t>
      </w:r>
      <w:r>
        <w:rPr>
          <w:rFonts w:hint="eastAsia" w:ascii="仿宋_GB2312" w:eastAsia="仿宋_GB2312"/>
          <w:sz w:val="32"/>
          <w:szCs w:val="32"/>
        </w:rPr>
        <w:t>、</w:t>
      </w:r>
      <w:r>
        <w:rPr>
          <w:rFonts w:hint="eastAsia" w:ascii="仿宋_GB2312"/>
          <w:sz w:val="32"/>
          <w:szCs w:val="32"/>
          <w:lang w:eastAsia="zh-CN"/>
        </w:rPr>
        <w:t>宣传教育部（调研部）、</w:t>
      </w:r>
      <w:r>
        <w:rPr>
          <w:rFonts w:hint="eastAsia" w:ascii="仿宋_GB2312" w:eastAsia="仿宋_GB2312"/>
          <w:sz w:val="32"/>
          <w:szCs w:val="32"/>
        </w:rPr>
        <w:t>直属商协会党建工作部。</w:t>
      </w:r>
    </w:p>
    <w:p>
      <w:pPr>
        <w:numPr>
          <w:ilvl w:val="0"/>
          <w:numId w:val="3"/>
        </w:numPr>
        <w:spacing w:line="560" w:lineRule="exact"/>
        <w:ind w:firstLine="640" w:firstLineChars="200"/>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default" w:ascii="Times New Roman" w:hAnsi="Times New Roman" w:eastAsia="楷体_GB2312" w:cs="Times New Roman"/>
          <w:b w:val="0"/>
          <w:bCs w:val="0"/>
          <w:color w:val="auto"/>
          <w:kern w:val="0"/>
          <w:sz w:val="32"/>
          <w:szCs w:val="32"/>
          <w:highlight w:val="none"/>
          <w:shd w:val="clear" w:color="auto" w:fill="FFFFFF"/>
          <w:lang w:val="zh-CN"/>
        </w:rPr>
        <w:t>机构职能。</w:t>
      </w:r>
    </w:p>
    <w:p>
      <w:pPr>
        <w:numPr>
          <w:ilvl w:val="0"/>
          <w:numId w:val="0"/>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工商业联合会是中国共产党领导的以民营企业和民营经济人士为主体，具有统战性、经济性、民间性有机统一基本特征的人民团体和商会组织，是党和政府联系民营经济人士的桥梁纽带，是政府管理和服务民营经济的助手，是中国人民政治协商会议的重要组成部分。工商联工作是党的统一战线工作和经济工作的重要内容。工商联事业是中国特色社会主义事业的重要组成部分。</w:t>
      </w:r>
    </w:p>
    <w:p>
      <w:pPr>
        <w:spacing w:line="560" w:lineRule="exact"/>
        <w:ind w:firstLine="640" w:firstLineChars="200"/>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eastAsia" w:ascii="仿宋_GB2312" w:hAnsi="仿宋_GB2312" w:eastAsia="仿宋_GB2312" w:cs="仿宋_GB2312"/>
          <w:sz w:val="32"/>
          <w:szCs w:val="32"/>
        </w:rPr>
        <w:t>主要职责职能：1.加强和改进民营经济人士思想政治工作。2.参与政治协商，发挥民主监督作用，积极参政议政。3.协助政府管理和服务民营经济。4.培育和发展中国特色商会组织。5.培育和建设高素质的民营经济人士队伍。6.参与协调劳动关系，协同社会治理，促进社会和谐稳定。7.引导民营企业和民营经济人士依法治企、依法经营、依法维权。8.依法加强会产管理、经营和保护。</w:t>
      </w:r>
    </w:p>
    <w:p>
      <w:pPr>
        <w:keepNext w:val="0"/>
        <w:keepLines w:val="0"/>
        <w:pageBreakBefore w:val="0"/>
        <w:widowControl/>
        <w:numPr>
          <w:ilvl w:val="0"/>
          <w:numId w:val="3"/>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default" w:ascii="Times New Roman" w:hAnsi="Times New Roman" w:eastAsia="楷体_GB2312" w:cs="Times New Roman"/>
          <w:b w:val="0"/>
          <w:bCs w:val="0"/>
          <w:color w:val="auto"/>
          <w:kern w:val="0"/>
          <w:sz w:val="32"/>
          <w:szCs w:val="32"/>
          <w:highlight w:val="none"/>
          <w:shd w:val="clear" w:color="auto" w:fill="FFFFFF"/>
          <w:lang w:val="zh-CN"/>
        </w:rPr>
        <w:t>人员概况。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截至202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default" w:ascii="仿宋_GB2312" w:hAnsi="仿宋_GB2312" w:eastAsia="仿宋_GB2312" w:cs="仿宋_GB2312"/>
          <w:b w:val="0"/>
          <w:bCs w:val="0"/>
          <w:color w:val="auto"/>
          <w:kern w:val="0"/>
          <w:position w:val="0"/>
          <w:sz w:val="32"/>
          <w:szCs w:val="32"/>
          <w:highlight w:val="none"/>
          <w:lang w:val="zh-CN" w:eastAsia="zh-CN" w:bidi="ar-SA"/>
        </w:rPr>
        <w:t>年末，</w:t>
      </w:r>
      <w:r>
        <w:rPr>
          <w:rFonts w:ascii="仿宋_GB2312" w:eastAsia="仿宋_GB2312"/>
          <w:sz w:val="32"/>
          <w:szCs w:val="32"/>
        </w:rPr>
        <w:t>市</w:t>
      </w:r>
      <w:r>
        <w:rPr>
          <w:rFonts w:hint="eastAsia" w:ascii="仿宋_GB2312" w:eastAsia="仿宋_GB2312"/>
          <w:sz w:val="32"/>
          <w:szCs w:val="32"/>
        </w:rPr>
        <w:t>工商业联合会总编制1</w:t>
      </w:r>
      <w:r>
        <w:rPr>
          <w:rFonts w:hint="eastAsia" w:ascii="仿宋_GB2312" w:eastAsia="仿宋_GB2312"/>
          <w:sz w:val="32"/>
          <w:szCs w:val="32"/>
          <w:lang w:val="en-US" w:eastAsia="zh-CN"/>
        </w:rPr>
        <w:t>6</w:t>
      </w:r>
      <w:r>
        <w:rPr>
          <w:rFonts w:hint="eastAsia" w:ascii="仿宋_GB2312" w:eastAsia="仿宋_GB2312"/>
          <w:sz w:val="32"/>
          <w:szCs w:val="32"/>
        </w:rPr>
        <w:t>名，其中行政编制11名，</w:t>
      </w:r>
      <w:r>
        <w:rPr>
          <w:rFonts w:hint="eastAsia" w:ascii="仿宋_GB2312"/>
          <w:sz w:val="32"/>
          <w:szCs w:val="32"/>
          <w:lang w:eastAsia="zh-CN"/>
        </w:rPr>
        <w:t>参公</w:t>
      </w:r>
      <w:r>
        <w:rPr>
          <w:rFonts w:hint="eastAsia" w:ascii="仿宋_GB2312" w:eastAsia="仿宋_GB2312"/>
          <w:sz w:val="32"/>
          <w:szCs w:val="32"/>
        </w:rPr>
        <w:t>事业编制4名，工勤编制</w:t>
      </w:r>
      <w:r>
        <w:rPr>
          <w:rFonts w:hint="eastAsia" w:ascii="仿宋_GB2312" w:eastAsia="仿宋_GB2312"/>
          <w:sz w:val="32"/>
          <w:szCs w:val="32"/>
          <w:lang w:val="en-US" w:eastAsia="zh-CN"/>
        </w:rPr>
        <w:t>1</w:t>
      </w:r>
      <w:r>
        <w:rPr>
          <w:rFonts w:hint="eastAsia" w:ascii="仿宋_GB2312" w:eastAsia="仿宋_GB2312"/>
          <w:sz w:val="32"/>
          <w:szCs w:val="32"/>
        </w:rPr>
        <w:t>名。在职人员总数1</w:t>
      </w:r>
      <w:r>
        <w:rPr>
          <w:rFonts w:hint="eastAsia" w:ascii="仿宋_GB2312" w:eastAsia="仿宋_GB2312"/>
          <w:sz w:val="32"/>
          <w:szCs w:val="32"/>
          <w:lang w:val="en-US" w:eastAsia="zh-CN"/>
        </w:rPr>
        <w:t>6</w:t>
      </w:r>
      <w:r>
        <w:rPr>
          <w:rFonts w:hint="eastAsia" w:ascii="仿宋_GB2312" w:eastAsia="仿宋_GB2312"/>
          <w:sz w:val="32"/>
          <w:szCs w:val="32"/>
        </w:rPr>
        <w:t>人，退休人员1</w:t>
      </w:r>
      <w:r>
        <w:rPr>
          <w:rFonts w:hint="eastAsia" w:ascii="仿宋_GB2312" w:eastAsia="仿宋_GB2312"/>
          <w:sz w:val="32"/>
          <w:szCs w:val="32"/>
          <w:lang w:val="en-US" w:eastAsia="zh-CN"/>
        </w:rPr>
        <w:t>7</w:t>
      </w:r>
      <w:r>
        <w:rPr>
          <w:rFonts w:hint="eastAsia" w:ascii="仿宋_GB2312" w:eastAsia="仿宋_GB2312"/>
          <w:sz w:val="32"/>
          <w:szCs w:val="32"/>
        </w:rPr>
        <w:t>人。</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default" w:ascii="Times New Roman" w:hAnsi="Times New Roman" w:eastAsia="黑体"/>
          <w:b w:val="0"/>
        </w:rPr>
      </w:pPr>
      <w:bookmarkStart w:id="75" w:name="_Toc14160"/>
      <w:r>
        <w:rPr>
          <w:rFonts w:hint="default" w:ascii="Times New Roman" w:hAnsi="Times New Roman" w:eastAsia="黑体"/>
          <w:b w:val="0"/>
        </w:rPr>
        <w:t>二、</w:t>
      </w:r>
      <w:r>
        <w:rPr>
          <w:rFonts w:hint="default" w:ascii="Times New Roman" w:hAnsi="Times New Roman" w:eastAsia="黑体"/>
          <w:b w:val="0"/>
          <w:lang w:eastAsia="zh-CN"/>
        </w:rPr>
        <w:t>部门</w:t>
      </w:r>
      <w:r>
        <w:rPr>
          <w:rFonts w:hint="default" w:ascii="Times New Roman" w:hAnsi="Times New Roman" w:eastAsia="黑体"/>
          <w:b w:val="0"/>
        </w:rPr>
        <w:t>资金收支情况</w:t>
      </w:r>
      <w:bookmarkEnd w:id="75"/>
    </w:p>
    <w:p>
      <w:pPr>
        <w:keepNext w:val="0"/>
        <w:keepLines w:val="0"/>
        <w:pageBreakBefore w:val="0"/>
        <w:widowControl/>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eastAsia="楷体_GB2312" w:cs="Times New Roman"/>
          <w:b w:val="0"/>
          <w:bCs w:val="0"/>
          <w:color w:val="000000"/>
          <w:kern w:val="0"/>
          <w:sz w:val="32"/>
          <w:szCs w:val="32"/>
          <w:highlight w:val="none"/>
          <w:shd w:val="clear" w:color="auto" w:fill="FFFFFF"/>
          <w:lang w:val="zh-CN"/>
        </w:rPr>
      </w:pPr>
      <w:r>
        <w:rPr>
          <w:rFonts w:hint="default" w:ascii="Times New Roman" w:hAnsi="Times New Roman" w:eastAsia="楷体_GB2312" w:cs="Times New Roman"/>
          <w:b w:val="0"/>
          <w:bCs w:val="0"/>
          <w:color w:val="000000"/>
          <w:kern w:val="0"/>
          <w:sz w:val="32"/>
          <w:szCs w:val="32"/>
          <w:highlight w:val="none"/>
          <w:shd w:val="clear" w:color="auto" w:fill="FFFFFF"/>
          <w:lang w:val="zh-CN"/>
        </w:rPr>
        <w:t>（一）</w:t>
      </w:r>
      <w:r>
        <w:rPr>
          <w:rFonts w:hint="eastAsia" w:ascii="Times New Roman" w:hAnsi="Times New Roman" w:eastAsia="楷体_GB2312" w:cs="Times New Roman"/>
          <w:b w:val="0"/>
          <w:bCs w:val="0"/>
          <w:color w:val="000000"/>
          <w:kern w:val="0"/>
          <w:sz w:val="32"/>
          <w:szCs w:val="32"/>
          <w:highlight w:val="none"/>
          <w:shd w:val="clear" w:color="auto" w:fill="FFFFFF"/>
          <w:lang w:val="zh-CN"/>
        </w:rPr>
        <w:t>收入情况</w:t>
      </w:r>
      <w:r>
        <w:rPr>
          <w:rFonts w:hint="default" w:ascii="Times New Roman" w:hAnsi="Times New Roman" w:eastAsia="楷体_GB2312" w:cs="Times New Roman"/>
          <w:b w:val="0"/>
          <w:bCs w:val="0"/>
          <w:color w:val="000000"/>
          <w:kern w:val="0"/>
          <w:sz w:val="32"/>
          <w:szCs w:val="32"/>
          <w:highlight w:val="none"/>
          <w:shd w:val="clear" w:color="auto" w:fill="FFFFFF"/>
          <w:lang w:val="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eastAsia="zh-CN"/>
        </w:rPr>
        <w:t>广元市工商业联合会</w:t>
      </w:r>
      <w:r>
        <w:rPr>
          <w:rFonts w:hint="eastAsia" w:ascii="仿宋_GB2312" w:hAnsi="仿宋_GB2312" w:eastAsia="仿宋_GB2312" w:cs="仿宋_GB2312"/>
          <w:b w:val="0"/>
          <w:bCs w:val="0"/>
          <w:sz w:val="32"/>
          <w:szCs w:val="32"/>
          <w:lang w:val="en-US" w:eastAsia="zh-CN"/>
        </w:rPr>
        <w:t>2024年总收入416.1万元，其中年初预算395.67万元，上年结转结余6.82万元，年中预算调剂追加20.76万元，调剂减少预算7.15万元，调整后预算收入416.1万元。决算报表收入411.16万元，与实际预算执行支出一致，均为一般公共预算财政拨款收入。</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Chars="200" w:firstLine="320" w:firstLineChars="100"/>
        <w:contextualSpacing/>
        <w:jc w:val="left"/>
        <w:textAlignment w:val="auto"/>
        <w:outlineLvl w:val="9"/>
        <w:rPr>
          <w:rFonts w:hint="default" w:ascii="Times New Roman" w:hAnsi="Times New Roman" w:eastAsia="楷体_GB2312" w:cs="Times New Roman"/>
          <w:b w:val="0"/>
          <w:bCs w:val="0"/>
          <w:color w:val="000000"/>
          <w:kern w:val="0"/>
          <w:sz w:val="32"/>
          <w:szCs w:val="32"/>
          <w:highlight w:val="none"/>
          <w:shd w:val="clear" w:color="auto" w:fill="FFFFFF"/>
          <w:lang w:val="zh-CN"/>
        </w:rPr>
      </w:pPr>
      <w:r>
        <w:rPr>
          <w:rFonts w:hint="eastAsia" w:ascii="Times New Roman" w:hAnsi="Times New Roman" w:eastAsia="楷体_GB2312" w:cs="Times New Roman"/>
          <w:b w:val="0"/>
          <w:bCs w:val="0"/>
          <w:color w:val="000000"/>
          <w:kern w:val="0"/>
          <w:sz w:val="32"/>
          <w:szCs w:val="32"/>
          <w:highlight w:val="none"/>
          <w:shd w:val="clear" w:color="auto" w:fill="FFFFFF"/>
          <w:lang w:val="zh-CN"/>
        </w:rPr>
        <w:t>（二）支出情况</w:t>
      </w:r>
      <w:r>
        <w:rPr>
          <w:rFonts w:hint="default" w:ascii="Times New Roman" w:hAnsi="Times New Roman" w:eastAsia="楷体_GB2312" w:cs="Times New Roman"/>
          <w:b w:val="0"/>
          <w:bCs w:val="0"/>
          <w:color w:val="000000"/>
          <w:kern w:val="0"/>
          <w:sz w:val="32"/>
          <w:szCs w:val="32"/>
          <w:highlight w:val="none"/>
          <w:shd w:val="clear" w:color="auto" w:fill="FFFFFF"/>
          <w:lang w:val="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contextualSpacing/>
        <w:jc w:val="left"/>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广元市工商业联合会2023年预算执行支出411.16万元，决算报表支出411.16万元。</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Chars="200" w:firstLine="320" w:firstLineChars="100"/>
        <w:contextualSpacing/>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Times New Roman" w:hAnsi="Times New Roman" w:eastAsia="楷体_GB2312" w:cs="Times New Roman"/>
          <w:b w:val="0"/>
          <w:bCs w:val="0"/>
          <w:sz w:val="32"/>
          <w:szCs w:val="32"/>
          <w:lang w:eastAsia="zh-CN"/>
        </w:rPr>
        <w:t>（三）</w:t>
      </w:r>
      <w:r>
        <w:rPr>
          <w:rFonts w:hint="default" w:ascii="Times New Roman" w:hAnsi="Times New Roman" w:eastAsia="楷体_GB2312" w:cs="Times New Roman"/>
          <w:b w:val="0"/>
          <w:bCs w:val="0"/>
          <w:sz w:val="32"/>
          <w:szCs w:val="32"/>
        </w:rPr>
        <w:t>结转结余情况</w:t>
      </w:r>
      <w:r>
        <w:rPr>
          <w:rFonts w:hint="eastAsia" w:ascii="Times New Roman" w:hAnsi="Times New Roman" w:eastAsia="楷体_GB2312" w:cs="Times New Roman"/>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宋体" w:eastAsia="仿宋_GB2312" w:cs="宋体"/>
          <w:kern w:val="0"/>
          <w:sz w:val="32"/>
          <w:szCs w:val="32"/>
          <w:lang w:eastAsia="zh-CN"/>
        </w:rPr>
        <w:t>广元</w:t>
      </w:r>
      <w:r>
        <w:rPr>
          <w:rFonts w:hint="eastAsia" w:ascii="仿宋_GB2312" w:hAnsi="宋体" w:eastAsia="仿宋_GB2312" w:cs="宋体"/>
          <w:kern w:val="0"/>
          <w:sz w:val="32"/>
          <w:szCs w:val="32"/>
        </w:rPr>
        <w:t>市工商联202</w:t>
      </w:r>
      <w:r>
        <w:rPr>
          <w:rFonts w:hint="eastAsia" w:ascii="仿宋_GB2312" w:hAnsi="宋体" w:eastAsia="仿宋_GB2312" w:cs="宋体"/>
          <w:kern w:val="0"/>
          <w:sz w:val="32"/>
          <w:szCs w:val="32"/>
          <w:lang w:val="en-US" w:eastAsia="zh-CN"/>
        </w:rPr>
        <w:t>4年度结余4.94万元，主要为2024年市工商联年中5月退休一人，未支付的人员基本工资、规范性津补贴、社保、住房公积金等人员类经费，该部分经费全部由财政收回注销，未有结转结余。</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76" w:name="_Toc14802"/>
      <w:r>
        <w:rPr>
          <w:rFonts w:hint="eastAsia" w:ascii="Times New Roman" w:hAnsi="Times New Roman" w:eastAsia="黑体"/>
          <w:b w:val="0"/>
          <w:lang w:val="zh-CN"/>
        </w:rPr>
        <w:t>三、部门预算绩效分析</w:t>
      </w:r>
      <w:bookmarkEnd w:id="76"/>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default" w:ascii="Times New Roman" w:hAnsi="Times New Roman" w:eastAsia="楷体_GB2312" w:cs="Times New Roman"/>
          <w:b w:val="0"/>
          <w:bCs w:val="0"/>
          <w:color w:val="auto"/>
          <w:kern w:val="0"/>
          <w:sz w:val="32"/>
          <w:szCs w:val="32"/>
          <w:highlight w:val="none"/>
          <w:shd w:val="clear" w:color="auto" w:fill="FFFFFF"/>
          <w:lang w:val="zh-CN"/>
        </w:rPr>
        <w:t>（一）部门预算总体绩效分析。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eastAsia" w:ascii="仿宋_GB2312" w:hAnsi="仿宋_GB2312" w:eastAsia="仿宋_GB2312" w:cs="仿宋_GB2312"/>
          <w:b w:val="0"/>
          <w:bCs w:val="0"/>
          <w:color w:val="auto"/>
          <w:kern w:val="0"/>
          <w:sz w:val="32"/>
          <w:szCs w:val="32"/>
          <w:highlight w:val="none"/>
          <w:shd w:val="clear" w:color="auto" w:fill="FFFFFF"/>
          <w:lang w:val="zh-CN"/>
        </w:rPr>
      </w:pPr>
      <w:r>
        <w:rPr>
          <w:rFonts w:hint="eastAsia" w:ascii="仿宋_GB2312" w:hAnsi="仿宋_GB2312" w:eastAsia="仿宋_GB2312" w:cs="仿宋_GB2312"/>
          <w:b w:val="0"/>
          <w:bCs w:val="0"/>
          <w:color w:val="auto"/>
          <w:kern w:val="0"/>
          <w:position w:val="0"/>
          <w:sz w:val="32"/>
          <w:szCs w:val="32"/>
          <w:highlight w:val="none"/>
          <w:lang w:val="zh-CN" w:eastAsia="zh-CN" w:bidi="ar-SA"/>
        </w:rPr>
        <w:t>根据部门预算绩效评价指标体系“总体绩效”涉及二、三级指标进行逐项绩效分析并评分，依次包括履职效能、预算管理、财务管理、资产管理、采购管理等情况。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1.</w:t>
      </w:r>
      <w:r>
        <w:rPr>
          <w:rFonts w:hint="eastAsia" w:ascii="仿宋_GB2312" w:hAnsi="仿宋_GB2312" w:eastAsia="仿宋_GB2312" w:cs="仿宋_GB2312"/>
          <w:b w:val="0"/>
          <w:bCs w:val="0"/>
          <w:color w:val="auto"/>
          <w:kern w:val="0"/>
          <w:position w:val="0"/>
          <w:sz w:val="32"/>
          <w:szCs w:val="32"/>
          <w:highlight w:val="none"/>
          <w:lang w:val="zh-CN" w:eastAsia="zh-CN" w:bidi="ar-SA"/>
        </w:rPr>
        <w:t>履职效能。</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①开展宣传调研工作，调研次数不少于6次，开展培训次数不少于2次、理想信念教育活动不少于1次，形成调研成果不少于4篇，设定分值5分。指标主要反映工商联作为党和政府联系非公有制经济人士的桥梁纽带，发挥反映社情民意及有序参政议政的助手作用。评分方法比率分值法。实际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年度走访调研商协会及企业200余家次，形成调研成果40余篇，向省工商联报送调研成果和实践案例10篇。组织开展“民营经济大讲堂”3场次，民营企业经营能力提升培训班等10余场次，组织民营经济代表人士赴仪陇、泸定等地开展理想信念教育活动</w:t>
      </w:r>
      <w:r>
        <w:rPr>
          <w:rFonts w:hint="eastAsia" w:ascii="仿宋_GB2312" w:hAnsi="仿宋_GB2312" w:eastAsia="仿宋_GB2312" w:cs="仿宋_GB2312"/>
          <w:b w:val="0"/>
          <w:bCs w:val="0"/>
          <w:color w:val="auto"/>
          <w:kern w:val="0"/>
          <w:position w:val="0"/>
          <w:sz w:val="32"/>
          <w:szCs w:val="32"/>
          <w:highlight w:val="none"/>
          <w:lang w:val="en-US" w:eastAsia="zh-CN" w:bidi="ar-SA"/>
        </w:rPr>
        <w:t>1</w:t>
      </w:r>
      <w:r>
        <w:rPr>
          <w:rFonts w:hint="eastAsia" w:ascii="仿宋_GB2312" w:hAnsi="仿宋_GB2312" w:eastAsia="仿宋_GB2312" w:cs="仿宋_GB2312"/>
          <w:b w:val="0"/>
          <w:bCs w:val="0"/>
          <w:color w:val="auto"/>
          <w:kern w:val="0"/>
          <w:position w:val="0"/>
          <w:sz w:val="32"/>
          <w:szCs w:val="32"/>
          <w:highlight w:val="none"/>
          <w:lang w:val="zh-CN" w:eastAsia="zh-CN" w:bidi="ar-SA"/>
        </w:rPr>
        <w:t>次，完成年度目标任务。自评得分5分。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②组织经贸考察交流次数不少于1次，开展法律培训不少于</w:t>
      </w:r>
      <w:r>
        <w:rPr>
          <w:rFonts w:hint="eastAsia" w:ascii="仿宋_GB2312" w:hAnsi="仿宋_GB2312" w:eastAsia="仿宋_GB2312" w:cs="仿宋_GB2312"/>
          <w:b w:val="0"/>
          <w:bCs w:val="0"/>
          <w:color w:val="auto"/>
          <w:kern w:val="0"/>
          <w:position w:val="0"/>
          <w:sz w:val="32"/>
          <w:szCs w:val="32"/>
          <w:highlight w:val="none"/>
          <w:lang w:val="en-US" w:eastAsia="zh-CN" w:bidi="ar-SA"/>
        </w:rPr>
        <w:t>1次，银企对接活动不少于2次</w:t>
      </w:r>
      <w:r>
        <w:rPr>
          <w:rFonts w:hint="eastAsia" w:ascii="仿宋_GB2312" w:hAnsi="仿宋_GB2312" w:eastAsia="仿宋_GB2312" w:cs="仿宋_GB2312"/>
          <w:b w:val="0"/>
          <w:bCs w:val="0"/>
          <w:color w:val="auto"/>
          <w:kern w:val="0"/>
          <w:position w:val="0"/>
          <w:sz w:val="32"/>
          <w:szCs w:val="32"/>
          <w:highlight w:val="none"/>
          <w:lang w:val="zh-CN" w:eastAsia="zh-CN" w:bidi="ar-SA"/>
        </w:rPr>
        <w:t>。指标主要反映工商联作为服务非公有制经济的助手，服务中心大局助力广元经济社会发展的作用。评分方法比率分值法。实际202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年度，组织企业家赴新疆乌鲁木齐等地考察</w:t>
      </w:r>
      <w:r>
        <w:rPr>
          <w:rFonts w:hint="eastAsia" w:ascii="仿宋_GB2312" w:hAnsi="仿宋_GB2312" w:eastAsia="仿宋_GB2312" w:cs="仿宋_GB2312"/>
          <w:b w:val="0"/>
          <w:bCs w:val="0"/>
          <w:color w:val="auto"/>
          <w:kern w:val="0"/>
          <w:position w:val="0"/>
          <w:sz w:val="32"/>
          <w:szCs w:val="32"/>
          <w:highlight w:val="none"/>
          <w:lang w:val="en-US" w:eastAsia="zh-CN" w:bidi="ar-SA"/>
        </w:rPr>
        <w:t>1</w:t>
      </w:r>
      <w:r>
        <w:rPr>
          <w:rFonts w:hint="eastAsia" w:ascii="仿宋_GB2312" w:hAnsi="仿宋_GB2312" w:eastAsia="仿宋_GB2312" w:cs="仿宋_GB2312"/>
          <w:b w:val="0"/>
          <w:bCs w:val="0"/>
          <w:color w:val="auto"/>
          <w:kern w:val="0"/>
          <w:position w:val="0"/>
          <w:sz w:val="32"/>
          <w:szCs w:val="32"/>
          <w:highlight w:val="none"/>
          <w:lang w:val="zh-CN" w:eastAsia="zh-CN" w:bidi="ar-SA"/>
        </w:rPr>
        <w:t>次，洽谈食品饮料、文旅康养项目7个，签约落地项目1个。开展“法润川商”十大行动，举办新《公司法》、金税四期等法律法规集中培训</w:t>
      </w:r>
      <w:r>
        <w:rPr>
          <w:rFonts w:hint="eastAsia" w:ascii="仿宋_GB2312" w:hAnsi="仿宋_GB2312" w:eastAsia="仿宋_GB2312" w:cs="仿宋_GB2312"/>
          <w:b w:val="0"/>
          <w:bCs w:val="0"/>
          <w:color w:val="auto"/>
          <w:kern w:val="0"/>
          <w:position w:val="0"/>
          <w:sz w:val="32"/>
          <w:szCs w:val="32"/>
          <w:highlight w:val="none"/>
          <w:lang w:val="en-US" w:eastAsia="zh-CN" w:bidi="ar-SA"/>
        </w:rPr>
        <w:t>1</w:t>
      </w:r>
      <w:r>
        <w:rPr>
          <w:rFonts w:hint="eastAsia" w:ascii="仿宋_GB2312" w:hAnsi="仿宋_GB2312" w:eastAsia="仿宋_GB2312" w:cs="仿宋_GB2312"/>
          <w:b w:val="0"/>
          <w:bCs w:val="0"/>
          <w:color w:val="auto"/>
          <w:kern w:val="0"/>
          <w:position w:val="0"/>
          <w:sz w:val="32"/>
          <w:szCs w:val="32"/>
          <w:highlight w:val="none"/>
          <w:lang w:val="zh-CN" w:eastAsia="zh-CN" w:bidi="ar-SA"/>
        </w:rPr>
        <w:t>期，组织企业参加省联“法律微讲堂”培训39期。建立健全政银企交流沟通机制，联合金融机构推送金融产品10余个，开展银企对接活动</w:t>
      </w:r>
      <w:r>
        <w:rPr>
          <w:rFonts w:hint="eastAsia" w:ascii="仿宋_GB2312" w:hAnsi="仿宋_GB2312" w:eastAsia="仿宋_GB2312" w:cs="仿宋_GB2312"/>
          <w:b w:val="0"/>
          <w:bCs w:val="0"/>
          <w:color w:val="auto"/>
          <w:kern w:val="0"/>
          <w:position w:val="0"/>
          <w:sz w:val="32"/>
          <w:szCs w:val="32"/>
          <w:highlight w:val="none"/>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zh-CN" w:eastAsia="zh-CN" w:bidi="ar-SA"/>
        </w:rPr>
        <w:t>期，帮助会员企业融资3000余万元。自评得分5分。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③加强组织建设，发展会员不少于10个。指标主要反映工商联作为人民团体和商会组织，吸收会员壮大队伍履行统一战线职责的效能。评分方法比率分值法。实际202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年度，新增会员1600余个，累计录入会员超8000个，乡镇商会93个，对乡镇的覆盖率达92.2%。自评得分5分。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zh-CN" w:eastAsia="zh-CN" w:bidi="ar-SA"/>
        </w:rPr>
        <w:t>预算管理。围绕预算编制质量、支出执行进度、预算年终结余、严控一般性支出进行绩效分析。</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①预算编制质量。（8分）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市工商联202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年初部门预算</w:t>
      </w:r>
      <w:r>
        <w:rPr>
          <w:rFonts w:hint="eastAsia" w:ascii="仿宋_GB2312" w:hAnsi="仿宋_GB2312" w:eastAsia="仿宋_GB2312" w:cs="仿宋_GB2312"/>
          <w:b w:val="0"/>
          <w:bCs w:val="0"/>
          <w:color w:val="auto"/>
          <w:kern w:val="0"/>
          <w:position w:val="0"/>
          <w:sz w:val="32"/>
          <w:szCs w:val="32"/>
          <w:highlight w:val="none"/>
          <w:lang w:val="en-US" w:eastAsia="zh-CN" w:bidi="ar-SA"/>
        </w:rPr>
        <w:t>402.49</w:t>
      </w:r>
      <w:r>
        <w:rPr>
          <w:rFonts w:hint="eastAsia" w:ascii="仿宋_GB2312" w:hAnsi="仿宋_GB2312" w:eastAsia="仿宋_GB2312" w:cs="仿宋_GB2312"/>
          <w:b w:val="0"/>
          <w:bCs w:val="0"/>
          <w:color w:val="auto"/>
          <w:kern w:val="0"/>
          <w:position w:val="0"/>
          <w:sz w:val="32"/>
          <w:szCs w:val="32"/>
          <w:highlight w:val="none"/>
          <w:lang w:val="zh-CN" w:eastAsia="zh-CN" w:bidi="ar-SA"/>
        </w:rPr>
        <w:t>万元，由于年中</w:t>
      </w:r>
      <w:r>
        <w:rPr>
          <w:rFonts w:hint="eastAsia" w:ascii="仿宋_GB2312" w:hAnsi="仿宋_GB2312" w:eastAsia="仿宋_GB2312" w:cs="仿宋_GB2312"/>
          <w:b w:val="0"/>
          <w:bCs w:val="0"/>
          <w:color w:val="auto"/>
          <w:kern w:val="0"/>
          <w:position w:val="0"/>
          <w:sz w:val="32"/>
          <w:szCs w:val="32"/>
          <w:highlight w:val="none"/>
          <w:lang w:val="en-US" w:eastAsia="zh-CN" w:bidi="ar-SA"/>
        </w:rPr>
        <w:t>5月退休一人，收回预算7.15万元，因此实际年初部门预算为395.34万元，年初部门预算执行数为390.4万元，</w:t>
      </w:r>
      <w:r>
        <w:rPr>
          <w:rFonts w:hint="eastAsia" w:ascii="仿宋_GB2312" w:hAnsi="仿宋_GB2312" w:eastAsia="仿宋_GB2312" w:cs="仿宋_GB2312"/>
          <w:b w:val="0"/>
          <w:bCs w:val="0"/>
          <w:color w:val="auto"/>
          <w:kern w:val="0"/>
          <w:position w:val="0"/>
          <w:sz w:val="32"/>
          <w:szCs w:val="32"/>
          <w:highlight w:val="none"/>
          <w:lang w:val="zh-CN" w:eastAsia="zh-CN" w:bidi="ar-SA"/>
        </w:rPr>
        <w:t>故财政拨款预算偏离度=|</w:t>
      </w:r>
      <w:r>
        <w:rPr>
          <w:rFonts w:hint="eastAsia" w:ascii="仿宋_GB2312" w:hAnsi="仿宋_GB2312" w:eastAsia="仿宋_GB2312" w:cs="仿宋_GB2312"/>
          <w:b w:val="0"/>
          <w:bCs w:val="0"/>
          <w:color w:val="auto"/>
          <w:kern w:val="0"/>
          <w:position w:val="0"/>
          <w:sz w:val="32"/>
          <w:szCs w:val="32"/>
          <w:highlight w:val="none"/>
          <w:lang w:val="en-US" w:eastAsia="zh-CN" w:bidi="ar-SA"/>
        </w:rPr>
        <w:t>390.4</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en-US" w:eastAsia="zh-CN" w:bidi="ar-SA"/>
        </w:rPr>
        <w:t>395.34</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en-US" w:eastAsia="zh-CN" w:bidi="ar-SA"/>
        </w:rPr>
        <w:t>395.34</w:t>
      </w:r>
      <w:r>
        <w:rPr>
          <w:rFonts w:hint="eastAsia" w:ascii="仿宋_GB2312" w:hAnsi="仿宋_GB2312" w:eastAsia="仿宋_GB2312" w:cs="仿宋_GB2312"/>
          <w:b w:val="0"/>
          <w:bCs w:val="0"/>
          <w:color w:val="auto"/>
          <w:kern w:val="0"/>
          <w:position w:val="0"/>
          <w:sz w:val="32"/>
          <w:szCs w:val="32"/>
          <w:highlight w:val="none"/>
          <w:lang w:val="zh-CN" w:eastAsia="zh-CN" w:bidi="ar-SA"/>
        </w:rPr>
        <w:t>=1.</w:t>
      </w:r>
      <w:r>
        <w:rPr>
          <w:rFonts w:hint="eastAsia" w:ascii="仿宋_GB2312" w:hAnsi="仿宋_GB2312" w:eastAsia="仿宋_GB2312" w:cs="仿宋_GB2312"/>
          <w:b w:val="0"/>
          <w:bCs w:val="0"/>
          <w:color w:val="auto"/>
          <w:kern w:val="0"/>
          <w:position w:val="0"/>
          <w:sz w:val="32"/>
          <w:szCs w:val="32"/>
          <w:highlight w:val="none"/>
          <w:lang w:val="en-US" w:eastAsia="zh-CN" w:bidi="ar-SA"/>
        </w:rPr>
        <w:t>25</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该项指标得分（1-1.</w:t>
      </w:r>
      <w:r>
        <w:rPr>
          <w:rFonts w:hint="eastAsia" w:ascii="仿宋_GB2312" w:hAnsi="仿宋_GB2312" w:eastAsia="仿宋_GB2312" w:cs="仿宋_GB2312"/>
          <w:b w:val="0"/>
          <w:bCs w:val="0"/>
          <w:color w:val="auto"/>
          <w:kern w:val="0"/>
          <w:position w:val="0"/>
          <w:sz w:val="32"/>
          <w:szCs w:val="32"/>
          <w:highlight w:val="none"/>
          <w:lang w:val="en-US" w:eastAsia="zh-CN" w:bidi="ar-SA"/>
        </w:rPr>
        <w:t>25</w:t>
      </w:r>
      <w:r>
        <w:rPr>
          <w:rFonts w:hint="eastAsia" w:ascii="仿宋_GB2312" w:hAnsi="仿宋_GB2312" w:eastAsia="仿宋_GB2312" w:cs="仿宋_GB2312"/>
          <w:b w:val="0"/>
          <w:bCs w:val="0"/>
          <w:color w:val="auto"/>
          <w:kern w:val="0"/>
          <w:position w:val="0"/>
          <w:sz w:val="32"/>
          <w:szCs w:val="32"/>
          <w:highlight w:val="none"/>
          <w:lang w:val="zh-CN" w:eastAsia="zh-CN" w:bidi="ar-SA"/>
        </w:rPr>
        <w:t>%）×100%×4+（1-0）×100%×2+（1-0）×100%×2=7.9</w:t>
      </w:r>
      <w:r>
        <w:rPr>
          <w:rFonts w:hint="eastAsia" w:ascii="仿宋_GB2312" w:hAnsi="仿宋_GB2312" w:eastAsia="仿宋_GB2312" w:cs="仿宋_GB2312"/>
          <w:b w:val="0"/>
          <w:bCs w:val="0"/>
          <w:color w:val="auto"/>
          <w:kern w:val="0"/>
          <w:position w:val="0"/>
          <w:sz w:val="32"/>
          <w:szCs w:val="32"/>
          <w:highlight w:val="none"/>
          <w:lang w:val="en-US" w:eastAsia="zh-CN" w:bidi="ar-SA"/>
        </w:rPr>
        <w:t>5</w:t>
      </w:r>
      <w:r>
        <w:rPr>
          <w:rFonts w:hint="eastAsia" w:ascii="仿宋_GB2312" w:hAnsi="仿宋_GB2312" w:eastAsia="仿宋_GB2312" w:cs="仿宋_GB2312"/>
          <w:b w:val="0"/>
          <w:bCs w:val="0"/>
          <w:color w:val="auto"/>
          <w:kern w:val="0"/>
          <w:position w:val="0"/>
          <w:sz w:val="32"/>
          <w:szCs w:val="32"/>
          <w:highlight w:val="none"/>
          <w:lang w:val="zh-CN" w:eastAsia="zh-CN" w:bidi="ar-SA"/>
        </w:rPr>
        <w:t>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②支出执行进度。（6分）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市工商联202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年1至6月预算执行数</w:t>
      </w:r>
      <w:r>
        <w:rPr>
          <w:rFonts w:hint="eastAsia" w:ascii="仿宋_GB2312" w:hAnsi="仿宋_GB2312" w:eastAsia="仿宋_GB2312" w:cs="仿宋_GB2312"/>
          <w:b w:val="0"/>
          <w:bCs w:val="0"/>
          <w:color w:val="auto"/>
          <w:kern w:val="0"/>
          <w:position w:val="0"/>
          <w:sz w:val="32"/>
          <w:szCs w:val="32"/>
          <w:highlight w:val="none"/>
          <w:lang w:val="en-US" w:eastAsia="zh-CN" w:bidi="ar-SA"/>
        </w:rPr>
        <w:t>209.05</w:t>
      </w:r>
      <w:r>
        <w:rPr>
          <w:rFonts w:hint="eastAsia" w:ascii="仿宋_GB2312" w:hAnsi="仿宋_GB2312" w:eastAsia="仿宋_GB2312" w:cs="仿宋_GB2312"/>
          <w:b w:val="0"/>
          <w:bCs w:val="0"/>
          <w:color w:val="auto"/>
          <w:kern w:val="0"/>
          <w:position w:val="0"/>
          <w:sz w:val="32"/>
          <w:szCs w:val="32"/>
          <w:highlight w:val="none"/>
          <w:lang w:val="zh-CN" w:eastAsia="zh-CN" w:bidi="ar-SA"/>
        </w:rPr>
        <w:t>万元，202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年6月30日预算数为年初预算</w:t>
      </w:r>
      <w:r>
        <w:rPr>
          <w:rFonts w:hint="eastAsia" w:ascii="仿宋_GB2312" w:hAnsi="仿宋_GB2312" w:eastAsia="仿宋_GB2312" w:cs="仿宋_GB2312"/>
          <w:b w:val="0"/>
          <w:bCs w:val="0"/>
          <w:color w:val="auto"/>
          <w:kern w:val="0"/>
          <w:position w:val="0"/>
          <w:sz w:val="32"/>
          <w:szCs w:val="32"/>
          <w:highlight w:val="none"/>
          <w:lang w:val="en-US" w:eastAsia="zh-CN" w:bidi="ar-SA"/>
        </w:rPr>
        <w:t>402.49</w:t>
      </w:r>
      <w:r>
        <w:rPr>
          <w:rFonts w:hint="eastAsia" w:ascii="仿宋_GB2312" w:hAnsi="仿宋_GB2312" w:eastAsia="仿宋_GB2312" w:cs="仿宋_GB2312"/>
          <w:b w:val="0"/>
          <w:bCs w:val="0"/>
          <w:color w:val="auto"/>
          <w:kern w:val="0"/>
          <w:position w:val="0"/>
          <w:sz w:val="32"/>
          <w:szCs w:val="32"/>
          <w:highlight w:val="none"/>
          <w:lang w:val="zh-CN" w:eastAsia="zh-CN" w:bidi="ar-SA"/>
        </w:rPr>
        <w:t>万元+6月30日前预算追加</w:t>
      </w:r>
      <w:r>
        <w:rPr>
          <w:rFonts w:hint="eastAsia" w:ascii="仿宋_GB2312" w:hAnsi="仿宋_GB2312" w:eastAsia="仿宋_GB2312" w:cs="仿宋_GB2312"/>
          <w:b w:val="0"/>
          <w:bCs w:val="0"/>
          <w:color w:val="auto"/>
          <w:kern w:val="0"/>
          <w:position w:val="0"/>
          <w:sz w:val="32"/>
          <w:szCs w:val="32"/>
          <w:highlight w:val="none"/>
          <w:lang w:val="en-US" w:eastAsia="zh-CN" w:bidi="ar-SA"/>
        </w:rPr>
        <w:t>6.46</w:t>
      </w:r>
      <w:r>
        <w:rPr>
          <w:rFonts w:hint="eastAsia" w:ascii="仿宋_GB2312" w:hAnsi="仿宋_GB2312" w:eastAsia="仿宋_GB2312" w:cs="仿宋_GB2312"/>
          <w:b w:val="0"/>
          <w:bCs w:val="0"/>
          <w:color w:val="auto"/>
          <w:kern w:val="0"/>
          <w:position w:val="0"/>
          <w:sz w:val="32"/>
          <w:szCs w:val="32"/>
          <w:highlight w:val="none"/>
          <w:lang w:val="zh-CN" w:eastAsia="zh-CN" w:bidi="ar-SA"/>
        </w:rPr>
        <w:t>万元=</w:t>
      </w:r>
      <w:r>
        <w:rPr>
          <w:rFonts w:hint="eastAsia" w:ascii="仿宋_GB2312" w:hAnsi="仿宋_GB2312" w:eastAsia="仿宋_GB2312" w:cs="仿宋_GB2312"/>
          <w:b w:val="0"/>
          <w:bCs w:val="0"/>
          <w:color w:val="auto"/>
          <w:kern w:val="0"/>
          <w:position w:val="0"/>
          <w:sz w:val="32"/>
          <w:szCs w:val="32"/>
          <w:highlight w:val="none"/>
          <w:lang w:val="en-US" w:eastAsia="zh-CN" w:bidi="ar-SA"/>
        </w:rPr>
        <w:t>416.1</w:t>
      </w:r>
      <w:r>
        <w:rPr>
          <w:rFonts w:hint="eastAsia" w:ascii="仿宋_GB2312" w:hAnsi="仿宋_GB2312" w:eastAsia="仿宋_GB2312" w:cs="仿宋_GB2312"/>
          <w:b w:val="0"/>
          <w:bCs w:val="0"/>
          <w:color w:val="auto"/>
          <w:kern w:val="0"/>
          <w:position w:val="0"/>
          <w:sz w:val="32"/>
          <w:szCs w:val="32"/>
          <w:highlight w:val="none"/>
          <w:lang w:val="zh-CN" w:eastAsia="zh-CN" w:bidi="ar-SA"/>
        </w:rPr>
        <w:t>万元，因此1-6月执行进度为</w:t>
      </w:r>
      <w:r>
        <w:rPr>
          <w:rFonts w:hint="eastAsia" w:ascii="仿宋_GB2312" w:hAnsi="仿宋_GB2312" w:eastAsia="仿宋_GB2312" w:cs="仿宋_GB2312"/>
          <w:b w:val="0"/>
          <w:bCs w:val="0"/>
          <w:color w:val="auto"/>
          <w:kern w:val="0"/>
          <w:position w:val="0"/>
          <w:sz w:val="32"/>
          <w:szCs w:val="32"/>
          <w:highlight w:val="none"/>
          <w:lang w:val="en-US" w:eastAsia="zh-CN" w:bidi="ar-SA"/>
        </w:rPr>
        <w:t>100.48</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市工商联2023年1至10月预算执行数</w:t>
      </w:r>
      <w:r>
        <w:rPr>
          <w:rFonts w:hint="eastAsia" w:ascii="仿宋_GB2312" w:hAnsi="仿宋_GB2312" w:eastAsia="仿宋_GB2312" w:cs="仿宋_GB2312"/>
          <w:b w:val="0"/>
          <w:bCs w:val="0"/>
          <w:color w:val="auto"/>
          <w:kern w:val="0"/>
          <w:position w:val="0"/>
          <w:sz w:val="32"/>
          <w:szCs w:val="32"/>
          <w:highlight w:val="none"/>
          <w:lang w:val="en-US" w:eastAsia="zh-CN" w:bidi="ar-SA"/>
        </w:rPr>
        <w:t>347.73</w:t>
      </w:r>
      <w:r>
        <w:rPr>
          <w:rFonts w:hint="eastAsia" w:ascii="仿宋_GB2312" w:hAnsi="仿宋_GB2312" w:eastAsia="仿宋_GB2312" w:cs="仿宋_GB2312"/>
          <w:b w:val="0"/>
          <w:bCs w:val="0"/>
          <w:color w:val="auto"/>
          <w:kern w:val="0"/>
          <w:position w:val="0"/>
          <w:sz w:val="32"/>
          <w:szCs w:val="32"/>
          <w:highlight w:val="none"/>
          <w:lang w:val="zh-CN" w:eastAsia="zh-CN" w:bidi="ar-SA"/>
        </w:rPr>
        <w:t>万元，2023年10月31日部门预算数为年初预算</w:t>
      </w:r>
      <w:r>
        <w:rPr>
          <w:rFonts w:hint="eastAsia" w:ascii="仿宋_GB2312" w:hAnsi="仿宋_GB2312" w:eastAsia="仿宋_GB2312" w:cs="仿宋_GB2312"/>
          <w:b w:val="0"/>
          <w:bCs w:val="0"/>
          <w:color w:val="auto"/>
          <w:kern w:val="0"/>
          <w:position w:val="0"/>
          <w:sz w:val="32"/>
          <w:szCs w:val="32"/>
          <w:highlight w:val="none"/>
          <w:lang w:val="en-US" w:eastAsia="zh-CN" w:bidi="ar-SA"/>
        </w:rPr>
        <w:t>402.49</w:t>
      </w:r>
      <w:r>
        <w:rPr>
          <w:rFonts w:hint="eastAsia" w:ascii="仿宋_GB2312" w:hAnsi="仿宋_GB2312" w:eastAsia="仿宋_GB2312" w:cs="仿宋_GB2312"/>
          <w:b w:val="0"/>
          <w:bCs w:val="0"/>
          <w:color w:val="auto"/>
          <w:kern w:val="0"/>
          <w:position w:val="0"/>
          <w:sz w:val="32"/>
          <w:szCs w:val="32"/>
          <w:highlight w:val="none"/>
          <w:lang w:val="zh-CN" w:eastAsia="zh-CN" w:bidi="ar-SA"/>
        </w:rPr>
        <w:t>万元+10月30日前预算追加</w:t>
      </w:r>
      <w:r>
        <w:rPr>
          <w:rFonts w:hint="eastAsia" w:ascii="仿宋_GB2312" w:hAnsi="仿宋_GB2312" w:eastAsia="仿宋_GB2312" w:cs="仿宋_GB2312"/>
          <w:b w:val="0"/>
          <w:bCs w:val="0"/>
          <w:color w:val="auto"/>
          <w:kern w:val="0"/>
          <w:position w:val="0"/>
          <w:sz w:val="32"/>
          <w:szCs w:val="32"/>
          <w:highlight w:val="none"/>
          <w:lang w:val="en-US" w:eastAsia="zh-CN" w:bidi="ar-SA"/>
        </w:rPr>
        <w:t>6.46</w:t>
      </w:r>
      <w:r>
        <w:rPr>
          <w:rFonts w:hint="eastAsia" w:ascii="仿宋_GB2312" w:hAnsi="仿宋_GB2312" w:eastAsia="仿宋_GB2312" w:cs="仿宋_GB2312"/>
          <w:b w:val="0"/>
          <w:bCs w:val="0"/>
          <w:color w:val="auto"/>
          <w:kern w:val="0"/>
          <w:position w:val="0"/>
          <w:sz w:val="32"/>
          <w:szCs w:val="32"/>
          <w:highlight w:val="none"/>
          <w:lang w:val="zh-CN" w:eastAsia="zh-CN" w:bidi="ar-SA"/>
        </w:rPr>
        <w:t>万元=</w:t>
      </w:r>
      <w:r>
        <w:rPr>
          <w:rFonts w:hint="eastAsia" w:ascii="仿宋_GB2312" w:hAnsi="仿宋_GB2312" w:eastAsia="仿宋_GB2312" w:cs="仿宋_GB2312"/>
          <w:b w:val="0"/>
          <w:bCs w:val="0"/>
          <w:color w:val="auto"/>
          <w:kern w:val="0"/>
          <w:position w:val="0"/>
          <w:sz w:val="32"/>
          <w:szCs w:val="32"/>
          <w:highlight w:val="none"/>
          <w:lang w:val="en-US" w:eastAsia="zh-CN" w:bidi="ar-SA"/>
        </w:rPr>
        <w:t>416.1</w:t>
      </w:r>
      <w:r>
        <w:rPr>
          <w:rFonts w:hint="eastAsia" w:ascii="仿宋_GB2312" w:hAnsi="仿宋_GB2312" w:eastAsia="仿宋_GB2312" w:cs="仿宋_GB2312"/>
          <w:b w:val="0"/>
          <w:bCs w:val="0"/>
          <w:color w:val="auto"/>
          <w:kern w:val="0"/>
          <w:position w:val="0"/>
          <w:sz w:val="32"/>
          <w:szCs w:val="32"/>
          <w:highlight w:val="none"/>
          <w:lang w:val="zh-CN" w:eastAsia="zh-CN" w:bidi="ar-SA"/>
        </w:rPr>
        <w:t>万元，因此1-10月执行进度为</w:t>
      </w:r>
      <w:r>
        <w:rPr>
          <w:rFonts w:hint="eastAsia" w:ascii="仿宋_GB2312" w:hAnsi="仿宋_GB2312" w:eastAsia="仿宋_GB2312" w:cs="仿宋_GB2312"/>
          <w:b w:val="0"/>
          <w:bCs w:val="0"/>
          <w:color w:val="auto"/>
          <w:kern w:val="0"/>
          <w:position w:val="0"/>
          <w:sz w:val="32"/>
          <w:szCs w:val="32"/>
          <w:highlight w:val="none"/>
          <w:lang w:val="en-US" w:eastAsia="zh-CN" w:bidi="ar-SA"/>
        </w:rPr>
        <w:t>100.29</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年无预警支出金额。</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该项指标得分=（1至6月预算执行数</w:t>
      </w:r>
      <w:r>
        <w:rPr>
          <w:rFonts w:hint="eastAsia" w:ascii="仿宋_GB2312" w:hAnsi="仿宋_GB2312" w:eastAsia="仿宋_GB2312" w:cs="仿宋_GB2312"/>
          <w:b w:val="0"/>
          <w:bCs w:val="0"/>
          <w:color w:val="auto"/>
          <w:kern w:val="0"/>
          <w:position w:val="0"/>
          <w:sz w:val="32"/>
          <w:szCs w:val="32"/>
          <w:highlight w:val="none"/>
          <w:lang w:val="en-US" w:eastAsia="zh-CN" w:bidi="ar-SA"/>
        </w:rPr>
        <w:t>184.04</w:t>
      </w:r>
      <w:r>
        <w:rPr>
          <w:rFonts w:hint="eastAsia" w:ascii="仿宋_GB2312" w:hAnsi="仿宋_GB2312" w:eastAsia="仿宋_GB2312" w:cs="仿宋_GB2312"/>
          <w:b w:val="0"/>
          <w:bCs w:val="0"/>
          <w:color w:val="auto"/>
          <w:kern w:val="0"/>
          <w:position w:val="0"/>
          <w:sz w:val="32"/>
          <w:szCs w:val="32"/>
          <w:highlight w:val="none"/>
          <w:lang w:val="zh-CN" w:eastAsia="zh-CN" w:bidi="ar-SA"/>
        </w:rPr>
        <w:t>÷（部门预算数</w:t>
      </w:r>
      <w:r>
        <w:rPr>
          <w:rFonts w:hint="eastAsia" w:ascii="仿宋_GB2312" w:hAnsi="仿宋_GB2312" w:eastAsia="仿宋_GB2312" w:cs="仿宋_GB2312"/>
          <w:b w:val="0"/>
          <w:bCs w:val="0"/>
          <w:color w:val="auto"/>
          <w:kern w:val="0"/>
          <w:position w:val="0"/>
          <w:sz w:val="32"/>
          <w:szCs w:val="32"/>
          <w:highlight w:val="none"/>
          <w:lang w:val="en-US" w:eastAsia="zh-CN" w:bidi="ar-SA"/>
        </w:rPr>
        <w:t>416.1</w:t>
      </w:r>
      <w:r>
        <w:rPr>
          <w:rFonts w:hint="eastAsia" w:ascii="仿宋_GB2312" w:hAnsi="仿宋_GB2312" w:eastAsia="仿宋_GB2312" w:cs="仿宋_GB2312"/>
          <w:b w:val="0"/>
          <w:bCs w:val="0"/>
          <w:color w:val="auto"/>
          <w:kern w:val="0"/>
          <w:position w:val="0"/>
          <w:sz w:val="32"/>
          <w:szCs w:val="32"/>
          <w:highlight w:val="none"/>
          <w:lang w:val="zh-CN" w:eastAsia="zh-CN" w:bidi="ar-SA"/>
        </w:rPr>
        <w:t>×50%）×2）+（1-1至6月支出预警金额占比×0.8-1至6月支出违规金额占比×0.2）+（1至10月预算执行数</w:t>
      </w:r>
      <w:r>
        <w:rPr>
          <w:rFonts w:hint="eastAsia" w:ascii="仿宋_GB2312" w:hAnsi="仿宋_GB2312" w:eastAsia="仿宋_GB2312" w:cs="仿宋_GB2312"/>
          <w:b w:val="0"/>
          <w:bCs w:val="0"/>
          <w:color w:val="auto"/>
          <w:kern w:val="0"/>
          <w:position w:val="0"/>
          <w:sz w:val="32"/>
          <w:szCs w:val="32"/>
          <w:highlight w:val="none"/>
          <w:lang w:val="en-US" w:eastAsia="zh-CN" w:bidi="ar-SA"/>
        </w:rPr>
        <w:t>325.16</w:t>
      </w:r>
      <w:r>
        <w:rPr>
          <w:rFonts w:hint="eastAsia" w:ascii="仿宋_GB2312" w:hAnsi="仿宋_GB2312" w:eastAsia="仿宋_GB2312" w:cs="仿宋_GB2312"/>
          <w:b w:val="0"/>
          <w:bCs w:val="0"/>
          <w:color w:val="auto"/>
          <w:kern w:val="0"/>
          <w:position w:val="0"/>
          <w:sz w:val="32"/>
          <w:szCs w:val="32"/>
          <w:highlight w:val="none"/>
          <w:lang w:val="zh-CN" w:eastAsia="zh-CN" w:bidi="ar-SA"/>
        </w:rPr>
        <w:t>÷（部门预算数</w:t>
      </w:r>
      <w:r>
        <w:rPr>
          <w:rFonts w:hint="eastAsia" w:ascii="仿宋_GB2312" w:hAnsi="仿宋_GB2312" w:eastAsia="仿宋_GB2312" w:cs="仿宋_GB2312"/>
          <w:b w:val="0"/>
          <w:bCs w:val="0"/>
          <w:color w:val="auto"/>
          <w:kern w:val="0"/>
          <w:position w:val="0"/>
          <w:sz w:val="32"/>
          <w:szCs w:val="32"/>
          <w:highlight w:val="none"/>
          <w:lang w:val="en-US" w:eastAsia="zh-CN" w:bidi="ar-SA"/>
        </w:rPr>
        <w:t>416.1</w:t>
      </w:r>
      <w:r>
        <w:rPr>
          <w:rFonts w:hint="eastAsia" w:ascii="仿宋_GB2312" w:hAnsi="仿宋_GB2312" w:eastAsia="仿宋_GB2312" w:cs="仿宋_GB2312"/>
          <w:b w:val="0"/>
          <w:bCs w:val="0"/>
          <w:color w:val="auto"/>
          <w:kern w:val="0"/>
          <w:position w:val="0"/>
          <w:sz w:val="32"/>
          <w:szCs w:val="32"/>
          <w:highlight w:val="none"/>
          <w:lang w:val="zh-CN" w:eastAsia="zh-CN" w:bidi="ar-SA"/>
        </w:rPr>
        <w:t>×83.33%）×2）+（1-1至10月支出预警金额占比×0.8-1至10月支出违规金额占比×0.2）=</w:t>
      </w:r>
      <w:r>
        <w:rPr>
          <w:rFonts w:hint="eastAsia" w:ascii="仿宋_GB2312" w:hAnsi="仿宋_GB2312" w:eastAsia="仿宋_GB2312" w:cs="仿宋_GB2312"/>
          <w:b w:val="0"/>
          <w:bCs w:val="0"/>
          <w:color w:val="auto"/>
          <w:kern w:val="0"/>
          <w:position w:val="0"/>
          <w:sz w:val="32"/>
          <w:szCs w:val="32"/>
          <w:highlight w:val="none"/>
          <w:lang w:val="en-US" w:eastAsia="zh-CN" w:bidi="ar-SA"/>
        </w:rPr>
        <w:t>6</w:t>
      </w:r>
      <w:r>
        <w:rPr>
          <w:rFonts w:hint="eastAsia" w:ascii="仿宋_GB2312" w:hAnsi="仿宋_GB2312" w:eastAsia="仿宋_GB2312" w:cs="仿宋_GB2312"/>
          <w:b w:val="0"/>
          <w:bCs w:val="0"/>
          <w:color w:val="auto"/>
          <w:kern w:val="0"/>
          <w:position w:val="0"/>
          <w:sz w:val="32"/>
          <w:szCs w:val="32"/>
          <w:highlight w:val="none"/>
          <w:lang w:val="zh-CN" w:eastAsia="zh-CN" w:bidi="ar-SA"/>
        </w:rPr>
        <w:t>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③预算年终结余。（5分）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2024年预算结余4.94万元，部门预算总金额416.1万元，部门整体预算结余率为1.19%。该项指标得分=（1-部门整体预算结余率）×100%×5=4.94分。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④严控一般性支出。（6分）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2023年市工商联一般性支出年初预算中“三公”经费1.92万元，会议费0.5万元，培训费2.9万元，差旅费15.32万元，合计20.64万元，无办节办展、办公设备购置、信息网络及软件购置更新、课题经费等支出。2024年市工商联一般性支出年初预算中“三公”经费1.9万元、会议费2万元、培训费1.52万元、差旅费10万元，合计15.42万元。一般性支出财政拨款年初预算较上年实现压减得1分；压减比例为25.29%，得1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2023年一般性支出财政拨款预算执行20.64万元，2024年一般性支出财政拨款预算执行15.42万元，较上年实现压减得2分。压减比例为25.29%，得2分。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综上，该项指标自评得6分。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3.</w:t>
      </w:r>
      <w:r>
        <w:rPr>
          <w:rFonts w:hint="eastAsia" w:ascii="仿宋_GB2312" w:hAnsi="仿宋_GB2312" w:eastAsia="仿宋_GB2312" w:cs="仿宋_GB2312"/>
          <w:b w:val="0"/>
          <w:bCs w:val="0"/>
          <w:color w:val="auto"/>
          <w:kern w:val="0"/>
          <w:position w:val="0"/>
          <w:sz w:val="32"/>
          <w:szCs w:val="32"/>
          <w:highlight w:val="none"/>
          <w:lang w:val="zh-CN" w:eastAsia="zh-CN" w:bidi="ar-SA"/>
        </w:rPr>
        <w:t>财务管理。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①财务管理制度。（4分）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市工商联制定出台《机关工会财务管理制度》《固定资产管理办法》《机关财务管理制度》，得2分。在工作中，市工商联严格按照相关规定落实三重一大、财务审批等流程，严明了财经纪律，得2分。该项自评得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②财务岗位设置。（2分）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部门合理设置出纳、会计、财务负责人三个财务工作岗位，分别由三人担任，明确职责权限，严格实行不相容岗位分离制度，财务岗位设置符合相关财务管理制度要求。该项自评得2分。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③资金使用规范。（4分）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部门资金使用符合相关财务管理制度规定，该项指标自评得4分。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资产管理。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①人均资产变化率。（3分）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部门人均资产变化率为(</w:t>
      </w:r>
      <w:r>
        <w:rPr>
          <w:rFonts w:hint="eastAsia" w:ascii="仿宋_GB2312" w:hAnsi="仿宋_GB2312" w:eastAsia="仿宋_GB2312" w:cs="仿宋_GB2312"/>
          <w:b w:val="0"/>
          <w:bCs w:val="0"/>
          <w:color w:val="auto"/>
          <w:kern w:val="0"/>
          <w:position w:val="0"/>
          <w:sz w:val="32"/>
          <w:szCs w:val="32"/>
          <w:highlight w:val="none"/>
          <w:lang w:val="en-US" w:eastAsia="zh-CN" w:bidi="ar-SA"/>
        </w:rPr>
        <w:t>69.23</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en-US" w:eastAsia="zh-CN" w:bidi="ar-SA"/>
        </w:rPr>
        <w:t>16-</w:t>
      </w:r>
      <w:r>
        <w:rPr>
          <w:rFonts w:hint="eastAsia" w:ascii="仿宋_GB2312" w:hAnsi="仿宋_GB2312" w:eastAsia="仿宋_GB2312" w:cs="仿宋_GB2312"/>
          <w:b w:val="0"/>
          <w:bCs w:val="0"/>
          <w:color w:val="auto"/>
          <w:kern w:val="0"/>
          <w:position w:val="0"/>
          <w:sz w:val="32"/>
          <w:szCs w:val="32"/>
          <w:highlight w:val="none"/>
          <w:lang w:val="zh-CN" w:eastAsia="zh-CN" w:bidi="ar-SA"/>
        </w:rPr>
        <w:t>77.73/17)÷77.73/17*100%=-</w:t>
      </w:r>
      <w:r>
        <w:rPr>
          <w:rFonts w:hint="eastAsia" w:ascii="仿宋_GB2312" w:hAnsi="仿宋_GB2312" w:eastAsia="仿宋_GB2312" w:cs="仿宋_GB2312"/>
          <w:b w:val="0"/>
          <w:bCs w:val="0"/>
          <w:color w:val="auto"/>
          <w:kern w:val="0"/>
          <w:position w:val="0"/>
          <w:sz w:val="32"/>
          <w:szCs w:val="32"/>
          <w:highlight w:val="none"/>
          <w:lang w:val="en-US" w:eastAsia="zh-CN" w:bidi="ar-SA"/>
        </w:rPr>
        <w:t>5.25</w:t>
      </w:r>
      <w:r>
        <w:rPr>
          <w:rFonts w:hint="eastAsia" w:ascii="仿宋_GB2312" w:hAnsi="仿宋_GB2312" w:eastAsia="仿宋_GB2312" w:cs="仿宋_GB2312"/>
          <w:b w:val="0"/>
          <w:bCs w:val="0"/>
          <w:color w:val="auto"/>
          <w:kern w:val="0"/>
          <w:position w:val="0"/>
          <w:sz w:val="32"/>
          <w:szCs w:val="32"/>
          <w:highlight w:val="none"/>
          <w:lang w:val="zh-CN" w:eastAsia="zh-CN" w:bidi="ar-SA"/>
        </w:rPr>
        <w:t>%,小于市直行政事业单位人均资产变化率</w:t>
      </w:r>
      <w:r>
        <w:rPr>
          <w:rFonts w:hint="eastAsia" w:ascii="仿宋_GB2312" w:hAnsi="仿宋_GB2312" w:eastAsia="仿宋_GB2312" w:cs="仿宋_GB2312"/>
          <w:b w:val="0"/>
          <w:bCs w:val="0"/>
          <w:color w:val="auto"/>
          <w:kern w:val="0"/>
          <w:position w:val="0"/>
          <w:sz w:val="32"/>
          <w:szCs w:val="32"/>
          <w:highlight w:val="none"/>
          <w:lang w:val="en-US" w:eastAsia="zh-CN" w:bidi="ar-SA"/>
        </w:rPr>
        <w:t>30.04</w:t>
      </w:r>
      <w:r>
        <w:rPr>
          <w:rFonts w:hint="eastAsia" w:ascii="仿宋_GB2312" w:hAnsi="仿宋_GB2312" w:eastAsia="仿宋_GB2312" w:cs="仿宋_GB2312"/>
          <w:b w:val="0"/>
          <w:bCs w:val="0"/>
          <w:color w:val="auto"/>
          <w:kern w:val="0"/>
          <w:position w:val="0"/>
          <w:sz w:val="32"/>
          <w:szCs w:val="32"/>
          <w:highlight w:val="none"/>
          <w:lang w:val="zh-CN" w:eastAsia="zh-CN" w:bidi="ar-SA"/>
        </w:rPr>
        <w:t>%，得1.5分。部门人均资产增长率为-</w:t>
      </w:r>
      <w:r>
        <w:rPr>
          <w:rFonts w:hint="eastAsia" w:ascii="仿宋_GB2312" w:hAnsi="仿宋_GB2312" w:eastAsia="仿宋_GB2312" w:cs="仿宋_GB2312"/>
          <w:b w:val="0"/>
          <w:bCs w:val="0"/>
          <w:color w:val="auto"/>
          <w:kern w:val="0"/>
          <w:position w:val="0"/>
          <w:sz w:val="32"/>
          <w:szCs w:val="32"/>
          <w:highlight w:val="none"/>
          <w:lang w:val="en-US" w:eastAsia="zh-CN" w:bidi="ar-SA"/>
        </w:rPr>
        <w:t>5.25</w:t>
      </w:r>
      <w:r>
        <w:rPr>
          <w:rFonts w:hint="eastAsia" w:ascii="仿宋_GB2312" w:hAnsi="仿宋_GB2312" w:eastAsia="仿宋_GB2312" w:cs="仿宋_GB2312"/>
          <w:b w:val="0"/>
          <w:bCs w:val="0"/>
          <w:color w:val="auto"/>
          <w:kern w:val="0"/>
          <w:position w:val="0"/>
          <w:sz w:val="32"/>
          <w:szCs w:val="32"/>
          <w:highlight w:val="none"/>
          <w:lang w:val="zh-CN" w:eastAsia="zh-CN" w:bidi="ar-SA"/>
        </w:rPr>
        <w:t>%，小于</w:t>
      </w:r>
      <w:r>
        <w:rPr>
          <w:rFonts w:hint="eastAsia" w:ascii="仿宋_GB2312" w:hAnsi="仿宋_GB2312" w:eastAsia="仿宋_GB2312" w:cs="仿宋_GB2312"/>
          <w:b w:val="0"/>
          <w:bCs w:val="0"/>
          <w:color w:val="auto"/>
          <w:kern w:val="0"/>
          <w:position w:val="0"/>
          <w:sz w:val="32"/>
          <w:szCs w:val="32"/>
          <w:highlight w:val="none"/>
          <w:lang w:val="en-US" w:eastAsia="zh-CN" w:bidi="ar-SA"/>
        </w:rPr>
        <w:t>0</w:t>
      </w:r>
      <w:r>
        <w:rPr>
          <w:rFonts w:hint="eastAsia" w:ascii="仿宋_GB2312" w:hAnsi="仿宋_GB2312" w:eastAsia="仿宋_GB2312" w:cs="仿宋_GB2312"/>
          <w:b w:val="0"/>
          <w:bCs w:val="0"/>
          <w:color w:val="auto"/>
          <w:kern w:val="0"/>
          <w:position w:val="0"/>
          <w:sz w:val="32"/>
          <w:szCs w:val="32"/>
          <w:highlight w:val="none"/>
          <w:lang w:val="zh-CN" w:eastAsia="zh-CN" w:bidi="ar-SA"/>
        </w:rPr>
        <w:t>，得1.5分。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综上，该项指标自评得3分。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②资产利用率。（3分）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市工商联办公家具账面价值为</w:t>
      </w:r>
      <w:r>
        <w:rPr>
          <w:rFonts w:hint="eastAsia" w:ascii="仿宋_GB2312" w:hAnsi="仿宋_GB2312" w:eastAsia="仿宋_GB2312" w:cs="仿宋_GB2312"/>
          <w:b w:val="0"/>
          <w:bCs w:val="0"/>
          <w:color w:val="auto"/>
          <w:kern w:val="0"/>
          <w:position w:val="0"/>
          <w:sz w:val="32"/>
          <w:szCs w:val="32"/>
          <w:highlight w:val="none"/>
          <w:lang w:val="en-US" w:eastAsia="zh-CN" w:bidi="ar-SA"/>
        </w:rPr>
        <w:t>10.72万元，</w:t>
      </w:r>
      <w:r>
        <w:rPr>
          <w:rFonts w:hint="eastAsia" w:ascii="仿宋_GB2312" w:hAnsi="仿宋_GB2312" w:eastAsia="仿宋_GB2312" w:cs="仿宋_GB2312"/>
          <w:b w:val="0"/>
          <w:bCs w:val="0"/>
          <w:color w:val="auto"/>
          <w:kern w:val="0"/>
          <w:position w:val="0"/>
          <w:sz w:val="32"/>
          <w:szCs w:val="32"/>
          <w:highlight w:val="none"/>
          <w:lang w:val="zh-CN" w:eastAsia="zh-CN" w:bidi="ar-SA"/>
        </w:rPr>
        <w:t>超最低使用年限的办公家具账面价值为</w:t>
      </w:r>
      <w:r>
        <w:rPr>
          <w:rFonts w:hint="eastAsia" w:ascii="仿宋_GB2312" w:hAnsi="仿宋_GB2312" w:eastAsia="仿宋_GB2312" w:cs="仿宋_GB2312"/>
          <w:b w:val="0"/>
          <w:bCs w:val="0"/>
          <w:color w:val="auto"/>
          <w:kern w:val="0"/>
          <w:position w:val="0"/>
          <w:sz w:val="32"/>
          <w:szCs w:val="32"/>
          <w:highlight w:val="none"/>
          <w:lang w:val="en-US" w:eastAsia="zh-CN" w:bidi="ar-SA"/>
        </w:rPr>
        <w:t>10.40万元，办公家具超最低使用年限资产利用率</w:t>
      </w:r>
      <w:r>
        <w:rPr>
          <w:rFonts w:hint="eastAsia" w:ascii="仿宋_GB2312" w:hAnsi="仿宋_GB2312" w:eastAsia="仿宋_GB2312" w:cs="仿宋_GB2312"/>
          <w:b w:val="0"/>
          <w:bCs w:val="0"/>
          <w:color w:val="auto"/>
          <w:kern w:val="0"/>
          <w:position w:val="0"/>
          <w:sz w:val="32"/>
          <w:szCs w:val="32"/>
          <w:highlight w:val="none"/>
          <w:lang w:val="zh-CN" w:eastAsia="zh-CN" w:bidi="ar-SA"/>
        </w:rPr>
        <w:t>为</w:t>
      </w:r>
      <w:r>
        <w:rPr>
          <w:rFonts w:hint="eastAsia" w:ascii="仿宋_GB2312" w:hAnsi="仿宋_GB2312" w:eastAsia="仿宋_GB2312" w:cs="仿宋_GB2312"/>
          <w:b w:val="0"/>
          <w:bCs w:val="0"/>
          <w:color w:val="auto"/>
          <w:kern w:val="0"/>
          <w:position w:val="0"/>
          <w:sz w:val="32"/>
          <w:szCs w:val="32"/>
          <w:highlight w:val="none"/>
          <w:lang w:val="en-US" w:eastAsia="zh-CN" w:bidi="ar-SA"/>
        </w:rPr>
        <w:t>97.01</w:t>
      </w:r>
      <w:r>
        <w:rPr>
          <w:rFonts w:hint="eastAsia" w:ascii="仿宋_GB2312" w:hAnsi="仿宋_GB2312" w:eastAsia="仿宋_GB2312" w:cs="仿宋_GB2312"/>
          <w:b w:val="0"/>
          <w:bCs w:val="0"/>
          <w:color w:val="auto"/>
          <w:kern w:val="0"/>
          <w:position w:val="0"/>
          <w:sz w:val="32"/>
          <w:szCs w:val="32"/>
          <w:highlight w:val="none"/>
          <w:lang w:val="zh-CN" w:eastAsia="zh-CN" w:bidi="ar-SA"/>
        </w:rPr>
        <w:t>%，大于市直行政事业单位平均值</w:t>
      </w:r>
      <w:r>
        <w:rPr>
          <w:rFonts w:hint="eastAsia" w:ascii="仿宋_GB2312" w:hAnsi="仿宋_GB2312" w:eastAsia="仿宋_GB2312" w:cs="仿宋_GB2312"/>
          <w:b w:val="0"/>
          <w:bCs w:val="0"/>
          <w:color w:val="auto"/>
          <w:kern w:val="0"/>
          <w:position w:val="0"/>
          <w:sz w:val="32"/>
          <w:szCs w:val="32"/>
          <w:highlight w:val="none"/>
          <w:lang w:val="en-US" w:eastAsia="zh-CN" w:bidi="ar-SA"/>
        </w:rPr>
        <w:t>73.3</w:t>
      </w:r>
      <w:r>
        <w:rPr>
          <w:rFonts w:hint="eastAsia" w:ascii="仿宋_GB2312" w:hAnsi="仿宋_GB2312" w:eastAsia="仿宋_GB2312" w:cs="仿宋_GB2312"/>
          <w:b w:val="0"/>
          <w:bCs w:val="0"/>
          <w:color w:val="auto"/>
          <w:kern w:val="0"/>
          <w:position w:val="0"/>
          <w:sz w:val="32"/>
          <w:szCs w:val="32"/>
          <w:highlight w:val="none"/>
          <w:lang w:val="zh-CN" w:eastAsia="zh-CN" w:bidi="ar-SA"/>
        </w:rPr>
        <w:t>%，得1.5分。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市工商联办公设备账面价值为</w:t>
      </w:r>
      <w:r>
        <w:rPr>
          <w:rFonts w:hint="eastAsia" w:ascii="仿宋_GB2312" w:hAnsi="仿宋_GB2312" w:eastAsia="仿宋_GB2312" w:cs="仿宋_GB2312"/>
          <w:b w:val="0"/>
          <w:bCs w:val="0"/>
          <w:color w:val="auto"/>
          <w:kern w:val="0"/>
          <w:position w:val="0"/>
          <w:sz w:val="32"/>
          <w:szCs w:val="32"/>
          <w:highlight w:val="none"/>
          <w:lang w:val="en-US" w:eastAsia="zh-CN" w:bidi="ar-SA"/>
        </w:rPr>
        <w:t>35.08万元，其中，因统一要求更换国产电脑总计26.36万元，剩余</w:t>
      </w:r>
      <w:r>
        <w:rPr>
          <w:rFonts w:hint="eastAsia" w:ascii="仿宋_GB2312" w:hAnsi="仿宋_GB2312" w:eastAsia="仿宋_GB2312" w:cs="仿宋_GB2312"/>
          <w:b w:val="0"/>
          <w:bCs w:val="0"/>
          <w:color w:val="auto"/>
          <w:kern w:val="0"/>
          <w:position w:val="0"/>
          <w:sz w:val="32"/>
          <w:szCs w:val="32"/>
          <w:highlight w:val="none"/>
          <w:lang w:val="zh-CN" w:eastAsia="zh-CN" w:bidi="ar-SA"/>
        </w:rPr>
        <w:t>办公设备账面价值为</w:t>
      </w:r>
      <w:r>
        <w:rPr>
          <w:rFonts w:hint="eastAsia" w:ascii="仿宋_GB2312" w:hAnsi="仿宋_GB2312" w:eastAsia="仿宋_GB2312" w:cs="仿宋_GB2312"/>
          <w:b w:val="0"/>
          <w:bCs w:val="0"/>
          <w:color w:val="auto"/>
          <w:kern w:val="0"/>
          <w:position w:val="0"/>
          <w:sz w:val="32"/>
          <w:szCs w:val="32"/>
          <w:highlight w:val="none"/>
          <w:lang w:val="en-US" w:eastAsia="zh-CN" w:bidi="ar-SA"/>
        </w:rPr>
        <w:t>8.72万元，均</w:t>
      </w:r>
      <w:r>
        <w:rPr>
          <w:rFonts w:hint="eastAsia" w:ascii="仿宋_GB2312" w:hAnsi="仿宋_GB2312" w:eastAsia="仿宋_GB2312" w:cs="仿宋_GB2312"/>
          <w:b w:val="0"/>
          <w:bCs w:val="0"/>
          <w:color w:val="auto"/>
          <w:kern w:val="0"/>
          <w:position w:val="0"/>
          <w:sz w:val="32"/>
          <w:szCs w:val="32"/>
          <w:highlight w:val="none"/>
          <w:lang w:val="zh-CN" w:eastAsia="zh-CN" w:bidi="ar-SA"/>
        </w:rPr>
        <w:t>超最低使用年限的</w:t>
      </w:r>
      <w:r>
        <w:rPr>
          <w:rFonts w:hint="eastAsia" w:ascii="仿宋_GB2312" w:hAnsi="仿宋_GB2312" w:eastAsia="仿宋_GB2312" w:cs="仿宋_GB2312"/>
          <w:b w:val="0"/>
          <w:bCs w:val="0"/>
          <w:color w:val="auto"/>
          <w:kern w:val="0"/>
          <w:position w:val="0"/>
          <w:sz w:val="32"/>
          <w:szCs w:val="32"/>
          <w:highlight w:val="none"/>
          <w:lang w:val="en-US" w:eastAsia="zh-CN" w:bidi="ar-SA"/>
        </w:rPr>
        <w:t>办公设备，所以超最低使用年限资产利用率</w:t>
      </w:r>
      <w:r>
        <w:rPr>
          <w:rFonts w:hint="eastAsia" w:ascii="仿宋_GB2312" w:hAnsi="仿宋_GB2312" w:eastAsia="仿宋_GB2312" w:cs="仿宋_GB2312"/>
          <w:b w:val="0"/>
          <w:bCs w:val="0"/>
          <w:color w:val="auto"/>
          <w:kern w:val="0"/>
          <w:position w:val="0"/>
          <w:sz w:val="32"/>
          <w:szCs w:val="32"/>
          <w:highlight w:val="none"/>
          <w:lang w:val="zh-CN" w:eastAsia="zh-CN" w:bidi="ar-SA"/>
        </w:rPr>
        <w:t>为</w:t>
      </w:r>
      <w:r>
        <w:rPr>
          <w:rFonts w:hint="eastAsia" w:ascii="仿宋_GB2312" w:hAnsi="仿宋_GB2312" w:eastAsia="仿宋_GB2312" w:cs="仿宋_GB2312"/>
          <w:b w:val="0"/>
          <w:bCs w:val="0"/>
          <w:color w:val="auto"/>
          <w:kern w:val="0"/>
          <w:position w:val="0"/>
          <w:sz w:val="32"/>
          <w:szCs w:val="32"/>
          <w:highlight w:val="none"/>
          <w:lang w:val="en-US" w:eastAsia="zh-CN" w:bidi="ar-SA"/>
        </w:rPr>
        <w:t>100%</w:t>
      </w: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eastAsia" w:ascii="仿宋_GB2312" w:hAnsi="仿宋_GB2312" w:eastAsia="仿宋_GB2312" w:cs="仿宋_GB2312"/>
          <w:b w:val="0"/>
          <w:bCs w:val="0"/>
          <w:color w:val="auto"/>
          <w:kern w:val="0"/>
          <w:position w:val="0"/>
          <w:sz w:val="32"/>
          <w:szCs w:val="32"/>
          <w:highlight w:val="none"/>
          <w:lang w:val="en-US" w:eastAsia="zh-CN" w:bidi="ar-SA"/>
        </w:rPr>
        <w:t>大</w:t>
      </w:r>
      <w:r>
        <w:rPr>
          <w:rFonts w:hint="eastAsia" w:ascii="仿宋_GB2312" w:hAnsi="仿宋_GB2312" w:eastAsia="仿宋_GB2312" w:cs="仿宋_GB2312"/>
          <w:b w:val="0"/>
          <w:bCs w:val="0"/>
          <w:color w:val="auto"/>
          <w:kern w:val="0"/>
          <w:position w:val="0"/>
          <w:sz w:val="32"/>
          <w:szCs w:val="32"/>
          <w:highlight w:val="none"/>
          <w:lang w:val="zh-CN" w:eastAsia="zh-CN" w:bidi="ar-SA"/>
        </w:rPr>
        <w:t>于市直行政事业单位平均值</w:t>
      </w:r>
      <w:r>
        <w:rPr>
          <w:rFonts w:hint="eastAsia" w:ascii="仿宋_GB2312" w:hAnsi="仿宋_GB2312" w:eastAsia="仿宋_GB2312" w:cs="仿宋_GB2312"/>
          <w:b w:val="0"/>
          <w:bCs w:val="0"/>
          <w:color w:val="auto"/>
          <w:kern w:val="0"/>
          <w:position w:val="0"/>
          <w:sz w:val="32"/>
          <w:szCs w:val="32"/>
          <w:highlight w:val="none"/>
          <w:lang w:val="en-US" w:eastAsia="zh-CN" w:bidi="ar-SA"/>
        </w:rPr>
        <w:t>59.14</w:t>
      </w:r>
      <w:r>
        <w:rPr>
          <w:rFonts w:hint="eastAsia" w:ascii="仿宋_GB2312" w:hAnsi="仿宋_GB2312" w:eastAsia="仿宋_GB2312" w:cs="仿宋_GB2312"/>
          <w:b w:val="0"/>
          <w:bCs w:val="0"/>
          <w:color w:val="auto"/>
          <w:kern w:val="0"/>
          <w:position w:val="0"/>
          <w:sz w:val="32"/>
          <w:szCs w:val="32"/>
          <w:highlight w:val="none"/>
          <w:lang w:val="zh-CN" w:eastAsia="zh-CN" w:bidi="ar-SA"/>
        </w:rPr>
        <w:t>%，得</w:t>
      </w:r>
      <w:r>
        <w:rPr>
          <w:rFonts w:hint="eastAsia" w:ascii="仿宋_GB2312" w:hAnsi="仿宋_GB2312" w:eastAsia="仿宋_GB2312" w:cs="仿宋_GB2312"/>
          <w:b w:val="0"/>
          <w:bCs w:val="0"/>
          <w:color w:val="auto"/>
          <w:kern w:val="0"/>
          <w:position w:val="0"/>
          <w:sz w:val="32"/>
          <w:szCs w:val="32"/>
          <w:highlight w:val="none"/>
          <w:lang w:val="en-US" w:eastAsia="zh-CN" w:bidi="ar-SA"/>
        </w:rPr>
        <w:t>1.5</w:t>
      </w:r>
      <w:r>
        <w:rPr>
          <w:rFonts w:hint="eastAsia" w:ascii="仿宋_GB2312" w:hAnsi="仿宋_GB2312" w:eastAsia="仿宋_GB2312" w:cs="仿宋_GB2312"/>
          <w:b w:val="0"/>
          <w:bCs w:val="0"/>
          <w:color w:val="auto"/>
          <w:kern w:val="0"/>
          <w:position w:val="0"/>
          <w:sz w:val="32"/>
          <w:szCs w:val="32"/>
          <w:highlight w:val="none"/>
          <w:lang w:val="zh-CN" w:eastAsia="zh-CN" w:bidi="ar-SA"/>
        </w:rPr>
        <w:t>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综上，该项指标得</w:t>
      </w:r>
      <w:r>
        <w:rPr>
          <w:rFonts w:hint="eastAsia" w:ascii="仿宋_GB2312" w:hAnsi="仿宋_GB2312" w:eastAsia="仿宋_GB2312" w:cs="仿宋_GB2312"/>
          <w:b w:val="0"/>
          <w:bCs w:val="0"/>
          <w:color w:val="auto"/>
          <w:kern w:val="0"/>
          <w:position w:val="0"/>
          <w:sz w:val="32"/>
          <w:szCs w:val="32"/>
          <w:highlight w:val="none"/>
          <w:lang w:val="en-US" w:eastAsia="zh-CN" w:bidi="ar-SA"/>
        </w:rPr>
        <w:t>3分。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③资产盘活率。（3分）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我部门根据工作需要和财力状况，合理分配购置相关资产，并制定了《资产管理制度》，对固定资产的添置由各科室提出书面申请，报经主要领导同意签字，再由</w:t>
      </w:r>
      <w:r>
        <w:rPr>
          <w:rFonts w:hint="eastAsia" w:ascii="仿宋_GB2312" w:hAnsi="仿宋_GB2312" w:eastAsia="仿宋_GB2312" w:cs="仿宋_GB2312"/>
          <w:b w:val="0"/>
          <w:bCs w:val="0"/>
          <w:color w:val="auto"/>
          <w:kern w:val="0"/>
          <w:position w:val="0"/>
          <w:sz w:val="32"/>
          <w:szCs w:val="32"/>
          <w:highlight w:val="none"/>
          <w:lang w:val="en-US" w:eastAsia="zh-CN" w:bidi="ar-SA"/>
        </w:rPr>
        <w:t>办公室</w:t>
      </w:r>
      <w:r>
        <w:rPr>
          <w:rFonts w:hint="eastAsia" w:ascii="仿宋_GB2312" w:hAnsi="仿宋_GB2312" w:eastAsia="仿宋_GB2312" w:cs="仿宋_GB2312"/>
          <w:b w:val="0"/>
          <w:bCs w:val="0"/>
          <w:color w:val="auto"/>
          <w:kern w:val="0"/>
          <w:position w:val="0"/>
          <w:sz w:val="32"/>
          <w:szCs w:val="32"/>
          <w:highlight w:val="none"/>
          <w:lang w:val="zh-CN" w:eastAsia="zh-CN" w:bidi="ar-SA"/>
        </w:rPr>
        <w:t>负责统一采购（重大资产购入经</w:t>
      </w:r>
      <w:r>
        <w:rPr>
          <w:rFonts w:hint="eastAsia" w:ascii="仿宋_GB2312" w:hAnsi="仿宋_GB2312" w:eastAsia="仿宋_GB2312" w:cs="仿宋_GB2312"/>
          <w:b w:val="0"/>
          <w:bCs w:val="0"/>
          <w:color w:val="auto"/>
          <w:kern w:val="0"/>
          <w:position w:val="0"/>
          <w:sz w:val="32"/>
          <w:szCs w:val="32"/>
          <w:highlight w:val="none"/>
          <w:lang w:val="en-US" w:eastAsia="zh-CN" w:bidi="ar-SA"/>
        </w:rPr>
        <w:t>会</w:t>
      </w:r>
      <w:r>
        <w:rPr>
          <w:rFonts w:hint="eastAsia" w:ascii="仿宋_GB2312" w:hAnsi="仿宋_GB2312" w:eastAsia="仿宋_GB2312" w:cs="仿宋_GB2312"/>
          <w:b w:val="0"/>
          <w:bCs w:val="0"/>
          <w:color w:val="auto"/>
          <w:kern w:val="0"/>
          <w:position w:val="0"/>
          <w:sz w:val="32"/>
          <w:szCs w:val="32"/>
          <w:highlight w:val="none"/>
          <w:lang w:val="zh-CN" w:eastAsia="zh-CN" w:bidi="ar-SA"/>
        </w:rPr>
        <w:t>党组研究、相关科室参与采购），对新购入的资产或无法使用的资产，都做好登记台账，资产使用者登记到人到科室，确实加强资产的实物管理。建立资产信息管理系统，实现对资产的动态管理。遇人员调动或退休的，及时做好资产使用的变更，定期或者不定期的对资产进行账务清理、对实物进行清查盘点，年度终了前进行一次全面清查盘点，核实资产，有效管理，我部门资产使用率达100%且无闲置资产。该项指标自评得3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5.</w:t>
      </w:r>
      <w:r>
        <w:rPr>
          <w:rFonts w:hint="eastAsia" w:ascii="仿宋_GB2312" w:hAnsi="仿宋_GB2312" w:eastAsia="仿宋_GB2312" w:cs="仿宋_GB2312"/>
          <w:b w:val="0"/>
          <w:bCs w:val="0"/>
          <w:color w:val="auto"/>
          <w:kern w:val="0"/>
          <w:position w:val="0"/>
          <w:sz w:val="32"/>
          <w:szCs w:val="32"/>
          <w:highlight w:val="none"/>
          <w:lang w:val="zh-CN" w:eastAsia="zh-CN" w:bidi="ar-SA"/>
        </w:rPr>
        <w:t>采购管理。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①支持中小企业发展。（3分）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default" w:ascii="仿宋_GB2312" w:hAnsi="仿宋_GB2312" w:eastAsia="仿宋_GB2312" w:cs="仿宋_GB2312"/>
          <w:b w:val="0"/>
          <w:bCs w:val="0"/>
          <w:color w:val="auto"/>
          <w:kern w:val="0"/>
          <w:position w:val="0"/>
          <w:sz w:val="32"/>
          <w:szCs w:val="32"/>
          <w:highlight w:val="none"/>
          <w:lang w:val="zh-CN" w:eastAsia="zh-CN" w:bidi="ar-SA"/>
        </w:rPr>
        <w:t>年无政府采购项目，自评得分3分。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②采购执行率。（3分）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default" w:ascii="仿宋_GB2312" w:hAnsi="仿宋_GB2312" w:eastAsia="仿宋_GB2312" w:cs="仿宋_GB2312"/>
          <w:b w:val="0"/>
          <w:bCs w:val="0"/>
          <w:color w:val="auto"/>
          <w:kern w:val="0"/>
          <w:position w:val="0"/>
          <w:sz w:val="32"/>
          <w:szCs w:val="32"/>
          <w:highlight w:val="none"/>
          <w:lang w:val="zh-CN" w:eastAsia="zh-CN" w:bidi="ar-SA"/>
        </w:rPr>
      </w:pPr>
      <w:r>
        <w:rPr>
          <w:rFonts w:hint="default" w:ascii="仿宋_GB2312" w:hAnsi="仿宋_GB2312" w:eastAsia="仿宋_GB2312" w:cs="仿宋_GB2312"/>
          <w:b w:val="0"/>
          <w:bCs w:val="0"/>
          <w:color w:val="auto"/>
          <w:kern w:val="0"/>
          <w:position w:val="0"/>
          <w:sz w:val="32"/>
          <w:szCs w:val="32"/>
          <w:highlight w:val="none"/>
          <w:lang w:val="zh-CN" w:eastAsia="zh-CN" w:bidi="ar-SA"/>
        </w:rPr>
        <w:t>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default" w:ascii="仿宋_GB2312" w:hAnsi="仿宋_GB2312" w:eastAsia="仿宋_GB2312" w:cs="仿宋_GB2312"/>
          <w:b w:val="0"/>
          <w:bCs w:val="0"/>
          <w:color w:val="auto"/>
          <w:kern w:val="0"/>
          <w:position w:val="0"/>
          <w:sz w:val="32"/>
          <w:szCs w:val="32"/>
          <w:highlight w:val="none"/>
          <w:lang w:val="zh-CN" w:eastAsia="zh-CN" w:bidi="ar-SA"/>
        </w:rPr>
        <w:t>年无政府采购项目，自评得分3分。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eastAsia" w:ascii="Times New Roman" w:hAnsi="Times New Roman" w:eastAsia="楷体_GB2312" w:cs="Times New Roman"/>
          <w:b w:val="0"/>
          <w:bCs w:val="0"/>
          <w:color w:val="auto"/>
          <w:kern w:val="0"/>
          <w:sz w:val="32"/>
          <w:szCs w:val="32"/>
          <w:highlight w:val="none"/>
          <w:shd w:val="clear" w:color="auto" w:fill="FFFFFF"/>
          <w:lang w:val="zh-CN"/>
        </w:rPr>
        <w:t>（二）</w:t>
      </w:r>
      <w:r>
        <w:rPr>
          <w:rFonts w:hint="default" w:ascii="Times New Roman" w:hAnsi="Times New Roman" w:eastAsia="楷体_GB2312" w:cs="Times New Roman"/>
          <w:b w:val="0"/>
          <w:bCs w:val="0"/>
          <w:color w:val="auto"/>
          <w:kern w:val="0"/>
          <w:sz w:val="32"/>
          <w:szCs w:val="32"/>
          <w:highlight w:val="none"/>
          <w:shd w:val="clear" w:color="auto" w:fill="FFFFFF"/>
          <w:lang w:val="zh-CN"/>
        </w:rPr>
        <w:t>部门预算项目绩效分析。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常年项目绩效分析。</w:t>
      </w:r>
      <w:r>
        <w:rPr>
          <w:rFonts w:hint="eastAsia" w:ascii="仿宋_GB2312" w:hAnsi="仿宋_GB2312" w:eastAsia="仿宋_GB2312" w:cs="仿宋_GB2312"/>
          <w:b w:val="0"/>
          <w:bCs w:val="0"/>
          <w:color w:val="auto"/>
          <w:kern w:val="0"/>
          <w:position w:val="0"/>
          <w:sz w:val="32"/>
          <w:szCs w:val="32"/>
          <w:highlight w:val="none"/>
          <w:lang w:val="zh-CN" w:eastAsia="zh-CN" w:bidi="ar-SA"/>
        </w:rPr>
        <w:t>该类项目总数</w:t>
      </w:r>
      <w:r>
        <w:rPr>
          <w:rFonts w:hint="eastAsia" w:ascii="仿宋_GB2312" w:hAnsi="仿宋_GB2312" w:eastAsia="仿宋_GB2312" w:cs="仿宋_GB2312"/>
          <w:b w:val="0"/>
          <w:bCs w:val="0"/>
          <w:color w:val="auto"/>
          <w:kern w:val="0"/>
          <w:position w:val="0"/>
          <w:sz w:val="32"/>
          <w:szCs w:val="32"/>
          <w:highlight w:val="none"/>
          <w:lang w:val="en-US" w:eastAsia="zh-CN" w:bidi="ar-SA"/>
        </w:rPr>
        <w:t>5</w:t>
      </w:r>
      <w:r>
        <w:rPr>
          <w:rFonts w:hint="eastAsia" w:ascii="仿宋_GB2312" w:hAnsi="仿宋_GB2312" w:eastAsia="仿宋_GB2312" w:cs="仿宋_GB2312"/>
          <w:b w:val="0"/>
          <w:bCs w:val="0"/>
          <w:color w:val="auto"/>
          <w:kern w:val="0"/>
          <w:position w:val="0"/>
          <w:sz w:val="32"/>
          <w:szCs w:val="32"/>
          <w:highlight w:val="none"/>
          <w:lang w:val="zh-CN" w:eastAsia="zh-CN" w:bidi="ar-SA"/>
        </w:rPr>
        <w:t>个，涉及预算总金额</w:t>
      </w:r>
      <w:r>
        <w:rPr>
          <w:rFonts w:hint="eastAsia" w:ascii="仿宋_GB2312" w:hAnsi="仿宋_GB2312" w:eastAsia="仿宋_GB2312" w:cs="仿宋_GB2312"/>
          <w:b w:val="0"/>
          <w:bCs w:val="0"/>
          <w:color w:val="auto"/>
          <w:kern w:val="0"/>
          <w:position w:val="0"/>
          <w:sz w:val="32"/>
          <w:szCs w:val="32"/>
          <w:highlight w:val="none"/>
          <w:lang w:val="en-US" w:eastAsia="zh-CN" w:bidi="ar-SA"/>
        </w:rPr>
        <w:t xml:space="preserve">   24.33</w:t>
      </w:r>
      <w:r>
        <w:rPr>
          <w:rFonts w:hint="eastAsia" w:ascii="仿宋_GB2312" w:hAnsi="仿宋_GB2312" w:eastAsia="仿宋_GB2312" w:cs="仿宋_GB2312"/>
          <w:b w:val="0"/>
          <w:bCs w:val="0"/>
          <w:color w:val="auto"/>
          <w:kern w:val="0"/>
          <w:position w:val="0"/>
          <w:sz w:val="32"/>
          <w:szCs w:val="32"/>
          <w:highlight w:val="none"/>
          <w:lang w:val="zh-CN" w:eastAsia="zh-CN" w:bidi="ar-SA"/>
        </w:rPr>
        <w:t>万元，1—1</w:t>
      </w:r>
      <w:r>
        <w:rPr>
          <w:rFonts w:hint="eastAsia" w:ascii="仿宋_GB2312" w:hAnsi="仿宋_GB2312" w:eastAsia="仿宋_GB2312" w:cs="仿宋_GB2312"/>
          <w:b w:val="0"/>
          <w:bCs w:val="0"/>
          <w:color w:val="auto"/>
          <w:kern w:val="0"/>
          <w:position w:val="0"/>
          <w:sz w:val="32"/>
          <w:szCs w:val="32"/>
          <w:highlight w:val="none"/>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zh-CN" w:eastAsia="zh-CN" w:bidi="ar-SA"/>
        </w:rPr>
        <w:t>月预算执行总体进度为</w:t>
      </w:r>
      <w:r>
        <w:rPr>
          <w:rFonts w:hint="eastAsia" w:ascii="仿宋_GB2312" w:hAnsi="仿宋_GB2312" w:eastAsia="仿宋_GB2312" w:cs="仿宋_GB2312"/>
          <w:b w:val="0"/>
          <w:bCs w:val="0"/>
          <w:color w:val="auto"/>
          <w:kern w:val="0"/>
          <w:position w:val="0"/>
          <w:sz w:val="32"/>
          <w:szCs w:val="32"/>
          <w:highlight w:val="none"/>
          <w:lang w:val="en-US" w:eastAsia="zh-CN" w:bidi="ar-SA"/>
        </w:rPr>
        <w:t>100</w:t>
      </w:r>
      <w:r>
        <w:rPr>
          <w:rFonts w:hint="eastAsia" w:ascii="仿宋_GB2312" w:hAnsi="仿宋_GB2312" w:eastAsia="仿宋_GB2312" w:cs="仿宋_GB2312"/>
          <w:b w:val="0"/>
          <w:bCs w:val="0"/>
          <w:color w:val="auto"/>
          <w:kern w:val="0"/>
          <w:position w:val="0"/>
          <w:sz w:val="32"/>
          <w:szCs w:val="32"/>
          <w:highlight w:val="none"/>
          <w:lang w:val="zh-CN" w:eastAsia="zh-CN" w:bidi="ar-SA"/>
        </w:rPr>
        <w:t>%，其中：预算结余率大于</w:t>
      </w:r>
      <w:r>
        <w:rPr>
          <w:rFonts w:hint="eastAsia" w:ascii="仿宋_GB2312" w:hAnsi="仿宋_GB2312" w:eastAsia="仿宋_GB2312" w:cs="仿宋_GB2312"/>
          <w:b w:val="0"/>
          <w:bCs w:val="0"/>
          <w:color w:val="auto"/>
          <w:kern w:val="0"/>
          <w:position w:val="0"/>
          <w:sz w:val="32"/>
          <w:szCs w:val="32"/>
          <w:highlight w:val="none"/>
          <w:lang w:val="en-US" w:eastAsia="zh-CN" w:bidi="ar-SA"/>
        </w:rPr>
        <w:t>10%</w:t>
      </w:r>
      <w:r>
        <w:rPr>
          <w:rFonts w:hint="eastAsia" w:ascii="仿宋_GB2312" w:hAnsi="仿宋_GB2312" w:eastAsia="仿宋_GB2312" w:cs="仿宋_GB2312"/>
          <w:b w:val="0"/>
          <w:bCs w:val="0"/>
          <w:color w:val="auto"/>
          <w:kern w:val="0"/>
          <w:position w:val="0"/>
          <w:sz w:val="32"/>
          <w:szCs w:val="32"/>
          <w:highlight w:val="none"/>
          <w:lang w:val="zh-CN" w:eastAsia="zh-CN" w:bidi="ar-SA"/>
        </w:rPr>
        <w:t>的项目共计</w:t>
      </w:r>
      <w:r>
        <w:rPr>
          <w:rFonts w:hint="eastAsia" w:ascii="仿宋_GB2312" w:hAnsi="仿宋_GB2312" w:eastAsia="仿宋_GB2312" w:cs="仿宋_GB2312"/>
          <w:b w:val="0"/>
          <w:bCs w:val="0"/>
          <w:color w:val="auto"/>
          <w:kern w:val="0"/>
          <w:position w:val="0"/>
          <w:sz w:val="32"/>
          <w:szCs w:val="32"/>
          <w:highlight w:val="none"/>
          <w:lang w:val="en-US" w:eastAsia="zh-CN" w:bidi="ar-SA"/>
        </w:rPr>
        <w:t>0</w:t>
      </w:r>
      <w:r>
        <w:rPr>
          <w:rFonts w:hint="eastAsia" w:ascii="仿宋_GB2312" w:hAnsi="仿宋_GB2312" w:eastAsia="仿宋_GB2312" w:cs="仿宋_GB2312"/>
          <w:b w:val="0"/>
          <w:bCs w:val="0"/>
          <w:color w:val="auto"/>
          <w:kern w:val="0"/>
          <w:position w:val="0"/>
          <w:sz w:val="32"/>
          <w:szCs w:val="32"/>
          <w:highlight w:val="none"/>
          <w:lang w:val="zh-CN" w:eastAsia="zh-CN" w:bidi="ar-SA"/>
        </w:rPr>
        <w:t>个。</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阶段（含一次性）项目绩效分析。</w:t>
      </w:r>
      <w:r>
        <w:rPr>
          <w:rFonts w:hint="eastAsia" w:ascii="仿宋_GB2312" w:hAnsi="仿宋_GB2312" w:eastAsia="仿宋_GB2312" w:cs="仿宋_GB2312"/>
          <w:b w:val="0"/>
          <w:bCs w:val="0"/>
          <w:color w:val="auto"/>
          <w:kern w:val="0"/>
          <w:position w:val="0"/>
          <w:sz w:val="32"/>
          <w:szCs w:val="32"/>
          <w:highlight w:val="none"/>
          <w:lang w:val="zh-CN" w:eastAsia="zh-CN" w:bidi="ar-SA"/>
        </w:rPr>
        <w:t>该类项目总数</w:t>
      </w:r>
      <w:r>
        <w:rPr>
          <w:rFonts w:hint="eastAsia" w:ascii="仿宋_GB2312" w:hAnsi="仿宋_GB2312" w:eastAsia="仿宋_GB2312" w:cs="仿宋_GB2312"/>
          <w:b w:val="0"/>
          <w:bCs w:val="0"/>
          <w:color w:val="auto"/>
          <w:kern w:val="0"/>
          <w:position w:val="0"/>
          <w:sz w:val="32"/>
          <w:szCs w:val="32"/>
          <w:highlight w:val="none"/>
          <w:lang w:val="en-US" w:eastAsia="zh-CN" w:bidi="ar-SA"/>
        </w:rPr>
        <w:t>1</w:t>
      </w:r>
      <w:r>
        <w:rPr>
          <w:rFonts w:hint="eastAsia" w:ascii="仿宋_GB2312" w:hAnsi="仿宋_GB2312" w:eastAsia="仿宋_GB2312" w:cs="仿宋_GB2312"/>
          <w:b w:val="0"/>
          <w:bCs w:val="0"/>
          <w:color w:val="auto"/>
          <w:kern w:val="0"/>
          <w:position w:val="0"/>
          <w:sz w:val="32"/>
          <w:szCs w:val="32"/>
          <w:highlight w:val="none"/>
          <w:lang w:val="zh-CN" w:eastAsia="zh-CN" w:bidi="ar-SA"/>
        </w:rPr>
        <w:t>个，涉及预算总金额</w:t>
      </w:r>
      <w:r>
        <w:rPr>
          <w:rFonts w:hint="eastAsia" w:ascii="仿宋_GB2312" w:hAnsi="仿宋_GB2312" w:eastAsia="仿宋_GB2312" w:cs="仿宋_GB2312"/>
          <w:b w:val="0"/>
          <w:bCs w:val="0"/>
          <w:color w:val="auto"/>
          <w:kern w:val="0"/>
          <w:position w:val="0"/>
          <w:sz w:val="32"/>
          <w:szCs w:val="32"/>
          <w:highlight w:val="none"/>
          <w:lang w:val="en-US" w:eastAsia="zh-CN" w:bidi="ar-SA"/>
        </w:rPr>
        <w:t>4.78</w:t>
      </w:r>
      <w:r>
        <w:rPr>
          <w:rFonts w:hint="eastAsia" w:ascii="仿宋_GB2312" w:hAnsi="仿宋_GB2312" w:eastAsia="仿宋_GB2312" w:cs="仿宋_GB2312"/>
          <w:b w:val="0"/>
          <w:bCs w:val="0"/>
          <w:color w:val="auto"/>
          <w:kern w:val="0"/>
          <w:position w:val="0"/>
          <w:sz w:val="32"/>
          <w:szCs w:val="32"/>
          <w:highlight w:val="none"/>
          <w:lang w:val="zh-CN" w:eastAsia="zh-CN" w:bidi="ar-SA"/>
        </w:rPr>
        <w:t>万元，1—1</w:t>
      </w:r>
      <w:r>
        <w:rPr>
          <w:rFonts w:hint="eastAsia" w:ascii="仿宋_GB2312" w:hAnsi="仿宋_GB2312" w:eastAsia="仿宋_GB2312" w:cs="仿宋_GB2312"/>
          <w:b w:val="0"/>
          <w:bCs w:val="0"/>
          <w:color w:val="auto"/>
          <w:kern w:val="0"/>
          <w:position w:val="0"/>
          <w:sz w:val="32"/>
          <w:szCs w:val="32"/>
          <w:highlight w:val="none"/>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zh-CN" w:eastAsia="zh-CN" w:bidi="ar-SA"/>
        </w:rPr>
        <w:t>月预算执行总体进度为</w:t>
      </w:r>
      <w:r>
        <w:rPr>
          <w:rFonts w:hint="eastAsia" w:ascii="仿宋_GB2312" w:hAnsi="仿宋_GB2312" w:eastAsia="仿宋_GB2312" w:cs="仿宋_GB2312"/>
          <w:b w:val="0"/>
          <w:bCs w:val="0"/>
          <w:color w:val="auto"/>
          <w:kern w:val="0"/>
          <w:position w:val="0"/>
          <w:sz w:val="32"/>
          <w:szCs w:val="32"/>
          <w:highlight w:val="none"/>
          <w:lang w:val="en-US" w:eastAsia="zh-CN" w:bidi="ar-SA"/>
        </w:rPr>
        <w:t>100</w:t>
      </w:r>
      <w:r>
        <w:rPr>
          <w:rFonts w:hint="eastAsia" w:ascii="仿宋_GB2312" w:hAnsi="仿宋_GB2312" w:eastAsia="仿宋_GB2312" w:cs="仿宋_GB2312"/>
          <w:b w:val="0"/>
          <w:bCs w:val="0"/>
          <w:color w:val="auto"/>
          <w:kern w:val="0"/>
          <w:position w:val="0"/>
          <w:sz w:val="32"/>
          <w:szCs w:val="32"/>
          <w:highlight w:val="none"/>
          <w:lang w:val="zh-CN" w:eastAsia="zh-CN" w:bidi="ar-SA"/>
        </w:rPr>
        <w:t>%，其中：预算结余率大于</w:t>
      </w:r>
      <w:r>
        <w:rPr>
          <w:rFonts w:hint="eastAsia" w:ascii="仿宋_GB2312" w:hAnsi="仿宋_GB2312" w:eastAsia="仿宋_GB2312" w:cs="仿宋_GB2312"/>
          <w:b w:val="0"/>
          <w:bCs w:val="0"/>
          <w:color w:val="auto"/>
          <w:kern w:val="0"/>
          <w:position w:val="0"/>
          <w:sz w:val="32"/>
          <w:szCs w:val="32"/>
          <w:highlight w:val="none"/>
          <w:lang w:val="en-US" w:eastAsia="zh-CN" w:bidi="ar-SA"/>
        </w:rPr>
        <w:t>10%</w:t>
      </w:r>
      <w:r>
        <w:rPr>
          <w:rFonts w:hint="eastAsia" w:ascii="仿宋_GB2312" w:hAnsi="仿宋_GB2312" w:eastAsia="仿宋_GB2312" w:cs="仿宋_GB2312"/>
          <w:b w:val="0"/>
          <w:bCs w:val="0"/>
          <w:color w:val="auto"/>
          <w:kern w:val="0"/>
          <w:position w:val="0"/>
          <w:sz w:val="32"/>
          <w:szCs w:val="32"/>
          <w:highlight w:val="none"/>
          <w:lang w:val="zh-CN" w:eastAsia="zh-CN" w:bidi="ar-SA"/>
        </w:rPr>
        <w:t>的项目共计</w:t>
      </w:r>
      <w:r>
        <w:rPr>
          <w:rFonts w:hint="eastAsia" w:ascii="仿宋_GB2312" w:hAnsi="仿宋_GB2312" w:eastAsia="仿宋_GB2312" w:cs="仿宋_GB2312"/>
          <w:b w:val="0"/>
          <w:bCs w:val="0"/>
          <w:color w:val="auto"/>
          <w:kern w:val="0"/>
          <w:position w:val="0"/>
          <w:sz w:val="32"/>
          <w:szCs w:val="32"/>
          <w:highlight w:val="none"/>
          <w:lang w:val="en-US" w:eastAsia="zh-CN" w:bidi="ar-SA"/>
        </w:rPr>
        <w:t>0</w:t>
      </w:r>
      <w:r>
        <w:rPr>
          <w:rFonts w:hint="eastAsia" w:ascii="仿宋_GB2312" w:hAnsi="仿宋_GB2312" w:eastAsia="仿宋_GB2312" w:cs="仿宋_GB2312"/>
          <w:b w:val="0"/>
          <w:bCs w:val="0"/>
          <w:color w:val="auto"/>
          <w:kern w:val="0"/>
          <w:position w:val="0"/>
          <w:sz w:val="32"/>
          <w:szCs w:val="32"/>
          <w:highlight w:val="none"/>
          <w:lang w:val="zh-CN" w:eastAsia="zh-CN" w:bidi="ar-SA"/>
        </w:rPr>
        <w:t>个。</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1.</w:t>
      </w:r>
      <w:r>
        <w:rPr>
          <w:rFonts w:hint="eastAsia" w:ascii="仿宋_GB2312" w:hAnsi="仿宋_GB2312" w:eastAsia="仿宋_GB2312" w:cs="仿宋_GB2312"/>
          <w:b w:val="0"/>
          <w:bCs w:val="0"/>
          <w:color w:val="auto"/>
          <w:kern w:val="0"/>
          <w:position w:val="0"/>
          <w:sz w:val="32"/>
          <w:szCs w:val="32"/>
          <w:highlight w:val="none"/>
          <w:lang w:val="zh-CN" w:eastAsia="zh-CN" w:bidi="ar-SA"/>
        </w:rPr>
        <w:t>项目决策。（</w:t>
      </w:r>
      <w:r>
        <w:rPr>
          <w:rFonts w:hint="eastAsia" w:ascii="仿宋_GB2312" w:hAnsi="仿宋_GB2312" w:eastAsia="仿宋_GB2312" w:cs="仿宋_GB2312"/>
          <w:b w:val="0"/>
          <w:bCs w:val="0"/>
          <w:color w:val="auto"/>
          <w:kern w:val="0"/>
          <w:position w:val="0"/>
          <w:sz w:val="32"/>
          <w:szCs w:val="32"/>
          <w:highlight w:val="none"/>
          <w:lang w:val="en-US" w:eastAsia="zh-CN" w:bidi="ar-SA"/>
        </w:rPr>
        <w:t>12分</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①决策程序。（4分）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按照市财政局全面实施预算绩效管理相关规定及要求，我</w:t>
      </w:r>
      <w:r>
        <w:rPr>
          <w:rFonts w:hint="eastAsia" w:ascii="仿宋_GB2312" w:hAnsi="仿宋_GB2312" w:eastAsia="仿宋_GB2312" w:cs="仿宋_GB2312"/>
          <w:b w:val="0"/>
          <w:bCs w:val="0"/>
          <w:color w:val="auto"/>
          <w:kern w:val="0"/>
          <w:position w:val="0"/>
          <w:sz w:val="32"/>
          <w:szCs w:val="32"/>
          <w:highlight w:val="none"/>
          <w:lang w:val="en-US" w:eastAsia="zh-CN" w:bidi="ar-SA"/>
        </w:rPr>
        <w:t>会</w:t>
      </w:r>
      <w:r>
        <w:rPr>
          <w:rFonts w:hint="eastAsia" w:ascii="仿宋_GB2312" w:hAnsi="仿宋_GB2312" w:eastAsia="仿宋_GB2312" w:cs="仿宋_GB2312"/>
          <w:b w:val="0"/>
          <w:bCs w:val="0"/>
          <w:color w:val="auto"/>
          <w:kern w:val="0"/>
          <w:position w:val="0"/>
          <w:sz w:val="32"/>
          <w:szCs w:val="32"/>
          <w:highlight w:val="none"/>
          <w:lang w:val="zh-CN" w:eastAsia="zh-CN" w:bidi="ar-SA"/>
        </w:rPr>
        <w:t>年初对所有申报的项目经费均要求职能科室结合上年度预算执行情况先行填报项目支出绩效目标申报表，明确本年度资金需求额度，设定年度总体目标值，细化绩效目标值。如当年新增项目工作及追加金额在50万元及以上，连续性项目资金申报超过上年度20%的项目工作经费，需提前编制事前绩效评估报告，并报办公室（财务室）汇总后报委预算编审工作领导小组审定，并在规定时间内报同级财政部门审批。待财政部门审批后财务室根据审批后的项目绩效目标申报表进行项目登记、项目入库、下达资金。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年市工商联</w:t>
      </w:r>
      <w:r>
        <w:rPr>
          <w:rFonts w:hint="eastAsia" w:ascii="仿宋_GB2312" w:hAnsi="仿宋_GB2312" w:eastAsia="仿宋_GB2312" w:cs="仿宋_GB2312"/>
          <w:b w:val="0"/>
          <w:bCs w:val="0"/>
          <w:color w:val="auto"/>
          <w:kern w:val="0"/>
          <w:position w:val="0"/>
          <w:sz w:val="32"/>
          <w:szCs w:val="32"/>
          <w:highlight w:val="none"/>
          <w:lang w:val="en-US" w:eastAsia="zh-CN" w:bidi="ar-SA"/>
        </w:rPr>
        <w:t>5</w:t>
      </w:r>
      <w:r>
        <w:rPr>
          <w:rFonts w:hint="eastAsia" w:ascii="仿宋_GB2312" w:hAnsi="仿宋_GB2312" w:eastAsia="仿宋_GB2312" w:cs="仿宋_GB2312"/>
          <w:b w:val="0"/>
          <w:bCs w:val="0"/>
          <w:color w:val="auto"/>
          <w:kern w:val="0"/>
          <w:position w:val="0"/>
          <w:sz w:val="32"/>
          <w:szCs w:val="32"/>
          <w:highlight w:val="none"/>
          <w:lang w:val="zh-CN" w:eastAsia="zh-CN" w:bidi="ar-SA"/>
        </w:rPr>
        <w:t>个特定目标类预算项目</w:t>
      </w:r>
      <w:r>
        <w:rPr>
          <w:rFonts w:hint="eastAsia" w:ascii="仿宋_GB2312" w:hAnsi="仿宋_GB2312" w:eastAsia="仿宋_GB2312" w:cs="仿宋_GB2312"/>
          <w:b w:val="0"/>
          <w:bCs w:val="0"/>
          <w:color w:val="auto"/>
          <w:kern w:val="0"/>
          <w:position w:val="0"/>
          <w:sz w:val="32"/>
          <w:szCs w:val="32"/>
          <w:highlight w:val="none"/>
          <w:lang w:val="en-US" w:eastAsia="zh-CN" w:bidi="ar-SA"/>
        </w:rPr>
        <w:t>为长期项目，已在2022年</w:t>
      </w:r>
      <w:r>
        <w:rPr>
          <w:rFonts w:hint="eastAsia" w:ascii="仿宋_GB2312" w:hAnsi="仿宋_GB2312" w:eastAsia="仿宋_GB2312" w:cs="仿宋_GB2312"/>
          <w:b w:val="0"/>
          <w:bCs w:val="0"/>
          <w:color w:val="auto"/>
          <w:kern w:val="0"/>
          <w:position w:val="0"/>
          <w:sz w:val="32"/>
          <w:szCs w:val="32"/>
          <w:highlight w:val="none"/>
          <w:lang w:val="zh-CN" w:eastAsia="zh-CN" w:bidi="ar-SA"/>
        </w:rPr>
        <w:t>按规定履行评估论证、申报程序，</w:t>
      </w:r>
      <w:r>
        <w:rPr>
          <w:rFonts w:hint="eastAsia" w:ascii="仿宋_GB2312" w:hAnsi="仿宋_GB2312" w:eastAsia="仿宋_GB2312" w:cs="仿宋_GB2312"/>
          <w:b w:val="0"/>
          <w:bCs w:val="0"/>
          <w:color w:val="auto"/>
          <w:kern w:val="0"/>
          <w:position w:val="0"/>
          <w:sz w:val="32"/>
          <w:szCs w:val="32"/>
          <w:highlight w:val="none"/>
          <w:lang w:val="en-US" w:eastAsia="zh-CN" w:bidi="ar-SA"/>
        </w:rPr>
        <w:t>剩余1个专项项目资金金额4.78万元，无需编制事前绩效评估报告。该项指标</w:t>
      </w:r>
      <w:r>
        <w:rPr>
          <w:rFonts w:hint="eastAsia" w:ascii="仿宋_GB2312" w:hAnsi="仿宋_GB2312" w:eastAsia="仿宋_GB2312" w:cs="仿宋_GB2312"/>
          <w:b w:val="0"/>
          <w:bCs w:val="0"/>
          <w:color w:val="auto"/>
          <w:kern w:val="0"/>
          <w:position w:val="0"/>
          <w:sz w:val="32"/>
          <w:szCs w:val="32"/>
          <w:highlight w:val="none"/>
          <w:lang w:val="zh-CN" w:eastAsia="zh-CN" w:bidi="ar-SA"/>
        </w:rPr>
        <w:t>自评得4分。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②目标设置。（4分）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年市工商联预算项目绩效目标与计划期内的任务量、预算安排的资金量匹配，绩效目标设置科学合理、规范完整、量化细化、预算匹配，自评得4分。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③项目入库。（4分）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202</w:t>
      </w: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年市工商联预算项目在规定时间完成项目入库，自评得4分。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2.项目执行。（12分）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①执行同向。（4分）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2024年市工商联预算项目实际列支内容与绩效目标设置方向相符，自评得4分。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②项目调整。（4分）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2024年市工商联无应采取收回预算、调整目标等处置措施的部门预算特定目标类项目，自评得4分。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③执行结果。（4分）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2024年市工商联无预算结余率小于10%的项目，自评得4分。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3.目标实现。（11分）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①目标完成。（4分）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2024年市工商联6个部门预算特定项目全部完成绩效目标，自评得4分。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②目标偏离。（4分）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2024年市工商联预算项目绩效目标数量指标实现程度与预期目标偏离度均在30%以内，该项指标得4分。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③实现效果。（3分）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2024年市工商联部门预算特定目标类项目均完成绩效目标效益指标，该项指标得3分。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eastAsia" w:ascii="Times New Roman" w:hAnsi="Times New Roman" w:eastAsia="楷体_GB2312" w:cs="Times New Roman"/>
          <w:b w:val="0"/>
          <w:bCs w:val="0"/>
          <w:color w:val="auto"/>
          <w:kern w:val="0"/>
          <w:sz w:val="32"/>
          <w:szCs w:val="32"/>
          <w:highlight w:val="none"/>
          <w:shd w:val="clear" w:color="auto" w:fill="FFFFFF"/>
          <w:lang w:val="zh-CN"/>
        </w:rPr>
      </w:pPr>
      <w:r>
        <w:rPr>
          <w:rFonts w:hint="eastAsia" w:ascii="Times New Roman" w:hAnsi="Times New Roman" w:eastAsia="楷体_GB2312" w:cs="Times New Roman"/>
          <w:b w:val="0"/>
          <w:bCs w:val="0"/>
          <w:color w:val="auto"/>
          <w:kern w:val="0"/>
          <w:sz w:val="32"/>
          <w:szCs w:val="32"/>
          <w:highlight w:val="none"/>
          <w:shd w:val="clear" w:color="auto" w:fill="FFFFFF"/>
          <w:lang w:val="zh-CN"/>
        </w:rPr>
        <w:t>（三）绩效结果应用情况。</w:t>
      </w:r>
      <w:bookmarkStart w:id="77" w:name="_Hlk110546638"/>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仿宋_GB2312" w:hAnsi="仿宋_GB2312" w:eastAsia="仿宋_GB2312" w:cs="仿宋_GB2312"/>
          <w:b w:val="0"/>
          <w:bCs w:val="0"/>
          <w:sz w:val="32"/>
          <w:szCs w:val="32"/>
          <w:highlight w:val="none"/>
          <w:u w:val="none"/>
          <w:lang w:val="en-US" w:eastAsia="zh-CN"/>
        </w:rPr>
      </w:pPr>
      <w:r>
        <w:rPr>
          <w:rFonts w:hint="default" w:ascii="仿宋_GB2312" w:hAnsi="仿宋_GB2312" w:eastAsia="仿宋_GB2312" w:cs="仿宋_GB2312"/>
          <w:b w:val="0"/>
          <w:bCs w:val="0"/>
          <w:sz w:val="32"/>
          <w:szCs w:val="32"/>
          <w:highlight w:val="none"/>
          <w:u w:val="none"/>
          <w:lang w:val="en-US" w:eastAsia="zh-CN"/>
        </w:rPr>
        <w:t>1.内部应用。</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仿宋_GB2312" w:hAnsi="仿宋_GB2312" w:eastAsia="仿宋_GB2312" w:cs="仿宋_GB2312"/>
          <w:b w:val="0"/>
          <w:bCs w:val="0"/>
          <w:sz w:val="32"/>
          <w:szCs w:val="32"/>
          <w:highlight w:val="none"/>
          <w:u w:val="none"/>
          <w:lang w:val="en-US" w:eastAsia="zh-CN"/>
        </w:rPr>
      </w:pPr>
      <w:r>
        <w:rPr>
          <w:rFonts w:hint="default" w:ascii="仿宋_GB2312" w:hAnsi="仿宋_GB2312" w:eastAsia="仿宋_GB2312" w:cs="仿宋_GB2312"/>
          <w:b w:val="0"/>
          <w:bCs w:val="0"/>
          <w:sz w:val="32"/>
          <w:szCs w:val="32"/>
          <w:highlight w:val="none"/>
          <w:u w:val="none"/>
          <w:lang w:val="en-US" w:eastAsia="zh-CN"/>
        </w:rPr>
        <w:t xml:space="preserve">经自查，我会将内设机构绩效自评纳入了考核体系，建立了对内设机构预算与绩效挂钩机制。 </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仿宋_GB2312" w:hAnsi="仿宋_GB2312" w:eastAsia="仿宋_GB2312" w:cs="仿宋_GB2312"/>
          <w:b w:val="0"/>
          <w:bCs w:val="0"/>
          <w:sz w:val="32"/>
          <w:szCs w:val="32"/>
          <w:highlight w:val="none"/>
          <w:u w:val="none"/>
          <w:lang w:val="en-US" w:eastAsia="zh-CN"/>
        </w:rPr>
      </w:pPr>
      <w:r>
        <w:rPr>
          <w:rFonts w:hint="default" w:ascii="仿宋_GB2312" w:hAnsi="仿宋_GB2312" w:eastAsia="仿宋_GB2312" w:cs="仿宋_GB2312"/>
          <w:b w:val="0"/>
          <w:bCs w:val="0"/>
          <w:sz w:val="32"/>
          <w:szCs w:val="32"/>
          <w:highlight w:val="none"/>
          <w:u w:val="none"/>
          <w:lang w:val="en-US" w:eastAsia="zh-CN"/>
        </w:rPr>
        <w:t>2.信息公开。</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仿宋_GB2312" w:hAnsi="仿宋_GB2312" w:eastAsia="仿宋_GB2312" w:cs="仿宋_GB2312"/>
          <w:b w:val="0"/>
          <w:bCs w:val="0"/>
          <w:sz w:val="32"/>
          <w:szCs w:val="32"/>
          <w:highlight w:val="none"/>
          <w:u w:val="none"/>
          <w:lang w:val="en-US" w:eastAsia="zh-CN"/>
        </w:rPr>
      </w:pPr>
      <w:r>
        <w:rPr>
          <w:rFonts w:hint="default" w:ascii="仿宋_GB2312" w:hAnsi="仿宋_GB2312" w:eastAsia="仿宋_GB2312" w:cs="仿宋_GB2312"/>
          <w:b w:val="0"/>
          <w:bCs w:val="0"/>
          <w:sz w:val="32"/>
          <w:szCs w:val="32"/>
          <w:highlight w:val="none"/>
          <w:u w:val="none"/>
          <w:lang w:val="en-US" w:eastAsia="zh-CN"/>
        </w:rPr>
        <w:t>经自查，我会按要求将部门整体绩效自评情况和自行组织的评价情况，在政府门户网和广元市工商业联合会网站上向社会公进行了公开。</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仿宋_GB2312" w:hAnsi="仿宋_GB2312" w:eastAsia="仿宋_GB2312" w:cs="仿宋_GB2312"/>
          <w:b w:val="0"/>
          <w:bCs w:val="0"/>
          <w:sz w:val="32"/>
          <w:szCs w:val="32"/>
          <w:highlight w:val="none"/>
          <w:u w:val="none"/>
          <w:lang w:val="en-US" w:eastAsia="zh-CN"/>
        </w:rPr>
      </w:pPr>
      <w:r>
        <w:rPr>
          <w:rFonts w:hint="default" w:ascii="仿宋_GB2312" w:hAnsi="仿宋_GB2312" w:eastAsia="仿宋_GB2312" w:cs="仿宋_GB2312"/>
          <w:b w:val="0"/>
          <w:bCs w:val="0"/>
          <w:sz w:val="32"/>
          <w:szCs w:val="32"/>
          <w:highlight w:val="none"/>
          <w:u w:val="none"/>
          <w:lang w:val="en-US" w:eastAsia="zh-CN"/>
        </w:rPr>
        <w:t>3.整改反馈。</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仿宋_GB2312" w:hAnsi="仿宋_GB2312" w:eastAsia="仿宋_GB2312" w:cs="仿宋_GB2312"/>
          <w:b w:val="0"/>
          <w:bCs w:val="0"/>
          <w:sz w:val="32"/>
          <w:szCs w:val="32"/>
          <w:highlight w:val="none"/>
          <w:u w:val="none"/>
          <w:lang w:val="en-US" w:eastAsia="zh-CN"/>
        </w:rPr>
      </w:pPr>
      <w:r>
        <w:rPr>
          <w:rFonts w:hint="default" w:ascii="仿宋_GB2312" w:hAnsi="仿宋_GB2312" w:eastAsia="仿宋_GB2312" w:cs="仿宋_GB2312"/>
          <w:b w:val="0"/>
          <w:bCs w:val="0"/>
          <w:sz w:val="32"/>
          <w:szCs w:val="32"/>
          <w:highlight w:val="none"/>
          <w:u w:val="none"/>
          <w:lang w:val="en-US" w:eastAsia="zh-CN"/>
        </w:rPr>
        <w:t>我会没有财政部门针对绩效管理过程中（包括绩效目标核查、绩效监控核查和重点绩效评价）提出的问题进行整改的情况。</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default" w:ascii="Times New Roman" w:hAnsi="Times New Roman" w:eastAsia="黑体"/>
          <w:b w:val="0"/>
        </w:rPr>
      </w:pPr>
      <w:bookmarkStart w:id="78" w:name="_Toc6300"/>
      <w:r>
        <w:rPr>
          <w:rFonts w:hint="default" w:ascii="Times New Roman" w:hAnsi="Times New Roman" w:eastAsia="黑体"/>
          <w:b w:val="0"/>
          <w:lang w:eastAsia="zh-CN"/>
        </w:rPr>
        <w:t>四、</w:t>
      </w:r>
      <w:r>
        <w:rPr>
          <w:rFonts w:hint="default" w:ascii="Times New Roman" w:hAnsi="Times New Roman" w:eastAsia="黑体"/>
          <w:b w:val="0"/>
        </w:rPr>
        <w:t>评价结论及建议</w:t>
      </w:r>
      <w:bookmarkEnd w:id="78"/>
    </w:p>
    <w:p>
      <w:pPr>
        <w:keepNext w:val="0"/>
        <w:keepLines w:val="0"/>
        <w:pageBreakBefore w:val="0"/>
        <w:widowControl/>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eastAsia="楷体_GB2312" w:cs="Times New Roman"/>
          <w:b w:val="0"/>
          <w:bCs w:val="0"/>
          <w:color w:val="000000"/>
          <w:kern w:val="0"/>
          <w:sz w:val="32"/>
          <w:szCs w:val="32"/>
          <w:highlight w:val="none"/>
          <w:shd w:val="clear" w:color="auto" w:fill="FFFFFF"/>
          <w:lang w:val="zh-CN"/>
        </w:rPr>
      </w:pPr>
      <w:r>
        <w:rPr>
          <w:rFonts w:hint="default" w:ascii="Times New Roman" w:hAnsi="Times New Roman" w:eastAsia="楷体_GB2312" w:cs="Times New Roman"/>
          <w:b w:val="0"/>
          <w:bCs w:val="0"/>
          <w:color w:val="000000"/>
          <w:kern w:val="0"/>
          <w:sz w:val="32"/>
          <w:szCs w:val="32"/>
          <w:highlight w:val="none"/>
          <w:shd w:val="clear" w:color="auto" w:fill="FFFFFF"/>
          <w:lang w:val="zh-CN"/>
        </w:rPr>
        <w:t>（一）评价结论。</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经过各项绩效综合分析，</w:t>
      </w:r>
      <w:r>
        <w:rPr>
          <w:rFonts w:hint="eastAsia" w:ascii="仿宋_GB2312" w:hAnsi="仿宋_GB2312" w:eastAsia="仿宋_GB2312" w:cs="仿宋_GB2312"/>
          <w:sz w:val="32"/>
          <w:szCs w:val="32"/>
        </w:rPr>
        <w:t>我单位支出绩效总体良好，各项目达到了相应时期执行进度，各项目经费按预算实施，使财政收支预算执行都得到了良好的制度保障和实施效果</w:t>
      </w:r>
      <w:r>
        <w:rPr>
          <w:rFonts w:hint="eastAsia" w:ascii="仿宋_GB2312" w:hAnsi="仿宋_GB2312" w:eastAsia="仿宋_GB2312" w:cs="仿宋_GB2312"/>
          <w:sz w:val="32"/>
          <w:szCs w:val="32"/>
          <w:lang w:eastAsia="zh-CN"/>
        </w:rPr>
        <w:t>，自评总得</w:t>
      </w:r>
      <w:r>
        <w:rPr>
          <w:rFonts w:hint="eastAsia" w:ascii="仿宋_GB2312" w:hAnsi="仿宋_GB2312" w:eastAsia="仿宋_GB2312" w:cs="仿宋_GB2312"/>
          <w:sz w:val="32"/>
          <w:szCs w:val="32"/>
          <w:lang w:val="en-US" w:eastAsia="zh-CN"/>
        </w:rPr>
        <w:t>分得99.89分</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eastAsia="楷体_GB2312" w:cs="Times New Roman"/>
          <w:b w:val="0"/>
          <w:bCs w:val="0"/>
          <w:color w:val="000000"/>
          <w:kern w:val="0"/>
          <w:sz w:val="32"/>
          <w:szCs w:val="32"/>
          <w:highlight w:val="none"/>
          <w:shd w:val="clear" w:color="auto" w:fill="FFFFFF"/>
          <w:lang w:val="zh-CN"/>
        </w:rPr>
      </w:pPr>
      <w:r>
        <w:rPr>
          <w:rFonts w:hint="default" w:ascii="Times New Roman" w:hAnsi="Times New Roman" w:eastAsia="楷体_GB2312" w:cs="Times New Roman"/>
          <w:b w:val="0"/>
          <w:bCs w:val="0"/>
          <w:color w:val="000000"/>
          <w:kern w:val="0"/>
          <w:sz w:val="32"/>
          <w:szCs w:val="32"/>
          <w:highlight w:val="none"/>
          <w:shd w:val="clear" w:color="auto" w:fill="FFFFFF"/>
          <w:lang w:val="zh-CN"/>
        </w:rPr>
        <w:t>（二）存在问题。</w:t>
      </w:r>
    </w:p>
    <w:p>
      <w:pPr>
        <w:keepNext w:val="0"/>
        <w:keepLines w:val="0"/>
        <w:pageBreakBefore w:val="0"/>
        <w:widowControl/>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eastAsia="仿宋_GB2312" w:cs="Times New Roman"/>
          <w:b w:val="0"/>
          <w:bCs w:val="0"/>
          <w:color w:val="000000"/>
          <w:kern w:val="0"/>
          <w:sz w:val="32"/>
          <w:szCs w:val="32"/>
          <w:highlight w:val="none"/>
          <w:shd w:val="clear" w:color="auto" w:fill="FFFFFF"/>
          <w:lang w:val="en-US" w:eastAsia="zh-CN"/>
        </w:rPr>
      </w:pPr>
      <w:r>
        <w:rPr>
          <w:rFonts w:hint="eastAsia" w:ascii="仿宋_GB2312" w:hAnsi="黑体" w:eastAsia="仿宋_GB2312" w:cs="黑体"/>
          <w:color w:val="000000"/>
          <w:sz w:val="32"/>
          <w:szCs w:val="32"/>
          <w:shd w:val="clear" w:color="auto" w:fill="FFFFFF"/>
        </w:rPr>
        <w:t>一是</w:t>
      </w:r>
      <w:r>
        <w:rPr>
          <w:rFonts w:hint="eastAsia" w:ascii="仿宋_GB2312" w:hAnsi="仿宋_GB2312" w:eastAsia="仿宋_GB2312" w:cs="仿宋_GB2312"/>
          <w:color w:val="000000"/>
          <w:sz w:val="32"/>
          <w:szCs w:val="32"/>
          <w:shd w:val="clear" w:color="auto" w:fill="FFFFFF"/>
        </w:rPr>
        <w:t>资金管理使用需进一步加强，严格控制“三公”经费</w:t>
      </w:r>
      <w:r>
        <w:rPr>
          <w:rFonts w:hint="eastAsia" w:ascii="仿宋_GB2312" w:hAnsi="仿宋_GB2312" w:eastAsia="仿宋_GB2312" w:cs="仿宋_GB2312"/>
          <w:color w:val="000000"/>
          <w:sz w:val="32"/>
          <w:szCs w:val="32"/>
          <w:shd w:val="clear" w:color="auto" w:fill="FFFFFF"/>
          <w:lang w:eastAsia="zh-CN"/>
        </w:rPr>
        <w:t>等</w:t>
      </w:r>
      <w:r>
        <w:rPr>
          <w:rFonts w:hint="eastAsia" w:ascii="仿宋_GB2312" w:hAnsi="仿宋_GB2312" w:eastAsia="仿宋_GB2312" w:cs="仿宋_GB2312"/>
          <w:color w:val="000000"/>
          <w:kern w:val="0"/>
          <w:sz w:val="32"/>
          <w:szCs w:val="32"/>
          <w:highlight w:val="none"/>
          <w:shd w:val="clear" w:color="auto" w:fill="FFFFFF"/>
          <w:lang w:val="zh-CN"/>
        </w:rPr>
        <w:t>一般性支出。</w:t>
      </w:r>
      <w:r>
        <w:rPr>
          <w:rFonts w:hint="eastAsia" w:ascii="仿宋_GB2312" w:hAnsi="仿宋_GB2312" w:eastAsia="仿宋_GB2312" w:cs="仿宋_GB2312"/>
          <w:color w:val="000000"/>
          <w:sz w:val="32"/>
          <w:szCs w:val="32"/>
          <w:shd w:val="clear" w:color="auto" w:fill="FFFFFF"/>
          <w:lang w:eastAsia="zh-CN"/>
        </w:rPr>
        <w:t>二是年初预算编制不够精细。三是预算执行过程中资金使用进度相对滞后。</w:t>
      </w:r>
    </w:p>
    <w:p>
      <w:pPr>
        <w:keepNext w:val="0"/>
        <w:keepLines w:val="0"/>
        <w:pageBreakBefore w:val="0"/>
        <w:widowControl/>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eastAsia="楷体_GB2312" w:cs="Times New Roman"/>
          <w:b w:val="0"/>
          <w:bCs w:val="0"/>
          <w:color w:val="000000"/>
          <w:kern w:val="0"/>
          <w:sz w:val="32"/>
          <w:szCs w:val="32"/>
          <w:highlight w:val="none"/>
          <w:shd w:val="clear" w:color="auto" w:fill="FFFFFF"/>
          <w:lang w:val="zh-CN" w:eastAsia="zh-CN"/>
        </w:rPr>
      </w:pPr>
      <w:r>
        <w:rPr>
          <w:rFonts w:hint="default" w:ascii="Times New Roman" w:hAnsi="Times New Roman" w:eastAsia="楷体_GB2312" w:cs="Times New Roman"/>
          <w:b w:val="0"/>
          <w:bCs w:val="0"/>
          <w:color w:val="000000"/>
          <w:kern w:val="0"/>
          <w:sz w:val="32"/>
          <w:szCs w:val="32"/>
          <w:highlight w:val="none"/>
          <w:shd w:val="clear" w:color="auto" w:fill="FFFFFF"/>
          <w:lang w:val="zh-CN" w:eastAsia="zh-CN"/>
        </w:rPr>
        <w:t>（三）改进建议。</w:t>
      </w:r>
    </w:p>
    <w:p>
      <w:pPr>
        <w:keepNext w:val="0"/>
        <w:keepLines w:val="0"/>
        <w:pageBreakBefore w:val="0"/>
        <w:widowControl w:val="0"/>
        <w:kinsoku/>
        <w:wordWrap/>
        <w:overflowPunct/>
        <w:topLinePunct w:val="0"/>
        <w:autoSpaceDE/>
        <w:autoSpaceDN/>
        <w:bidi w:val="0"/>
        <w:spacing w:after="0" w:line="576" w:lineRule="exact"/>
        <w:ind w:firstLine="640" w:firstLineChars="200"/>
        <w:jc w:val="both"/>
        <w:textAlignment w:val="auto"/>
        <w:rPr>
          <w:rFonts w:eastAsia="仿宋_GB2312"/>
          <w:sz w:val="32"/>
          <w:szCs w:val="32"/>
        </w:rPr>
      </w:pPr>
      <w:r>
        <w:rPr>
          <w:rFonts w:hint="eastAsia" w:ascii="仿宋_GB2312" w:hAnsi="仿宋_GB2312" w:eastAsia="仿宋_GB2312" w:cs="仿宋_GB2312"/>
          <w:b w:val="0"/>
          <w:bCs w:val="0"/>
          <w:kern w:val="0"/>
          <w:position w:val="0"/>
          <w:sz w:val="32"/>
          <w:szCs w:val="32"/>
          <w:highlight w:val="none"/>
          <w:lang w:val="en-US" w:eastAsia="zh-CN" w:bidi="ar-SA"/>
        </w:rPr>
        <w:t>一是</w:t>
      </w:r>
      <w:r>
        <w:rPr>
          <w:rFonts w:hint="eastAsia" w:ascii="仿宋_GB2312" w:hAnsi="仿宋_GB2312" w:eastAsia="仿宋_GB2312" w:cs="仿宋_GB2312"/>
          <w:bCs/>
          <w:color w:val="000000"/>
          <w:kern w:val="2"/>
          <w:sz w:val="32"/>
          <w:szCs w:val="32"/>
          <w:shd w:val="clear" w:color="auto" w:fill="FFFFFF"/>
          <w:lang w:val="en-US" w:eastAsia="zh-CN" w:bidi="ar-SA"/>
        </w:rPr>
        <w:t>加强资金管理，严格审核把关“三公”经费等支出，尽可能压减一般性支出。二是</w:t>
      </w:r>
      <w:r>
        <w:rPr>
          <w:rFonts w:hint="eastAsia" w:ascii="仿宋_GB2312" w:hAnsi="Times New Roman" w:eastAsia="仿宋_GB2312" w:cs="Times New Roman"/>
          <w:kern w:val="2"/>
          <w:sz w:val="32"/>
          <w:szCs w:val="32"/>
          <w:lang w:val="en-US" w:eastAsia="zh-CN" w:bidi="ar-SA"/>
        </w:rPr>
        <w:t>完善绩效管理机制，</w:t>
      </w:r>
      <w:r>
        <w:rPr>
          <w:rFonts w:hint="eastAsia" w:ascii="仿宋_GB2312" w:hAnsi="仿宋_GB2312" w:eastAsia="仿宋_GB2312" w:cs="仿宋_GB2312"/>
          <w:bCs/>
          <w:color w:val="000000"/>
          <w:kern w:val="2"/>
          <w:sz w:val="32"/>
          <w:szCs w:val="32"/>
          <w:shd w:val="clear" w:color="auto" w:fill="FFFFFF"/>
          <w:lang w:val="en-US" w:eastAsia="zh-CN" w:bidi="ar-SA"/>
        </w:rPr>
        <w:t>树立绩效管理理念</w:t>
      </w:r>
      <w:r>
        <w:rPr>
          <w:rFonts w:hint="eastAsia" w:ascii="仿宋_GB2312" w:hAnsi="Times New Roman" w:eastAsia="仿宋_GB2312" w:cs="宋体"/>
          <w:kern w:val="0"/>
          <w:sz w:val="32"/>
          <w:szCs w:val="32"/>
          <w:lang w:val="en-US" w:eastAsia="zh-CN" w:bidi="ar-SA"/>
        </w:rPr>
        <w:t>，将财务预算同部门职能职责相结合，做到合理编制项目预算，精细化使用预算资金，切实促进业务发展，提升履职效能。三是</w:t>
      </w:r>
      <w:r>
        <w:rPr>
          <w:rFonts w:hint="eastAsia" w:ascii="仿宋_GB2312" w:hAnsi="仿宋_GB2312" w:eastAsia="仿宋_GB2312" w:cs="仿宋_GB2312"/>
          <w:bCs/>
          <w:color w:val="000000"/>
          <w:kern w:val="2"/>
          <w:sz w:val="32"/>
          <w:szCs w:val="32"/>
          <w:shd w:val="clear" w:color="auto" w:fill="FFFFFF"/>
          <w:lang w:val="en-US" w:eastAsia="zh-CN" w:bidi="ar-SA"/>
        </w:rPr>
        <w:t>加</w:t>
      </w:r>
      <w:r>
        <w:rPr>
          <w:rFonts w:hint="eastAsia" w:ascii="仿宋_GB2312" w:hAnsi="仿宋_GB2312" w:eastAsia="仿宋_GB2312" w:cs="仿宋_GB2312"/>
          <w:color w:val="000000"/>
          <w:kern w:val="2"/>
          <w:sz w:val="32"/>
          <w:szCs w:val="32"/>
          <w:shd w:val="clear" w:color="auto" w:fill="FFFFFF"/>
          <w:lang w:val="en-US" w:eastAsia="zh-CN" w:bidi="ar-SA"/>
        </w:rPr>
        <w:t>强财会人员新会计制度和新预算法培训，提升业务能力，严格按照标准和进度执行预算，</w:t>
      </w:r>
      <w:r>
        <w:rPr>
          <w:rFonts w:hint="eastAsia" w:ascii="仿宋_GB2312" w:hAnsi="Times New Roman" w:eastAsia="仿宋_GB2312" w:cs="Times New Roman"/>
          <w:kern w:val="2"/>
          <w:sz w:val="32"/>
          <w:szCs w:val="32"/>
          <w:lang w:val="en-US" w:eastAsia="zh-CN" w:bidi="ar-SA"/>
        </w:rPr>
        <w:t>做到财务核算规范、依据充分、数字准确，</w:t>
      </w:r>
      <w:r>
        <w:rPr>
          <w:rFonts w:hint="eastAsia" w:ascii="仿宋_GB2312" w:hAnsi="仿宋_GB2312" w:eastAsia="仿宋_GB2312" w:cs="仿宋_GB2312"/>
          <w:color w:val="000000"/>
          <w:kern w:val="2"/>
          <w:sz w:val="32"/>
          <w:szCs w:val="32"/>
          <w:shd w:val="clear" w:color="auto" w:fill="FFFFFF"/>
          <w:lang w:val="en-US" w:eastAsia="zh-CN" w:bidi="ar-SA"/>
        </w:rPr>
        <w:t>切实提高部门预算管理力度和水平。</w:t>
      </w:r>
    </w:p>
    <w:bookmarkEnd w:id="77"/>
    <w:p>
      <w:pPr>
        <w:pStyle w:val="7"/>
        <w:spacing w:line="560" w:lineRule="exact"/>
        <w:ind w:left="0" w:leftChars="0" w:firstLine="960" w:firstLineChars="300"/>
        <w:rPr>
          <w:rFonts w:hint="eastAsia" w:ascii="Times New Roman" w:eastAsia="仿宋_GB2312"/>
          <w:sz w:val="32"/>
          <w:lang w:val="zh-CN" w:eastAsia="zh-CN"/>
        </w:rPr>
        <w:sectPr>
          <w:pgSz w:w="11906" w:h="16838"/>
          <w:pgMar w:top="2098" w:right="1474" w:bottom="1984" w:left="1587" w:header="851" w:footer="992" w:gutter="0"/>
          <w:pgNumType w:fmt="decimal" w:start="1"/>
          <w:cols w:space="425" w:num="1"/>
          <w:titlePg/>
          <w:docGrid w:type="lines" w:linePitch="312" w:charSpace="0"/>
        </w:sectPr>
      </w:pPr>
      <w:r>
        <w:rPr>
          <w:rFonts w:hint="eastAsia" w:ascii="Times New Roman" w:eastAsia="仿宋_GB2312"/>
          <w:sz w:val="32"/>
          <w:lang w:val="zh-CN"/>
        </w:rPr>
        <w:t>附表：</w:t>
      </w:r>
      <w:r>
        <w:rPr>
          <w:rFonts w:hint="eastAsia" w:ascii="Times New Roman" w:eastAsia="仿宋_GB2312"/>
          <w:sz w:val="32"/>
        </w:rPr>
        <w:t>部门预算项目支出绩效自评表（2024年度</w:t>
      </w:r>
      <w:r>
        <w:rPr>
          <w:rFonts w:hint="eastAsia" w:ascii="Times New Roman" w:eastAsia="仿宋_GB2312"/>
          <w:sz w:val="32"/>
          <w:lang w:eastAsia="zh-CN"/>
        </w:rPr>
        <w:t>）</w:t>
      </w:r>
    </w:p>
    <w:tbl>
      <w:tblPr>
        <w:tblStyle w:val="13"/>
        <w:tblW w:w="1347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1739"/>
        <w:gridCol w:w="1422"/>
        <w:gridCol w:w="1960"/>
        <w:gridCol w:w="518"/>
        <w:gridCol w:w="894"/>
        <w:gridCol w:w="551"/>
        <w:gridCol w:w="1016"/>
        <w:gridCol w:w="505"/>
        <w:gridCol w:w="576"/>
        <w:gridCol w:w="3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因年中退休一名工作人员，预算资金有结余，已足额发放工资，按标准缴纳社保。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6.82</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6.82</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6.82</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6.82</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bl>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sectPr>
          <w:footerReference r:id="rId11" w:type="first"/>
          <w:footerReference r:id="rId10" w:type="default"/>
          <w:pgSz w:w="16838" w:h="11906" w:orient="landscape"/>
          <w:pgMar w:top="1587" w:right="2098" w:bottom="1474" w:left="1984" w:header="851" w:footer="992" w:gutter="0"/>
          <w:pgNumType w:fmt="decimal"/>
          <w:cols w:space="425" w:num="1"/>
          <w:titlePg/>
          <w:docGrid w:type="lines" w:linePitch="312" w:charSpace="0"/>
        </w:sectPr>
      </w:pPr>
    </w:p>
    <w:tbl>
      <w:tblPr>
        <w:tblStyle w:val="13"/>
        <w:tblW w:w="1347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1739"/>
        <w:gridCol w:w="1422"/>
        <w:gridCol w:w="1960"/>
        <w:gridCol w:w="518"/>
        <w:gridCol w:w="894"/>
        <w:gridCol w:w="551"/>
        <w:gridCol w:w="1016"/>
        <w:gridCol w:w="505"/>
        <w:gridCol w:w="576"/>
        <w:gridCol w:w="3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按进度保障人员工资经费正常发放，单位运转正常，自评得99.9分。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预算执行率未达到100%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进一步精确预算编制，严格遵守“过紧日子”要求，严把支出关，确保人员同工资经费同步精确调整。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项目负责人：张钪</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51080021T000000054676-宣传调研工作经费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主要用于2024年度市工商联宣传教育、调查研究、参政议政等相关工作开展，根据《中国共产党统一战线工作条例》（2020年12月21日印发）、中共中央办公厅印发《关于加强新时代民营经济统战工作的意见》（2020年9月15日印发）、《中共四川省委 四川省人民政府关于促进民营经济健康发展的意见》（2018年11月16日印发）等文件精神，按照分类调研、分类谋划、分类施策、分类推进的原则，丰富宣教工作载体，创新调查研究形式，提高建言献策水平，为较好地服务“两个健康”工作主题营造浓厚的舆论宣传氛围,为加快建设川陕甘结合部现代化中心城市提供理论支撑。</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举办宣传调研活动16次，承办省委宣讲分团报告会；开展理想信念教育活动3次；举办民营经济人士能力提升培训班3期、网络培训12期；依托宣传矩阵推广工商联工作、民营经济发展、营商环境等信息300余篇；深入调查研究形成成果17篇，建言献策117条，开展“万家民营企业评营商环境”调查4轮，为市委市政府决策提供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调研6次、开展培训2次、开展理想信念教育活动1次</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引导全市民营经济人士加强自我学习、自我教育、自我提升，坚定不移听党话、跟党走，自觉做爱国敬业、守法经营、创业创新、回报社会的表率和践行“亲清”新型政商关系的典范。</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活动完成及时率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引导民营经济人士自觉履行社会责任</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自觉做爱国敬业、守法经营、创业创新、回报社会的表率和践行“亲清”新型政商关系的典范</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民营经济人士满意</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开展活动费用</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切实引导了民营经济人士自觉履行社会责任，做到了诚信守法经营，各项活动按进度有序推进，在一年内完成了所有任务，获得民营经济人士一致好评，满意度达到100%，预算使用完毕，达到预期效果，项目总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研究不够深入，在将调查研究的成果转化为解决民营企业急难愁盼问题、破解民营经济发展难题上有差距。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制定计划，选好课题，提高调研深度广度，扎实开展调查研究和参政议政工作，为党委政府决策提供参考。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项目负责人：杨博文</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51080022R000006844873-退休“中人”一次性退休补贴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退休人员独生子女费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按照要求按时支付退休公职人员死亡抚恤金，预算执行率100%，发放覆盖率100%，足额保障率100%，自评得100分。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项目负责人：张钪</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51080022T000004948580-经济服务及维权经费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1.组织开展经贸考察活动1次以上；2.组织开展企业家考察交流活动1次以上；3.开展法律培训活动1场以上；4.全面完成招商引资、向上争取资金任务</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组织200余家企业参加“中国—亚欧”博览会、四川农业博览会等展销会，参与“广元好茶”系列推介和四川好水广元专场推介活动。带领企业家赴杭州、郑州、乌鲁木齐等地开展经贸考察7次。与重庆、杭州、包头、广安等地企业交流4次，洽谈项目12次，签约落地项目1个，争取资金60万元。开展法律培训1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经贸考察交流1次以上</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促进我市项目投资、产业协作经济活力等进一步提高</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活动完成及时率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开展法律知识培训1期以上，不断提升企业依法治企水平能力</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民营经济人士满意度</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保障外出招商引资活动、考察交流活动开展费用</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切实促进了我市项目投资、产业协作经济活力等进一步提高，各项活动按进度有序推进，在一年内完成了所有任务，获得民营经济人士一致好评，满意度达到100%，预算使用完毕，达到预期效果，项目总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当前形势下，部分民营企业生产经营存在较大压力，在破解民营经济发展难题上还有差距。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快捷高效推送、宣传、解读惠企政策，做实政策服务。深入走访，畅通渠道，助企纾难解困，及时反映企业合理诉求和意见建议。搭建融资、用工服务平台，助企化解融资难用工难。聚焦护企业保权益，加强与司法部门协作，推动“万所联万会”、法官联系民营企业走深走实。加快商会调委会建设，打造工商联商会调解品牌。推进涉案企业合规改革试点，发挥第三方机制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项目负责人：任毅</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51080022T000004949072-组织建设经费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1、2022年度，市工商联组织召开1次全市基层组织建设推进会，筹建市内商会组织1个，创建省以上“四好”商会1个。2、市工商联2022年度拟发展会员10个以上，组织会员开展会员交流、建言献策等活动3次以上。3、2022年度，市工商联计划组织召开2次民营经济人士素质提升培训。        </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        </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        </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        </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        </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        </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举办了商协会规范化建设培训会，开展了先进商协会表扬。召开了清廉商会建设工作推进会，市工商联八届六次、七次常委会，八届四次执委会，组织商协会间互学互促活动3次。吸纳市物流产业发展促进会、市房地产业协会为团体会员，发展直属会员10个。开展民营企业经营能力专题学习会及素质能提升培训2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筹建吸纳市内商会组织1个，创建省以上“四好”商会1个，拟发展会员10个以</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民营经济人士素质提升培训</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eastAsia="zh-CN"/>
              </w:rPr>
            </w:pPr>
            <w:r>
              <w:rPr>
                <w:rFonts w:hint="eastAsia" w:ascii="微软雅黑" w:hAnsi="微软雅黑" w:eastAsia="微软雅黑" w:cs="微软雅黑"/>
                <w:i w:val="0"/>
                <w:iCs w:val="0"/>
                <w:color w:val="000000"/>
                <w:sz w:val="16"/>
                <w:szCs w:val="16"/>
                <w:u w:val="none"/>
                <w:lang w:eastAsia="zh-CN"/>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活动完成及时率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民营经济人士素质提升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eastAsia="zh-CN"/>
              </w:rPr>
            </w:pPr>
            <w:r>
              <w:rPr>
                <w:rFonts w:hint="eastAsia" w:ascii="微软雅黑" w:hAnsi="微软雅黑" w:eastAsia="微软雅黑" w:cs="微软雅黑"/>
                <w:i w:val="0"/>
                <w:iCs w:val="0"/>
                <w:color w:val="000000"/>
                <w:sz w:val="16"/>
                <w:szCs w:val="16"/>
                <w:u w:val="none"/>
                <w:lang w:eastAsia="zh-CN"/>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民营经济人士满意度</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组织召开2次民营经济人士素质提升培训，组织召开1次全市商会建设培训会费用</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项目圆满完成，取得预期效果。该项目的实施，我会圆满完成了市委、市政府下达的组织建设目标任务，在民营企业组织建设方面发挥了积极作用，为推动加快建设川陕甘结合部现代化中心城市作出新的积极贡献，该项指标评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还存在组织覆盖不够广、服务手段不够新、服务能力不够强等问题。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加强工作指导，开展先进表扬，巩固“五好”县级工商联建设、“四好”商会创建成果。促进会员增量提质，积极吸纳创产业头部等企业为市直属会员，有序新增或吸纳团体会员。持续加强民营经济人士素质能力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项目负责人：王家宝</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51080022T000004949089-万企兴万村经费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1.召开专题会议2期以上；2.深入乡村开展专题调研，掌握工作开展情况；3.加强工作宣传，营造良好氛围；4.民营企业与村结对有新增长，民营企业在乡村建设中投资有新增长</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召开专题工作会议2次，以“万企兴万村”行动为专题举行统战部长与民营企业家沟通协商“面对面”活动1次。形成黄猫垭商会经验荣获2024四川省民营企业社会责任商协会典型案例。2024年新增91家企业帮扶乡村，投入资金1.2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召开2次以上专题会议</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174个乡村振兴重点村至少有一家企业帮联</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174</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活动完成及时率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强化工作宣传，对帮联过程中的典型案例和先进加大宣传力度，树立标杆，营造氛围</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强化工作宣传，对帮联过程中的典型案例和先进加大宣传力度，树立标杆</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民营经济人士满意度</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召开2次以上专题会议研究部署工作和总结表彰；组织人员到村到企开展调研费用</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召开专题会议两次，以“万企兴万村”行动为专题举行统战部长与民营企业家沟通协商“面对面”活动1次。形成黄猫垭商会经验荣获2024四川省民营企业社会责任商协会典型案例。2024年新增91家企业帮扶乡村，投入资金1.2亿元，及时完成各项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对工作经验和成果总结宣传还不够。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坚持协同推进，强化分类指导，持续提升企业参与率。以产业为重点，强化示范点带动。抓好平台数据填报管理，注重提炼经验做法，及时反映工作动态。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项目负责人：任毅</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51080022T000004949092-乡村振兴工作经费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在驻村工作中开展一、以习近平新时代中国特色社会主义思想为指引，加强帮扶村党的建设，以党建促进乡村振兴工作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1、巩固完善村级阵地建设</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2、加强班子和党员队伍建设</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3、加强村级治理和提升为民办事服务能力的建设</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二、巩固脱贫攻坚成果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1、继续保持51户脱贫户持续稳定增收，确保不出现规模性返贫</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2、推动全村农户持续稳定增收。加强监测低收入农户，或因病、灾、意外事故造成减收的边缘户和临界返贫户，确保不出现大量返贫现象。</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3、持续稳定推动原有集体经济发展。</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三、巩固拓展脱贫攻坚成果与乡村振兴有效衔接工作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1、持续深化与帮扶村和农户开展结对工作。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（1）两个帮扶单位与村上的结队工作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（2）帮扶干部与村户的结对工作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2、争取社会力量与村的结对工作。一是杭广合作，协调引入浙江、杭州商协会、民营企业与村结对。二是在“万企兴万村”模式下，协调本地商 协会、民营企业与村结对。三是引入民间资本与村结对。四是利用东西部扶贫协作项目、资金等外来资源推动乡村振兴工作。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3、持续深入扩大推进集体经济发展</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（1）以集体入股参股形式，扩大发展养殖场（鸡、鹿等）。</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（2）巩固提升耙耙柑产业园100亩、及散户50亩；脆香甜柚80亩；料场的管理利用</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（3）利用当地有利资源兴办小型农副产品加工企业（比如糙米加工、九龙山矿泉水、酿酒等）</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新培养1名入党积极分子、2名预备党员。巩固集体经济产业园130亩，申请高标准农田建设、以工代赈、地质灾害点搬迁建设等3个项目，修缮堰塘3口、沟渠5公里，新建硬化道路200米，完善村民饮水管。修改完善柏溪村规民约25条，评选柏溪正面榜样10人并给予表扬奖励，化解矛盾纠纷3起，组织集体活动5次。为民办实事，走访慰问各类困难户83户。开展防返贫监测，排查研判风险线索80余条，新申报低保户8人，消除监测户1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选派驻村工作队员1名</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机关干部常态化入村开展驻村帮扶工作</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活动完成及时率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帮扶村产业有发展</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帮扶村无人员返贫产业持续发展</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被帮扶村满意度</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保障驻村帮扶人员和到村帮扶工作人员工作费用</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新培养1名入党积极分子、2名预备党员。巩固集体经济产业园130亩，申请高标准农田建设、以工代赈、地质灾害点搬迁建设等3个项目，修缮堰塘3口、沟渠5公里，新建硬化道路200米，完善村民饮水管。修改完善柏溪村规民约25条，评选柏溪正面榜样10人并给予表扬奖励，化解矛盾纠纷3起，组织集体活动5次。为民办实事，走访慰问各类困难户83户。开展防返贫监测，排查研判风险线索80余条，新申报低保户8人，消除监测户1户，助力帮扶对象提升收入，有效巩固脱贫攻坚成果，该项目预算完成，取得良好效果，总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还应该在帮助农民增收、推进乡村产业发展方面取得更好的工作成效。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以全面推进柏溪村产业、人才、文化、生态、组织“五大振兴”为抓手，按照产业兴旺、生态宜居、乡风文明、治理有效、生活富裕总要求，着力促进农业高质高效、乡村宜居宜业、农民富裕富足，加快农业农村现代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项目负责人：任毅</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按进度发放2023年绩效奖考核奖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13.60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22.12</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13.60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22.12</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根据全市考核标准，按进度发放年度考核奖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51080023T000008575710-两新组织党建工作经费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两新组织党建工作经费</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项目总划拨金额4.78万元。其中，广元市工商联直属商协会联合党委1万元，广元市商贸协会党支部、福建商会党支部、浙江温州商会党支部、市江西商会党支部、市广告协会党支部、市汽车行业协会党支部、市质量品牌协会党支部、市五金机电建材商会党支部、市遂宁商会党支部等9个党支部每个党支部经费0.42万元（包含：0.3万元党组织活动经费、0.12万元党组织书记岗位补贴），共计3.78万元；执行数4.78万元，年末结余0，完成预算的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转移支付党支部个数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党支部开展活动质量</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活动完成时间</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直属商协会党支部规范开展支部活动</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直属商协会党支部对指导工作满意度</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工作经费</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通过党建工作经费支撑，确保广元市工商联直属商协会联合党委，广元市商贸协会党支部、福建商会党支部、浙江温州商会党支部、市江西商会党支部、市广告协会党支部、市汽车行业协会党支部、市质量品牌协会党支部、市五金机电建材商会党支部、市遂宁商会党支部等9个党支部扎实开展党建活动，党支部书记认真履职，积极发挥党支部班子的关键作用。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党建工作定位不够明晰、党建工作质效有待提高、党建工作所需人才不足、党员队伍培养力度不够等问题。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一）持续强化思想政治引领。引导商会党支部和党员深入学习贯彻习近平新时代中国特色社会主义思想，团结带领广大民营经济人士与党同心同德。（二）持续推进标准化建设。指导所属商协会党组织开展好专题组织生活会暨民主评议党员，抓好“三会一课”、主题党日、党组织书记述职等组织生活制度，支部书记带头讲党课。（三）持续突出组织发展基础。指导党支部做好换届工作；按照“成熟一个，组建一个”原则，筹备组建商协会党支部，严格规范发展党员。（四）持续加强党员队伍建设。坚持专兼职结合，多渠道、多样化选用，强化培训提能，不断增强内生动力和队伍活力。充分发挥商会党组织的辐射作用，以商会党建支持、带动会员企业人才队伍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项目负责人：李镓君</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因退休人员不再缴纳社保，所以预算的社保资金未完全支付。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68.31</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74.26</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71.54</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96.34%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68.31</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74.26</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71.54</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96.34%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99.6</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足额保障在职人员养老保险、医疗保险、工商保险缴费。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因退休人员不再缴纳社保，所以预算的社保资金未完全支付。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更加精准编制预算。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项目负责人：张钪</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发放基础绩效奖60.93万元。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62.12</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62.12</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60.93</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98.08%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62.12</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62.12</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60.93</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98.08%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99.8</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按时发放基础绩效奖60.93万元，发放覆盖率100%，足额保障率100%，自评得100分。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项目负责人：张钪</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发放退休人员生活补助40.32万元。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按月发放退休人员生活补助。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项目负责人：张钪</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51080024R000010825886-遗属生活补助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支付遗属生活补助0.71万元。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按照要求按时支付遗属生活补助，预算执行率100%，发放覆盖率100%，足额保障率100%，自评得100分。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项目负责人：张钪</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在职职工工资127.52万元。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135.70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128.55</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127.52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99.20%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135.70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128.55</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127.52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99.20%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按标准按要求发放在职人员基本工资，预算执行率100%，发放覆盖率100%，足额保障率100%，自评得100分。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因退休一人，工资预算有结余，退回国库。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项目负责人：张钪</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支付优秀公务员考核奖0.48万元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0.48</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0.48</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0.48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0.48</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0.48</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0.48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按考核结果发放优秀考核奖。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项目负责人：张钪</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有序开展工会会员活动等。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有序开展工会会员活动，按要求使用资金，自评得100分。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项目负责人：张钪</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严格落实“过紧日子”要求，合理使用公用经费，确保机关正常运行。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38.4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严格落实“过紧日子”要求，合理使用公用经费，机关运行正常有序，运转保障率100%。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项目负责人：张钪</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57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支出车补、党建经费等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0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20.57</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20.57</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20.57</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20.57</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20.57</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20.57</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7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按月发放车补，合理使用党建经费购买党建书籍等，运转保障率达到100%。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7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项目负责人：张钪</w:t>
            </w:r>
          </w:p>
        </w:tc>
        <w:tc>
          <w:tcPr>
            <w:tcW w:w="71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bl>
    <w:p>
      <w:pPr>
        <w:pStyle w:val="7"/>
        <w:spacing w:line="560" w:lineRule="exact"/>
        <w:ind w:left="0" w:leftChars="0" w:firstLine="0" w:firstLineChars="0"/>
        <w:rPr>
          <w:rFonts w:ascii="Times New Roman"/>
          <w:sz w:val="32"/>
          <w:highlight w:val="yellow"/>
          <w:lang w:val="zh-CN"/>
        </w:rPr>
        <w:sectPr>
          <w:footerReference r:id="rId13" w:type="first"/>
          <w:footerReference r:id="rId12" w:type="default"/>
          <w:pgSz w:w="16838" w:h="11906" w:orient="landscape"/>
          <w:pgMar w:top="1587" w:right="2098" w:bottom="1474" w:left="1984" w:header="851" w:footer="992" w:gutter="0"/>
          <w:pgNumType w:fmt="decimal"/>
          <w:cols w:space="425" w:num="1"/>
          <w:docGrid w:type="lines" w:linePitch="312" w:charSpace="0"/>
        </w:sectPr>
      </w:pPr>
    </w:p>
    <w:p>
      <w:pPr>
        <w:spacing w:line="572" w:lineRule="exact"/>
        <w:jc w:val="left"/>
        <w:outlineLvl w:val="0"/>
        <w:rPr>
          <w:rFonts w:hint="eastAsia" w:eastAsia="黑体" w:cs="黑体"/>
          <w:sz w:val="32"/>
          <w:szCs w:val="32"/>
        </w:rPr>
      </w:pPr>
      <w:bookmarkStart w:id="79" w:name="_Toc23104"/>
      <w:r>
        <w:rPr>
          <w:rFonts w:hint="eastAsia" w:eastAsia="黑体" w:cs="黑体"/>
          <w:sz w:val="32"/>
          <w:szCs w:val="32"/>
          <w:lang w:val="zh-CN"/>
        </w:rPr>
        <w:t>附件</w:t>
      </w:r>
      <w:r>
        <w:rPr>
          <w:rFonts w:hint="eastAsia" w:eastAsia="黑体" w:cs="黑体"/>
          <w:sz w:val="32"/>
          <w:szCs w:val="32"/>
        </w:rPr>
        <w:t>2</w:t>
      </w:r>
      <w:bookmarkEnd w:id="79"/>
    </w:p>
    <w:p>
      <w:pPr>
        <w:keepNext w:val="0"/>
        <w:keepLines w:val="0"/>
        <w:pageBreakBefore w:val="0"/>
        <w:widowControl w:val="0"/>
        <w:kinsoku/>
        <w:wordWrap/>
        <w:overflowPunct/>
        <w:topLinePunct w:val="0"/>
        <w:autoSpaceDE/>
        <w:autoSpaceDN/>
        <w:bidi w:val="0"/>
        <w:spacing w:line="520" w:lineRule="exact"/>
        <w:jc w:val="center"/>
        <w:textAlignment w:val="auto"/>
        <w:rPr>
          <w:rFonts w:ascii="方正小标宋简体" w:hAnsi="方正小标宋简体" w:eastAsia="方正小标宋简体" w:cs="方正小标宋简体"/>
          <w:color w:val="auto"/>
          <w:kern w:val="2"/>
          <w:sz w:val="44"/>
          <w:szCs w:val="44"/>
          <w:lang w:val="en-US" w:eastAsia="zh-CN" w:bidi="ar-SA"/>
        </w:rPr>
      </w:pPr>
      <w:bookmarkStart w:id="80" w:name="_Toc15396618"/>
      <w:r>
        <w:rPr>
          <w:rFonts w:hint="eastAsia" w:ascii="方正小标宋简体" w:hAnsi="方正小标宋简体" w:eastAsia="方正小标宋简体" w:cs="方正小标宋简体"/>
          <w:color w:val="auto"/>
          <w:kern w:val="2"/>
          <w:sz w:val="44"/>
          <w:szCs w:val="44"/>
          <w:lang w:val="en-US" w:eastAsia="zh-CN" w:bidi="ar-SA"/>
        </w:rPr>
        <w:t>广元市工商业联合会</w:t>
      </w:r>
    </w:p>
    <w:p>
      <w:pPr>
        <w:keepNext w:val="0"/>
        <w:keepLines w:val="0"/>
        <w:pageBreakBefore w:val="0"/>
        <w:widowControl w:val="0"/>
        <w:kinsoku/>
        <w:wordWrap/>
        <w:overflowPunct/>
        <w:topLinePunct w:val="0"/>
        <w:autoSpaceDE/>
        <w:autoSpaceDN/>
        <w:bidi w:val="0"/>
        <w:spacing w:line="520" w:lineRule="exact"/>
        <w:jc w:val="center"/>
        <w:textAlignment w:val="auto"/>
        <w:rPr>
          <w:rFonts w:hint="eastAsia" w:ascii="方正小标宋简体" w:hAnsi="方正小标宋简体" w:eastAsia="方正小标宋简体" w:cs="方正小标宋简体"/>
          <w:color w:val="auto"/>
          <w:kern w:val="2"/>
          <w:sz w:val="44"/>
          <w:szCs w:val="44"/>
          <w:lang w:val="zh-CN" w:eastAsia="zh-CN" w:bidi="ar-SA"/>
        </w:rPr>
      </w:pPr>
      <w:r>
        <w:rPr>
          <w:rFonts w:hint="eastAsia" w:ascii="方正小标宋简体" w:hAnsi="方正小标宋简体" w:eastAsia="方正小标宋简体" w:cs="方正小标宋简体"/>
          <w:color w:val="auto"/>
          <w:kern w:val="2"/>
          <w:sz w:val="44"/>
          <w:szCs w:val="44"/>
          <w:lang w:val="en-US" w:eastAsia="zh-CN" w:bidi="ar-SA"/>
        </w:rPr>
        <w:t>2024年</w:t>
      </w:r>
      <w:r>
        <w:rPr>
          <w:rFonts w:hint="eastAsia" w:ascii="方正小标宋简体" w:hAnsi="方正小标宋简体" w:eastAsia="方正小标宋简体" w:cs="方正小标宋简体"/>
          <w:color w:val="auto"/>
          <w:kern w:val="2"/>
          <w:sz w:val="44"/>
          <w:szCs w:val="44"/>
          <w:lang w:val="zh-CN" w:eastAsia="zh-CN" w:bidi="ar-SA"/>
        </w:rPr>
        <w:t>专项预算（两新党建工作经费）项目</w:t>
      </w:r>
    </w:p>
    <w:p>
      <w:pPr>
        <w:keepNext w:val="0"/>
        <w:keepLines w:val="0"/>
        <w:pageBreakBefore w:val="0"/>
        <w:widowControl w:val="0"/>
        <w:kinsoku/>
        <w:wordWrap/>
        <w:overflowPunct/>
        <w:topLinePunct w:val="0"/>
        <w:autoSpaceDE/>
        <w:autoSpaceDN/>
        <w:bidi w:val="0"/>
        <w:spacing w:line="520" w:lineRule="exact"/>
        <w:jc w:val="center"/>
        <w:textAlignment w:val="auto"/>
        <w:rPr>
          <w:rFonts w:ascii="方正小标宋简体" w:hAnsi="方正小标宋简体" w:eastAsia="方正小标宋简体" w:cs="方正小标宋简体"/>
          <w:color w:val="auto"/>
          <w:kern w:val="2"/>
          <w:sz w:val="44"/>
          <w:szCs w:val="44"/>
          <w:lang w:val="zh-CN" w:eastAsia="zh-CN" w:bidi="ar-SA"/>
        </w:rPr>
      </w:pPr>
      <w:r>
        <w:rPr>
          <w:rFonts w:hint="eastAsia" w:ascii="方正小标宋简体" w:hAnsi="方正小标宋简体" w:eastAsia="方正小标宋简体" w:cs="方正小标宋简体"/>
          <w:color w:val="auto"/>
          <w:kern w:val="2"/>
          <w:sz w:val="44"/>
          <w:szCs w:val="44"/>
          <w:lang w:val="zh-CN" w:eastAsia="zh-CN" w:bidi="ar-SA"/>
        </w:rPr>
        <w:t>支出绩效自评报告</w:t>
      </w:r>
    </w:p>
    <w:p>
      <w:pPr>
        <w:keepNext w:val="0"/>
        <w:keepLines w:val="0"/>
        <w:pageBreakBefore w:val="0"/>
        <w:widowControl w:val="0"/>
        <w:kinsoku/>
        <w:wordWrap/>
        <w:overflowPunct/>
        <w:topLinePunct w:val="0"/>
        <w:autoSpaceDE/>
        <w:autoSpaceDN/>
        <w:bidi w:val="0"/>
        <w:adjustRightInd w:val="0"/>
        <w:snapToGrid w:val="0"/>
        <w:spacing w:line="520" w:lineRule="exact"/>
        <w:ind w:firstLine="720"/>
        <w:textAlignment w:val="auto"/>
        <w:rPr>
          <w:rFonts w:ascii="黑体" w:hAnsi="宋体" w:eastAsia="黑体" w:cs="Times New Roman"/>
          <w:sz w:val="32"/>
          <w:szCs w:val="32"/>
        </w:rPr>
      </w:pP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81" w:name="_Toc2173"/>
      <w:r>
        <w:rPr>
          <w:rFonts w:hint="eastAsia" w:ascii="Times New Roman" w:hAnsi="Times New Roman" w:eastAsia="黑体"/>
          <w:b w:val="0"/>
          <w:lang w:val="zh-CN"/>
        </w:rPr>
        <w:t>一、项目概况</w:t>
      </w:r>
      <w:bookmarkEnd w:id="81"/>
    </w:p>
    <w:p>
      <w:pPr>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left="0" w:leftChars="0" w:firstLine="642"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rPr>
        <w:t>（一）设立背景及基本情况。</w:t>
      </w:r>
      <w:r>
        <w:rPr>
          <w:rFonts w:hint="eastAsia" w:ascii="Times New Roman" w:hAnsi="Times New Roman" w:eastAsia="仿宋_GB2312" w:cs="Times New Roman"/>
          <w:sz w:val="32"/>
          <w:szCs w:val="32"/>
          <w:lang w:val="en-US" w:eastAsia="zh-CN"/>
        </w:rPr>
        <w:t>按照中央组织部、财政部、国家税务总局和省委组织部、省财政厅、省国家税务局、省地方税务局“建立两新组织党建工作经费保障机制”相关要求，2015年市委组织部联合市财政局、市国税局、市地税局下发《关于进一步加强“两新”组织党建工作经费保障的通知》（广组通</w:t>
      </w:r>
      <w:r>
        <w:rPr>
          <w:rFonts w:hint="eastAsia" w:ascii="方正小标宋简体" w:hAnsi="方正小标宋简体" w:eastAsia="方正小标宋简体" w:cs="方正小标宋简体"/>
          <w:sz w:val="32"/>
          <w:szCs w:val="32"/>
          <w:lang w:val="en-US" w:eastAsia="zh-CN"/>
        </w:rPr>
        <w:t>〔</w:t>
      </w:r>
      <w:r>
        <w:rPr>
          <w:rFonts w:hint="eastAsia" w:ascii="Times New Roman" w:hAnsi="Times New Roman" w:eastAsia="仿宋_GB2312" w:cs="Times New Roman"/>
          <w:sz w:val="32"/>
          <w:szCs w:val="32"/>
          <w:lang w:val="en-US" w:eastAsia="zh-CN"/>
        </w:rPr>
        <w:t>2015</w:t>
      </w:r>
      <w:r>
        <w:rPr>
          <w:rFonts w:hint="eastAsia" w:ascii="方正小标宋简体" w:hAnsi="方正小标宋简体" w:eastAsia="方正小标宋简体" w:cs="方正小标宋简体"/>
          <w:sz w:val="32"/>
          <w:szCs w:val="32"/>
          <w:lang w:val="en-US" w:eastAsia="zh-CN"/>
        </w:rPr>
        <w:t>〕</w:t>
      </w:r>
      <w:r>
        <w:rPr>
          <w:rFonts w:hint="eastAsia" w:ascii="Times New Roman" w:hAnsi="Times New Roman" w:eastAsia="仿宋_GB2312" w:cs="Times New Roman"/>
          <w:sz w:val="32"/>
          <w:szCs w:val="32"/>
          <w:lang w:val="en-US" w:eastAsia="zh-CN"/>
        </w:rPr>
        <w:t>41号），广元市委组织部、市委两新组织工委为下辖的行业党委、党支部划拨专项工作经费</w:t>
      </w:r>
      <w:r>
        <w:rPr>
          <w:rFonts w:hint="eastAsia" w:ascii="仿宋_GB2312" w:hAnsi="仿宋_GB2312" w:eastAsia="仿宋_GB2312" w:cs="仿宋_GB2312"/>
          <w:color w:val="auto"/>
          <w:kern w:val="0"/>
          <w:sz w:val="32"/>
          <w:szCs w:val="32"/>
          <w:highlight w:val="none"/>
          <w:u w:val="none"/>
          <w:shd w:val="clear" w:color="auto" w:fill="FFFFFF"/>
          <w:lang w:val="zh-CN"/>
        </w:rPr>
        <w:t>。</w:t>
      </w:r>
    </w:p>
    <w:p>
      <w:pPr>
        <w:keepNext w:val="0"/>
        <w:keepLines w:val="0"/>
        <w:pageBreakBefore w:val="0"/>
        <w:kinsoku/>
        <w:wordWrap/>
        <w:overflowPunct/>
        <w:topLinePunct w:val="0"/>
        <w:autoSpaceDE/>
        <w:autoSpaceDN/>
        <w:bidi w:val="0"/>
        <w:adjustRightInd w:val="0"/>
        <w:snapToGrid w:val="0"/>
        <w:spacing w:line="520" w:lineRule="exact"/>
        <w:ind w:left="0" w:leftChars="0" w:firstLine="642" w:firstLineChars="200"/>
        <w:textAlignment w:val="auto"/>
        <w:rPr>
          <w:rFonts w:hint="eastAsia" w:ascii="Times New Roman" w:hAnsi="Times New Roman" w:eastAsia="仿宋_GB2312" w:cs="Times New Roman"/>
          <w:sz w:val="32"/>
          <w:szCs w:val="32"/>
          <w:lang w:val="zh-CN" w:eastAsia="zh-CN"/>
        </w:rPr>
      </w:pP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Times New Roman" w:hAnsi="Times New Roman" w:eastAsia="仿宋_GB2312" w:cs="Times New Roman"/>
          <w:sz w:val="32"/>
          <w:szCs w:val="32"/>
          <w:lang w:val="en-US" w:eastAsia="zh-CN"/>
        </w:rPr>
        <w:t>通过党建工作经费支撑，确保广元市工商联直属商协会联合党委，广元市商贸协会党支部、福建商会党支部、浙江温州商会党支部、市江西商会党支部、市广告协会党支部、市汽车行业协会党支部、市质量品牌协会党支部、市五金机电建材商会党支部、市遂宁商会党支部等9个党支部扎实开展党建活动，党支部书记认真履职，积极发挥党支部班子的关键作用</w:t>
      </w:r>
      <w:r>
        <w:rPr>
          <w:rFonts w:hint="eastAsia" w:ascii="Times New Roman" w:hAnsi="Times New Roman" w:eastAsia="仿宋_GB2312" w:cs="Times New Roman"/>
          <w:sz w:val="32"/>
          <w:szCs w:val="32"/>
          <w:lang w:val="zh-CN"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left="0" w:leftChars="0" w:firstLine="642"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宋体" w:eastAsia="仿宋_GB2312" w:cs="Times New Roman"/>
          <w:color w:val="000000"/>
          <w:kern w:val="2"/>
          <w:sz w:val="32"/>
          <w:szCs w:val="32"/>
          <w:lang w:val="en-US" w:eastAsia="zh-CN" w:bidi="ar-SA"/>
        </w:rPr>
        <w:t>该项目总划拨金额4.78万元。其中，广元市工商联直属商协会联合党委1万元，广元市商贸协会党支部、福建商会党支部、浙江温州商会党支部、市江西商会党支部、市广告协会党支部、市汽车行业协会党支部、市质量品牌协会党支部、市五金机电建材商会党支部、市遂宁商会党支部等9个党支部每个党支部经费0.42万元（包含：0.3万元党组织活动经费、0.12万元党组织书记岗位补贴），共计3.78万元；</w:t>
      </w:r>
      <w:r>
        <w:rPr>
          <w:rFonts w:hint="eastAsia" w:ascii="仿宋" w:hAnsi="仿宋" w:eastAsia="仿宋" w:cs="仿宋_GB2312"/>
          <w:color w:val="000000"/>
          <w:sz w:val="32"/>
          <w:szCs w:val="32"/>
        </w:rPr>
        <w:t>执行数</w:t>
      </w:r>
      <w:r>
        <w:rPr>
          <w:rFonts w:hint="eastAsia" w:ascii="仿宋_GB2312" w:hAnsi="宋体" w:eastAsia="仿宋" w:cs="Times New Roman"/>
          <w:color w:val="000000"/>
          <w:sz w:val="32"/>
          <w:szCs w:val="32"/>
          <w:lang w:val="en-US" w:eastAsia="zh-CN"/>
        </w:rPr>
        <w:t>5.78</w:t>
      </w:r>
      <w:r>
        <w:rPr>
          <w:rFonts w:hint="eastAsia" w:ascii="仿宋" w:hAnsi="仿宋" w:eastAsia="仿宋" w:cs="仿宋_GB2312"/>
          <w:color w:val="000000"/>
          <w:sz w:val="32"/>
          <w:szCs w:val="32"/>
        </w:rPr>
        <w:t>万元，年末结余</w:t>
      </w:r>
      <w:r>
        <w:rPr>
          <w:rFonts w:ascii="仿宋" w:hAnsi="仿宋" w:eastAsia="仿宋" w:cs="仿宋_GB2312"/>
          <w:color w:val="000000"/>
          <w:sz w:val="32"/>
          <w:szCs w:val="32"/>
        </w:rPr>
        <w:t>0</w:t>
      </w:r>
      <w:r>
        <w:rPr>
          <w:rFonts w:hint="eastAsia" w:ascii="仿宋" w:hAnsi="仿宋" w:eastAsia="仿宋" w:cs="仿宋_GB2312"/>
          <w:color w:val="000000"/>
          <w:sz w:val="32"/>
          <w:szCs w:val="32"/>
        </w:rPr>
        <w:t>，完成预算的</w:t>
      </w:r>
      <w:r>
        <w:rPr>
          <w:rFonts w:ascii="仿宋" w:hAnsi="仿宋" w:eastAsia="仿宋" w:cs="仿宋_GB2312"/>
          <w:color w:val="000000"/>
          <w:sz w:val="32"/>
          <w:szCs w:val="32"/>
        </w:rPr>
        <w:t>100</w:t>
      </w:r>
      <w:r>
        <w:rPr>
          <w:rFonts w:hint="eastAsia" w:ascii="仿宋" w:hAnsi="仿宋" w:eastAsia="仿宋" w:cs="仿宋_GB2312"/>
          <w:color w:val="000000"/>
          <w:sz w:val="32"/>
          <w:szCs w:val="32"/>
        </w:rPr>
        <w:t>%。</w:t>
      </w:r>
    </w:p>
    <w:p>
      <w:pPr>
        <w:pageBreakBefore w:val="0"/>
        <w:kinsoku/>
        <w:wordWrap/>
        <w:autoSpaceDE/>
        <w:autoSpaceDN/>
        <w:bidi w:val="0"/>
        <w:adjustRightInd w:val="0"/>
        <w:snapToGrid w:val="0"/>
        <w:spacing w:line="520" w:lineRule="exact"/>
        <w:ind w:firstLine="642" w:firstLineChars="200"/>
        <w:rPr>
          <w:rFonts w:hint="default" w:ascii="仿宋_GB2312" w:hAnsi="仿宋_GB2312" w:eastAsia="仿宋_GB2312" w:cs="仿宋_GB2312"/>
          <w:color w:val="auto"/>
          <w:kern w:val="0"/>
          <w:sz w:val="32"/>
          <w:szCs w:val="32"/>
          <w:highlight w:val="none"/>
          <w:u w:val="none"/>
          <w:shd w:val="clear" w:color="auto" w:fill="FFFFFF"/>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宋体" w:eastAsia="仿宋_GB2312" w:cs="Times New Roman"/>
          <w:color w:val="000000"/>
          <w:sz w:val="32"/>
          <w:szCs w:val="32"/>
          <w:lang w:val="zh-CN"/>
        </w:rPr>
        <w:t>项目实施过程中，严格根据市工商联直属商协会党建工作需要，与市委组织部、市委两新工委对行业党委的要求一致。申报的项目目标符合我会实际，合理可行。</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eastAsia="zh-CN"/>
        </w:rPr>
      </w:pPr>
      <w:bookmarkStart w:id="82" w:name="_Toc15540"/>
      <w:r>
        <w:rPr>
          <w:rFonts w:hint="eastAsia" w:ascii="Times New Roman" w:hAnsi="Times New Roman" w:eastAsia="黑体"/>
          <w:b w:val="0"/>
          <w:lang w:val="zh-CN"/>
        </w:rPr>
        <w:t>二、</w:t>
      </w:r>
      <w:r>
        <w:rPr>
          <w:rFonts w:hint="eastAsia" w:ascii="Times New Roman" w:hAnsi="Times New Roman" w:eastAsia="黑体"/>
          <w:b w:val="0"/>
          <w:lang w:val="zh-CN" w:eastAsia="zh-CN"/>
        </w:rPr>
        <w:t>评价实施</w:t>
      </w:r>
      <w:bookmarkEnd w:id="82"/>
    </w:p>
    <w:p>
      <w:pPr>
        <w:keepNext w:val="0"/>
        <w:keepLines w:val="0"/>
        <w:pageBreakBefore w:val="0"/>
        <w:widowControl w:val="0"/>
        <w:kinsoku/>
        <w:wordWrap/>
        <w:overflowPunct w:val="0"/>
        <w:topLinePunct/>
        <w:autoSpaceDE/>
        <w:autoSpaceDN/>
        <w:bidi w:val="0"/>
        <w:spacing w:line="520" w:lineRule="exact"/>
        <w:ind w:firstLine="640"/>
        <w:textAlignment w:val="auto"/>
        <w:outlineLvl w:val="9"/>
        <w:rPr>
          <w:rFonts w:hint="eastAsia" w:ascii="Times New Roman" w:hAnsi="Times New Roman" w:eastAsia="楷体" w:cs="Times New Roman"/>
          <w:sz w:val="32"/>
          <w:szCs w:val="32"/>
          <w:lang w:eastAsia="zh-CN"/>
        </w:rPr>
      </w:pPr>
      <w:r>
        <w:rPr>
          <w:rFonts w:hint="eastAsia" w:ascii="楷体" w:hAnsi="宋体" w:eastAsia="楷体" w:cs="Times New Roman"/>
          <w:b/>
          <w:color w:val="auto"/>
          <w:sz w:val="32"/>
          <w:szCs w:val="32"/>
          <w:highlight w:val="none"/>
          <w:u w:val="none"/>
          <w:lang w:val="zh-CN"/>
        </w:rPr>
        <w:t>（一）评价目的。</w:t>
      </w:r>
      <w:r>
        <w:rPr>
          <w:rFonts w:hint="eastAsia" w:ascii="Times New Roman" w:hAnsi="Times New Roman" w:eastAsia="仿宋_GB2312" w:cs="Times New Roman"/>
          <w:sz w:val="32"/>
          <w:szCs w:val="32"/>
          <w:lang w:eastAsia="zh-CN"/>
        </w:rPr>
        <w:t>进一步规范</w:t>
      </w:r>
      <w:r>
        <w:rPr>
          <w:rFonts w:hint="eastAsia" w:ascii="Times New Roman" w:hAnsi="Times New Roman" w:eastAsia="仿宋_GB2312" w:cs="Times New Roman"/>
          <w:sz w:val="32"/>
          <w:szCs w:val="32"/>
          <w:lang w:val="en-US" w:eastAsia="zh-CN"/>
        </w:rPr>
        <w:t>2024年市工商联直属商协会联合党委及各直属商协会党组织党建工作经费</w:t>
      </w:r>
      <w:r>
        <w:rPr>
          <w:rFonts w:hint="eastAsia" w:ascii="Times New Roman" w:hAnsi="Times New Roman" w:eastAsia="仿宋_GB2312" w:cs="Times New Roman"/>
          <w:sz w:val="32"/>
          <w:szCs w:val="32"/>
          <w:lang w:eastAsia="zh-CN"/>
        </w:rPr>
        <w:t>使用。</w:t>
      </w:r>
    </w:p>
    <w:p>
      <w:pPr>
        <w:keepNext w:val="0"/>
        <w:keepLines w:val="0"/>
        <w:pageBreakBefore w:val="0"/>
        <w:widowControl w:val="0"/>
        <w:kinsoku/>
        <w:wordWrap/>
        <w:overflowPunct w:val="0"/>
        <w:topLinePunct/>
        <w:autoSpaceDE/>
        <w:autoSpaceDN/>
        <w:bidi w:val="0"/>
        <w:adjustRightInd w:val="0"/>
        <w:snapToGrid w:val="0"/>
        <w:spacing w:line="520" w:lineRule="exact"/>
        <w:ind w:left="0" w:leftChars="0" w:firstLine="642" w:firstLineChars="200"/>
        <w:textAlignment w:val="auto"/>
        <w:outlineLvl w:val="9"/>
        <w:rPr>
          <w:rFonts w:hint="eastAsia" w:ascii="Times New Roman" w:hAnsi="Times New Roman" w:eastAsia="仿宋_GB2312" w:cs="Times New Roman"/>
          <w:sz w:val="32"/>
          <w:szCs w:val="32"/>
          <w:lang w:eastAsia="zh-CN"/>
        </w:rPr>
      </w:pPr>
      <w:r>
        <w:rPr>
          <w:rFonts w:hint="eastAsia" w:ascii="楷体" w:hAnsi="宋体" w:eastAsia="楷体" w:cs="Times New Roman"/>
          <w:b/>
          <w:color w:val="auto"/>
          <w:sz w:val="32"/>
          <w:szCs w:val="32"/>
          <w:highlight w:val="none"/>
          <w:u w:val="none"/>
          <w:lang w:val="zh-CN"/>
        </w:rPr>
        <w:t>（二）预设问题及评价重点。</w:t>
      </w:r>
      <w:r>
        <w:rPr>
          <w:rFonts w:hint="eastAsia" w:ascii="Times New Roman" w:hAnsi="Times New Roman" w:eastAsia="仿宋_GB2312" w:cs="Times New Roman"/>
          <w:sz w:val="32"/>
          <w:szCs w:val="32"/>
          <w:lang w:eastAsia="zh-CN"/>
        </w:rPr>
        <w:t>重点对党建经费是否专款专用、专项专用进行评价</w:t>
      </w:r>
      <w:r>
        <w:rPr>
          <w:rFonts w:hint="eastAsia" w:ascii="Times New Roman" w:hAnsi="Times New Roman" w:eastAsia="仿宋" w:cs="Times New Roman"/>
          <w:sz w:val="32"/>
          <w:szCs w:val="32"/>
          <w:lang w:eastAsia="zh-CN"/>
        </w:rPr>
        <w:t>。</w:t>
      </w:r>
    </w:p>
    <w:p>
      <w:pPr>
        <w:keepNext w:val="0"/>
        <w:keepLines w:val="0"/>
        <w:pageBreakBefore w:val="0"/>
        <w:widowControl w:val="0"/>
        <w:kinsoku/>
        <w:wordWrap/>
        <w:overflowPunct w:val="0"/>
        <w:topLinePunct/>
        <w:autoSpaceDE/>
        <w:autoSpaceDN/>
        <w:bidi w:val="0"/>
        <w:adjustRightInd w:val="0"/>
        <w:snapToGrid w:val="0"/>
        <w:spacing w:line="520" w:lineRule="exact"/>
        <w:ind w:left="0" w:leftChars="0" w:firstLine="642" w:firstLineChars="200"/>
        <w:textAlignment w:val="auto"/>
        <w:outlineLvl w:val="9"/>
        <w:rPr>
          <w:rFonts w:hint="eastAsia" w:ascii="Times New Roman" w:hAnsi="Times New Roman" w:eastAsia="仿宋_GB2312" w:cs="Times New Roman"/>
          <w:sz w:val="32"/>
          <w:szCs w:val="32"/>
          <w:lang w:val="zh-CN" w:eastAsia="zh-CN"/>
        </w:rPr>
      </w:pPr>
      <w:r>
        <w:rPr>
          <w:rFonts w:hint="eastAsia" w:ascii="楷体" w:hAnsi="宋体" w:eastAsia="楷体" w:cs="Times New Roman"/>
          <w:b/>
          <w:color w:val="auto"/>
          <w:sz w:val="32"/>
          <w:szCs w:val="32"/>
          <w:highlight w:val="none"/>
          <w:u w:val="none"/>
          <w:lang w:val="zh-CN"/>
        </w:rPr>
        <w:t>（三）评价选点。</w:t>
      </w:r>
      <w:r>
        <w:rPr>
          <w:rFonts w:hint="eastAsia" w:ascii="Times New Roman" w:hAnsi="Times New Roman" w:eastAsia="仿宋_GB2312" w:cs="Times New Roman"/>
          <w:sz w:val="32"/>
          <w:szCs w:val="32"/>
          <w:lang w:val="zh-CN" w:eastAsia="zh-CN"/>
        </w:rPr>
        <w:t>通过对</w:t>
      </w:r>
      <w:r>
        <w:rPr>
          <w:rFonts w:hint="eastAsia" w:ascii="Times New Roman" w:hAnsi="Times New Roman" w:eastAsia="仿宋_GB2312" w:cs="Times New Roman"/>
          <w:sz w:val="32"/>
          <w:szCs w:val="32"/>
          <w:lang w:val="en-US" w:eastAsia="zh-CN"/>
        </w:rPr>
        <w:t>9个直属商协会中的6个商协会党组织进行抽查评选</w:t>
      </w:r>
      <w:r>
        <w:rPr>
          <w:rFonts w:hint="eastAsia" w:ascii="Times New Roman" w:hAnsi="Times New Roman" w:eastAsia="仿宋_GB2312" w:cs="Times New Roman"/>
          <w:sz w:val="32"/>
          <w:szCs w:val="32"/>
          <w:lang w:val="zh-CN" w:eastAsia="zh-CN"/>
        </w:rPr>
        <w:t>。</w:t>
      </w:r>
    </w:p>
    <w:p>
      <w:pPr>
        <w:keepNext w:val="0"/>
        <w:keepLines w:val="0"/>
        <w:pageBreakBefore w:val="0"/>
        <w:widowControl w:val="0"/>
        <w:kinsoku/>
        <w:wordWrap/>
        <w:overflowPunct w:val="0"/>
        <w:topLinePunct/>
        <w:autoSpaceDE/>
        <w:autoSpaceDN/>
        <w:bidi w:val="0"/>
        <w:spacing w:line="520" w:lineRule="exact"/>
        <w:ind w:firstLine="640"/>
        <w:textAlignment w:val="auto"/>
        <w:outlineLvl w:val="9"/>
        <w:rPr>
          <w:rFonts w:hint="eastAsia" w:ascii="Times New Roman" w:hAnsi="Times New Roman" w:eastAsia="仿宋" w:cs="Times New Roman"/>
          <w:sz w:val="32"/>
          <w:szCs w:val="32"/>
          <w:lang w:eastAsia="zh-CN"/>
        </w:rPr>
      </w:pPr>
      <w:r>
        <w:rPr>
          <w:rFonts w:hint="eastAsia" w:ascii="楷体" w:hAnsi="宋体" w:eastAsia="楷体" w:cs="Times New Roman"/>
          <w:b/>
          <w:color w:val="auto"/>
          <w:sz w:val="32"/>
          <w:szCs w:val="32"/>
          <w:highlight w:val="none"/>
          <w:u w:val="none"/>
          <w:lang w:val="zh-CN"/>
        </w:rPr>
        <w:t>（四）评价方法。</w:t>
      </w:r>
      <w:r>
        <w:rPr>
          <w:rFonts w:hint="eastAsia" w:ascii="Times New Roman" w:hAnsi="Times New Roman" w:eastAsia="仿宋_GB2312" w:cs="Times New Roman"/>
          <w:sz w:val="32"/>
          <w:szCs w:val="32"/>
          <w:lang w:eastAsia="zh-CN"/>
        </w:rPr>
        <w:t>主要采用</w:t>
      </w:r>
      <w:r>
        <w:rPr>
          <w:rFonts w:hint="eastAsia" w:ascii="Times New Roman" w:hAnsi="Times New Roman" w:eastAsia="仿宋" w:cs="Times New Roman"/>
          <w:sz w:val="32"/>
          <w:szCs w:val="32"/>
        </w:rPr>
        <w:t>成本效益分析法、</w:t>
      </w:r>
      <w:r>
        <w:rPr>
          <w:rFonts w:ascii="Times New Roman" w:hAnsi="Times New Roman" w:eastAsia="仿宋" w:cs="Times New Roman"/>
          <w:sz w:val="32"/>
          <w:szCs w:val="32"/>
        </w:rPr>
        <w:t>案卷研究法、</w:t>
      </w:r>
      <w:r>
        <w:rPr>
          <w:rFonts w:hint="eastAsia" w:ascii="Times New Roman" w:hAnsi="Times New Roman" w:eastAsia="仿宋" w:cs="Times New Roman"/>
          <w:sz w:val="32"/>
          <w:szCs w:val="32"/>
          <w:lang w:eastAsia="zh-CN"/>
        </w:rPr>
        <w:t>直属商协会党组织</w:t>
      </w:r>
      <w:r>
        <w:rPr>
          <w:rFonts w:ascii="Times New Roman" w:hAnsi="Times New Roman" w:eastAsia="仿宋" w:cs="Times New Roman"/>
          <w:sz w:val="32"/>
          <w:szCs w:val="32"/>
        </w:rPr>
        <w:t>自评法</w:t>
      </w:r>
      <w:r>
        <w:rPr>
          <w:rFonts w:hint="eastAsia" w:ascii="Times New Roman" w:hAnsi="Times New Roman" w:eastAsia="仿宋_GB2312" w:cs="Times New Roman"/>
          <w:sz w:val="32"/>
          <w:szCs w:val="32"/>
          <w:lang w:eastAsia="zh-CN"/>
        </w:rPr>
        <w:t>进行评价，对会议效果和项目支出票据进行查验。</w:t>
      </w:r>
    </w:p>
    <w:p>
      <w:pPr>
        <w:keepNext w:val="0"/>
        <w:keepLines w:val="0"/>
        <w:pageBreakBefore w:val="0"/>
        <w:kinsoku/>
        <w:wordWrap/>
        <w:overflowPunct/>
        <w:topLinePunct w:val="0"/>
        <w:autoSpaceDE/>
        <w:autoSpaceDN/>
        <w:bidi w:val="0"/>
        <w:adjustRightInd w:val="0"/>
        <w:snapToGrid w:val="0"/>
        <w:spacing w:line="520" w:lineRule="exact"/>
        <w:ind w:firstLine="642" w:firstLineChars="200"/>
        <w:textAlignment w:val="auto"/>
        <w:rPr>
          <w:rFonts w:hint="eastAsia" w:ascii="仿宋_GB2312" w:hAnsi="Times New Roman" w:eastAsia="仿宋_GB2312" w:cs="Times New Roman"/>
          <w:color w:val="000000"/>
          <w:sz w:val="32"/>
          <w:szCs w:val="32"/>
        </w:rPr>
      </w:pPr>
      <w:r>
        <w:rPr>
          <w:rFonts w:hint="eastAsia" w:ascii="楷体" w:hAnsi="宋体" w:eastAsia="楷体" w:cs="Times New Roman"/>
          <w:b/>
          <w:color w:val="auto"/>
          <w:sz w:val="32"/>
          <w:szCs w:val="32"/>
          <w:highlight w:val="none"/>
          <w:u w:val="none"/>
          <w:lang w:val="zh-CN"/>
        </w:rPr>
        <w:t>（五）评价组织。</w:t>
      </w:r>
      <w:r>
        <w:rPr>
          <w:rFonts w:hint="eastAsia" w:ascii="仿宋_GB2312" w:hAnsi="Times New Roman" w:eastAsia="仿宋_GB2312" w:cs="Times New Roman"/>
          <w:color w:val="000000"/>
          <w:sz w:val="32"/>
          <w:szCs w:val="32"/>
        </w:rPr>
        <w:t>为做好</w:t>
      </w:r>
      <w:r>
        <w:rPr>
          <w:rFonts w:hint="eastAsia" w:ascii="仿宋_GB2312" w:hAnsi="Times New Roman" w:eastAsia="仿宋_GB2312" w:cs="Times New Roman"/>
          <w:color w:val="000000"/>
          <w:sz w:val="32"/>
          <w:szCs w:val="32"/>
          <w:lang w:eastAsia="zh-CN"/>
        </w:rPr>
        <w:t>经费</w:t>
      </w:r>
      <w:r>
        <w:rPr>
          <w:rFonts w:hint="eastAsia" w:ascii="仿宋_GB2312" w:hAnsi="Times New Roman" w:eastAsia="仿宋_GB2312" w:cs="Times New Roman"/>
          <w:color w:val="000000"/>
          <w:sz w:val="32"/>
          <w:szCs w:val="32"/>
        </w:rPr>
        <w:t>支出绩效</w:t>
      </w:r>
      <w:r>
        <w:rPr>
          <w:rFonts w:hint="eastAsia" w:ascii="仿宋_GB2312" w:hAnsi="Times New Roman" w:eastAsia="仿宋_GB2312" w:cs="Times New Roman"/>
          <w:color w:val="000000"/>
          <w:sz w:val="32"/>
          <w:szCs w:val="32"/>
          <w:lang w:eastAsia="zh-CN"/>
        </w:rPr>
        <w:t>考评自评</w:t>
      </w:r>
      <w:r>
        <w:rPr>
          <w:rFonts w:hint="eastAsia" w:ascii="仿宋_GB2312" w:hAnsi="Times New Roman" w:eastAsia="仿宋_GB2312" w:cs="Times New Roman"/>
          <w:color w:val="000000"/>
          <w:sz w:val="32"/>
          <w:szCs w:val="32"/>
        </w:rPr>
        <w:t>工作，</w:t>
      </w:r>
      <w:r>
        <w:rPr>
          <w:rFonts w:hint="eastAsia" w:ascii="仿宋_GB2312" w:hAnsi="Times New Roman" w:eastAsia="仿宋_GB2312" w:cs="Times New Roman"/>
          <w:color w:val="000000"/>
          <w:sz w:val="32"/>
          <w:szCs w:val="32"/>
          <w:lang w:eastAsia="zh-CN"/>
        </w:rPr>
        <w:t>市工商联直属商协会联合党委</w:t>
      </w:r>
      <w:r>
        <w:rPr>
          <w:rFonts w:hint="eastAsia" w:ascii="仿宋_GB2312" w:hAnsi="Times New Roman" w:eastAsia="仿宋_GB2312" w:cs="Times New Roman"/>
          <w:color w:val="000000"/>
          <w:sz w:val="32"/>
          <w:szCs w:val="32"/>
        </w:rPr>
        <w:t>成立了由</w:t>
      </w:r>
      <w:r>
        <w:rPr>
          <w:rFonts w:hint="eastAsia" w:ascii="仿宋_GB2312" w:hAnsi="Times New Roman" w:eastAsia="仿宋_GB2312" w:cs="Times New Roman"/>
          <w:color w:val="000000"/>
          <w:sz w:val="32"/>
          <w:szCs w:val="32"/>
          <w:lang w:eastAsia="zh-CN"/>
        </w:rPr>
        <w:t>党委书记</w:t>
      </w:r>
      <w:r>
        <w:rPr>
          <w:rFonts w:hint="eastAsia" w:ascii="仿宋_GB2312" w:hAnsi="Times New Roman" w:eastAsia="仿宋_GB2312" w:cs="Times New Roman"/>
          <w:color w:val="000000"/>
          <w:sz w:val="32"/>
          <w:szCs w:val="32"/>
        </w:rPr>
        <w:t>牵头，</w:t>
      </w:r>
      <w:r>
        <w:rPr>
          <w:rFonts w:hint="eastAsia" w:ascii="仿宋_GB2312" w:hAnsi="Times New Roman" w:eastAsia="仿宋_GB2312" w:cs="Times New Roman"/>
          <w:color w:val="000000"/>
          <w:sz w:val="32"/>
          <w:szCs w:val="32"/>
          <w:lang w:eastAsia="zh-CN"/>
        </w:rPr>
        <w:t>直属商协会党建工作部</w:t>
      </w:r>
      <w:r>
        <w:rPr>
          <w:rFonts w:hint="eastAsia" w:ascii="仿宋_GB2312" w:hAnsi="Times New Roman" w:eastAsia="仿宋_GB2312" w:cs="Times New Roman"/>
          <w:color w:val="000000"/>
          <w:sz w:val="32"/>
          <w:szCs w:val="32"/>
        </w:rPr>
        <w:t>具体承办，</w:t>
      </w:r>
      <w:r>
        <w:rPr>
          <w:rFonts w:hint="eastAsia" w:ascii="仿宋_GB2312" w:hAnsi="Times New Roman" w:eastAsia="仿宋_GB2312" w:cs="Times New Roman"/>
          <w:color w:val="000000"/>
          <w:sz w:val="32"/>
          <w:szCs w:val="32"/>
          <w:lang w:eastAsia="zh-CN"/>
        </w:rPr>
        <w:t>直属商协会党委委员、市工商联</w:t>
      </w:r>
      <w:r>
        <w:rPr>
          <w:rFonts w:hint="eastAsia" w:ascii="仿宋_GB2312" w:hAnsi="Times New Roman" w:eastAsia="仿宋_GB2312" w:cs="Times New Roman"/>
          <w:color w:val="000000"/>
          <w:sz w:val="32"/>
          <w:szCs w:val="32"/>
        </w:rPr>
        <w:t>会计出纳等具体负责项目支出绩效</w:t>
      </w:r>
      <w:r>
        <w:rPr>
          <w:rFonts w:hint="eastAsia" w:ascii="仿宋_GB2312" w:hAnsi="Times New Roman" w:eastAsia="仿宋_GB2312" w:cs="Times New Roman"/>
          <w:color w:val="000000"/>
          <w:sz w:val="32"/>
          <w:szCs w:val="32"/>
          <w:lang w:eastAsia="zh-CN"/>
        </w:rPr>
        <w:t>考评</w:t>
      </w:r>
      <w:r>
        <w:rPr>
          <w:rFonts w:hint="eastAsia" w:ascii="仿宋_GB2312" w:hAnsi="Times New Roman" w:eastAsia="仿宋_GB2312" w:cs="Times New Roman"/>
          <w:color w:val="000000"/>
          <w:sz w:val="32"/>
          <w:szCs w:val="32"/>
        </w:rPr>
        <w:t>自评各项工作。</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83" w:name="_Toc23031"/>
      <w:r>
        <w:rPr>
          <w:rFonts w:hint="eastAsia" w:ascii="Times New Roman" w:hAnsi="Times New Roman" w:eastAsia="黑体"/>
          <w:b w:val="0"/>
          <w:lang w:val="zh-CN"/>
        </w:rPr>
        <w:t>三、</w:t>
      </w:r>
      <w:r>
        <w:rPr>
          <w:rFonts w:hint="eastAsia" w:ascii="Times New Roman" w:hAnsi="Times New Roman" w:eastAsia="黑体"/>
          <w:b w:val="0"/>
          <w:lang w:val="zh-CN" w:eastAsia="zh-CN"/>
        </w:rPr>
        <w:t>绩效分析</w:t>
      </w:r>
      <w:bookmarkEnd w:id="83"/>
      <w:r>
        <w:rPr>
          <w:rFonts w:hint="eastAsia" w:ascii="Times New Roman" w:hAnsi="Times New Roman" w:eastAsia="黑体"/>
          <w:b w:val="0"/>
          <w:lang w:val="zh-CN"/>
        </w:rPr>
        <w:tab/>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楷体_GB2312" w:hAnsi="宋体" w:eastAsia="楷体_GB2312" w:cs="Times New Roman"/>
          <w:sz w:val="32"/>
          <w:szCs w:val="32"/>
          <w:lang w:val="zh-CN"/>
        </w:rPr>
      </w:pPr>
      <w:r>
        <w:rPr>
          <w:rFonts w:hint="eastAsia" w:ascii="楷体_GB2312" w:hAnsi="宋体" w:eastAsia="楷体_GB2312" w:cs="Times New Roman"/>
          <w:sz w:val="32"/>
          <w:szCs w:val="32"/>
          <w:lang w:val="en-US" w:eastAsia="zh-CN"/>
        </w:rPr>
        <w:t>1.</w:t>
      </w:r>
      <w:r>
        <w:rPr>
          <w:rFonts w:hint="eastAsia" w:ascii="楷体_GB2312" w:hAnsi="宋体" w:eastAsia="楷体_GB2312" w:cs="Times New Roman"/>
          <w:sz w:val="32"/>
          <w:szCs w:val="32"/>
          <w:lang w:val="zh-CN"/>
        </w:rPr>
        <w:t>项目决策（</w:t>
      </w:r>
      <w:r>
        <w:rPr>
          <w:rFonts w:hint="eastAsia" w:ascii="楷体_GB2312" w:hAnsi="宋体" w:eastAsia="楷体_GB2312" w:cs="Times New Roman"/>
          <w:sz w:val="32"/>
          <w:szCs w:val="32"/>
          <w:lang w:val="en-US" w:eastAsia="zh-CN"/>
        </w:rPr>
        <w:t>18分</w:t>
      </w:r>
      <w:r>
        <w:rPr>
          <w:rFonts w:hint="eastAsia" w:ascii="楷体_GB2312" w:hAnsi="宋体" w:eastAsia="楷体_GB2312" w:cs="Times New Roman"/>
          <w:sz w:val="32"/>
          <w:szCs w:val="32"/>
          <w:lang w:val="zh-CN"/>
        </w:rPr>
        <w:t>）</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jc w:val="both"/>
        <w:textAlignment w:val="auto"/>
        <w:rPr>
          <w:rFonts w:hint="eastAsia" w:ascii="楷体_GB2312" w:hAnsi="宋体" w:eastAsia="楷体_GB2312" w:cs="Times New Roman"/>
          <w:kern w:val="2"/>
          <w:sz w:val="32"/>
          <w:szCs w:val="32"/>
          <w:lang w:val="en-US" w:eastAsia="zh-CN" w:bidi="ar-SA"/>
        </w:rPr>
      </w:pPr>
      <w:r>
        <w:rPr>
          <w:rFonts w:hint="eastAsia" w:ascii="楷体_GB2312" w:hAnsi="宋体" w:eastAsia="楷体_GB2312" w:cs="Times New Roman"/>
          <w:kern w:val="2"/>
          <w:sz w:val="32"/>
          <w:szCs w:val="32"/>
          <w:lang w:val="en-US" w:eastAsia="zh-CN" w:bidi="ar-SA"/>
        </w:rPr>
        <w:t>①决策程序（6分）</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按照中央组织部、财政部、国家税务总局和省委组织部、省财政厅、省国家税务局、省地方税务局“建立两新组织党建工作经费保障机制”相关要求，2015年市委组织部联合市财政局、市国税局、市地税局下发《关于进一步加强“两新”组织党建工作经费保障的通知》（广组通</w:t>
      </w:r>
      <w:r>
        <w:rPr>
          <w:rFonts w:hint="eastAsia" w:ascii="方正小标宋简体" w:hAnsi="方正小标宋简体" w:eastAsia="方正小标宋简体" w:cs="方正小标宋简体"/>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2015</w:t>
      </w:r>
      <w:r>
        <w:rPr>
          <w:rFonts w:hint="eastAsia" w:ascii="方正小标宋简体" w:hAnsi="方正小标宋简体" w:eastAsia="方正小标宋简体" w:cs="方正小标宋简体"/>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41号），就进一步建立健全两新组织党建工作经费，提出了明确要求（自评得分6分）。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楷体_GB2312" w:hAnsi="宋体" w:eastAsia="楷体_GB2312" w:cs="Times New Roman"/>
          <w:sz w:val="32"/>
          <w:szCs w:val="32"/>
          <w:lang w:val="en-US" w:eastAsia="zh-CN"/>
        </w:rPr>
      </w:pPr>
      <w:r>
        <w:rPr>
          <w:rFonts w:hint="eastAsia" w:ascii="楷体_GB2312" w:hAnsi="宋体" w:eastAsia="楷体_GB2312" w:cs="Times New Roman"/>
          <w:sz w:val="32"/>
          <w:szCs w:val="32"/>
          <w:lang w:val="en-US" w:eastAsia="zh-CN"/>
        </w:rPr>
        <w:t>②规划论证（6分）。</w:t>
      </w:r>
    </w:p>
    <w:p>
      <w:pPr>
        <w:keepNext w:val="0"/>
        <w:keepLines w:val="0"/>
        <w:pageBreakBefore w:val="0"/>
        <w:widowControl w:val="0"/>
        <w:numPr>
          <w:ilvl w:val="0"/>
          <w:numId w:val="0"/>
        </w:numPr>
        <w:kinsoku/>
        <w:wordWrap/>
        <w:overflowPunct/>
        <w:topLinePunct w:val="0"/>
        <w:autoSpaceDE/>
        <w:autoSpaceDN/>
        <w:bidi w:val="0"/>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根据市委组织部联合市财政局、市国税局、市地税局联合下发的文件，每年市委组织部、市委两新工委对主管的各行业党委、两新党组织数量、经费总额进行核实、评估、汇总，</w:t>
      </w:r>
      <w:r>
        <w:rPr>
          <w:rFonts w:hint="eastAsia" w:ascii="仿宋_GB2312" w:hAnsi="宋体" w:eastAsia="仿宋_GB2312" w:cs="Times New Roman"/>
          <w:color w:val="000000"/>
          <w:kern w:val="2"/>
          <w:sz w:val="32"/>
          <w:szCs w:val="32"/>
          <w:lang w:val="en-US" w:eastAsia="zh-CN" w:bidi="ar-SA"/>
        </w:rPr>
        <w:t>按照《中共广元市委组织部关于划拨2023年市本级两新组织党建工作经费的函》，划拨给各行业党委及下辖的两新党组织（自评得分6分）。</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jc w:val="both"/>
        <w:textAlignment w:val="auto"/>
        <w:rPr>
          <w:rFonts w:hint="eastAsia" w:ascii="楷体_GB2312" w:hAnsi="宋体" w:eastAsia="楷体_GB2312" w:cs="Times New Roman"/>
          <w:kern w:val="2"/>
          <w:sz w:val="32"/>
          <w:szCs w:val="32"/>
          <w:lang w:val="en-US" w:eastAsia="zh-CN" w:bidi="ar-SA"/>
        </w:rPr>
      </w:pPr>
      <w:r>
        <w:rPr>
          <w:rFonts w:hint="eastAsia" w:ascii="楷体_GB2312" w:hAnsi="宋体" w:eastAsia="楷体_GB2312" w:cs="Times New Roman"/>
          <w:kern w:val="2"/>
          <w:sz w:val="32"/>
          <w:szCs w:val="32"/>
          <w:lang w:val="en-US" w:eastAsia="zh-CN" w:bidi="ar-SA"/>
        </w:rPr>
        <w:t>③资金投向。（6分）</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jc w:val="both"/>
        <w:textAlignment w:val="auto"/>
        <w:rPr>
          <w:rFonts w:hint="eastAsia" w:ascii="仿宋_GB2312" w:hAnsi="宋体" w:eastAsia="仿宋_GB2312" w:cs="Times New Roman"/>
          <w:color w:val="000000"/>
          <w:kern w:val="2"/>
          <w:sz w:val="32"/>
          <w:szCs w:val="32"/>
          <w:lang w:val="en-US" w:eastAsia="zh-CN" w:bidi="ar-SA"/>
        </w:rPr>
      </w:pPr>
      <w:r>
        <w:rPr>
          <w:rFonts w:hint="eastAsia" w:ascii="仿宋_GB2312" w:hAnsi="宋体" w:eastAsia="仿宋_GB2312" w:cs="Times New Roman"/>
          <w:color w:val="000000"/>
          <w:kern w:val="2"/>
          <w:sz w:val="32"/>
          <w:szCs w:val="32"/>
          <w:lang w:val="en-US" w:eastAsia="zh-CN" w:bidi="ar-SA"/>
        </w:rPr>
        <w:t>2024年总金额4.78万元。其中，广元市工商联直属商协会联合党委1万元，广元市商贸协会党支部、福建商会党支部、浙江温州商会党支部、市江西商会党支部、市广告协会党支部、市汽车行业协会党支部、市质量品牌协会党支部、市五金机电建材商会党支部、市遂宁商会党支部等9个党支部每个党支部经费0.42万元（包含：0.3万元党组织活动经费、0.12万元党组织书记岗位补贴），共计3.78万元（自评得分6分）。</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2.项目管理（18分）</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jc w:val="both"/>
        <w:textAlignment w:val="auto"/>
        <w:rPr>
          <w:rFonts w:hint="eastAsia" w:ascii="楷体_GB2312" w:hAnsi="宋体" w:eastAsia="楷体_GB2312" w:cs="Times New Roman"/>
          <w:kern w:val="2"/>
          <w:sz w:val="32"/>
          <w:szCs w:val="32"/>
          <w:lang w:val="en-US" w:eastAsia="zh-CN" w:bidi="ar-SA"/>
        </w:rPr>
      </w:pPr>
      <w:r>
        <w:rPr>
          <w:rFonts w:hint="eastAsia" w:ascii="楷体_GB2312" w:hAnsi="宋体" w:eastAsia="楷体_GB2312" w:cs="Times New Roman"/>
          <w:kern w:val="2"/>
          <w:sz w:val="32"/>
          <w:szCs w:val="32"/>
          <w:lang w:val="en-US" w:eastAsia="zh-CN" w:bidi="ar-SA"/>
        </w:rPr>
        <w:t>①制度办法。（2分）</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jc w:val="both"/>
        <w:textAlignment w:val="auto"/>
        <w:rPr>
          <w:rFonts w:hint="default" w:ascii="仿宋_GB2312" w:hAnsi="宋体" w:eastAsia="仿宋_GB2312" w:cs="Times New Roman"/>
          <w:color w:val="000000"/>
          <w:kern w:val="2"/>
          <w:sz w:val="32"/>
          <w:szCs w:val="32"/>
          <w:lang w:val="en-US" w:eastAsia="zh-CN" w:bidi="ar-SA"/>
        </w:rPr>
      </w:pPr>
      <w:r>
        <w:rPr>
          <w:rFonts w:hint="eastAsia" w:ascii="仿宋_GB2312" w:hAnsi="宋体" w:eastAsia="仿宋_GB2312" w:cs="Times New Roman"/>
          <w:color w:val="000000"/>
          <w:kern w:val="2"/>
          <w:sz w:val="32"/>
          <w:szCs w:val="32"/>
          <w:lang w:val="en-US" w:eastAsia="zh-CN" w:bidi="ar-SA"/>
        </w:rPr>
        <w:t>为便于资金管理和使用，市工商联直属商协会联合党委按照《中共广元市委组织部关于划拨2024年市本级两新组织党建工作经费的函》的要求，进一步细化了制定了详细工作方案，并严格按照市财政支出相关规定严格落实。（自评得分2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cs="Times New Roman"/>
          <w:color w:val="000000"/>
          <w:kern w:val="2"/>
          <w:sz w:val="32"/>
          <w:szCs w:val="32"/>
          <w:lang w:val="en-US" w:eastAsia="zh-CN" w:bidi="ar-SA"/>
        </w:rPr>
      </w:pPr>
      <w:r>
        <w:rPr>
          <w:rFonts w:hint="eastAsia" w:ascii="楷体_GB2312" w:hAnsi="宋体" w:eastAsia="楷体_GB2312" w:cs="Times New Roman"/>
          <w:sz w:val="32"/>
          <w:szCs w:val="32"/>
          <w:lang w:val="en-US" w:eastAsia="zh-CN"/>
        </w:rPr>
        <w:t>②分配管理</w:t>
      </w:r>
      <w:r>
        <w:rPr>
          <w:rFonts w:hint="eastAsia" w:ascii="仿宋_GB2312" w:hAnsi="宋体" w:eastAsia="仿宋_GB2312" w:cs="Times New Roman"/>
          <w:color w:val="000000"/>
          <w:kern w:val="2"/>
          <w:sz w:val="32"/>
          <w:szCs w:val="32"/>
          <w:lang w:val="en-US" w:eastAsia="zh-CN" w:bidi="ar-SA"/>
        </w:rPr>
        <w:t>。（10分）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cs="Times New Roman"/>
          <w:color w:val="000000"/>
          <w:kern w:val="2"/>
          <w:sz w:val="32"/>
          <w:szCs w:val="32"/>
          <w:lang w:val="en-US" w:eastAsia="zh-CN" w:bidi="ar-SA"/>
        </w:rPr>
      </w:pPr>
      <w:r>
        <w:rPr>
          <w:rFonts w:hint="eastAsia" w:ascii="仿宋_GB2312" w:hAnsi="Times New Roman" w:eastAsia="仿宋_GB2312" w:cs="Times New Roman"/>
          <w:b w:val="0"/>
          <w:color w:val="000000"/>
          <w:kern w:val="2"/>
          <w:sz w:val="32"/>
          <w:szCs w:val="32"/>
          <w:lang w:val="zh-CN"/>
        </w:rPr>
        <w:t>市工商联直属商协会党组织两新党建经费分配管理</w:t>
      </w:r>
      <w:r>
        <w:rPr>
          <w:rFonts w:ascii="仿宋_GB2312" w:hAnsi="Times New Roman" w:eastAsia="仿宋_GB2312" w:cs="Times New Roman"/>
          <w:b w:val="0"/>
          <w:color w:val="000000"/>
          <w:kern w:val="2"/>
          <w:sz w:val="32"/>
          <w:szCs w:val="32"/>
          <w:lang w:val="zh-CN"/>
        </w:rPr>
        <w:t>遵循以下原则：一是公开透明。</w:t>
      </w:r>
      <w:r>
        <w:rPr>
          <w:rFonts w:hint="eastAsia" w:ascii="仿宋_GB2312" w:hAnsi="宋体" w:eastAsia="仿宋_GB2312" w:cs="Times New Roman"/>
          <w:color w:val="000000"/>
          <w:kern w:val="2"/>
          <w:sz w:val="32"/>
          <w:szCs w:val="32"/>
          <w:lang w:val="en-US" w:eastAsia="zh-CN" w:bidi="ar-SA"/>
        </w:rPr>
        <w:t>市工商联直属商协会联合党委结合市委两新工委文件精神，将资金分配使用情况上报市工商联党组会，市工商联党组成员专题研究各直属商协会党组织党建经费分配情况，经党组会研究同意后第一时间划拨给各直属商协会党组织。</w:t>
      </w:r>
      <w:r>
        <w:rPr>
          <w:rFonts w:ascii="仿宋_GB2312" w:hAnsi="Times New Roman" w:eastAsia="仿宋_GB2312" w:cs="Times New Roman"/>
          <w:b w:val="0"/>
          <w:color w:val="000000"/>
          <w:kern w:val="2"/>
          <w:sz w:val="32"/>
          <w:szCs w:val="32"/>
          <w:lang w:val="zh-CN"/>
        </w:rPr>
        <w:t>二是高效科学。专项资金使用以提高资金使用效益为基本导向，增强资金使用的绩效观念</w:t>
      </w:r>
      <w:r>
        <w:rPr>
          <w:rFonts w:hint="eastAsia" w:ascii="仿宋_GB2312" w:hAnsi="Times New Roman" w:eastAsia="仿宋_GB2312" w:cs="Times New Roman"/>
          <w:b w:val="0"/>
          <w:color w:val="000000"/>
          <w:kern w:val="2"/>
          <w:sz w:val="32"/>
          <w:szCs w:val="32"/>
          <w:lang w:val="zh-CN"/>
        </w:rPr>
        <w:t>。三是合理使用。</w:t>
      </w:r>
      <w:r>
        <w:rPr>
          <w:rFonts w:ascii="仿宋_GB2312" w:hAnsi="Times New Roman" w:eastAsia="仿宋_GB2312" w:cs="Times New Roman"/>
          <w:b w:val="0"/>
          <w:color w:val="000000"/>
          <w:kern w:val="2"/>
          <w:sz w:val="32"/>
          <w:szCs w:val="32"/>
          <w:lang w:val="zh-CN"/>
        </w:rPr>
        <w:t>专项资金使用严格遵守有关法律、法规和相关规章制度。</w:t>
      </w:r>
      <w:r>
        <w:rPr>
          <w:rFonts w:hint="eastAsia" w:ascii="仿宋_GB2312" w:hAnsi="宋体" w:eastAsia="仿宋_GB2312" w:cs="Times New Roman"/>
          <w:color w:val="000000"/>
          <w:kern w:val="2"/>
          <w:sz w:val="32"/>
          <w:szCs w:val="32"/>
          <w:lang w:val="en-US" w:eastAsia="zh-CN" w:bidi="ar-SA"/>
        </w:rPr>
        <w:t>（自评得分10分）。</w:t>
      </w:r>
    </w:p>
    <w:p>
      <w:pPr>
        <w:keepNext w:val="0"/>
        <w:keepLines w:val="0"/>
        <w:pageBreakBefore w:val="0"/>
        <w:widowControl w:val="0"/>
        <w:numPr>
          <w:ilvl w:val="0"/>
          <w:numId w:val="0"/>
        </w:numPr>
        <w:kinsoku/>
        <w:wordWrap/>
        <w:overflowPunct/>
        <w:topLinePunct w:val="0"/>
        <w:autoSpaceDE/>
        <w:autoSpaceDN/>
        <w:bidi w:val="0"/>
        <w:spacing w:after="0" w:line="520" w:lineRule="exact"/>
        <w:ind w:firstLine="640" w:firstLineChars="200"/>
        <w:jc w:val="both"/>
        <w:textAlignment w:val="auto"/>
        <w:rPr>
          <w:rFonts w:hint="eastAsia" w:ascii="楷体_GB2312" w:hAnsi="宋体" w:eastAsia="楷体_GB2312" w:cs="Times New Roman"/>
          <w:kern w:val="2"/>
          <w:sz w:val="32"/>
          <w:szCs w:val="32"/>
          <w:lang w:val="en-US" w:eastAsia="zh-CN" w:bidi="ar-SA"/>
        </w:rPr>
      </w:pPr>
      <w:r>
        <w:rPr>
          <w:rFonts w:hint="eastAsia" w:ascii="楷体_GB2312" w:hAnsi="宋体" w:eastAsia="楷体_GB2312" w:cs="Times New Roman"/>
          <w:kern w:val="2"/>
          <w:sz w:val="32"/>
          <w:szCs w:val="32"/>
          <w:lang w:val="en-US" w:eastAsia="zh-CN" w:bidi="ar-SA"/>
        </w:rPr>
        <w:t>③绩效监管。（6分）</w:t>
      </w:r>
    </w:p>
    <w:p>
      <w:pPr>
        <w:keepNext w:val="0"/>
        <w:keepLines w:val="0"/>
        <w:pageBreakBefore w:val="0"/>
        <w:widowControl w:val="0"/>
        <w:numPr>
          <w:ilvl w:val="0"/>
          <w:numId w:val="0"/>
        </w:numPr>
        <w:kinsoku/>
        <w:wordWrap/>
        <w:overflowPunct/>
        <w:topLinePunct w:val="0"/>
        <w:autoSpaceDE/>
        <w:autoSpaceDN/>
        <w:bidi w:val="0"/>
        <w:spacing w:after="0" w:line="52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该项经费拨付到各直属商协会专项账户上后，市工商联直属商协会联合党委通过召开党委扩大会议、开展党建工作调研、电话提醒提示问询等方式，确保各支部的党建工作经费专项使用、专门落实到位。</w:t>
      </w:r>
      <w:r>
        <w:rPr>
          <w:rFonts w:hint="eastAsia" w:ascii="仿宋_GB2312" w:hAnsi="宋体" w:eastAsia="仿宋_GB2312" w:cs="Times New Roman"/>
          <w:color w:val="000000"/>
          <w:kern w:val="2"/>
          <w:sz w:val="32"/>
          <w:szCs w:val="32"/>
          <w:lang w:val="en-US" w:eastAsia="zh-CN" w:bidi="ar-SA"/>
        </w:rPr>
        <w:t>（自评得分6分）。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楷体_GB2312" w:hAnsi="宋体" w:eastAsia="楷体_GB2312" w:cs="Times New Roman"/>
          <w:sz w:val="32"/>
          <w:szCs w:val="32"/>
          <w:lang w:val="en-US" w:eastAsia="zh-CN"/>
        </w:rPr>
      </w:pPr>
      <w:r>
        <w:rPr>
          <w:rFonts w:hint="eastAsia" w:ascii="楷体_GB2312" w:hAnsi="宋体" w:eastAsia="楷体_GB2312" w:cs="Times New Roman"/>
          <w:sz w:val="32"/>
          <w:szCs w:val="32"/>
          <w:lang w:val="en-US" w:eastAsia="zh-CN"/>
        </w:rPr>
        <w:t>3.项目实施情况（9分）</w:t>
      </w:r>
    </w:p>
    <w:p>
      <w:pPr>
        <w:keepNext w:val="0"/>
        <w:keepLines w:val="0"/>
        <w:pageBreakBefore w:val="0"/>
        <w:widowControl w:val="0"/>
        <w:kinsoku/>
        <w:wordWrap/>
        <w:overflowPunct/>
        <w:topLinePunct w:val="0"/>
        <w:autoSpaceDE/>
        <w:autoSpaceDN/>
        <w:bidi w:val="0"/>
        <w:spacing w:after="0" w:line="520" w:lineRule="exact"/>
        <w:ind w:firstLine="640"/>
        <w:jc w:val="both"/>
        <w:textAlignment w:val="auto"/>
        <w:rPr>
          <w:rFonts w:hint="eastAsia" w:ascii="Times New Roman" w:hAnsi="Times New Roman" w:eastAsia="仿宋_GB2312" w:cs="Times New Roman"/>
          <w:kern w:val="2"/>
          <w:sz w:val="32"/>
          <w:szCs w:val="32"/>
          <w:lang w:val="en-US" w:eastAsia="zh-CN" w:bidi="ar-SA"/>
        </w:rPr>
      </w:pPr>
      <w:r>
        <w:rPr>
          <w:rFonts w:hint="eastAsia" w:ascii="楷体_GB2312" w:hAnsi="宋体" w:eastAsia="楷体_GB2312" w:cs="Times New Roman"/>
          <w:kern w:val="2"/>
          <w:sz w:val="32"/>
          <w:szCs w:val="32"/>
          <w:lang w:val="en-US" w:eastAsia="zh-CN" w:bidi="ar-SA"/>
        </w:rPr>
        <w:t>①预算执行</w:t>
      </w:r>
      <w:r>
        <w:rPr>
          <w:rFonts w:hint="eastAsia" w:ascii="Times New Roman" w:hAnsi="Times New Roman" w:eastAsia="仿宋_GB2312" w:cs="Times New Roman"/>
          <w:kern w:val="2"/>
          <w:sz w:val="32"/>
          <w:szCs w:val="32"/>
          <w:lang w:val="en-US" w:eastAsia="zh-CN" w:bidi="ar-SA"/>
        </w:rPr>
        <w:t>。（6分）</w:t>
      </w:r>
    </w:p>
    <w:p>
      <w:pPr>
        <w:keepNext w:val="0"/>
        <w:keepLines w:val="0"/>
        <w:pageBreakBefore w:val="0"/>
        <w:widowControl w:val="0"/>
        <w:kinsoku/>
        <w:wordWrap/>
        <w:overflowPunct/>
        <w:topLinePunct w:val="0"/>
        <w:autoSpaceDE/>
        <w:autoSpaceDN/>
        <w:bidi w:val="0"/>
        <w:spacing w:after="0" w:line="520" w:lineRule="exact"/>
        <w:ind w:firstLine="64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该项目属广元市委组织部、市委两新工委专项拨付，以</w:t>
      </w:r>
      <w:r>
        <w:rPr>
          <w:rFonts w:hint="eastAsia" w:ascii="仿宋_GB2312" w:hAnsi="宋体" w:eastAsia="仿宋_GB2312" w:cs="Times New Roman"/>
          <w:color w:val="000000"/>
          <w:kern w:val="2"/>
          <w:sz w:val="32"/>
          <w:szCs w:val="32"/>
          <w:lang w:val="en-US" w:eastAsia="zh-CN" w:bidi="ar-SA"/>
        </w:rPr>
        <w:t>《中共广元市委组织部关于划拨2024年市本级两新组织党建工作经费的函》</w:t>
      </w:r>
      <w:r>
        <w:rPr>
          <w:rFonts w:hint="eastAsia" w:ascii="Times New Roman" w:hAnsi="Times New Roman" w:eastAsia="仿宋_GB2312" w:cs="Times New Roman"/>
          <w:kern w:val="2"/>
          <w:sz w:val="32"/>
          <w:szCs w:val="32"/>
          <w:lang w:val="en-US" w:eastAsia="zh-CN" w:bidi="ar-SA"/>
        </w:rPr>
        <w:t>为主要依据，不存在配套资金等情况。自评得6分。</w:t>
      </w:r>
    </w:p>
    <w:p>
      <w:pPr>
        <w:keepNext w:val="0"/>
        <w:keepLines w:val="0"/>
        <w:pageBreakBefore w:val="0"/>
        <w:widowControl w:val="0"/>
        <w:kinsoku/>
        <w:wordWrap/>
        <w:overflowPunct/>
        <w:topLinePunct w:val="0"/>
        <w:autoSpaceDE/>
        <w:autoSpaceDN/>
        <w:bidi w:val="0"/>
        <w:spacing w:line="520" w:lineRule="exact"/>
        <w:ind w:firstLine="640"/>
        <w:textAlignment w:val="auto"/>
        <w:rPr>
          <w:rFonts w:hint="eastAsia" w:ascii="Times New Roman" w:hAnsi="Times New Roman" w:eastAsia="仿宋_GB2312" w:cs="Times New Roman"/>
          <w:sz w:val="32"/>
          <w:szCs w:val="32"/>
          <w:lang w:val="en-US" w:eastAsia="zh-CN"/>
        </w:rPr>
      </w:pPr>
      <w:r>
        <w:rPr>
          <w:rFonts w:hint="eastAsia" w:ascii="楷体_GB2312" w:hAnsi="宋体" w:eastAsia="楷体_GB2312" w:cs="Times New Roman"/>
          <w:sz w:val="32"/>
          <w:szCs w:val="32"/>
          <w:lang w:val="en-US" w:eastAsia="zh-CN"/>
        </w:rPr>
        <w:t>②资金使用</w:t>
      </w:r>
      <w:r>
        <w:rPr>
          <w:rFonts w:hint="eastAsia" w:ascii="Times New Roman" w:hAnsi="Times New Roman" w:eastAsia="仿宋_GB2312" w:cs="Times New Roman"/>
          <w:sz w:val="32"/>
          <w:szCs w:val="32"/>
          <w:lang w:val="en-US" w:eastAsia="zh-CN"/>
        </w:rPr>
        <w:t>。（3分）</w:t>
      </w:r>
    </w:p>
    <w:p>
      <w:pPr>
        <w:keepNext w:val="0"/>
        <w:keepLines w:val="0"/>
        <w:pageBreakBefore w:val="0"/>
        <w:widowControl w:val="0"/>
        <w:kinsoku/>
        <w:wordWrap/>
        <w:overflowPunct/>
        <w:topLinePunct w:val="0"/>
        <w:autoSpaceDE/>
        <w:autoSpaceDN/>
        <w:bidi w:val="0"/>
        <w:spacing w:line="520" w:lineRule="exact"/>
        <w:ind w:firstLine="64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是不存在超范围、超标准、超进度使用专项资金；二是不存在资金损失浪费、长期沉淀、截留、挤占、挪用、虚列支出等情况，项目实施严格遵守相关法律法规；三是广元市工商联直属商协会联合党委使用专项资金1万元，广元市商贸协会党支部等9个党组织各使用资金0.42万元共计使用3.78万元资金。自评得3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楷体_GB2312" w:hAnsi="宋体" w:eastAsia="楷体_GB2312" w:cs="Times New Roman"/>
          <w:sz w:val="32"/>
          <w:szCs w:val="32"/>
          <w:lang w:val="en-US" w:eastAsia="zh-CN"/>
        </w:rPr>
      </w:pPr>
      <w:r>
        <w:rPr>
          <w:rFonts w:hint="eastAsia" w:ascii="楷体_GB2312" w:hAnsi="宋体" w:eastAsia="楷体_GB2312" w:cs="Times New Roman"/>
          <w:sz w:val="32"/>
          <w:szCs w:val="32"/>
          <w:lang w:val="en-US" w:eastAsia="zh-CN"/>
        </w:rPr>
        <w:t>4.项目结果情况（9分）</w:t>
      </w:r>
    </w:p>
    <w:p>
      <w:pPr>
        <w:keepNext w:val="0"/>
        <w:keepLines w:val="0"/>
        <w:pageBreakBefore w:val="0"/>
        <w:widowControl w:val="0"/>
        <w:kinsoku/>
        <w:wordWrap/>
        <w:overflowPunct/>
        <w:topLinePunct w:val="0"/>
        <w:autoSpaceDE/>
        <w:autoSpaceDN/>
        <w:bidi w:val="0"/>
        <w:spacing w:line="520" w:lineRule="exact"/>
        <w:ind w:firstLine="645"/>
        <w:textAlignment w:val="auto"/>
        <w:rPr>
          <w:rFonts w:hint="eastAsia" w:ascii="Times New Roman" w:hAnsi="Times New Roman" w:eastAsia="仿宋_GB2312" w:cs="Times New Roman"/>
          <w:sz w:val="32"/>
          <w:szCs w:val="32"/>
          <w:lang w:val="en-US" w:eastAsia="zh-CN"/>
        </w:rPr>
      </w:pPr>
      <w:r>
        <w:rPr>
          <w:rFonts w:hint="eastAsia" w:ascii="楷体_GB2312" w:hAnsi="宋体" w:eastAsia="楷体_GB2312" w:cs="Times New Roman"/>
          <w:sz w:val="32"/>
          <w:szCs w:val="32"/>
          <w:lang w:val="en-US" w:eastAsia="zh-CN"/>
        </w:rPr>
        <w:t>①目标完成</w:t>
      </w:r>
      <w:r>
        <w:rPr>
          <w:rFonts w:hint="eastAsia" w:ascii="Times New Roman" w:hAnsi="Times New Roman" w:eastAsia="仿宋_GB2312" w:cs="Times New Roman"/>
          <w:sz w:val="32"/>
          <w:szCs w:val="32"/>
          <w:lang w:val="en-US" w:eastAsia="zh-CN"/>
        </w:rPr>
        <w:t>。（6分）</w:t>
      </w:r>
    </w:p>
    <w:p>
      <w:pPr>
        <w:keepNext w:val="0"/>
        <w:keepLines w:val="0"/>
        <w:pageBreakBefore w:val="0"/>
        <w:widowControl w:val="0"/>
        <w:kinsoku/>
        <w:wordWrap/>
        <w:overflowPunct/>
        <w:topLinePunct w:val="0"/>
        <w:autoSpaceDE/>
        <w:autoSpaceDN/>
        <w:bidi w:val="0"/>
        <w:spacing w:line="520" w:lineRule="exact"/>
        <w:ind w:firstLine="645"/>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rPr>
        <w:t>一是直属商协会党组织严格按照党建工作经费用途，召开党员大会，专题明确资金拨付及使用范围，进一步明确党建工作经费专款专用工作机制；二是各支部根据财务管理制度，严格落实费用支出和使用明细，确保每笔资金公开、透明，经得起审核；三是市工商联直属商协会联合党委定期深入各党支部走访调研、实地走访、全面摸排党建工作开展、工作经费使用、存在困难问题等相关情况；四是通过党委与各党支部之间“一级抓一级、层层抓落实”的工作模式，确保党建工作经费使用落到实处。自评得6分。</w:t>
      </w:r>
    </w:p>
    <w:p>
      <w:pPr>
        <w:keepNext w:val="0"/>
        <w:keepLines w:val="0"/>
        <w:pageBreakBefore w:val="0"/>
        <w:widowControl w:val="0"/>
        <w:numPr>
          <w:ilvl w:val="0"/>
          <w:numId w:val="0"/>
        </w:numPr>
        <w:kinsoku/>
        <w:wordWrap/>
        <w:overflowPunct/>
        <w:topLinePunct w:val="0"/>
        <w:autoSpaceDE/>
        <w:autoSpaceDN/>
        <w:bidi w:val="0"/>
        <w:spacing w:after="0" w:line="520" w:lineRule="exact"/>
        <w:ind w:firstLine="640" w:firstLineChars="200"/>
        <w:jc w:val="both"/>
        <w:textAlignment w:val="auto"/>
        <w:rPr>
          <w:rFonts w:hint="eastAsia" w:ascii="楷体_GB2312" w:hAnsi="宋体" w:eastAsia="楷体_GB2312" w:cs="Times New Roman"/>
          <w:kern w:val="2"/>
          <w:sz w:val="32"/>
          <w:szCs w:val="32"/>
          <w:lang w:val="en-US" w:eastAsia="zh-CN" w:bidi="ar-SA"/>
        </w:rPr>
      </w:pPr>
      <w:r>
        <w:rPr>
          <w:rFonts w:hint="eastAsia" w:ascii="楷体_GB2312" w:hAnsi="宋体" w:eastAsia="楷体_GB2312" w:cs="Times New Roman"/>
          <w:kern w:val="2"/>
          <w:sz w:val="32"/>
          <w:szCs w:val="32"/>
          <w:lang w:val="en-US" w:eastAsia="zh-CN" w:bidi="ar-SA"/>
        </w:rPr>
        <w:t>②完成时效。（3分）</w:t>
      </w:r>
    </w:p>
    <w:p>
      <w:pPr>
        <w:keepNext w:val="0"/>
        <w:keepLines w:val="0"/>
        <w:pageBreakBefore w:val="0"/>
        <w:widowControl w:val="0"/>
        <w:numPr>
          <w:ilvl w:val="0"/>
          <w:numId w:val="0"/>
        </w:numPr>
        <w:kinsoku/>
        <w:wordWrap/>
        <w:overflowPunct/>
        <w:topLinePunct w:val="0"/>
        <w:autoSpaceDE/>
        <w:autoSpaceDN/>
        <w:bidi w:val="0"/>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该党建工作经费严格按照市委组织部、市委两新组织要求，在2024年12月31日前完成使用。自评得3分。</w:t>
      </w:r>
    </w:p>
    <w:p>
      <w:pPr>
        <w:keepNext w:val="0"/>
        <w:keepLines w:val="0"/>
        <w:pageBreakBefore w:val="0"/>
        <w:widowControl w:val="0"/>
        <w:numPr>
          <w:ilvl w:val="0"/>
          <w:numId w:val="4"/>
        </w:numPr>
        <w:kinsoku/>
        <w:wordWrap/>
        <w:overflowPunct/>
        <w:topLinePunct w:val="0"/>
        <w:autoSpaceDE/>
        <w:autoSpaceDN/>
        <w:bidi w:val="0"/>
        <w:spacing w:after="0" w:line="520" w:lineRule="exact"/>
        <w:ind w:firstLine="640"/>
        <w:jc w:val="both"/>
        <w:textAlignment w:val="auto"/>
        <w:rPr>
          <w:rFonts w:hint="default" w:ascii="Times New Roman" w:hAnsi="Times New Roman" w:eastAsia="楷体_GB2312" w:cs="Times New Roman"/>
          <w:b/>
          <w:bCs/>
          <w:color w:val="000000"/>
          <w:kern w:val="0"/>
          <w:sz w:val="32"/>
          <w:szCs w:val="32"/>
          <w:highlight w:val="none"/>
          <w:shd w:val="clear" w:color="auto" w:fill="FFFFFF"/>
          <w:lang w:val="zh-CN" w:eastAsia="zh-CN" w:bidi="ar-SA"/>
        </w:rPr>
      </w:pPr>
      <w:r>
        <w:rPr>
          <w:rFonts w:hint="eastAsia" w:ascii="楷体_GB2312" w:hAnsi="宋体" w:eastAsia="楷体_GB2312" w:cs="Times New Roman"/>
          <w:b/>
          <w:color w:val="auto"/>
          <w:kern w:val="2"/>
          <w:sz w:val="32"/>
          <w:szCs w:val="32"/>
          <w:highlight w:val="none"/>
          <w:u w:val="none"/>
          <w:lang w:val="en-US" w:eastAsia="zh-CN" w:bidi="ar-SA"/>
        </w:rPr>
        <w:t>专用指标</w:t>
      </w:r>
      <w:r>
        <w:rPr>
          <w:rFonts w:hint="default" w:ascii="Times New Roman" w:hAnsi="Times New Roman" w:eastAsia="楷体_GB2312" w:cs="Times New Roman"/>
          <w:b/>
          <w:bCs/>
          <w:color w:val="000000"/>
          <w:kern w:val="0"/>
          <w:sz w:val="32"/>
          <w:szCs w:val="32"/>
          <w:highlight w:val="none"/>
          <w:shd w:val="clear" w:color="auto" w:fill="FFFFFF"/>
          <w:lang w:val="zh-CN" w:eastAsia="zh-CN" w:bidi="ar-SA"/>
        </w:rPr>
        <w:t>绩效分析。</w:t>
      </w:r>
    </w:p>
    <w:p>
      <w:pPr>
        <w:keepNext w:val="0"/>
        <w:keepLines w:val="0"/>
        <w:pageBreakBefore w:val="0"/>
        <w:widowControl w:val="0"/>
        <w:numPr>
          <w:ilvl w:val="0"/>
          <w:numId w:val="0"/>
        </w:numPr>
        <w:kinsoku/>
        <w:wordWrap/>
        <w:overflowPunct/>
        <w:topLinePunct w:val="0"/>
        <w:autoSpaceDE/>
        <w:autoSpaceDN/>
        <w:bidi w:val="0"/>
        <w:spacing w:after="0" w:line="52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该项工作属于行政运转事宜，严格按照相关规定执行。</w:t>
      </w:r>
    </w:p>
    <w:p>
      <w:pPr>
        <w:keepNext w:val="0"/>
        <w:keepLines w:val="0"/>
        <w:pageBreakBefore w:val="0"/>
        <w:widowControl w:val="0"/>
        <w:numPr>
          <w:ilvl w:val="0"/>
          <w:numId w:val="5"/>
        </w:numPr>
        <w:kinsoku/>
        <w:wordWrap/>
        <w:overflowPunct/>
        <w:topLinePunct w:val="0"/>
        <w:autoSpaceDE/>
        <w:autoSpaceDN/>
        <w:bidi w:val="0"/>
        <w:spacing w:after="0" w:line="520" w:lineRule="exact"/>
        <w:ind w:firstLine="640"/>
        <w:jc w:val="both"/>
        <w:textAlignment w:val="auto"/>
        <w:rPr>
          <w:rFonts w:hint="eastAsia" w:ascii="Times New Roman" w:hAnsi="Times New Roman" w:eastAsia="仿宋_GB2312" w:cs="Times New Roman"/>
          <w:kern w:val="2"/>
          <w:sz w:val="32"/>
          <w:szCs w:val="32"/>
          <w:lang w:val="en-US" w:eastAsia="zh-CN" w:bidi="ar-SA"/>
        </w:rPr>
      </w:pPr>
      <w:r>
        <w:rPr>
          <w:rFonts w:hint="eastAsia" w:ascii="楷体_GB2312" w:hAnsi="宋体" w:eastAsia="楷体_GB2312" w:cs="Times New Roman"/>
          <w:kern w:val="2"/>
          <w:sz w:val="32"/>
          <w:szCs w:val="32"/>
          <w:lang w:val="en-US" w:eastAsia="zh-CN" w:bidi="ar-SA"/>
        </w:rPr>
        <w:t>用途合规性</w:t>
      </w:r>
      <w:r>
        <w:rPr>
          <w:rFonts w:hint="eastAsia" w:ascii="Times New Roman" w:hAnsi="Times New Roman" w:eastAsia="仿宋_GB2312" w:cs="Times New Roman"/>
          <w:kern w:val="2"/>
          <w:sz w:val="32"/>
          <w:szCs w:val="32"/>
          <w:lang w:val="en-US" w:eastAsia="zh-CN" w:bidi="ar-SA"/>
        </w:rPr>
        <w:t>。（10分）</w:t>
      </w:r>
    </w:p>
    <w:p>
      <w:pPr>
        <w:keepNext w:val="0"/>
        <w:keepLines w:val="0"/>
        <w:pageBreakBefore w:val="0"/>
        <w:widowControl w:val="0"/>
        <w:numPr>
          <w:ilvl w:val="0"/>
          <w:numId w:val="0"/>
        </w:numPr>
        <w:kinsoku/>
        <w:wordWrap/>
        <w:overflowPunct/>
        <w:topLinePunct w:val="0"/>
        <w:autoSpaceDE/>
        <w:autoSpaceDN/>
        <w:bidi w:val="0"/>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该项目严格落实厉行节约有关规定和市委组织部党建工作有关规定执行。自评得10分。</w:t>
      </w:r>
    </w:p>
    <w:p>
      <w:pPr>
        <w:keepNext w:val="0"/>
        <w:keepLines w:val="0"/>
        <w:pageBreakBefore w:val="0"/>
        <w:widowControl w:val="0"/>
        <w:numPr>
          <w:ilvl w:val="0"/>
          <w:numId w:val="5"/>
        </w:numPr>
        <w:kinsoku/>
        <w:wordWrap/>
        <w:overflowPunct/>
        <w:topLinePunct w:val="0"/>
        <w:autoSpaceDE/>
        <w:autoSpaceDN/>
        <w:bidi w:val="0"/>
        <w:spacing w:line="520" w:lineRule="exact"/>
        <w:ind w:left="0" w:leftChars="0" w:firstLine="640" w:firstLineChars="0"/>
        <w:textAlignment w:val="auto"/>
        <w:rPr>
          <w:rFonts w:hint="eastAsia" w:ascii="Times New Roman" w:hAnsi="Times New Roman" w:eastAsia="仿宋_GB2312" w:cs="Times New Roman"/>
          <w:sz w:val="32"/>
          <w:szCs w:val="32"/>
          <w:lang w:val="en-US" w:eastAsia="zh-CN"/>
        </w:rPr>
      </w:pPr>
      <w:r>
        <w:rPr>
          <w:rFonts w:hint="eastAsia" w:ascii="楷体_GB2312" w:hAnsi="宋体" w:eastAsia="楷体_GB2312" w:cs="Times New Roman"/>
          <w:sz w:val="32"/>
          <w:szCs w:val="32"/>
          <w:lang w:val="en-US" w:eastAsia="zh-CN"/>
        </w:rPr>
        <w:t>程序合规性</w:t>
      </w:r>
      <w:r>
        <w:rPr>
          <w:rFonts w:hint="eastAsia" w:ascii="Times New Roman" w:hAnsi="Times New Roman" w:eastAsia="仿宋_GB2312" w:cs="Times New Roman"/>
          <w:sz w:val="32"/>
          <w:szCs w:val="32"/>
          <w:lang w:val="en-US" w:eastAsia="zh-CN"/>
        </w:rPr>
        <w:t>。（10分）</w:t>
      </w:r>
    </w:p>
    <w:p>
      <w:pPr>
        <w:keepNext w:val="0"/>
        <w:keepLines w:val="0"/>
        <w:pageBreakBefore w:val="0"/>
        <w:widowControl w:val="0"/>
        <w:numPr>
          <w:ilvl w:val="0"/>
          <w:numId w:val="0"/>
        </w:numPr>
        <w:kinsoku/>
        <w:wordWrap/>
        <w:overflowPunct/>
        <w:topLinePunct w:val="0"/>
        <w:autoSpaceDE/>
        <w:autoSpaceDN/>
        <w:bidi w:val="0"/>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该项目自广元市委两新工委经费划拨后，经市工商联党组会议专题讨论，按照相关规定及时划拨到各直属商协会党组织，通过走访调研、定期检查、年终总结等方式确保资金使用合理合法合规。自评得10分。</w:t>
      </w:r>
    </w:p>
    <w:p>
      <w:pPr>
        <w:keepNext w:val="0"/>
        <w:keepLines w:val="0"/>
        <w:pageBreakBefore w:val="0"/>
        <w:widowControl w:val="0"/>
        <w:numPr>
          <w:ilvl w:val="0"/>
          <w:numId w:val="5"/>
        </w:numPr>
        <w:kinsoku/>
        <w:wordWrap/>
        <w:overflowPunct/>
        <w:topLinePunct w:val="0"/>
        <w:autoSpaceDE/>
        <w:autoSpaceDN/>
        <w:bidi w:val="0"/>
        <w:spacing w:after="0" w:line="520" w:lineRule="exact"/>
        <w:ind w:left="0" w:leftChars="0" w:firstLine="640" w:firstLineChars="0"/>
        <w:jc w:val="both"/>
        <w:textAlignment w:val="auto"/>
        <w:rPr>
          <w:rFonts w:hint="eastAsia" w:ascii="Times New Roman" w:hAnsi="Times New Roman" w:eastAsia="仿宋_GB2312" w:cs="Times New Roman"/>
          <w:kern w:val="2"/>
          <w:sz w:val="32"/>
          <w:szCs w:val="32"/>
          <w:lang w:val="en-US" w:eastAsia="zh-CN" w:bidi="ar-SA"/>
        </w:rPr>
      </w:pPr>
      <w:r>
        <w:rPr>
          <w:rFonts w:hint="eastAsia" w:ascii="楷体_GB2312" w:hAnsi="宋体" w:eastAsia="楷体_GB2312" w:cs="Times New Roman"/>
          <w:kern w:val="2"/>
          <w:sz w:val="32"/>
          <w:szCs w:val="32"/>
          <w:lang w:val="en-US" w:eastAsia="zh-CN" w:bidi="ar-SA"/>
        </w:rPr>
        <w:t>标准合规性</w:t>
      </w:r>
      <w:r>
        <w:rPr>
          <w:rFonts w:hint="eastAsia" w:ascii="Times New Roman" w:hAnsi="Times New Roman" w:eastAsia="仿宋_GB2312" w:cs="Times New Roman"/>
          <w:kern w:val="2"/>
          <w:sz w:val="32"/>
          <w:szCs w:val="32"/>
          <w:lang w:val="en-US" w:eastAsia="zh-CN" w:bidi="ar-SA"/>
        </w:rPr>
        <w:t>。（10分）</w:t>
      </w:r>
    </w:p>
    <w:p>
      <w:pPr>
        <w:keepNext w:val="0"/>
        <w:keepLines w:val="0"/>
        <w:pageBreakBefore w:val="0"/>
        <w:widowControl w:val="0"/>
        <w:numPr>
          <w:ilvl w:val="0"/>
          <w:numId w:val="0"/>
        </w:numPr>
        <w:kinsoku/>
        <w:wordWrap/>
        <w:overflowPunct/>
        <w:topLinePunct w:val="0"/>
        <w:autoSpaceDE/>
        <w:autoSpaceDN/>
        <w:bidi w:val="0"/>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该项目按照中央组织部、财政部、国家税务总局和省委组织部、省财政厅、省国家税务局、省地方税务局“建立两新组织党建工作经费保障机制”相关要求，结合广元财政实际，按照市委组织部、市财政局、市国税局、市地税局联合下发《关于进一步加强“两新”组织党建工作经费保障的通知》（广组通</w:t>
      </w:r>
      <w:r>
        <w:rPr>
          <w:rFonts w:hint="eastAsia" w:ascii="方正小标宋简体" w:hAnsi="方正小标宋简体" w:eastAsia="方正小标宋简体" w:cs="方正小标宋简体"/>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2015</w:t>
      </w:r>
      <w:r>
        <w:rPr>
          <w:rFonts w:hint="eastAsia" w:ascii="方正小标宋简体" w:hAnsi="方正小标宋简体" w:eastAsia="方正小标宋简体" w:cs="方正小标宋简体"/>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41号）的 文件标准执行。自评得10分。</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en-US" w:eastAsia="zh-CN"/>
        </w:rPr>
      </w:pPr>
      <w:bookmarkStart w:id="84" w:name="_Toc12395"/>
      <w:r>
        <w:rPr>
          <w:rFonts w:hint="eastAsia" w:ascii="Times New Roman" w:hAnsi="Times New Roman" w:eastAsia="黑体"/>
          <w:b w:val="0"/>
          <w:lang w:val="en-US" w:eastAsia="zh-CN"/>
        </w:rPr>
        <w:t>四、评价结论</w:t>
      </w:r>
      <w:bookmarkEnd w:id="84"/>
    </w:p>
    <w:p>
      <w:pPr>
        <w:keepNext w:val="0"/>
        <w:keepLines w:val="0"/>
        <w:pageBreakBefore w:val="0"/>
        <w:widowControl w:val="0"/>
        <w:numPr>
          <w:ilvl w:val="0"/>
          <w:numId w:val="0"/>
        </w:numPr>
        <w:tabs>
          <w:tab w:val="left" w:pos="2160"/>
        </w:tabs>
        <w:kinsoku/>
        <w:wordWrap/>
        <w:overflowPunct/>
        <w:topLinePunct w:val="0"/>
        <w:autoSpaceDE/>
        <w:autoSpaceDN/>
        <w:bidi w:val="0"/>
        <w:adjustRightInd/>
        <w:spacing w:after="0" w:line="52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市工商联直属商协会联合党委及9个商协会党支部党建工作经费严格按文件要求支出使用，整个项目有序推进，高质量完成，项目总分84分，自评得分84分。</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en-US" w:eastAsia="zh-CN"/>
        </w:rPr>
      </w:pPr>
      <w:bookmarkStart w:id="85" w:name="_Toc20102"/>
      <w:r>
        <w:rPr>
          <w:rFonts w:hint="eastAsia" w:ascii="Times New Roman" w:hAnsi="Times New Roman" w:eastAsia="黑体"/>
          <w:b w:val="0"/>
          <w:lang w:val="en-US" w:eastAsia="zh-CN"/>
        </w:rPr>
        <w:t>五、存在主要问题</w:t>
      </w:r>
      <w:bookmarkEnd w:id="85"/>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 w:hAnsi="仿宋" w:eastAsia="仿宋" w:cs="仿宋_GB2312"/>
          <w:color w:val="000000"/>
          <w:sz w:val="32"/>
          <w:szCs w:val="32"/>
          <w:lang w:val="zh-CN"/>
        </w:rPr>
      </w:pPr>
      <w:r>
        <w:rPr>
          <w:rFonts w:hint="eastAsia" w:ascii="仿宋" w:hAnsi="仿宋" w:eastAsia="仿宋" w:cs="仿宋_GB2312"/>
          <w:color w:val="000000"/>
          <w:sz w:val="32"/>
          <w:szCs w:val="32"/>
          <w:lang w:val="zh-CN"/>
        </w:rPr>
        <w:t>党建工作定位不够明晰、党建工作质效有待提高、党建工作所需人才不足、党员队伍培养力度不够</w:t>
      </w:r>
      <w:r>
        <w:rPr>
          <w:rFonts w:hint="eastAsia" w:ascii="仿宋" w:hAnsi="仿宋" w:eastAsia="仿宋" w:cs="仿宋_GB2312"/>
          <w:color w:val="000000"/>
          <w:sz w:val="32"/>
          <w:szCs w:val="32"/>
          <w:lang w:eastAsia="zh-CN"/>
        </w:rPr>
        <w:t>等问题</w:t>
      </w:r>
      <w:r>
        <w:rPr>
          <w:rFonts w:hint="eastAsia" w:ascii="仿宋" w:hAnsi="仿宋" w:eastAsia="仿宋" w:cs="仿宋_GB2312"/>
          <w:color w:val="000000"/>
          <w:sz w:val="32"/>
          <w:szCs w:val="32"/>
        </w:rPr>
        <w:t>。</w:t>
      </w:r>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eastAsia="zh-CN"/>
        </w:rPr>
      </w:pPr>
      <w:bookmarkStart w:id="86" w:name="_Toc19261"/>
      <w:r>
        <w:rPr>
          <w:rFonts w:hint="eastAsia" w:ascii="Times New Roman" w:hAnsi="Times New Roman" w:eastAsia="黑体"/>
          <w:b w:val="0"/>
          <w:lang w:val="zh-CN" w:eastAsia="zh-CN"/>
        </w:rPr>
        <w:t>六、改进建议</w:t>
      </w:r>
      <w:bookmarkEnd w:id="86"/>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color w:val="000000"/>
          <w:sz w:val="32"/>
          <w:szCs w:val="32"/>
          <w:lang w:val="en-US" w:eastAsia="zh-CN"/>
        </w:rPr>
      </w:pPr>
      <w:r>
        <w:rPr>
          <w:rFonts w:hint="eastAsia" w:ascii="楷体_GB2312" w:hAnsi="楷体_GB2312" w:eastAsia="楷体_GB2312" w:cs="楷体_GB2312"/>
          <w:i w:val="0"/>
          <w:caps w:val="0"/>
          <w:color w:val="000000"/>
          <w:spacing w:val="0"/>
          <w:kern w:val="0"/>
          <w:sz w:val="32"/>
          <w:szCs w:val="32"/>
          <w:shd w:val="clear" w:color="auto" w:fill="FFFFFF"/>
          <w:lang w:val="en-US" w:eastAsia="zh-CN" w:bidi="ar"/>
        </w:rPr>
        <w:t>（一）持续强化思想政治引领。</w:t>
      </w:r>
      <w:r>
        <w:rPr>
          <w:rFonts w:hint="eastAsia" w:ascii="仿宋_GB2312" w:hAnsi="仿宋_GB2312" w:eastAsia="仿宋_GB2312" w:cs="仿宋_GB2312"/>
          <w:kern w:val="0"/>
          <w:sz w:val="32"/>
          <w:szCs w:val="32"/>
          <w:u w:val="none"/>
          <w:lang w:val="en-US" w:eastAsia="zh-CN" w:bidi="ar-SA"/>
        </w:rPr>
        <w:t>引导商会党支部和党员深入学习贯彻习近平新时代中国特色社会主义思想，</w:t>
      </w:r>
      <w:r>
        <w:rPr>
          <w:rFonts w:hint="eastAsia" w:ascii="仿宋_GB2312" w:hAnsi="仿宋_GB2312" w:eastAsia="仿宋_GB2312" w:cs="仿宋_GB2312"/>
          <w:sz w:val="32"/>
          <w:szCs w:val="32"/>
          <w:lang w:val="en-US" w:eastAsia="zh-CN"/>
        </w:rPr>
        <w:t>团结带领广大民营经济人士与党同心同德。</w:t>
      </w:r>
      <w:r>
        <w:rPr>
          <w:rFonts w:hint="eastAsia" w:ascii="楷体_GB2312" w:hAnsi="楷体_GB2312" w:eastAsia="楷体_GB2312" w:cs="楷体_GB2312"/>
          <w:i w:val="0"/>
          <w:caps w:val="0"/>
          <w:color w:val="000000"/>
          <w:spacing w:val="0"/>
          <w:kern w:val="0"/>
          <w:sz w:val="32"/>
          <w:szCs w:val="32"/>
          <w:shd w:val="clear" w:color="auto" w:fill="FFFFFF"/>
          <w:lang w:val="en-US" w:eastAsia="zh-CN" w:bidi="ar"/>
        </w:rPr>
        <w:t>（二）</w:t>
      </w:r>
      <w:r>
        <w:rPr>
          <w:rFonts w:hint="eastAsia" w:ascii="楷体_GB2312" w:hAnsi="楷体_GB2312" w:eastAsia="楷体_GB2312" w:cs="楷体_GB2312"/>
          <w:i w:val="0"/>
          <w:caps w:val="0"/>
          <w:color w:val="000000"/>
          <w:spacing w:val="0"/>
          <w:kern w:val="0"/>
          <w:sz w:val="32"/>
          <w:szCs w:val="32"/>
          <w:shd w:val="clear" w:color="auto" w:fill="FFFFFF"/>
          <w:lang w:val="en-US" w:eastAsia="zh" w:bidi="ar"/>
        </w:rPr>
        <w:t>持续</w:t>
      </w:r>
      <w:r>
        <w:rPr>
          <w:rFonts w:hint="eastAsia" w:ascii="楷体_GB2312" w:hAnsi="楷体_GB2312" w:eastAsia="楷体_GB2312" w:cs="楷体_GB2312"/>
          <w:i w:val="0"/>
          <w:caps w:val="0"/>
          <w:color w:val="000000"/>
          <w:spacing w:val="0"/>
          <w:kern w:val="0"/>
          <w:sz w:val="32"/>
          <w:szCs w:val="32"/>
          <w:shd w:val="clear" w:color="auto" w:fill="FFFFFF"/>
          <w:lang w:val="en-US" w:eastAsia="zh-CN" w:bidi="ar"/>
        </w:rPr>
        <w:t>推进标准化建设。</w:t>
      </w:r>
      <w:r>
        <w:rPr>
          <w:rFonts w:hint="eastAsia" w:ascii="仿宋_GB2312" w:hAnsi="仿宋_GB2312" w:eastAsia="仿宋_GB2312" w:cs="仿宋_GB2312"/>
          <w:kern w:val="0"/>
          <w:sz w:val="32"/>
          <w:szCs w:val="32"/>
          <w:u w:val="none"/>
          <w:lang w:val="en-US" w:eastAsia="zh-CN" w:bidi="ar-SA"/>
        </w:rPr>
        <w:t>指导所属商协会党组织开展好专题组织生活会暨民主评议党员，抓好“三会一课”、主题党日、党组织</w:t>
      </w:r>
      <w:r>
        <w:rPr>
          <w:rFonts w:hint="eastAsia" w:ascii="仿宋_GB2312" w:hAnsi="仿宋_GB2312" w:eastAsia="仿宋_GB2312" w:cs="仿宋_GB2312"/>
          <w:kern w:val="0"/>
          <w:sz w:val="32"/>
          <w:szCs w:val="32"/>
          <w:u w:val="none"/>
          <w:lang w:val="en-US" w:eastAsia="zh" w:bidi="ar-SA"/>
        </w:rPr>
        <w:t>书记述职</w:t>
      </w:r>
      <w:r>
        <w:rPr>
          <w:rFonts w:hint="eastAsia" w:ascii="仿宋_GB2312" w:hAnsi="仿宋_GB2312" w:eastAsia="仿宋_GB2312" w:cs="仿宋_GB2312"/>
          <w:kern w:val="0"/>
          <w:sz w:val="32"/>
          <w:szCs w:val="32"/>
          <w:u w:val="none"/>
          <w:lang w:val="en-US" w:eastAsia="zh-CN" w:bidi="ar-SA"/>
        </w:rPr>
        <w:t>等组织生活制度，支部书记带头讲党课。</w:t>
      </w:r>
      <w:r>
        <w:rPr>
          <w:rFonts w:hint="eastAsia" w:ascii="楷体_GB2312" w:hAnsi="楷体_GB2312" w:eastAsia="楷体_GB2312" w:cs="楷体_GB2312"/>
          <w:i w:val="0"/>
          <w:caps w:val="0"/>
          <w:color w:val="000000"/>
          <w:spacing w:val="0"/>
          <w:kern w:val="0"/>
          <w:sz w:val="32"/>
          <w:szCs w:val="32"/>
          <w:shd w:val="clear" w:color="auto" w:fill="FFFFFF"/>
          <w:lang w:val="en-US" w:eastAsia="zh-CN" w:bidi="ar"/>
        </w:rPr>
        <w:t>（三）持续</w:t>
      </w:r>
      <w:r>
        <w:rPr>
          <w:rFonts w:hint="eastAsia" w:ascii="楷体_GB2312" w:hAnsi="楷体_GB2312" w:eastAsia="楷体_GB2312" w:cs="楷体_GB2312"/>
          <w:i w:val="0"/>
          <w:caps w:val="0"/>
          <w:color w:val="000000"/>
          <w:spacing w:val="0"/>
          <w:kern w:val="0"/>
          <w:sz w:val="32"/>
          <w:szCs w:val="32"/>
          <w:shd w:val="clear" w:color="auto" w:fill="FFFFFF"/>
          <w:lang w:val="en-US" w:eastAsia="zh" w:bidi="ar"/>
        </w:rPr>
        <w:t>突出</w:t>
      </w:r>
      <w:r>
        <w:rPr>
          <w:rFonts w:hint="eastAsia" w:ascii="楷体_GB2312" w:hAnsi="楷体_GB2312" w:eastAsia="楷体_GB2312" w:cs="楷体_GB2312"/>
          <w:i w:val="0"/>
          <w:caps w:val="0"/>
          <w:color w:val="000000"/>
          <w:spacing w:val="0"/>
          <w:kern w:val="0"/>
          <w:sz w:val="32"/>
          <w:szCs w:val="32"/>
          <w:shd w:val="clear" w:color="auto" w:fill="FFFFFF"/>
          <w:lang w:val="en-US" w:eastAsia="zh-CN" w:bidi="ar"/>
        </w:rPr>
        <w:t>组织发展基础</w:t>
      </w:r>
      <w:r>
        <w:rPr>
          <w:rFonts w:hint="eastAsia" w:ascii="楷体_GB2312" w:hAnsi="楷体_GB2312" w:eastAsia="楷体_GB2312" w:cs="楷体_GB2312"/>
          <w:i w:val="0"/>
          <w:caps w:val="0"/>
          <w:color w:val="000000"/>
          <w:spacing w:val="0"/>
          <w:kern w:val="0"/>
          <w:sz w:val="32"/>
          <w:szCs w:val="32"/>
          <w:shd w:val="clear" w:color="auto" w:fill="FFFFFF"/>
          <w:lang w:val="en-US" w:eastAsia="zh" w:bidi="ar"/>
        </w:rPr>
        <w:t>。</w:t>
      </w:r>
      <w:r>
        <w:rPr>
          <w:rFonts w:hint="eastAsia" w:ascii="仿宋_GB2312" w:hAnsi="仿宋_GB2312" w:eastAsia="仿宋_GB2312" w:cs="仿宋_GB2312"/>
          <w:kern w:val="0"/>
          <w:sz w:val="32"/>
          <w:szCs w:val="32"/>
          <w:u w:val="none"/>
          <w:lang w:val="en-US" w:eastAsia="zh-CN" w:bidi="ar-SA"/>
        </w:rPr>
        <w:t>指导党支部做好换届工作；按照“成熟一个，组建一个”原则，筹备组建商协会党支部，严格规范发展党员。</w:t>
      </w:r>
      <w:r>
        <w:rPr>
          <w:rFonts w:hint="eastAsia" w:ascii="楷体_GB2312" w:hAnsi="楷体_GB2312" w:eastAsia="楷体_GB2312" w:cs="楷体_GB2312"/>
          <w:i w:val="0"/>
          <w:caps w:val="0"/>
          <w:color w:val="000000"/>
          <w:spacing w:val="0"/>
          <w:kern w:val="0"/>
          <w:sz w:val="32"/>
          <w:szCs w:val="32"/>
          <w:shd w:val="clear" w:color="auto" w:fill="FFFFFF"/>
          <w:lang w:val="en-US" w:eastAsia="zh-CN" w:bidi="ar"/>
        </w:rPr>
        <w:t>（四）持续加强党员队伍建设。</w:t>
      </w:r>
      <w:r>
        <w:rPr>
          <w:rFonts w:hint="eastAsia" w:ascii="仿宋_GB2312" w:hAnsi="仿宋_GB2312" w:eastAsia="仿宋_GB2312" w:cs="仿宋_GB2312"/>
          <w:kern w:val="0"/>
          <w:sz w:val="32"/>
          <w:szCs w:val="32"/>
          <w:u w:val="none"/>
          <w:lang w:val="en-US" w:eastAsia="zh-CN" w:bidi="ar-SA"/>
        </w:rPr>
        <w:t>坚持专兼职结合，多渠道、多样化选用，强化培训提能，不断增强内生动力和队伍活力。充分发挥商会党组织的辐射作用，以商会党建支持、带动会员企业人才队伍建设。</w:t>
      </w:r>
      <w:r>
        <w:rPr>
          <w:rFonts w:hint="eastAsia" w:ascii="楷体_GB2312" w:hAnsi="楷体_GB2312" w:eastAsia="楷体_GB2312" w:cs="楷体_GB2312"/>
          <w:i w:val="0"/>
          <w:caps w:val="0"/>
          <w:color w:val="000000"/>
          <w:spacing w:val="0"/>
          <w:kern w:val="0"/>
          <w:sz w:val="32"/>
          <w:szCs w:val="32"/>
          <w:shd w:val="clear" w:color="auto" w:fill="FFFFFF"/>
          <w:lang w:val="en-US" w:eastAsia="zh-CN" w:bidi="ar"/>
        </w:rPr>
        <w:t>（五）持续开展联建互促活动</w:t>
      </w:r>
      <w:r>
        <w:rPr>
          <w:rFonts w:hint="eastAsia" w:ascii="楷体_GB2312" w:hAnsi="楷体_GB2312" w:eastAsia="楷体_GB2312" w:cs="楷体_GB2312"/>
          <w:i w:val="0"/>
          <w:caps w:val="0"/>
          <w:color w:val="000000"/>
          <w:spacing w:val="0"/>
          <w:kern w:val="0"/>
          <w:sz w:val="32"/>
          <w:szCs w:val="32"/>
          <w:shd w:val="clear" w:color="auto" w:fill="FFFFFF"/>
          <w:lang w:val="en-US" w:eastAsia="zh" w:bidi="ar"/>
        </w:rPr>
        <w:t>。</w:t>
      </w:r>
      <w:r>
        <w:rPr>
          <w:rFonts w:hint="eastAsia" w:ascii="仿宋_GB2312" w:hAnsi="仿宋_GB2312" w:eastAsia="仿宋_GB2312" w:cs="仿宋_GB2312"/>
          <w:kern w:val="0"/>
          <w:sz w:val="32"/>
          <w:szCs w:val="32"/>
          <w:u w:val="none"/>
          <w:lang w:val="en-US" w:eastAsia="zh-CN" w:bidi="ar-SA"/>
        </w:rPr>
        <w:t>建立健全商会党组织、会员企业交流和展示渠道机制，推动结对共建、互促共进，将商会党组织打造成为地方党委政府、金融机构等与商会及其会员企业沟通交流的桥梁和纽带。</w:t>
      </w:r>
      <w:r>
        <w:rPr>
          <w:rFonts w:hint="eastAsia" w:ascii="楷体_GB2312" w:hAnsi="楷体_GB2312" w:eastAsia="楷体_GB2312" w:cs="楷体_GB2312"/>
          <w:i w:val="0"/>
          <w:caps w:val="0"/>
          <w:color w:val="000000"/>
          <w:spacing w:val="0"/>
          <w:kern w:val="0"/>
          <w:sz w:val="32"/>
          <w:szCs w:val="32"/>
          <w:shd w:val="clear" w:color="auto" w:fill="FFFFFF"/>
          <w:lang w:val="en-US" w:eastAsia="zh-CN" w:bidi="ar"/>
        </w:rPr>
        <w:t>（六）持续提升党建工作质效</w:t>
      </w:r>
      <w:r>
        <w:rPr>
          <w:rFonts w:hint="eastAsia" w:ascii="楷体_GB2312" w:hAnsi="楷体_GB2312" w:eastAsia="楷体_GB2312" w:cs="楷体_GB2312"/>
          <w:i w:val="0"/>
          <w:caps w:val="0"/>
          <w:color w:val="000000"/>
          <w:spacing w:val="0"/>
          <w:kern w:val="0"/>
          <w:sz w:val="32"/>
          <w:szCs w:val="32"/>
          <w:shd w:val="clear" w:color="auto" w:fill="FFFFFF"/>
          <w:lang w:val="en-US" w:eastAsia="zh" w:bidi="ar"/>
        </w:rPr>
        <w:t>。</w:t>
      </w:r>
      <w:r>
        <w:rPr>
          <w:rFonts w:hint="eastAsia" w:ascii="仿宋_GB2312" w:hAnsi="仿宋_GB2312" w:eastAsia="仿宋_GB2312" w:cs="仿宋_GB2312"/>
          <w:kern w:val="0"/>
          <w:sz w:val="32"/>
          <w:szCs w:val="32"/>
          <w:u w:val="none"/>
          <w:lang w:val="en-US" w:eastAsia="zh-CN" w:bidi="ar-SA"/>
        </w:rPr>
        <w:t>推动商会党组织找准自身工作定位，创造性开展工作，选树典型强化宣传，激发工作生机活力，推动商会发展和会员企业健康成长。</w:t>
      </w:r>
    </w:p>
    <w:p>
      <w:pPr>
        <w:spacing w:line="578" w:lineRule="exact"/>
        <w:ind w:firstLine="640"/>
        <w:rPr>
          <w:rFonts w:eastAsia="仿宋_GB2312" w:cs="仿宋_GB2312"/>
          <w:kern w:val="0"/>
          <w:sz w:val="32"/>
          <w:szCs w:val="32"/>
        </w:rPr>
      </w:pPr>
      <w:r>
        <w:rPr>
          <w:rFonts w:hint="eastAsia" w:eastAsia="仿宋_GB2312" w:cs="仿宋_GB2312"/>
          <w:kern w:val="0"/>
          <w:sz w:val="32"/>
          <w:szCs w:val="32"/>
        </w:rPr>
        <w:br w:type="page"/>
      </w:r>
    </w:p>
    <w:p>
      <w:pPr>
        <w:pStyle w:val="3"/>
        <w:keepNext/>
        <w:keepLines/>
        <w:pageBreakBefore w:val="0"/>
        <w:widowControl w:val="0"/>
        <w:numPr>
          <w:ilvl w:val="0"/>
          <w:numId w:val="0"/>
        </w:numPr>
        <w:kinsoku/>
        <w:wordWrap/>
        <w:overflowPunct/>
        <w:topLinePunct w:val="0"/>
        <w:autoSpaceDE/>
        <w:autoSpaceDN/>
        <w:bidi w:val="0"/>
        <w:adjustRightInd/>
        <w:snapToGrid/>
        <w:spacing w:line="576" w:lineRule="exact"/>
        <w:ind w:leftChars="0"/>
        <w:jc w:val="center"/>
        <w:textAlignment w:val="auto"/>
        <w:rPr>
          <w:rFonts w:eastAsia="仿宋_GB2312" w:cs="仿宋_GB2312"/>
          <w:sz w:val="32"/>
          <w:szCs w:val="32"/>
        </w:rPr>
      </w:pPr>
      <w:bookmarkStart w:id="87" w:name="_Toc23985"/>
      <w:r>
        <w:rPr>
          <w:rFonts w:hint="eastAsia" w:eastAsia="方正小标宋简体" w:cs="方正小标宋简体"/>
          <w:b w:val="0"/>
        </w:rPr>
        <w:t>第五部分 附表</w:t>
      </w:r>
      <w:bookmarkEnd w:id="70"/>
      <w:bookmarkEnd w:id="80"/>
      <w:bookmarkEnd w:id="87"/>
      <w:bookmarkStart w:id="88" w:name="_Toc15396619"/>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89" w:name="_Toc9082"/>
      <w:r>
        <w:rPr>
          <w:rFonts w:hint="eastAsia" w:ascii="Times New Roman" w:hAnsi="Times New Roman" w:eastAsia="黑体"/>
          <w:b w:val="0"/>
          <w:lang w:val="zh-CN"/>
        </w:rPr>
        <w:t>一、收入支出决算总表</w:t>
      </w:r>
      <w:bookmarkEnd w:id="88"/>
      <w:bookmarkEnd w:id="89"/>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90" w:name="_Toc21984"/>
      <w:bookmarkStart w:id="91" w:name="_Toc15396620"/>
      <w:r>
        <w:rPr>
          <w:rFonts w:hint="eastAsia" w:ascii="Times New Roman" w:hAnsi="Times New Roman" w:eastAsia="黑体"/>
          <w:b w:val="0"/>
          <w:lang w:val="zh-CN"/>
        </w:rPr>
        <w:t>二、收入决算表</w:t>
      </w:r>
      <w:bookmarkEnd w:id="90"/>
      <w:bookmarkEnd w:id="91"/>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92" w:name="_Toc475"/>
      <w:bookmarkStart w:id="93" w:name="_Toc15396621"/>
      <w:r>
        <w:rPr>
          <w:rFonts w:hint="eastAsia" w:ascii="Times New Roman" w:hAnsi="Times New Roman" w:eastAsia="黑体"/>
          <w:b w:val="0"/>
          <w:lang w:val="zh-CN"/>
        </w:rPr>
        <w:t>三、支出决算表</w:t>
      </w:r>
      <w:bookmarkEnd w:id="92"/>
      <w:bookmarkEnd w:id="93"/>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94" w:name="_Toc15396622"/>
      <w:bookmarkStart w:id="95" w:name="_Toc2322"/>
      <w:r>
        <w:rPr>
          <w:rFonts w:hint="eastAsia" w:ascii="Times New Roman" w:hAnsi="Times New Roman" w:eastAsia="黑体"/>
          <w:b w:val="0"/>
          <w:lang w:val="zh-CN"/>
        </w:rPr>
        <w:t>四、财政拨款收入支出决算总表</w:t>
      </w:r>
      <w:bookmarkEnd w:id="94"/>
      <w:bookmarkEnd w:id="95"/>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96" w:name="_Toc15396623"/>
      <w:bookmarkStart w:id="97" w:name="_Toc5093"/>
      <w:r>
        <w:rPr>
          <w:rFonts w:hint="eastAsia" w:ascii="Times New Roman" w:hAnsi="Times New Roman" w:eastAsia="黑体"/>
          <w:b w:val="0"/>
          <w:lang w:val="zh-CN"/>
        </w:rPr>
        <w:t>五、财政拨款支出决算明细表</w:t>
      </w:r>
      <w:bookmarkEnd w:id="96"/>
      <w:bookmarkEnd w:id="97"/>
      <w:bookmarkStart w:id="98" w:name="_Toc15396624"/>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99" w:name="_Toc3122"/>
      <w:r>
        <w:rPr>
          <w:rFonts w:hint="eastAsia" w:ascii="Times New Roman" w:hAnsi="Times New Roman" w:eastAsia="黑体"/>
          <w:b w:val="0"/>
          <w:lang w:val="zh-CN"/>
        </w:rPr>
        <w:t>六、一般公共预算财政拨款支出决算表</w:t>
      </w:r>
      <w:bookmarkEnd w:id="98"/>
      <w:bookmarkEnd w:id="99"/>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100" w:name="_Toc10858"/>
      <w:bookmarkStart w:id="101" w:name="_Toc15396625"/>
      <w:r>
        <w:rPr>
          <w:rFonts w:hint="eastAsia" w:ascii="Times New Roman" w:hAnsi="Times New Roman" w:eastAsia="黑体"/>
          <w:b w:val="0"/>
          <w:lang w:val="zh-CN"/>
        </w:rPr>
        <w:t>七、一般公共预算财政拨款支出决算明细表</w:t>
      </w:r>
      <w:bookmarkEnd w:id="100"/>
      <w:bookmarkEnd w:id="101"/>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102" w:name="_Toc15396626"/>
      <w:bookmarkStart w:id="103" w:name="_Toc1557"/>
      <w:r>
        <w:rPr>
          <w:rFonts w:hint="eastAsia" w:ascii="Times New Roman" w:hAnsi="Times New Roman" w:eastAsia="黑体"/>
          <w:b w:val="0"/>
          <w:lang w:val="zh-CN"/>
        </w:rPr>
        <w:t>八、一般公共预算财政拨款基本支出决算表</w:t>
      </w:r>
      <w:bookmarkEnd w:id="102"/>
      <w:bookmarkEnd w:id="103"/>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104" w:name="_Toc15396627"/>
      <w:bookmarkStart w:id="105" w:name="_Toc11535"/>
      <w:r>
        <w:rPr>
          <w:rFonts w:hint="eastAsia" w:ascii="Times New Roman" w:hAnsi="Times New Roman" w:eastAsia="黑体"/>
          <w:b w:val="0"/>
          <w:lang w:val="zh-CN"/>
        </w:rPr>
        <w:t>九、一般公共预算财政拨款项目支出决算表</w:t>
      </w:r>
      <w:bookmarkEnd w:id="104"/>
      <w:bookmarkEnd w:id="105"/>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106" w:name="_Toc15396628"/>
      <w:bookmarkStart w:id="107" w:name="_Toc13159"/>
      <w:r>
        <w:rPr>
          <w:rFonts w:hint="eastAsia" w:ascii="Times New Roman" w:hAnsi="Times New Roman" w:eastAsia="黑体"/>
          <w:b w:val="0"/>
          <w:lang w:val="zh-CN"/>
        </w:rPr>
        <w:t>十、</w:t>
      </w:r>
      <w:bookmarkEnd w:id="106"/>
      <w:r>
        <w:rPr>
          <w:rFonts w:hint="eastAsia" w:ascii="Times New Roman" w:hAnsi="Times New Roman" w:eastAsia="黑体"/>
          <w:b w:val="0"/>
          <w:lang w:val="zh-CN"/>
        </w:rPr>
        <w:t>政府性基金预算财政拨款收入支出决算表</w:t>
      </w:r>
      <w:bookmarkEnd w:id="107"/>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108" w:name="_Toc15396629"/>
      <w:bookmarkStart w:id="109" w:name="_Toc29435"/>
      <w:r>
        <w:rPr>
          <w:rFonts w:hint="eastAsia" w:ascii="Times New Roman" w:hAnsi="Times New Roman" w:eastAsia="黑体"/>
          <w:b w:val="0"/>
          <w:lang w:val="zh-CN"/>
        </w:rPr>
        <w:t>十一、</w:t>
      </w:r>
      <w:bookmarkEnd w:id="108"/>
      <w:r>
        <w:rPr>
          <w:rFonts w:hint="eastAsia" w:ascii="Times New Roman" w:hAnsi="Times New Roman" w:eastAsia="黑体"/>
          <w:b w:val="0"/>
          <w:lang w:val="zh-CN"/>
        </w:rPr>
        <w:t>国有资本经营预算财政拨款收入支出决算表</w:t>
      </w:r>
      <w:bookmarkEnd w:id="109"/>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110" w:name="_Toc15396630"/>
      <w:bookmarkStart w:id="111" w:name="_Toc12056"/>
      <w:r>
        <w:rPr>
          <w:rFonts w:hint="eastAsia" w:ascii="Times New Roman" w:hAnsi="Times New Roman" w:eastAsia="黑体"/>
          <w:b w:val="0"/>
          <w:lang w:val="zh-CN"/>
        </w:rPr>
        <w:t>十二、</w:t>
      </w:r>
      <w:bookmarkEnd w:id="110"/>
      <w:r>
        <w:rPr>
          <w:rFonts w:hint="eastAsia" w:ascii="Times New Roman" w:hAnsi="Times New Roman" w:eastAsia="黑体"/>
          <w:b w:val="0"/>
          <w:lang w:val="zh-CN"/>
        </w:rPr>
        <w:t>国有资本经营预算财政拨款支出决算表</w:t>
      </w:r>
      <w:bookmarkEnd w:id="111"/>
    </w:p>
    <w:p>
      <w:pPr>
        <w:pStyle w:val="4"/>
        <w:pageBreakBefore w:val="0"/>
        <w:widowControl w:val="0"/>
        <w:kinsoku/>
        <w:wordWrap/>
        <w:overflowPunct/>
        <w:topLinePunct w:val="0"/>
        <w:bidi w:val="0"/>
        <w:snapToGrid/>
        <w:spacing w:before="0" w:after="0" w:line="576" w:lineRule="exact"/>
        <w:ind w:firstLine="640" w:firstLineChars="200"/>
        <w:textAlignment w:val="auto"/>
        <w:rPr>
          <w:rFonts w:hint="eastAsia" w:ascii="Times New Roman" w:hAnsi="Times New Roman" w:eastAsia="黑体"/>
          <w:b w:val="0"/>
          <w:lang w:val="zh-CN"/>
        </w:rPr>
      </w:pPr>
      <w:bookmarkStart w:id="112" w:name="_Toc15396631"/>
      <w:bookmarkStart w:id="113" w:name="_Toc29221"/>
      <w:r>
        <w:rPr>
          <w:rFonts w:hint="eastAsia" w:ascii="Times New Roman" w:hAnsi="Times New Roman" w:eastAsia="黑体"/>
          <w:b w:val="0"/>
          <w:lang w:val="zh-CN"/>
        </w:rPr>
        <w:t>十三、</w:t>
      </w:r>
      <w:bookmarkEnd w:id="112"/>
      <w:r>
        <w:rPr>
          <w:rFonts w:hint="eastAsia" w:ascii="Times New Roman" w:hAnsi="Times New Roman" w:eastAsia="黑体"/>
          <w:b w:val="0"/>
          <w:lang w:val="zh-CN"/>
        </w:rPr>
        <w:t>财政拨款“三公”经费支出决算表</w:t>
      </w:r>
      <w:bookmarkEnd w:id="113"/>
    </w:p>
    <w:p/>
    <w:p/>
    <w:sectPr>
      <w:pgSz w:w="11906" w:h="16838"/>
      <w:pgMar w:top="2098" w:right="1474" w:bottom="1984" w:left="1587"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libri Light">
    <w:altName w:val="Lucida Sans"/>
    <w:panose1 w:val="020F0302020204030204"/>
    <w:charset w:val="00"/>
    <w:family w:val="auto"/>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微软雅黑">
    <w:altName w:val="黑体"/>
    <w:panose1 w:val="020B0503020204020204"/>
    <w:charset w:val="86"/>
    <w:family w:val="auto"/>
    <w:pitch w:val="default"/>
    <w:sig w:usb0="00000000" w:usb1="00000000" w:usb2="00000016" w:usb3="00000000" w:csb0="0004001F" w:csb1="00000000"/>
  </w:font>
  <w:font w:name="楷体">
    <w:altName w:val="方正楷体_GBK"/>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BgkQdHQIAACs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N6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GCRB0dAgAAKwQAAA4AAAAAAAAAAQAgAAAANQEAAGRycy9lMm9Eb2MueG1sUEsF&#10;BgAAAAAGAAYAWQEAAMQFA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dwRadHQIAACsEAAAOAAAAZHJz&#10;L2Uyb0RvYy54bWytU82O0zAQviPxDpbvNGmBVV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ihLDNGZ0+vb19P3p9OML&#10;wRsAalyYwW/j4BnbN7YtaPR7MZgC3lPrrfQ63WiKwAVoHy8IizYSjsfxdDKd5jBx2AYFKbLrd+dD&#10;fCusJkkoqMcIO2TZYR3i2XVwSdmMXdVKdWNUhjQFvXn5O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B3BFp0dAgAAKwQAAA4AAAAAAAAAAQAgAAAANQEAAGRycy9lMm9Eb2MueG1sUEsF&#10;BgAAAAAGAAYAWQEAAMQFA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vA/AhHQIAACsEAAAOAAAAZHJz&#10;L2Uyb0RvYy54bWytU82O0zAQviPxDpbvNGnRrq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rm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G8D8CEdAgAAKwQAAA4AAAAAAAAAAQAgAAAANQEAAGRycy9lMm9Eb2MueG1sUEsF&#10;BgAAAAAGAAYAWQEAAMQFA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8"/>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BlwDkGswEAAFIDAAAOAAAAAAAAAAEAIAAAADQBAABkcnMvZTJvRG9j&#10;LnhtbFBLBQYAAAAABgAGAFkBAABZBQAAAAA=&#10;">
              <v:fill on="f" focussize="0,0"/>
              <v:stroke on="f"/>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p>
    <w:pPr>
      <w:pStyle w:val="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YUWo7bQBAABSAwAADgAAAAAAAAABACAAAAA0AQAAZHJzL2Uyb0Rv&#10;Yy54bWxQSwUGAAAAAAYABgBZAQAAWgUAAAAA&#10;">
              <v:fill on="f" focussize="0,0"/>
              <v:stroke on="f"/>
              <v:imagedata o:title=""/>
              <o:lock v:ext="edit" aspectratio="f"/>
              <v:textbox inset="0mm,0mm,0mm,0mm" style="mso-fit-shape-to-text:t;">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FED65E"/>
    <w:multiLevelType w:val="singleLevel"/>
    <w:tmpl w:val="DAFED65E"/>
    <w:lvl w:ilvl="0" w:tentative="0">
      <w:start w:val="2"/>
      <w:numFmt w:val="chineseCounting"/>
      <w:suff w:val="nothing"/>
      <w:lvlText w:val="（%1）"/>
      <w:lvlJc w:val="left"/>
      <w:rPr>
        <w:rFonts w:hint="eastAsia"/>
      </w:rPr>
    </w:lvl>
  </w:abstractNum>
  <w:abstractNum w:abstractNumId="1">
    <w:nsid w:val="E034269A"/>
    <w:multiLevelType w:val="singleLevel"/>
    <w:tmpl w:val="E034269A"/>
    <w:lvl w:ilvl="0" w:tentative="0">
      <w:start w:val="1"/>
      <w:numFmt w:val="decimal"/>
      <w:suff w:val="nothing"/>
      <w:lvlText w:val="%1．"/>
      <w:lvlJc w:val="left"/>
      <w:pPr>
        <w:ind w:left="0" w:firstLine="400"/>
      </w:pPr>
      <w:rPr>
        <w:rFonts w:hint="default"/>
      </w:rPr>
    </w:lvl>
  </w:abstractNum>
  <w:abstractNum w:abstractNumId="2">
    <w:nsid w:val="EE6EE2EC"/>
    <w:multiLevelType w:val="singleLevel"/>
    <w:tmpl w:val="EE6EE2EC"/>
    <w:lvl w:ilvl="0" w:tentative="0">
      <w:start w:val="2"/>
      <w:numFmt w:val="chineseCounting"/>
      <w:suff w:val="nothing"/>
      <w:lvlText w:val="（%1）"/>
      <w:lvlJc w:val="left"/>
      <w:rPr>
        <w:rFonts w:hint="eastAsia"/>
      </w:rPr>
    </w:lvl>
  </w:abstractNum>
  <w:abstractNum w:abstractNumId="3">
    <w:nsid w:val="F91211ED"/>
    <w:multiLevelType w:val="singleLevel"/>
    <w:tmpl w:val="F91211ED"/>
    <w:lvl w:ilvl="0" w:tentative="0">
      <w:start w:val="1"/>
      <w:numFmt w:val="chineseCounting"/>
      <w:suff w:val="space"/>
      <w:lvlText w:val="第%1部分"/>
      <w:lvlJc w:val="left"/>
      <w:rPr>
        <w:rFonts w:hint="eastAsia"/>
      </w:rPr>
    </w:lvl>
  </w:abstractNum>
  <w:abstractNum w:abstractNumId="4">
    <w:nsid w:val="6443A872"/>
    <w:multiLevelType w:val="singleLevel"/>
    <w:tmpl w:val="6443A872"/>
    <w:lvl w:ilvl="0" w:tentative="0">
      <w:start w:val="1"/>
      <w:numFmt w:val="decimal"/>
      <w:suff w:val="space"/>
      <w:lvlText w:val="%1."/>
      <w:lvlJc w:val="left"/>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07D09"/>
    <w:rsid w:val="03A371FF"/>
    <w:rsid w:val="0B207D09"/>
    <w:rsid w:val="13423512"/>
    <w:rsid w:val="37ED42F5"/>
    <w:rsid w:val="3FAFB168"/>
    <w:rsid w:val="53AF63E7"/>
    <w:rsid w:val="67574C7A"/>
    <w:rsid w:val="6DFEF911"/>
    <w:rsid w:val="7A1D4594"/>
    <w:rsid w:val="7EFF630C"/>
    <w:rsid w:val="AE7F343D"/>
    <w:rsid w:val="BEFCA564"/>
    <w:rsid w:val="FCD5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5">
    <w:name w:val="Body Text"/>
    <w:basedOn w:val="1"/>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footnote text"/>
    <w:basedOn w:val="1"/>
    <w:next w:val="7"/>
    <w:semiHidden/>
    <w:qFormat/>
    <w:uiPriority w:val="0"/>
    <w:pPr>
      <w:snapToGrid w:val="0"/>
      <w:jc w:val="left"/>
    </w:pPr>
    <w:rPr>
      <w:sz w:val="18"/>
      <w:szCs w:val="18"/>
    </w:rPr>
  </w:style>
  <w:style w:type="paragraph" w:styleId="12">
    <w:name w:val="toc 2"/>
    <w:basedOn w:val="1"/>
    <w:next w:val="1"/>
    <w:unhideWhenUsed/>
    <w:qFormat/>
    <w:uiPriority w:val="39"/>
    <w:pPr>
      <w:tabs>
        <w:tab w:val="right" w:leader="dot" w:pos="8296"/>
      </w:tabs>
      <w:ind w:left="420" w:leftChars="200"/>
    </w:pPr>
  </w:style>
  <w:style w:type="character" w:customStyle="1" w:styleId="15">
    <w:name w:val="标题 1 Char"/>
    <w:basedOn w:val="14"/>
    <w:link w:val="3"/>
    <w:qFormat/>
    <w:uiPriority w:val="9"/>
    <w:rPr>
      <w:b/>
      <w:bCs/>
      <w:kern w:val="44"/>
      <w:sz w:val="44"/>
      <w:szCs w:val="44"/>
    </w:rPr>
  </w:style>
  <w:style w:type="character" w:customStyle="1" w:styleId="16">
    <w:name w:val="标题 2 Char"/>
    <w:basedOn w:val="14"/>
    <w:link w:val="4"/>
    <w:qFormat/>
    <w:uiPriority w:val="9"/>
    <w:rPr>
      <w:rFonts w:asciiTheme="majorHAnsi" w:hAnsiTheme="majorHAnsi" w:eastAsiaTheme="majorEastAsia" w:cstheme="majorBidi"/>
      <w:b/>
      <w:bCs/>
      <w:sz w:val="32"/>
      <w:szCs w:val="32"/>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chart" Target="charts/chart7.xml"/><Relationship Id="rId20" Type="http://schemas.openxmlformats.org/officeDocument/2006/relationships/chart" Target="charts/chart6.xml"/><Relationship Id="rId2" Type="http://schemas.openxmlformats.org/officeDocument/2006/relationships/settings" Target="settings.xml"/><Relationship Id="rId19" Type="http://schemas.openxmlformats.org/officeDocument/2006/relationships/chart" Target="charts/chart5.xml"/><Relationship Id="rId18" Type="http://schemas.openxmlformats.org/officeDocument/2006/relationships/chart" Target="charts/chart4.xml"/><Relationship Id="rId17" Type="http://schemas.openxmlformats.org/officeDocument/2006/relationships/chart" Target="charts/chart3.xml"/><Relationship Id="rId16" Type="http://schemas.openxmlformats.org/officeDocument/2006/relationships/chart" Target="charts/chart2.xml"/><Relationship Id="rId15" Type="http://schemas.openxmlformats.org/officeDocument/2006/relationships/chart" Target="charts/chart1.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Desktop\&#24352;&#38058;\2023&#24180;&#20915;&#31639;&#20844;&#24320;\2023-313-&#24191;&#20803;&#24066;&#24037;&#21830;&#19994;&#32852;&#21512;&#20250;&#37096;&#38376;&#20915;&#31639;&#20844;&#24320;&#34920;(2)\&#26032;&#24314;&#25991;&#20214;&#22841;\&#26032;&#24314;%20XLS%20&#24037;&#20316;&#34920;.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Desktop\&#24352;&#38058;\2023&#24180;&#20915;&#31639;&#20844;&#24320;\2023-313-&#24191;&#20803;&#24066;&#24037;&#21830;&#19994;&#32852;&#21512;&#20250;&#37096;&#38376;&#20915;&#31639;&#20844;&#24320;&#34920;(2)\&#26032;&#24314;&#25991;&#20214;&#22841;\&#26032;&#24314;%20XLS%20&#24037;&#20316;&#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收、支决算总计变动情况图（单位：万元）</a:t>
            </a:r>
          </a:p>
        </c:rich>
      </c:tx>
      <c:layout/>
      <c:overlay val="false"/>
      <c:spPr>
        <a:noFill/>
        <a:ln>
          <a:noFill/>
        </a:ln>
        <a:effectLst/>
      </c:spPr>
    </c:title>
    <c:autoTitleDeleted val="false"/>
    <c:plotArea>
      <c:layout/>
      <c:barChart>
        <c:barDir val="col"/>
        <c:grouping val="clustered"/>
        <c:varyColors val="false"/>
        <c:ser>
          <c:idx val="0"/>
          <c:order val="0"/>
          <c:tx>
            <c:strRef>
              <c:f>[工作簿1]Sheet1!$A$2</c:f>
              <c:strCache>
                <c:ptCount val="1"/>
                <c:pt idx="0">
                  <c:v>收入、支出决算总计</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[工作簿1]Sheet1!$B$1:$C$1</c:f>
              <c:strCache>
                <c:ptCount val="2"/>
                <c:pt idx="0">
                  <c:v>2023年</c:v>
                </c:pt>
                <c:pt idx="1">
                  <c:v>2024年</c:v>
                </c:pt>
              </c:strCache>
            </c:strRef>
          </c:cat>
          <c:val>
            <c:numRef>
              <c:f>[工作簿1]Sheet1!$B$2:$C$2</c:f>
              <c:numCache>
                <c:formatCode>General</c:formatCode>
                <c:ptCount val="2"/>
                <c:pt idx="0">
                  <c:v>428.61</c:v>
                </c:pt>
                <c:pt idx="1">
                  <c:v>411.16</c:v>
                </c:pt>
              </c:numCache>
            </c:numRef>
          </c:val>
        </c:ser>
        <c:dLbls>
          <c:showLegendKey val="false"/>
          <c:showVal val="true"/>
          <c:showCatName val="false"/>
          <c:showSerName val="false"/>
          <c:showPercent val="false"/>
          <c:showBubbleSize val="false"/>
        </c:dLbls>
        <c:gapWidth val="246"/>
        <c:overlap val="-28"/>
        <c:axId val="257241429"/>
        <c:axId val="326270629"/>
      </c:barChart>
      <c:catAx>
        <c:axId val="257241429"/>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26270629"/>
        <c:crosses val="autoZero"/>
        <c:auto val="true"/>
        <c:lblAlgn val="ctr"/>
        <c:lblOffset val="100"/>
        <c:noMultiLvlLbl val="false"/>
      </c:catAx>
      <c:valAx>
        <c:axId val="326270629"/>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57241429"/>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'[新建 XLS 工作表.xls]Sheet1'!$A$27</c:f>
              <c:strCache>
                <c:ptCount val="1"/>
                <c:pt idx="0">
                  <c:v>收入决算结构图</c:v>
                </c:pt>
              </c:strCache>
            </c:strRef>
          </c:tx>
          <c:spPr/>
          <c:explosion val="0"/>
          <c:dPt>
            <c:idx val="0"/>
            <c:bubble3D val="false"/>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 工作表.xls]Sheet1'!$B$26</c:f>
              <c:strCache>
                <c:ptCount val="1"/>
                <c:pt idx="0">
                  <c:v>一般公共预算财政拨款收入</c:v>
                </c:pt>
              </c:strCache>
            </c:strRef>
          </c:cat>
          <c:val>
            <c:numRef>
              <c:f>'[新建 XLS 工作表.xls]Sheet1'!$B$27</c:f>
              <c:numCache>
                <c:formatCode>General</c:formatCode>
                <c:ptCount val="1"/>
                <c:pt idx="0">
                  <c:v>427.5</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manualLayout>
          <c:xMode val="edge"/>
          <c:yMode val="edge"/>
          <c:x val="0.640785781103835"/>
          <c:y val="0.891056422569028"/>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[工作簿1]Sheet1!$A$9:$A$10</c:f>
              <c:strCache>
                <c:ptCount val="2"/>
                <c:pt idx="0">
                  <c:v>基本支出</c:v>
                </c:pt>
                <c:pt idx="1">
                  <c:v>项目支出</c:v>
                </c:pt>
              </c:strCache>
            </c:strRef>
          </c:cat>
          <c:val>
            <c:numRef>
              <c:f>[工作簿1]Sheet1!$B$9:$B$10</c:f>
              <c:numCache>
                <c:formatCode>General</c:formatCode>
                <c:ptCount val="2"/>
                <c:pt idx="0">
                  <c:v>382.05</c:v>
                </c:pt>
                <c:pt idx="1">
                  <c:v>29.11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财政拨款收、支决算总计变动情况（单位：万元）</a:t>
            </a:r>
          </a:p>
        </c:rich>
      </c:tx>
      <c:layout/>
      <c:overlay val="false"/>
      <c:spPr>
        <a:noFill/>
        <a:ln>
          <a:noFill/>
        </a:ln>
        <a:effectLst/>
      </c:spPr>
    </c:title>
    <c:autoTitleDeleted val="false"/>
    <c:plotArea>
      <c:layout/>
      <c:barChart>
        <c:barDir val="col"/>
        <c:grouping val="clustered"/>
        <c:varyColors val="false"/>
        <c:ser>
          <c:idx val="0"/>
          <c:order val="0"/>
          <c:tx>
            <c:strRef>
              <c:f>[工作簿1]Sheet1!$A$14</c:f>
              <c:strCache>
                <c:ptCount val="1"/>
                <c:pt idx="0">
                  <c:v>财政拨款收、支决算总计</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[工作簿1]Sheet1!$B$13:$D$13</c:f>
              <c:strCache>
                <c:ptCount val="3"/>
                <c:pt idx="0">
                  <c:v>2023年</c:v>
                </c:pt>
                <c:pt idx="1">
                  <c:v>2024年</c:v>
                </c:pt>
              </c:strCache>
            </c:strRef>
          </c:cat>
          <c:val>
            <c:numRef>
              <c:f>[工作簿1]Sheet1!$B$14:$D$14</c:f>
              <c:numCache>
                <c:formatCode>General</c:formatCode>
                <c:ptCount val="3"/>
                <c:pt idx="0">
                  <c:v>428.61</c:v>
                </c:pt>
                <c:pt idx="1">
                  <c:v>411.16</c:v>
                </c:pt>
              </c:numCache>
            </c:numRef>
          </c:val>
        </c:ser>
        <c:dLbls>
          <c:showLegendKey val="false"/>
          <c:showVal val="true"/>
          <c:showCatName val="false"/>
          <c:showSerName val="false"/>
          <c:showPercent val="false"/>
          <c:showBubbleSize val="false"/>
        </c:dLbls>
        <c:gapWidth val="246"/>
        <c:overlap val="-28"/>
        <c:axId val="224068228"/>
        <c:axId val="831955089"/>
      </c:barChart>
      <c:catAx>
        <c:axId val="22406822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31955089"/>
        <c:crosses val="autoZero"/>
        <c:auto val="true"/>
        <c:lblAlgn val="ctr"/>
        <c:lblOffset val="100"/>
        <c:noMultiLvlLbl val="false"/>
      </c:catAx>
      <c:valAx>
        <c:axId val="831955089"/>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24068228"/>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一般公共预算财政拨款支出决算变动情况（单位：万元）</a:t>
            </a:r>
          </a:p>
        </c:rich>
      </c:tx>
      <c:layout>
        <c:manualLayout>
          <c:xMode val="edge"/>
          <c:yMode val="edge"/>
          <c:x val="0.0975"/>
          <c:y val="0.0277777777777778"/>
        </c:manualLayout>
      </c:layout>
      <c:overlay val="false"/>
      <c:spPr>
        <a:noFill/>
        <a:ln>
          <a:noFill/>
        </a:ln>
        <a:effectLst/>
      </c:spPr>
    </c:title>
    <c:autoTitleDeleted val="false"/>
    <c:plotArea>
      <c:layout/>
      <c:barChart>
        <c:barDir val="col"/>
        <c:grouping val="clustered"/>
        <c:varyColors val="false"/>
        <c:ser>
          <c:idx val="0"/>
          <c:order val="0"/>
          <c:tx>
            <c:strRef>
              <c:f>[工作簿1]Sheet1!$A$14</c:f>
              <c:strCache>
                <c:ptCount val="1"/>
                <c:pt idx="0">
                  <c:v>一般公共预算财政拨款支出决算总计</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[工作簿1]Sheet1!$B$13:$D$13</c:f>
              <c:strCache>
                <c:ptCount val="3"/>
                <c:pt idx="0">
                  <c:v>2023年</c:v>
                </c:pt>
                <c:pt idx="1">
                  <c:v>2024年</c:v>
                </c:pt>
              </c:strCache>
            </c:strRef>
          </c:cat>
          <c:val>
            <c:numRef>
              <c:f>[工作簿1]Sheet1!$B$14:$D$14</c:f>
              <c:numCache>
                <c:formatCode>General</c:formatCode>
                <c:ptCount val="3"/>
                <c:pt idx="0">
                  <c:v>428.61</c:v>
                </c:pt>
                <c:pt idx="1">
                  <c:v>411.16</c:v>
                </c:pt>
              </c:numCache>
            </c:numRef>
          </c:val>
        </c:ser>
        <c:dLbls>
          <c:showLegendKey val="false"/>
          <c:showVal val="true"/>
          <c:showCatName val="false"/>
          <c:showSerName val="false"/>
          <c:showPercent val="false"/>
          <c:showBubbleSize val="false"/>
        </c:dLbls>
        <c:gapWidth val="246"/>
        <c:overlap val="-28"/>
        <c:axId val="224068228"/>
        <c:axId val="831955089"/>
      </c:barChart>
      <c:catAx>
        <c:axId val="22406822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31955089"/>
        <c:crosses val="autoZero"/>
        <c:auto val="true"/>
        <c:lblAlgn val="ctr"/>
        <c:lblOffset val="100"/>
        <c:noMultiLvlLbl val="false"/>
      </c:catAx>
      <c:valAx>
        <c:axId val="831955089"/>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24068228"/>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overlay val="false"/>
      <c:spPr>
        <a:noFill/>
        <a:ln>
          <a:noFill/>
        </a:ln>
        <a:effectLst/>
      </c:spPr>
    </c:title>
    <c:autoTitleDeleted val="false"/>
    <c:plotArea>
      <c:layout/>
      <c:pieChart>
        <c:varyColors val="true"/>
        <c:ser>
          <c:idx val="0"/>
          <c:order val="0"/>
          <c:tx>
            <c:strRef>
              <c:f>[工作簿1]Sheet1!$B$17</c:f>
              <c:strCache>
                <c:ptCount val="1"/>
                <c:pt idx="0">
                  <c:v>2024年</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[工作簿1]Sheet1!$A$18:$A$21</c:f>
              <c:strCache>
                <c:ptCount val="4"/>
                <c:pt idx="0">
                  <c:v>一般公共服务支出</c:v>
                </c:pt>
                <c:pt idx="1">
                  <c:v>社会保障和就业支出</c:v>
                </c:pt>
                <c:pt idx="2">
                  <c:v>卫生健康支出</c:v>
                </c:pt>
                <c:pt idx="3">
                  <c:v>住房保障支出</c:v>
                </c:pt>
              </c:strCache>
            </c:strRef>
          </c:cat>
          <c:val>
            <c:numRef>
              <c:f>[工作簿1]Sheet1!$B$18:$B$21</c:f>
              <c:numCache>
                <c:formatCode>General</c:formatCode>
                <c:ptCount val="4"/>
                <c:pt idx="0">
                  <c:v>338.11</c:v>
                </c:pt>
                <c:pt idx="1">
                  <c:v>37.99</c:v>
                </c:pt>
                <c:pt idx="2">
                  <c:v>9.81</c:v>
                </c:pt>
                <c:pt idx="3">
                  <c:v>25.25</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'[新建 XLS 工作表.xls]Sheet1'!$A$81</c:f>
              <c:strCache>
                <c:ptCount val="1"/>
                <c:pt idx="0">
                  <c:v>“三公”经费财政拨款支出结构</c:v>
                </c:pt>
              </c:strCache>
            </c:strRef>
          </c:tx>
          <c:spPr/>
          <c:explosion val="0"/>
          <c:dPt>
            <c:idx val="0"/>
            <c:bubble3D val="false"/>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 工作表.xls]Sheet1'!$B$80</c:f>
              <c:strCache>
                <c:ptCount val="1"/>
                <c:pt idx="0">
                  <c:v>公务接待费</c:v>
                </c:pt>
              </c:strCache>
            </c:strRef>
          </c:cat>
          <c:val>
            <c:numRef>
              <c:f>'[新建 XLS 工作表.xls]Sheet1'!$B$81</c:f>
              <c:numCache>
                <c:formatCode>General</c:formatCode>
                <c:ptCount val="1"/>
                <c:pt idx="0">
                  <c:v>0.82</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8201</Words>
  <Characters>9072</Characters>
  <Lines>0</Lines>
  <Paragraphs>0</Paragraphs>
  <TotalTime>9</TotalTime>
  <ScaleCrop>false</ScaleCrop>
  <LinksUpToDate>false</LinksUpToDate>
  <CharactersWithSpaces>9147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2025-09-12T09:28:00Z</dcterms:created>
  <dc:creator>Hoicy</dc:creator>
  <cp:lastModifiedBy> </cp:lastModifiedBy>
  <dcterms:modified xsi:type="dcterms:W3CDTF">2025-09-25T17:23:18Z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E872CC6FE6B448578FEFF83EB2597567_13</vt:lpwstr>
  </property>
  <property fmtid="{D5CDD505-2E9C-101B-9397-08002B2CF9AE}" pid="4" name="KSOTemplateDocerSaveRecord">
    <vt:lpwstr>eyJoZGlkIjoiNjE3ZWU2MjZhZTZiNGY3MWE4YzE2ODVlMDk0ZjlhYmUiLCJ1c2VySWQiOiIyNDU4NTY5MiJ9</vt:lpwstr>
  </property>
</Properties>
</file>