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numPr>
          <w:ilvl w:val="0"/>
          <w:numId w:val="0"/>
        </w:numPr>
        <w:shd w:val="clear"/>
        <w:kinsoku/>
        <w:wordWrap/>
        <w:overflowPunct/>
        <w:topLinePunct w:val="0"/>
        <w:autoSpaceDE/>
        <w:autoSpaceDN/>
        <w:bidi w:val="0"/>
        <w:spacing w:line="240" w:lineRule="auto"/>
        <w:ind w:leftChars="200" w:right="0" w:rightChars="0"/>
        <w:jc w:val="center"/>
        <w:textAlignment w:val="auto"/>
        <w:rPr>
          <w:rFonts w:hint="eastAsia" w:ascii="方正小标宋_GBK" w:hAnsi="方正小标宋_GBK" w:eastAsia="方正小标宋_GBK" w:cs="方正小标宋_GBK"/>
          <w:color w:val="auto"/>
          <w:sz w:val="52"/>
          <w:szCs w:val="52"/>
          <w:highlight w:val="none"/>
          <w:lang w:val="en-US" w:eastAsia="zh-CN"/>
        </w:rPr>
      </w:pPr>
      <w:bookmarkStart w:id="0" w:name="_Toc15378441"/>
      <w:bookmarkStart w:id="1" w:name="_Toc15396475"/>
      <w:bookmarkStart w:id="2" w:name="_Toc15377193"/>
      <w:bookmarkStart w:id="3" w:name="_Toc15396597"/>
      <w:bookmarkStart w:id="4" w:name="_Toc15377425"/>
      <w:bookmarkStart w:id="5" w:name="_Toc15306267"/>
      <w:r>
        <w:rPr>
          <w:rFonts w:hint="eastAsia" w:ascii="方正小标宋_GBK" w:hAnsi="方正小标宋_GBK" w:eastAsia="方正小标宋_GBK" w:cs="方正小标宋_GBK"/>
          <w:color w:val="auto"/>
          <w:sz w:val="52"/>
          <w:szCs w:val="52"/>
          <w:highlight w:val="none"/>
          <w:lang w:val="en-US" w:eastAsia="zh-CN"/>
        </w:rPr>
        <w:t>2024年度</w:t>
      </w:r>
      <w:bookmarkEnd w:id="0"/>
      <w:bookmarkEnd w:id="1"/>
      <w:bookmarkEnd w:id="2"/>
      <w:bookmarkEnd w:id="3"/>
      <w:bookmarkEnd w:id="4"/>
    </w:p>
    <w:p>
      <w:pPr>
        <w:pageBreakBefore w:val="0"/>
        <w:widowControl w:val="0"/>
        <w:numPr>
          <w:ilvl w:val="0"/>
          <w:numId w:val="0"/>
        </w:numPr>
        <w:shd w:val="clear"/>
        <w:kinsoku/>
        <w:wordWrap/>
        <w:overflowPunct/>
        <w:topLinePunct w:val="0"/>
        <w:autoSpaceDE/>
        <w:autoSpaceDN/>
        <w:bidi w:val="0"/>
        <w:spacing w:line="240" w:lineRule="auto"/>
        <w:ind w:leftChars="200" w:right="0" w:rightChars="0"/>
        <w:jc w:val="center"/>
        <w:textAlignment w:val="auto"/>
        <w:outlineLvl w:val="0"/>
        <w:rPr>
          <w:rFonts w:hint="eastAsia" w:ascii="方正小标宋_GBK" w:hAnsi="方正小标宋_GBK" w:eastAsia="方正小标宋_GBK" w:cs="方正小标宋_GBK"/>
          <w:color w:val="auto"/>
          <w:sz w:val="52"/>
          <w:szCs w:val="52"/>
          <w:highlight w:val="none"/>
        </w:rPr>
      </w:pPr>
      <w:bookmarkStart w:id="6" w:name="_Toc15377426"/>
      <w:bookmarkStart w:id="7" w:name="_Toc15396476"/>
      <w:bookmarkStart w:id="8" w:name="_Toc23926"/>
      <w:bookmarkStart w:id="9" w:name="_Toc15377194"/>
      <w:bookmarkStart w:id="10" w:name="_Toc15396598"/>
      <w:bookmarkStart w:id="11" w:name="_Toc15378442"/>
      <w:r>
        <w:rPr>
          <w:rFonts w:hint="eastAsia" w:ascii="方正小标宋_GBK" w:hAnsi="方正小标宋_GBK" w:eastAsia="方正小标宋_GBK" w:cs="方正小标宋_GBK"/>
          <w:color w:val="auto"/>
          <w:sz w:val="52"/>
          <w:szCs w:val="52"/>
          <w:highlight w:val="none"/>
          <w:lang w:eastAsia="zh-CN"/>
        </w:rPr>
        <w:t>广元市</w:t>
      </w:r>
      <w:bookmarkEnd w:id="5"/>
      <w:bookmarkStart w:id="12" w:name="_Toc15306268"/>
      <w:r>
        <w:rPr>
          <w:rFonts w:hint="eastAsia" w:ascii="方正小标宋_GBK" w:hAnsi="方正小标宋_GBK" w:eastAsia="方正小标宋_GBK" w:cs="方正小标宋_GBK"/>
          <w:color w:val="auto"/>
          <w:sz w:val="52"/>
          <w:szCs w:val="52"/>
          <w:highlight w:val="none"/>
          <w:lang w:val="en-US" w:eastAsia="zh-CN"/>
        </w:rPr>
        <w:t>自然资源局</w:t>
      </w:r>
      <w:r>
        <w:rPr>
          <w:rFonts w:hint="eastAsia" w:ascii="方正小标宋_GBK" w:hAnsi="方正小标宋_GBK" w:eastAsia="方正小标宋_GBK" w:cs="方正小标宋_GBK"/>
          <w:color w:val="auto"/>
          <w:sz w:val="52"/>
          <w:szCs w:val="52"/>
          <w:highlight w:val="none"/>
        </w:rPr>
        <w:t>部门决算</w:t>
      </w:r>
      <w:bookmarkEnd w:id="6"/>
      <w:bookmarkEnd w:id="7"/>
      <w:bookmarkEnd w:id="8"/>
      <w:bookmarkEnd w:id="9"/>
      <w:bookmarkEnd w:id="10"/>
      <w:bookmarkEnd w:id="11"/>
      <w:bookmarkEnd w:id="12"/>
    </w:p>
    <w:p>
      <w:pPr>
        <w:shd w:val="clear"/>
        <w:rPr>
          <w:rFonts w:hint="eastAsia" w:ascii="方正小标宋_GBK" w:hAnsi="方正小标宋_GBK" w:eastAsia="方正小标宋_GBK" w:cs="方正小标宋_GBK"/>
          <w:color w:val="auto"/>
          <w:sz w:val="52"/>
          <w:szCs w:val="52"/>
          <w:highlight w:val="none"/>
        </w:rPr>
      </w:pPr>
      <w:r>
        <w:rPr>
          <w:rFonts w:hint="eastAsia" w:ascii="方正小标宋_GBK" w:hAnsi="方正小标宋_GBK" w:eastAsia="方正小标宋_GBK" w:cs="方正小标宋_GBK"/>
          <w:color w:val="auto"/>
          <w:sz w:val="52"/>
          <w:szCs w:val="52"/>
          <w:highlight w:val="none"/>
        </w:rPr>
        <w:br w:type="page"/>
      </w:r>
    </w:p>
    <w:p>
      <w:pPr>
        <w:pageBreakBefore w:val="0"/>
        <w:widowControl w:val="0"/>
        <w:numPr>
          <w:ilvl w:val="0"/>
          <w:numId w:val="0"/>
        </w:numPr>
        <w:shd w:val="clear"/>
        <w:kinsoku/>
        <w:wordWrap/>
        <w:overflowPunct/>
        <w:topLinePunct w:val="0"/>
        <w:autoSpaceDE/>
        <w:autoSpaceDN/>
        <w:bidi w:val="0"/>
        <w:spacing w:line="240" w:lineRule="auto"/>
        <w:ind w:leftChars="200" w:right="0" w:rightChars="0"/>
        <w:jc w:val="center"/>
        <w:textAlignment w:val="auto"/>
        <w:rPr>
          <w:rFonts w:hint="eastAsia" w:ascii="仿宋_GB2312" w:hAnsi="仿宋_GB2312" w:eastAsia="仿宋_GB2312" w:cs="仿宋_GB2312"/>
          <w:color w:val="auto"/>
          <w:sz w:val="32"/>
          <w:szCs w:val="32"/>
          <w:highlight w:val="none"/>
        </w:rPr>
      </w:pPr>
      <w:r>
        <w:rPr>
          <w:rFonts w:hint="eastAsia" w:ascii="方正小标宋_GBK" w:hAnsi="方正小标宋_GBK" w:eastAsia="方正小标宋_GBK" w:cs="方正小标宋_GBK"/>
          <w:color w:val="auto"/>
          <w:sz w:val="44"/>
          <w:szCs w:val="44"/>
          <w:highlight w:val="none"/>
        </w:rPr>
        <w:t>目录</w:t>
      </w:r>
    </w:p>
    <w:p>
      <w:pPr>
        <w:pageBreakBefore w:val="0"/>
        <w:widowControl w:val="0"/>
        <w:numPr>
          <w:ilvl w:val="0"/>
          <w:numId w:val="0"/>
        </w:numPr>
        <w:shd w:val="clear"/>
        <w:kinsoku/>
        <w:wordWrap/>
        <w:overflowPunct/>
        <w:topLinePunct w:val="0"/>
        <w:autoSpaceDE/>
        <w:autoSpaceDN/>
        <w:bidi w:val="0"/>
        <w:spacing w:line="576" w:lineRule="exact"/>
        <w:ind w:right="0" w:rightChars="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公开时间：20</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日</w:t>
      </w:r>
    </w:p>
    <w:sdt>
      <w:sdtPr>
        <w:rPr>
          <w:rFonts w:ascii="宋体" w:hAnsi="宋体" w:eastAsia="宋体" w:cs="Times New Roman"/>
          <w:color w:val="auto"/>
          <w:kern w:val="2"/>
          <w:sz w:val="21"/>
          <w:szCs w:val="24"/>
          <w:highlight w:val="none"/>
          <w:lang w:val="en-US" w:eastAsia="zh-CN" w:bidi="ar-SA"/>
        </w:rPr>
        <w:id w:val="147461371"/>
        <w15:color w:val="DBDBDB"/>
        <w:docPartObj>
          <w:docPartGallery w:val="Table of Contents"/>
          <w:docPartUnique/>
        </w:docPartObj>
      </w:sdtPr>
      <w:sdtEndPr>
        <w:rPr>
          <w:rFonts w:hint="eastAsia" w:ascii="Calibri" w:hAnsi="Calibri" w:eastAsia="宋体" w:cs="Times New Roman"/>
          <w:b/>
          <w:color w:val="auto"/>
          <w:kern w:val="2"/>
          <w:sz w:val="21"/>
          <w:szCs w:val="24"/>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color w:val="auto"/>
              <w:highlight w:val="none"/>
            </w:rPr>
          </w:pPr>
        </w:p>
        <w:p>
          <w:pPr>
            <w:pStyle w:val="38"/>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b/>
              <w:color w:val="auto"/>
              <w:highlight w:val="none"/>
            </w:rPr>
          </w:pPr>
          <w:r>
            <w:rPr>
              <w:rFonts w:hint="eastAsia"/>
              <w:color w:val="auto"/>
              <w:highlight w:val="none"/>
            </w:rPr>
            <w:fldChar w:fldCharType="begin"/>
          </w:r>
          <w:r>
            <w:rPr>
              <w:rFonts w:hint="eastAsia"/>
              <w:color w:val="auto"/>
              <w:highlight w:val="none"/>
            </w:rPr>
            <w:instrText xml:space="preserve">TOC \o "1-2" \h \u </w:instrText>
          </w:r>
          <w:r>
            <w:rPr>
              <w:rFonts w:hint="eastAsia"/>
              <w:color w:val="auto"/>
              <w:highlight w:val="none"/>
            </w:rPr>
            <w:fldChar w:fldCharType="separate"/>
          </w:r>
          <w:r>
            <w:rPr>
              <w:rFonts w:hint="eastAsia"/>
              <w:b/>
              <w:color w:val="auto"/>
              <w:highlight w:val="none"/>
            </w:rPr>
            <w:fldChar w:fldCharType="begin"/>
          </w:r>
          <w:r>
            <w:rPr>
              <w:rFonts w:hint="eastAsia"/>
              <w:b/>
              <w:color w:val="auto"/>
              <w:highlight w:val="none"/>
            </w:rPr>
            <w:instrText xml:space="preserve"> HYPERLINK \l _Toc30764 </w:instrText>
          </w:r>
          <w:r>
            <w:rPr>
              <w:rFonts w:hint="eastAsia"/>
              <w:b/>
              <w:color w:val="auto"/>
              <w:highlight w:val="none"/>
            </w:rPr>
            <w:fldChar w:fldCharType="separate"/>
          </w:r>
          <w:r>
            <w:rPr>
              <w:rFonts w:hint="eastAsia" w:ascii="黑体" w:hAnsi="黑体" w:eastAsia="黑体" w:cstheme="minorBidi"/>
              <w:b/>
              <w:bCs w:val="0"/>
              <w:color w:val="auto"/>
              <w:highlight w:val="none"/>
            </w:rPr>
            <w:t>第一部分部门概况</w:t>
          </w:r>
          <w:r>
            <w:rPr>
              <w:b/>
              <w:color w:val="auto"/>
              <w:highlight w:val="none"/>
            </w:rPr>
            <w:tab/>
          </w:r>
          <w:r>
            <w:rPr>
              <w:b/>
              <w:color w:val="auto"/>
              <w:highlight w:val="none"/>
            </w:rPr>
            <w:fldChar w:fldCharType="begin"/>
          </w:r>
          <w:r>
            <w:rPr>
              <w:b/>
              <w:color w:val="auto"/>
              <w:highlight w:val="none"/>
            </w:rPr>
            <w:instrText xml:space="preserve"> PAGEREF _Toc30764 \h </w:instrText>
          </w:r>
          <w:r>
            <w:rPr>
              <w:b/>
              <w:color w:val="auto"/>
              <w:highlight w:val="none"/>
            </w:rPr>
            <w:fldChar w:fldCharType="separate"/>
          </w:r>
          <w:r>
            <w:rPr>
              <w:b/>
              <w:color w:val="auto"/>
              <w:highlight w:val="none"/>
            </w:rPr>
            <w:t>1</w:t>
          </w:r>
          <w:r>
            <w:rPr>
              <w:b/>
              <w:color w:val="auto"/>
              <w:highlight w:val="none"/>
            </w:rPr>
            <w:fldChar w:fldCharType="end"/>
          </w:r>
          <w:r>
            <w:rPr>
              <w:rFonts w:hint="eastAsia"/>
              <w:b/>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_Toc27201 </w:instrText>
          </w:r>
          <w:r>
            <w:rPr>
              <w:rFonts w:hint="eastAsia"/>
              <w:color w:val="auto"/>
              <w:highlight w:val="none"/>
            </w:rPr>
            <w:fldChar w:fldCharType="separate"/>
          </w:r>
          <w:r>
            <w:rPr>
              <w:rFonts w:hint="eastAsia" w:ascii="黑体" w:hAnsi="黑体" w:eastAsia="黑体" w:cs="黑体"/>
              <w:color w:val="auto"/>
              <w:szCs w:val="32"/>
              <w:highlight w:val="none"/>
              <w:lang w:val="en-US" w:eastAsia="zh-CN"/>
            </w:rPr>
            <w:t>一、部门职责</w:t>
          </w:r>
          <w:r>
            <w:rPr>
              <w:color w:val="auto"/>
              <w:highlight w:val="none"/>
            </w:rPr>
            <w:tab/>
          </w:r>
          <w:r>
            <w:rPr>
              <w:color w:val="auto"/>
              <w:highlight w:val="none"/>
            </w:rPr>
            <w:fldChar w:fldCharType="begin"/>
          </w:r>
          <w:r>
            <w:rPr>
              <w:color w:val="auto"/>
              <w:highlight w:val="none"/>
            </w:rPr>
            <w:instrText xml:space="preserve"> PAGEREF _Toc27201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_Toc21914 </w:instrText>
          </w:r>
          <w:r>
            <w:rPr>
              <w:rFonts w:hint="eastAsia"/>
              <w:color w:val="auto"/>
              <w:highlight w:val="none"/>
            </w:rPr>
            <w:fldChar w:fldCharType="separate"/>
          </w:r>
          <w:r>
            <w:rPr>
              <w:rFonts w:hint="eastAsia" w:ascii="黑体" w:hAnsi="黑体" w:eastAsia="黑体" w:cs="黑体"/>
              <w:color w:val="auto"/>
              <w:szCs w:val="32"/>
              <w:highlight w:val="none"/>
            </w:rPr>
            <w:t>二、机</w:t>
          </w:r>
          <w:r>
            <w:rPr>
              <w:rFonts w:hint="eastAsia" w:ascii="黑体" w:hAnsi="黑体" w:eastAsia="黑体" w:cs="黑体"/>
              <w:bCs w:val="0"/>
              <w:color w:val="auto"/>
              <w:szCs w:val="32"/>
              <w:highlight w:val="none"/>
            </w:rPr>
            <w:t>构设置</w:t>
          </w:r>
          <w:r>
            <w:rPr>
              <w:color w:val="auto"/>
              <w:highlight w:val="none"/>
            </w:rPr>
            <w:tab/>
          </w:r>
          <w:r>
            <w:rPr>
              <w:color w:val="auto"/>
              <w:highlight w:val="none"/>
            </w:rPr>
            <w:fldChar w:fldCharType="begin"/>
          </w:r>
          <w:r>
            <w:rPr>
              <w:color w:val="auto"/>
              <w:highlight w:val="none"/>
            </w:rPr>
            <w:instrText xml:space="preserve"> PAGEREF _Toc21914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highlight w:val="none"/>
            </w:rPr>
            <w:fldChar w:fldCharType="end"/>
          </w:r>
        </w:p>
        <w:p>
          <w:pPr>
            <w:pStyle w:val="38"/>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b/>
              <w:color w:val="auto"/>
              <w:highlight w:val="none"/>
            </w:rPr>
          </w:pPr>
          <w:r>
            <w:rPr>
              <w:rFonts w:hint="eastAsia"/>
              <w:b/>
              <w:color w:val="auto"/>
              <w:highlight w:val="none"/>
            </w:rPr>
            <w:fldChar w:fldCharType="begin"/>
          </w:r>
          <w:r>
            <w:rPr>
              <w:rFonts w:hint="eastAsia"/>
              <w:b/>
              <w:color w:val="auto"/>
              <w:highlight w:val="none"/>
            </w:rPr>
            <w:instrText xml:space="preserve"> HYPERLINK \l _Toc627 </w:instrText>
          </w:r>
          <w:r>
            <w:rPr>
              <w:rFonts w:hint="eastAsia"/>
              <w:b/>
              <w:color w:val="auto"/>
              <w:highlight w:val="none"/>
            </w:rPr>
            <w:fldChar w:fldCharType="separate"/>
          </w:r>
          <w:r>
            <w:rPr>
              <w:rFonts w:hint="eastAsia" w:ascii="黑体" w:hAnsi="黑体" w:eastAsia="黑体" w:cstheme="minorBidi"/>
              <w:b/>
              <w:bCs/>
              <w:color w:val="auto"/>
              <w:highlight w:val="none"/>
            </w:rPr>
            <w:t>第二部分</w:t>
          </w:r>
          <w:r>
            <w:rPr>
              <w:rFonts w:hint="eastAsia" w:ascii="黑体" w:hAnsi="黑体" w:eastAsia="黑体" w:cstheme="minorBidi"/>
              <w:b/>
              <w:bCs/>
              <w:color w:val="auto"/>
              <w:highlight w:val="none"/>
              <w:lang w:val="en-US" w:eastAsia="zh-CN"/>
            </w:rPr>
            <w:t>2024年度</w:t>
          </w:r>
          <w:r>
            <w:rPr>
              <w:rFonts w:hint="eastAsia" w:ascii="黑体" w:hAnsi="黑体" w:eastAsia="黑体" w:cstheme="minorBidi"/>
              <w:b/>
              <w:bCs/>
              <w:color w:val="auto"/>
              <w:highlight w:val="none"/>
            </w:rPr>
            <w:t>部门决算情况说明</w:t>
          </w:r>
          <w:r>
            <w:rPr>
              <w:b/>
              <w:color w:val="auto"/>
              <w:highlight w:val="none"/>
            </w:rPr>
            <w:tab/>
          </w:r>
          <w:r>
            <w:rPr>
              <w:b/>
              <w:color w:val="auto"/>
              <w:highlight w:val="none"/>
            </w:rPr>
            <w:fldChar w:fldCharType="begin"/>
          </w:r>
          <w:r>
            <w:rPr>
              <w:b/>
              <w:color w:val="auto"/>
              <w:highlight w:val="none"/>
            </w:rPr>
            <w:instrText xml:space="preserve"> PAGEREF _Toc627 \h </w:instrText>
          </w:r>
          <w:r>
            <w:rPr>
              <w:b/>
              <w:color w:val="auto"/>
              <w:highlight w:val="none"/>
            </w:rPr>
            <w:fldChar w:fldCharType="separate"/>
          </w:r>
          <w:r>
            <w:rPr>
              <w:b/>
              <w:color w:val="auto"/>
              <w:highlight w:val="none"/>
            </w:rPr>
            <w:t>6</w:t>
          </w:r>
          <w:r>
            <w:rPr>
              <w:b/>
              <w:color w:val="auto"/>
              <w:highlight w:val="none"/>
            </w:rPr>
            <w:fldChar w:fldCharType="end"/>
          </w:r>
          <w:r>
            <w:rPr>
              <w:rFonts w:hint="eastAsia"/>
              <w:b/>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_Toc21546 </w:instrText>
          </w:r>
          <w:r>
            <w:rPr>
              <w:rFonts w:hint="eastAsia"/>
              <w:color w:val="auto"/>
              <w:highlight w:val="none"/>
            </w:rPr>
            <w:fldChar w:fldCharType="separate"/>
          </w:r>
          <w:r>
            <w:rPr>
              <w:rFonts w:hint="eastAsia" w:ascii="黑体" w:hAnsi="黑体" w:eastAsia="黑体"/>
              <w:color w:val="auto"/>
              <w:szCs w:val="32"/>
              <w:highlight w:val="none"/>
              <w:lang w:eastAsia="zh-CN"/>
            </w:rPr>
            <w:t>一、</w:t>
          </w:r>
          <w:r>
            <w:rPr>
              <w:rFonts w:hint="eastAsia" w:ascii="黑体" w:hAnsi="黑体" w:eastAsia="黑体"/>
              <w:color w:val="auto"/>
              <w:szCs w:val="32"/>
              <w:highlight w:val="none"/>
            </w:rPr>
            <w:t>收</w:t>
          </w:r>
          <w:r>
            <w:rPr>
              <w:rFonts w:hint="eastAsia" w:ascii="黑体" w:hAnsi="黑体" w:eastAsia="黑体"/>
              <w:color w:val="auto"/>
              <w:highlight w:val="none"/>
            </w:rPr>
            <w:t>入支出决算总体情况说明</w:t>
          </w:r>
          <w:r>
            <w:rPr>
              <w:color w:val="auto"/>
              <w:highlight w:val="none"/>
            </w:rPr>
            <w:tab/>
          </w:r>
          <w:r>
            <w:rPr>
              <w:color w:val="auto"/>
              <w:highlight w:val="none"/>
            </w:rPr>
            <w:fldChar w:fldCharType="begin"/>
          </w:r>
          <w:r>
            <w:rPr>
              <w:color w:val="auto"/>
              <w:highlight w:val="none"/>
            </w:rPr>
            <w:instrText xml:space="preserve"> PAGEREF _Toc21546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_Toc8410 </w:instrText>
          </w:r>
          <w:r>
            <w:rPr>
              <w:rFonts w:hint="eastAsia"/>
              <w:color w:val="auto"/>
              <w:highlight w:val="none"/>
            </w:rPr>
            <w:fldChar w:fldCharType="separate"/>
          </w:r>
          <w:r>
            <w:rPr>
              <w:rFonts w:hint="eastAsia" w:ascii="黑体" w:hAnsi="黑体" w:eastAsia="黑体"/>
              <w:color w:val="auto"/>
              <w:szCs w:val="32"/>
              <w:highlight w:val="none"/>
              <w:lang w:eastAsia="zh-CN"/>
            </w:rPr>
            <w:t>二、</w:t>
          </w:r>
          <w:r>
            <w:rPr>
              <w:rFonts w:hint="eastAsia" w:ascii="黑体" w:hAnsi="黑体" w:eastAsia="黑体"/>
              <w:color w:val="auto"/>
              <w:szCs w:val="32"/>
              <w:highlight w:val="none"/>
            </w:rPr>
            <w:t>收</w:t>
          </w:r>
          <w:r>
            <w:rPr>
              <w:rFonts w:hint="eastAsia" w:ascii="黑体" w:hAnsi="黑体" w:eastAsia="黑体"/>
              <w:color w:val="auto"/>
              <w:highlight w:val="none"/>
            </w:rPr>
            <w:t>入决算情况说明</w:t>
          </w:r>
          <w:r>
            <w:rPr>
              <w:color w:val="auto"/>
              <w:highlight w:val="none"/>
            </w:rPr>
            <w:tab/>
          </w:r>
          <w:r>
            <w:rPr>
              <w:color w:val="auto"/>
              <w:highlight w:val="none"/>
            </w:rPr>
            <w:fldChar w:fldCharType="begin"/>
          </w:r>
          <w:r>
            <w:rPr>
              <w:color w:val="auto"/>
              <w:highlight w:val="none"/>
            </w:rPr>
            <w:instrText xml:space="preserve"> PAGEREF _Toc8410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_Toc630 </w:instrText>
          </w:r>
          <w:r>
            <w:rPr>
              <w:rFonts w:hint="eastAsia"/>
              <w:color w:val="auto"/>
              <w:highlight w:val="none"/>
            </w:rPr>
            <w:fldChar w:fldCharType="separate"/>
          </w:r>
          <w:r>
            <w:rPr>
              <w:rFonts w:hint="eastAsia" w:ascii="黑体" w:hAnsi="黑体" w:eastAsia="黑体"/>
              <w:color w:val="auto"/>
              <w:szCs w:val="32"/>
              <w:highlight w:val="none"/>
              <w:lang w:eastAsia="zh-CN"/>
            </w:rPr>
            <w:t>三、</w:t>
          </w:r>
          <w:r>
            <w:rPr>
              <w:rFonts w:hint="eastAsia" w:ascii="黑体" w:hAnsi="黑体" w:eastAsia="黑体"/>
              <w:color w:val="auto"/>
              <w:szCs w:val="32"/>
              <w:highlight w:val="none"/>
            </w:rPr>
            <w:t>支</w:t>
          </w:r>
          <w:r>
            <w:rPr>
              <w:rFonts w:hint="eastAsia" w:ascii="黑体" w:hAnsi="黑体" w:eastAsia="黑体"/>
              <w:color w:val="auto"/>
              <w:highlight w:val="none"/>
            </w:rPr>
            <w:t>出决算情况说明</w:t>
          </w:r>
          <w:r>
            <w:rPr>
              <w:color w:val="auto"/>
              <w:highlight w:val="none"/>
            </w:rPr>
            <w:tab/>
          </w:r>
          <w:r>
            <w:rPr>
              <w:color w:val="auto"/>
              <w:highlight w:val="none"/>
            </w:rPr>
            <w:fldChar w:fldCharType="begin"/>
          </w:r>
          <w:r>
            <w:rPr>
              <w:color w:val="auto"/>
              <w:highlight w:val="none"/>
            </w:rPr>
            <w:instrText xml:space="preserve"> PAGEREF _Toc630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_Toc17959 </w:instrText>
          </w:r>
          <w:r>
            <w:rPr>
              <w:rFonts w:hint="eastAsia"/>
              <w:color w:val="auto"/>
              <w:highlight w:val="none"/>
            </w:rPr>
            <w:fldChar w:fldCharType="separate"/>
          </w:r>
          <w:r>
            <w:rPr>
              <w:rFonts w:hint="eastAsia" w:ascii="黑体" w:hAnsi="黑体" w:eastAsia="黑体"/>
              <w:color w:val="auto"/>
              <w:szCs w:val="32"/>
              <w:highlight w:val="none"/>
            </w:rPr>
            <w:t>四、财</w:t>
          </w:r>
          <w:r>
            <w:rPr>
              <w:rFonts w:hint="eastAsia" w:ascii="黑体" w:hAnsi="黑体" w:eastAsia="黑体"/>
              <w:color w:val="auto"/>
              <w:highlight w:val="none"/>
            </w:rPr>
            <w:t>政拨款收入支出决算总体情况说明</w:t>
          </w:r>
          <w:r>
            <w:rPr>
              <w:color w:val="auto"/>
              <w:highlight w:val="none"/>
            </w:rPr>
            <w:tab/>
          </w:r>
          <w:r>
            <w:rPr>
              <w:color w:val="auto"/>
              <w:highlight w:val="none"/>
            </w:rPr>
            <w:fldChar w:fldCharType="begin"/>
          </w:r>
          <w:r>
            <w:rPr>
              <w:color w:val="auto"/>
              <w:highlight w:val="none"/>
            </w:rPr>
            <w:instrText xml:space="preserve"> PAGEREF _Toc17959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_Toc19150 </w:instrText>
          </w:r>
          <w:r>
            <w:rPr>
              <w:rFonts w:hint="eastAsia"/>
              <w:color w:val="auto"/>
              <w:highlight w:val="none"/>
            </w:rPr>
            <w:fldChar w:fldCharType="separate"/>
          </w:r>
          <w:r>
            <w:rPr>
              <w:rFonts w:hint="eastAsia" w:ascii="黑体" w:hAnsi="黑体" w:eastAsia="黑体"/>
              <w:color w:val="auto"/>
              <w:szCs w:val="32"/>
              <w:highlight w:val="none"/>
            </w:rPr>
            <w:t>五、一</w:t>
          </w:r>
          <w:r>
            <w:rPr>
              <w:rFonts w:hint="eastAsia" w:ascii="黑体" w:hAnsi="黑体" w:eastAsia="黑体"/>
              <w:color w:val="auto"/>
              <w:highlight w:val="none"/>
            </w:rPr>
            <w:t>般公共预算财政拨款支出决算情况说明</w:t>
          </w:r>
          <w:r>
            <w:rPr>
              <w:color w:val="auto"/>
              <w:highlight w:val="none"/>
            </w:rPr>
            <w:tab/>
          </w:r>
          <w:r>
            <w:rPr>
              <w:color w:val="auto"/>
              <w:highlight w:val="none"/>
            </w:rPr>
            <w:fldChar w:fldCharType="begin"/>
          </w:r>
          <w:r>
            <w:rPr>
              <w:color w:val="auto"/>
              <w:highlight w:val="none"/>
            </w:rPr>
            <w:instrText xml:space="preserve"> PAGEREF _Toc19150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_Toc23181 </w:instrText>
          </w:r>
          <w:r>
            <w:rPr>
              <w:rFonts w:hint="eastAsia"/>
              <w:color w:val="auto"/>
              <w:highlight w:val="none"/>
            </w:rPr>
            <w:fldChar w:fldCharType="separate"/>
          </w:r>
          <w:r>
            <w:rPr>
              <w:rFonts w:hint="eastAsia" w:ascii="黑体" w:eastAsia="黑体"/>
              <w:color w:val="auto"/>
              <w:szCs w:val="32"/>
              <w:highlight w:val="none"/>
            </w:rPr>
            <w:t>六、</w:t>
          </w:r>
          <w:r>
            <w:rPr>
              <w:rFonts w:hint="eastAsia" w:ascii="黑体" w:hAnsi="黑体" w:eastAsia="黑体"/>
              <w:color w:val="auto"/>
              <w:szCs w:val="32"/>
              <w:highlight w:val="none"/>
            </w:rPr>
            <w:t>一</w:t>
          </w:r>
          <w:r>
            <w:rPr>
              <w:rFonts w:hint="eastAsia" w:ascii="黑体" w:hAnsi="黑体" w:eastAsia="黑体"/>
              <w:color w:val="auto"/>
              <w:highlight w:val="none"/>
            </w:rPr>
            <w:t>般公共预算财政拨款基本支出决算情况说明</w:t>
          </w:r>
          <w:r>
            <w:rPr>
              <w:color w:val="auto"/>
              <w:highlight w:val="none"/>
            </w:rPr>
            <w:tab/>
          </w:r>
          <w:r>
            <w:rPr>
              <w:color w:val="auto"/>
              <w:highlight w:val="none"/>
            </w:rPr>
            <w:fldChar w:fldCharType="begin"/>
          </w:r>
          <w:r>
            <w:rPr>
              <w:color w:val="auto"/>
              <w:highlight w:val="none"/>
            </w:rPr>
            <w:instrText xml:space="preserve"> PAGEREF _Toc23181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_Toc25735 </w:instrText>
          </w:r>
          <w:r>
            <w:rPr>
              <w:rFonts w:hint="eastAsia"/>
              <w:color w:val="auto"/>
              <w:highlight w:val="none"/>
            </w:rPr>
            <w:fldChar w:fldCharType="separate"/>
          </w:r>
          <w:r>
            <w:rPr>
              <w:rFonts w:hint="eastAsia" w:ascii="黑体" w:eastAsia="黑体"/>
              <w:color w:val="auto"/>
              <w:szCs w:val="32"/>
              <w:highlight w:val="none"/>
            </w:rPr>
            <w:t>七、</w:t>
          </w:r>
          <w:r>
            <w:rPr>
              <w:rFonts w:hint="eastAsia" w:ascii="黑体" w:hAnsi="黑体" w:eastAsia="黑体"/>
              <w:color w:val="auto"/>
              <w:highlight w:val="none"/>
            </w:rPr>
            <w:t>财政拨款“三公”经费支出决算情况说明</w:t>
          </w:r>
          <w:r>
            <w:rPr>
              <w:color w:val="auto"/>
              <w:highlight w:val="none"/>
            </w:rPr>
            <w:tab/>
          </w:r>
          <w:r>
            <w:rPr>
              <w:color w:val="auto"/>
              <w:highlight w:val="none"/>
            </w:rPr>
            <w:fldChar w:fldCharType="begin"/>
          </w:r>
          <w:r>
            <w:rPr>
              <w:color w:val="auto"/>
              <w:highlight w:val="none"/>
            </w:rPr>
            <w:instrText xml:space="preserve"> PAGEREF _Toc25735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_Toc24925 </w:instrText>
          </w:r>
          <w:r>
            <w:rPr>
              <w:rFonts w:hint="eastAsia"/>
              <w:color w:val="auto"/>
              <w:highlight w:val="none"/>
            </w:rPr>
            <w:fldChar w:fldCharType="separate"/>
          </w:r>
          <w:r>
            <w:rPr>
              <w:rFonts w:hint="eastAsia" w:ascii="黑体" w:eastAsia="黑体"/>
              <w:color w:val="auto"/>
              <w:szCs w:val="32"/>
              <w:highlight w:val="none"/>
            </w:rPr>
            <w:t>八、</w:t>
          </w:r>
          <w:r>
            <w:rPr>
              <w:rFonts w:hint="eastAsia" w:ascii="黑体" w:hAnsi="黑体" w:eastAsia="黑体"/>
              <w:color w:val="auto"/>
              <w:highlight w:val="none"/>
            </w:rPr>
            <w:t>政府性基金预算支出决算情况说明</w:t>
          </w:r>
          <w:r>
            <w:rPr>
              <w:color w:val="auto"/>
              <w:highlight w:val="none"/>
            </w:rPr>
            <w:tab/>
          </w:r>
          <w:r>
            <w:rPr>
              <w:color w:val="auto"/>
              <w:highlight w:val="none"/>
            </w:rPr>
            <w:fldChar w:fldCharType="begin"/>
          </w:r>
          <w:r>
            <w:rPr>
              <w:color w:val="auto"/>
              <w:highlight w:val="none"/>
            </w:rPr>
            <w:instrText xml:space="preserve"> PAGEREF _Toc24925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_Toc4864 </w:instrText>
          </w:r>
          <w:r>
            <w:rPr>
              <w:rFonts w:hint="eastAsia"/>
              <w:color w:val="auto"/>
              <w:highlight w:val="none"/>
            </w:rPr>
            <w:fldChar w:fldCharType="separate"/>
          </w:r>
          <w:r>
            <w:rPr>
              <w:rFonts w:hint="eastAsia" w:ascii="黑体" w:hAnsi="黑体" w:eastAsia="黑体"/>
              <w:color w:val="auto"/>
              <w:highlight w:val="none"/>
            </w:rPr>
            <w:t>九、国有资本经营预算支出决算情况说明</w:t>
          </w:r>
          <w:r>
            <w:rPr>
              <w:color w:val="auto"/>
              <w:highlight w:val="none"/>
            </w:rPr>
            <w:tab/>
          </w:r>
          <w:r>
            <w:rPr>
              <w:color w:val="auto"/>
              <w:highlight w:val="none"/>
            </w:rPr>
            <w:fldChar w:fldCharType="begin"/>
          </w:r>
          <w:r>
            <w:rPr>
              <w:color w:val="auto"/>
              <w:highlight w:val="none"/>
            </w:rPr>
            <w:instrText xml:space="preserve"> PAGEREF _Toc4864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_Toc23636 </w:instrText>
          </w:r>
          <w:r>
            <w:rPr>
              <w:rFonts w:hint="eastAsia"/>
              <w:color w:val="auto"/>
              <w:highlight w:val="none"/>
            </w:rPr>
            <w:fldChar w:fldCharType="separate"/>
          </w:r>
          <w:r>
            <w:rPr>
              <w:rFonts w:hint="eastAsia" w:ascii="黑体" w:hAnsi="黑体" w:eastAsia="黑体"/>
              <w:color w:val="auto"/>
              <w:highlight w:val="none"/>
            </w:rPr>
            <w:t>十、其他重要事项的情况说明</w:t>
          </w:r>
          <w:r>
            <w:rPr>
              <w:color w:val="auto"/>
              <w:highlight w:val="none"/>
            </w:rPr>
            <w:tab/>
          </w:r>
          <w:r>
            <w:rPr>
              <w:color w:val="auto"/>
              <w:highlight w:val="none"/>
            </w:rPr>
            <w:fldChar w:fldCharType="begin"/>
          </w:r>
          <w:r>
            <w:rPr>
              <w:color w:val="auto"/>
              <w:highlight w:val="none"/>
            </w:rPr>
            <w:instrText xml:space="preserve"> PAGEREF _Toc23636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highlight w:val="none"/>
            </w:rPr>
            <w:fldChar w:fldCharType="end"/>
          </w:r>
        </w:p>
        <w:p>
          <w:pPr>
            <w:pStyle w:val="38"/>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b/>
              <w:color w:val="auto"/>
              <w:highlight w:val="none"/>
            </w:rPr>
          </w:pPr>
          <w:r>
            <w:rPr>
              <w:rFonts w:hint="eastAsia"/>
              <w:b/>
              <w:color w:val="auto"/>
              <w:highlight w:val="none"/>
            </w:rPr>
            <w:fldChar w:fldCharType="begin"/>
          </w:r>
          <w:r>
            <w:rPr>
              <w:rFonts w:hint="eastAsia"/>
              <w:b/>
              <w:color w:val="auto"/>
              <w:highlight w:val="none"/>
            </w:rPr>
            <w:instrText xml:space="preserve"> HYPERLINK \l _Toc8591 </w:instrText>
          </w:r>
          <w:r>
            <w:rPr>
              <w:rFonts w:hint="eastAsia"/>
              <w:b/>
              <w:color w:val="auto"/>
              <w:highlight w:val="none"/>
            </w:rPr>
            <w:fldChar w:fldCharType="separate"/>
          </w:r>
          <w:r>
            <w:rPr>
              <w:rFonts w:hint="eastAsia" w:ascii="黑体" w:hAnsi="黑体" w:eastAsia="黑体"/>
              <w:b/>
              <w:color w:val="auto"/>
              <w:szCs w:val="44"/>
              <w:highlight w:val="none"/>
              <w:lang w:eastAsia="zh-CN"/>
            </w:rPr>
            <w:t>第三部分</w:t>
          </w:r>
          <w:r>
            <w:rPr>
              <w:rFonts w:hint="eastAsia" w:ascii="黑体" w:hAnsi="黑体" w:eastAsia="黑体"/>
              <w:b/>
              <w:color w:val="auto"/>
              <w:szCs w:val="44"/>
              <w:highlight w:val="none"/>
            </w:rPr>
            <w:t>名</w:t>
          </w:r>
          <w:r>
            <w:rPr>
              <w:rFonts w:hint="eastAsia" w:ascii="黑体" w:hAnsi="黑体" w:eastAsia="黑体"/>
              <w:b/>
              <w:color w:val="auto"/>
              <w:highlight w:val="none"/>
            </w:rPr>
            <w:t>词解释</w:t>
          </w:r>
          <w:r>
            <w:rPr>
              <w:b/>
              <w:color w:val="auto"/>
              <w:highlight w:val="none"/>
            </w:rPr>
            <w:tab/>
          </w:r>
          <w:r>
            <w:rPr>
              <w:b/>
              <w:color w:val="auto"/>
              <w:highlight w:val="none"/>
            </w:rPr>
            <w:fldChar w:fldCharType="begin"/>
          </w:r>
          <w:r>
            <w:rPr>
              <w:b/>
              <w:color w:val="auto"/>
              <w:highlight w:val="none"/>
            </w:rPr>
            <w:instrText xml:space="preserve"> PAGEREF _Toc8591 \h </w:instrText>
          </w:r>
          <w:r>
            <w:rPr>
              <w:b/>
              <w:color w:val="auto"/>
              <w:highlight w:val="none"/>
            </w:rPr>
            <w:fldChar w:fldCharType="separate"/>
          </w:r>
          <w:r>
            <w:rPr>
              <w:b/>
              <w:color w:val="auto"/>
              <w:highlight w:val="none"/>
            </w:rPr>
            <w:t>18</w:t>
          </w:r>
          <w:r>
            <w:rPr>
              <w:b/>
              <w:color w:val="auto"/>
              <w:highlight w:val="none"/>
            </w:rPr>
            <w:fldChar w:fldCharType="end"/>
          </w:r>
          <w:r>
            <w:rPr>
              <w:rFonts w:hint="eastAsia"/>
              <w:b/>
              <w:color w:val="auto"/>
              <w:highlight w:val="none"/>
            </w:rPr>
            <w:fldChar w:fldCharType="end"/>
          </w:r>
        </w:p>
        <w:p>
          <w:pPr>
            <w:pStyle w:val="38"/>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b/>
              <w:color w:val="auto"/>
              <w:highlight w:val="none"/>
            </w:rPr>
          </w:pPr>
          <w:r>
            <w:rPr>
              <w:rFonts w:hint="eastAsia"/>
              <w:b/>
              <w:color w:val="auto"/>
              <w:highlight w:val="none"/>
            </w:rPr>
            <w:fldChar w:fldCharType="begin"/>
          </w:r>
          <w:r>
            <w:rPr>
              <w:rFonts w:hint="eastAsia"/>
              <w:b/>
              <w:color w:val="auto"/>
              <w:highlight w:val="none"/>
            </w:rPr>
            <w:instrText xml:space="preserve"> HYPERLINK \l _Toc4498 </w:instrText>
          </w:r>
          <w:r>
            <w:rPr>
              <w:rFonts w:hint="eastAsia"/>
              <w:b/>
              <w:color w:val="auto"/>
              <w:highlight w:val="none"/>
            </w:rPr>
            <w:fldChar w:fldCharType="separate"/>
          </w:r>
          <w:r>
            <w:rPr>
              <w:rFonts w:hint="eastAsia" w:ascii="黑体" w:hAnsi="黑体" w:eastAsia="黑体"/>
              <w:b/>
              <w:color w:val="auto"/>
              <w:szCs w:val="44"/>
              <w:highlight w:val="none"/>
            </w:rPr>
            <w:t>第</w:t>
          </w:r>
          <w:r>
            <w:rPr>
              <w:rFonts w:hint="eastAsia" w:ascii="黑体" w:hAnsi="黑体" w:eastAsia="黑体"/>
              <w:b/>
              <w:color w:val="auto"/>
              <w:highlight w:val="none"/>
            </w:rPr>
            <w:t>四部分附件</w:t>
          </w:r>
          <w:r>
            <w:rPr>
              <w:b/>
              <w:color w:val="auto"/>
              <w:highlight w:val="none"/>
            </w:rPr>
            <w:tab/>
          </w:r>
          <w:r>
            <w:rPr>
              <w:b/>
              <w:color w:val="auto"/>
              <w:highlight w:val="none"/>
            </w:rPr>
            <w:fldChar w:fldCharType="begin"/>
          </w:r>
          <w:r>
            <w:rPr>
              <w:b/>
              <w:color w:val="auto"/>
              <w:highlight w:val="none"/>
            </w:rPr>
            <w:instrText xml:space="preserve"> PAGEREF _Toc4498 \h </w:instrText>
          </w:r>
          <w:r>
            <w:rPr>
              <w:b/>
              <w:color w:val="auto"/>
              <w:highlight w:val="none"/>
            </w:rPr>
            <w:fldChar w:fldCharType="separate"/>
          </w:r>
          <w:r>
            <w:rPr>
              <w:b/>
              <w:color w:val="auto"/>
              <w:highlight w:val="none"/>
            </w:rPr>
            <w:t>23</w:t>
          </w:r>
          <w:r>
            <w:rPr>
              <w:b/>
              <w:color w:val="auto"/>
              <w:highlight w:val="none"/>
            </w:rPr>
            <w:fldChar w:fldCharType="end"/>
          </w:r>
          <w:r>
            <w:rPr>
              <w:rFonts w:hint="eastAsia"/>
              <w:b/>
              <w:color w:val="auto"/>
              <w:highlight w:val="none"/>
            </w:rPr>
            <w:fldChar w:fldCharType="end"/>
          </w:r>
        </w:p>
        <w:p>
          <w:pPr>
            <w:pStyle w:val="38"/>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b/>
              <w:color w:val="auto"/>
              <w:highlight w:val="none"/>
            </w:rPr>
          </w:pPr>
          <w:r>
            <w:rPr>
              <w:rFonts w:hint="eastAsia"/>
              <w:b/>
              <w:color w:val="auto"/>
              <w:highlight w:val="none"/>
            </w:rPr>
            <w:fldChar w:fldCharType="begin"/>
          </w:r>
          <w:r>
            <w:rPr>
              <w:rFonts w:hint="eastAsia"/>
              <w:b/>
              <w:color w:val="auto"/>
              <w:highlight w:val="none"/>
            </w:rPr>
            <w:instrText xml:space="preserve"> HYPERLINK \l _Toc21652 </w:instrText>
          </w:r>
          <w:r>
            <w:rPr>
              <w:rFonts w:hint="eastAsia"/>
              <w:b/>
              <w:color w:val="auto"/>
              <w:highlight w:val="none"/>
            </w:rPr>
            <w:fldChar w:fldCharType="separate"/>
          </w:r>
          <w:r>
            <w:rPr>
              <w:rFonts w:hint="eastAsia" w:ascii="黑体" w:hAnsi="黑体" w:eastAsia="黑体"/>
              <w:b/>
              <w:color w:val="auto"/>
              <w:szCs w:val="44"/>
              <w:highlight w:val="none"/>
            </w:rPr>
            <w:t>第</w:t>
          </w:r>
          <w:r>
            <w:rPr>
              <w:rFonts w:hint="eastAsia" w:ascii="黑体" w:hAnsi="黑体" w:eastAsia="黑体"/>
              <w:b/>
              <w:color w:val="auto"/>
              <w:highlight w:val="none"/>
            </w:rPr>
            <w:t>五部分附表</w:t>
          </w:r>
          <w:r>
            <w:rPr>
              <w:b/>
              <w:color w:val="auto"/>
              <w:highlight w:val="none"/>
            </w:rPr>
            <w:tab/>
          </w:r>
          <w:r>
            <w:rPr>
              <w:b/>
              <w:color w:val="auto"/>
              <w:highlight w:val="none"/>
            </w:rPr>
            <w:fldChar w:fldCharType="begin"/>
          </w:r>
          <w:r>
            <w:rPr>
              <w:b/>
              <w:color w:val="auto"/>
              <w:highlight w:val="none"/>
            </w:rPr>
            <w:instrText xml:space="preserve"> PAGEREF _Toc21652 \h </w:instrText>
          </w:r>
          <w:r>
            <w:rPr>
              <w:b/>
              <w:color w:val="auto"/>
              <w:highlight w:val="none"/>
            </w:rPr>
            <w:fldChar w:fldCharType="separate"/>
          </w:r>
          <w:r>
            <w:rPr>
              <w:b/>
              <w:color w:val="auto"/>
              <w:highlight w:val="none"/>
            </w:rPr>
            <w:t>25</w:t>
          </w:r>
          <w:r>
            <w:rPr>
              <w:b/>
              <w:color w:val="auto"/>
              <w:highlight w:val="none"/>
            </w:rPr>
            <w:fldChar w:fldCharType="end"/>
          </w:r>
          <w:r>
            <w:rPr>
              <w:rFonts w:hint="eastAsia"/>
              <w:b/>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_Toc26924 </w:instrText>
          </w:r>
          <w:r>
            <w:rPr>
              <w:rFonts w:hint="eastAsia"/>
              <w:color w:val="auto"/>
              <w:highlight w:val="none"/>
            </w:rPr>
            <w:fldChar w:fldCharType="separate"/>
          </w:r>
          <w:r>
            <w:rPr>
              <w:rFonts w:hint="eastAsia" w:ascii="仿宋_GB2312" w:hAnsi="仿宋_GB2312" w:eastAsia="仿宋_GB2312" w:cs="仿宋_GB2312"/>
              <w:color w:val="auto"/>
              <w:highlight w:val="none"/>
            </w:rPr>
            <w:t>一、收</w:t>
          </w:r>
          <w:r>
            <w:rPr>
              <w:rFonts w:hint="eastAsia" w:ascii="仿宋_GB2312" w:hAnsi="仿宋_GB2312" w:eastAsia="仿宋_GB2312" w:cs="仿宋_GB2312"/>
              <w:bCs w:val="0"/>
              <w:color w:val="auto"/>
              <w:highlight w:val="none"/>
            </w:rPr>
            <w:t>入支出决算总表</w:t>
          </w:r>
          <w:r>
            <w:rPr>
              <w:color w:val="auto"/>
              <w:highlight w:val="none"/>
            </w:rPr>
            <w:tab/>
          </w:r>
          <w:r>
            <w:rPr>
              <w:color w:val="auto"/>
              <w:highlight w:val="none"/>
            </w:rPr>
            <w:fldChar w:fldCharType="begin"/>
          </w:r>
          <w:r>
            <w:rPr>
              <w:color w:val="auto"/>
              <w:highlight w:val="none"/>
            </w:rPr>
            <w:instrText xml:space="preserve"> PAGEREF _Toc26924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_Toc28094 </w:instrText>
          </w:r>
          <w:r>
            <w:rPr>
              <w:rFonts w:hint="eastAsia"/>
              <w:color w:val="auto"/>
              <w:highlight w:val="none"/>
            </w:rPr>
            <w:fldChar w:fldCharType="separate"/>
          </w:r>
          <w:r>
            <w:rPr>
              <w:rFonts w:hint="eastAsia" w:ascii="仿宋_GB2312" w:hAnsi="仿宋_GB2312" w:eastAsia="仿宋_GB2312" w:cs="仿宋_GB2312"/>
              <w:color w:val="auto"/>
              <w:highlight w:val="none"/>
            </w:rPr>
            <w:t>二、收</w:t>
          </w:r>
          <w:r>
            <w:rPr>
              <w:rFonts w:hint="eastAsia" w:ascii="仿宋_GB2312" w:hAnsi="仿宋_GB2312" w:eastAsia="仿宋_GB2312" w:cs="仿宋_GB2312"/>
              <w:bCs w:val="0"/>
              <w:color w:val="auto"/>
              <w:highlight w:val="none"/>
            </w:rPr>
            <w:t>入决算表</w:t>
          </w:r>
          <w:r>
            <w:rPr>
              <w:color w:val="auto"/>
              <w:highlight w:val="none"/>
            </w:rPr>
            <w:tab/>
          </w:r>
          <w:r>
            <w:rPr>
              <w:color w:val="auto"/>
              <w:highlight w:val="none"/>
            </w:rPr>
            <w:fldChar w:fldCharType="begin"/>
          </w:r>
          <w:r>
            <w:rPr>
              <w:color w:val="auto"/>
              <w:highlight w:val="none"/>
            </w:rPr>
            <w:instrText xml:space="preserve"> PAGEREF _Toc28094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_Toc18285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三、</w:t>
          </w:r>
          <w:r>
            <w:rPr>
              <w:rFonts w:hint="eastAsia" w:ascii="仿宋_GB2312" w:hAnsi="仿宋_GB2312" w:eastAsia="仿宋_GB2312" w:cs="仿宋_GB2312"/>
              <w:color w:val="auto"/>
              <w:highlight w:val="none"/>
            </w:rPr>
            <w:t>支</w:t>
          </w:r>
          <w:r>
            <w:rPr>
              <w:rFonts w:hint="eastAsia" w:ascii="仿宋_GB2312" w:hAnsi="仿宋_GB2312" w:eastAsia="仿宋_GB2312" w:cs="仿宋_GB2312"/>
              <w:bCs w:val="0"/>
              <w:color w:val="auto"/>
              <w:highlight w:val="none"/>
            </w:rPr>
            <w:t>出决算表</w:t>
          </w:r>
          <w:r>
            <w:rPr>
              <w:color w:val="auto"/>
              <w:highlight w:val="none"/>
            </w:rPr>
            <w:tab/>
          </w:r>
          <w:r>
            <w:rPr>
              <w:color w:val="auto"/>
              <w:highlight w:val="none"/>
            </w:rPr>
            <w:fldChar w:fldCharType="begin"/>
          </w:r>
          <w:r>
            <w:rPr>
              <w:color w:val="auto"/>
              <w:highlight w:val="none"/>
            </w:rPr>
            <w:instrText xml:space="preserve"> PAGEREF _Toc18285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_Toc14558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四、</w:t>
          </w:r>
          <w:r>
            <w:rPr>
              <w:rFonts w:hint="eastAsia" w:ascii="仿宋_GB2312" w:hAnsi="仿宋_GB2312" w:eastAsia="仿宋_GB2312" w:cs="仿宋_GB2312"/>
              <w:color w:val="auto"/>
              <w:highlight w:val="none"/>
            </w:rPr>
            <w:t>财</w:t>
          </w:r>
          <w:r>
            <w:rPr>
              <w:rFonts w:hint="eastAsia" w:ascii="仿宋_GB2312" w:hAnsi="仿宋_GB2312" w:eastAsia="仿宋_GB2312" w:cs="仿宋_GB2312"/>
              <w:bCs w:val="0"/>
              <w:color w:val="auto"/>
              <w:highlight w:val="none"/>
            </w:rPr>
            <w:t>政拨款收入支出决算总表</w:t>
          </w:r>
          <w:r>
            <w:rPr>
              <w:color w:val="auto"/>
              <w:highlight w:val="none"/>
            </w:rPr>
            <w:tab/>
          </w:r>
          <w:r>
            <w:rPr>
              <w:color w:val="auto"/>
              <w:highlight w:val="none"/>
            </w:rPr>
            <w:fldChar w:fldCharType="begin"/>
          </w:r>
          <w:r>
            <w:rPr>
              <w:color w:val="auto"/>
              <w:highlight w:val="none"/>
            </w:rPr>
            <w:instrText xml:space="preserve"> PAGEREF _Toc14558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_Toc2813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五、</w:t>
          </w:r>
          <w:r>
            <w:rPr>
              <w:rFonts w:hint="eastAsia" w:ascii="仿宋_GB2312" w:hAnsi="仿宋_GB2312" w:eastAsia="仿宋_GB2312" w:cs="仿宋_GB2312"/>
              <w:color w:val="auto"/>
              <w:highlight w:val="none"/>
            </w:rPr>
            <w:t>财</w:t>
          </w:r>
          <w:r>
            <w:rPr>
              <w:rFonts w:hint="eastAsia" w:ascii="仿宋_GB2312" w:hAnsi="仿宋_GB2312" w:eastAsia="仿宋_GB2312" w:cs="仿宋_GB2312"/>
              <w:bCs w:val="0"/>
              <w:color w:val="auto"/>
              <w:highlight w:val="none"/>
            </w:rPr>
            <w:t>政拨款支出决算明细表</w:t>
          </w:r>
          <w:r>
            <w:rPr>
              <w:color w:val="auto"/>
              <w:highlight w:val="none"/>
            </w:rPr>
            <w:tab/>
          </w:r>
          <w:r>
            <w:rPr>
              <w:color w:val="auto"/>
              <w:highlight w:val="none"/>
            </w:rPr>
            <w:fldChar w:fldCharType="begin"/>
          </w:r>
          <w:r>
            <w:rPr>
              <w:color w:val="auto"/>
              <w:highlight w:val="none"/>
            </w:rPr>
            <w:instrText xml:space="preserve"> PAGEREF _Toc2813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_Toc31612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六、</w:t>
          </w:r>
          <w:r>
            <w:rPr>
              <w:rFonts w:hint="eastAsia" w:ascii="仿宋_GB2312" w:hAnsi="仿宋_GB2312" w:eastAsia="仿宋_GB2312" w:cs="仿宋_GB2312"/>
              <w:color w:val="auto"/>
              <w:highlight w:val="none"/>
            </w:rPr>
            <w:t>一</w:t>
          </w:r>
          <w:r>
            <w:rPr>
              <w:rFonts w:hint="eastAsia" w:ascii="仿宋_GB2312" w:hAnsi="仿宋_GB2312" w:eastAsia="仿宋_GB2312" w:cs="仿宋_GB2312"/>
              <w:bCs w:val="0"/>
              <w:color w:val="auto"/>
              <w:highlight w:val="none"/>
            </w:rPr>
            <w:t>般公共预算财政拨款支出决算表</w:t>
          </w:r>
          <w:r>
            <w:rPr>
              <w:color w:val="auto"/>
              <w:highlight w:val="none"/>
            </w:rPr>
            <w:tab/>
          </w:r>
          <w:r>
            <w:rPr>
              <w:color w:val="auto"/>
              <w:highlight w:val="none"/>
            </w:rPr>
            <w:fldChar w:fldCharType="begin"/>
          </w:r>
          <w:r>
            <w:rPr>
              <w:color w:val="auto"/>
              <w:highlight w:val="none"/>
            </w:rPr>
            <w:instrText xml:space="preserve"> PAGEREF _Toc31612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_Toc9942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七、</w:t>
          </w:r>
          <w:r>
            <w:rPr>
              <w:rFonts w:hint="eastAsia" w:ascii="仿宋_GB2312" w:hAnsi="仿宋_GB2312" w:eastAsia="仿宋_GB2312" w:cs="仿宋_GB2312"/>
              <w:color w:val="auto"/>
              <w:highlight w:val="none"/>
            </w:rPr>
            <w:t>一</w:t>
          </w:r>
          <w:r>
            <w:rPr>
              <w:rFonts w:hint="eastAsia" w:ascii="仿宋_GB2312" w:hAnsi="仿宋_GB2312" w:eastAsia="仿宋_GB2312" w:cs="仿宋_GB2312"/>
              <w:bCs w:val="0"/>
              <w:color w:val="auto"/>
              <w:highlight w:val="none"/>
            </w:rPr>
            <w:t>般公共预算财政拨款支出决算明细表</w:t>
          </w:r>
          <w:r>
            <w:rPr>
              <w:color w:val="auto"/>
              <w:highlight w:val="none"/>
            </w:rPr>
            <w:tab/>
          </w:r>
          <w:r>
            <w:rPr>
              <w:color w:val="auto"/>
              <w:highlight w:val="none"/>
            </w:rPr>
            <w:fldChar w:fldCharType="begin"/>
          </w:r>
          <w:r>
            <w:rPr>
              <w:color w:val="auto"/>
              <w:highlight w:val="none"/>
            </w:rPr>
            <w:instrText xml:space="preserve"> PAGEREF _Toc9942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_Toc23027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八、</w:t>
          </w:r>
          <w:r>
            <w:rPr>
              <w:rFonts w:hint="eastAsia" w:ascii="仿宋_GB2312" w:hAnsi="仿宋_GB2312" w:eastAsia="仿宋_GB2312" w:cs="仿宋_GB2312"/>
              <w:color w:val="auto"/>
              <w:highlight w:val="none"/>
            </w:rPr>
            <w:t>一</w:t>
          </w:r>
          <w:r>
            <w:rPr>
              <w:rFonts w:hint="eastAsia" w:ascii="仿宋_GB2312" w:hAnsi="仿宋_GB2312" w:eastAsia="仿宋_GB2312" w:cs="仿宋_GB2312"/>
              <w:bCs w:val="0"/>
              <w:color w:val="auto"/>
              <w:highlight w:val="none"/>
            </w:rPr>
            <w:t>般公共预算财政拨款基本支出决算表</w:t>
          </w:r>
          <w:r>
            <w:rPr>
              <w:color w:val="auto"/>
              <w:highlight w:val="none"/>
            </w:rPr>
            <w:tab/>
          </w:r>
          <w:r>
            <w:rPr>
              <w:color w:val="auto"/>
              <w:highlight w:val="none"/>
            </w:rPr>
            <w:fldChar w:fldCharType="begin"/>
          </w:r>
          <w:r>
            <w:rPr>
              <w:color w:val="auto"/>
              <w:highlight w:val="none"/>
            </w:rPr>
            <w:instrText xml:space="preserve"> PAGEREF _Toc23027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_Toc24077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九、</w:t>
          </w:r>
          <w:r>
            <w:rPr>
              <w:rFonts w:hint="eastAsia" w:ascii="仿宋_GB2312" w:hAnsi="仿宋_GB2312" w:eastAsia="仿宋_GB2312" w:cs="仿宋_GB2312"/>
              <w:color w:val="auto"/>
              <w:highlight w:val="none"/>
            </w:rPr>
            <w:t>一</w:t>
          </w:r>
          <w:r>
            <w:rPr>
              <w:rFonts w:hint="eastAsia" w:ascii="仿宋_GB2312" w:hAnsi="仿宋_GB2312" w:eastAsia="仿宋_GB2312" w:cs="仿宋_GB2312"/>
              <w:bCs w:val="0"/>
              <w:color w:val="auto"/>
              <w:highlight w:val="none"/>
            </w:rPr>
            <w:t>般公共预算财政拨款项目支出决算表</w:t>
          </w:r>
          <w:r>
            <w:rPr>
              <w:color w:val="auto"/>
              <w:highlight w:val="none"/>
            </w:rPr>
            <w:tab/>
          </w:r>
          <w:r>
            <w:rPr>
              <w:color w:val="auto"/>
              <w:highlight w:val="none"/>
            </w:rPr>
            <w:fldChar w:fldCharType="begin"/>
          </w:r>
          <w:r>
            <w:rPr>
              <w:color w:val="auto"/>
              <w:highlight w:val="none"/>
            </w:rPr>
            <w:instrText xml:space="preserve"> PAGEREF _Toc24077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_Toc668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十、</w:t>
          </w:r>
          <w:r>
            <w:rPr>
              <w:rFonts w:hint="eastAsia" w:ascii="仿宋_GB2312" w:hAnsi="仿宋_GB2312" w:eastAsia="仿宋_GB2312" w:cs="仿宋_GB2312"/>
              <w:color w:val="auto"/>
              <w:highlight w:val="none"/>
            </w:rPr>
            <w:t>政</w:t>
          </w:r>
          <w:r>
            <w:rPr>
              <w:rFonts w:hint="eastAsia" w:ascii="仿宋_GB2312" w:hAnsi="仿宋_GB2312" w:eastAsia="仿宋_GB2312" w:cs="仿宋_GB2312"/>
              <w:bCs w:val="0"/>
              <w:color w:val="auto"/>
              <w:highlight w:val="none"/>
            </w:rPr>
            <w:t>府性基金预算财政拨款收入支出决算表</w:t>
          </w:r>
          <w:r>
            <w:rPr>
              <w:color w:val="auto"/>
              <w:highlight w:val="none"/>
            </w:rPr>
            <w:tab/>
          </w:r>
          <w:r>
            <w:rPr>
              <w:color w:val="auto"/>
              <w:highlight w:val="none"/>
            </w:rPr>
            <w:fldChar w:fldCharType="begin"/>
          </w:r>
          <w:r>
            <w:rPr>
              <w:color w:val="auto"/>
              <w:highlight w:val="none"/>
            </w:rPr>
            <w:instrText xml:space="preserve"> PAGEREF _Toc668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_Toc9925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十一、</w:t>
          </w:r>
          <w:r>
            <w:rPr>
              <w:rFonts w:hint="eastAsia" w:ascii="仿宋_GB2312" w:hAnsi="仿宋_GB2312" w:eastAsia="仿宋_GB2312" w:cs="仿宋_GB2312"/>
              <w:color w:val="auto"/>
              <w:highlight w:val="none"/>
            </w:rPr>
            <w:t>国</w:t>
          </w:r>
          <w:r>
            <w:rPr>
              <w:rFonts w:hint="eastAsia" w:ascii="仿宋_GB2312" w:hAnsi="仿宋_GB2312" w:eastAsia="仿宋_GB2312" w:cs="仿宋_GB2312"/>
              <w:bCs w:val="0"/>
              <w:color w:val="auto"/>
              <w:highlight w:val="none"/>
            </w:rPr>
            <w:t>有资本经营预算</w:t>
          </w:r>
          <w:r>
            <w:rPr>
              <w:rFonts w:hint="eastAsia" w:ascii="仿宋_GB2312" w:hAnsi="仿宋_GB2312" w:eastAsia="仿宋_GB2312" w:cs="仿宋_GB2312"/>
              <w:bCs w:val="0"/>
              <w:color w:val="auto"/>
              <w:highlight w:val="none"/>
              <w:lang w:eastAsia="zh-CN"/>
            </w:rPr>
            <w:t>财政拨款收入</w:t>
          </w:r>
          <w:r>
            <w:rPr>
              <w:rFonts w:hint="eastAsia" w:ascii="仿宋_GB2312" w:hAnsi="仿宋_GB2312" w:eastAsia="仿宋_GB2312" w:cs="仿宋_GB2312"/>
              <w:bCs w:val="0"/>
              <w:color w:val="auto"/>
              <w:highlight w:val="none"/>
            </w:rPr>
            <w:t>支出决算表</w:t>
          </w:r>
          <w:r>
            <w:rPr>
              <w:color w:val="auto"/>
              <w:highlight w:val="none"/>
            </w:rPr>
            <w:tab/>
          </w:r>
          <w:r>
            <w:rPr>
              <w:color w:val="auto"/>
              <w:highlight w:val="none"/>
            </w:rPr>
            <w:fldChar w:fldCharType="begin"/>
          </w:r>
          <w:r>
            <w:rPr>
              <w:color w:val="auto"/>
              <w:highlight w:val="none"/>
            </w:rPr>
            <w:instrText xml:space="preserve"> PAGEREF _Toc9925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_Toc22396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十二、</w:t>
          </w:r>
          <w:r>
            <w:rPr>
              <w:rFonts w:hint="eastAsia" w:ascii="仿宋_GB2312" w:hAnsi="仿宋_GB2312" w:eastAsia="仿宋_GB2312" w:cs="仿宋_GB2312"/>
              <w:bCs w:val="0"/>
              <w:color w:val="auto"/>
              <w:highlight w:val="none"/>
              <w:lang w:eastAsia="zh-CN"/>
            </w:rPr>
            <w:t>国有资本经营预算财政拨款支出决算表</w:t>
          </w:r>
          <w:r>
            <w:rPr>
              <w:color w:val="auto"/>
              <w:highlight w:val="none"/>
            </w:rPr>
            <w:tab/>
          </w:r>
          <w:r>
            <w:rPr>
              <w:color w:val="auto"/>
              <w:highlight w:val="none"/>
            </w:rPr>
            <w:fldChar w:fldCharType="begin"/>
          </w:r>
          <w:r>
            <w:rPr>
              <w:color w:val="auto"/>
              <w:highlight w:val="none"/>
            </w:rPr>
            <w:instrText xml:space="preserve"> PAGEREF _Toc22396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39"/>
            <w:keepNext w:val="0"/>
            <w:keepLines w:val="0"/>
            <w:pageBreakBefore w:val="0"/>
            <w:shd w:val="clear"/>
            <w:tabs>
              <w:tab w:val="right" w:leader="dot" w:pos="8845"/>
            </w:tabs>
            <w:kinsoku/>
            <w:wordWrap/>
            <w:overflowPunct/>
            <w:topLinePunct w:val="0"/>
            <w:autoSpaceDE/>
            <w:autoSpaceDN/>
            <w:bidi w:val="0"/>
            <w:adjustRightInd/>
            <w:snapToGrid/>
            <w:spacing w:line="340" w:lineRule="exact"/>
            <w:textAlignment w:val="auto"/>
            <w:rPr>
              <w:color w:val="auto"/>
              <w:highlight w:val="none"/>
            </w:rPr>
          </w:pPr>
          <w:r>
            <w:rPr>
              <w:rFonts w:hint="eastAsia"/>
              <w:color w:val="auto"/>
              <w:highlight w:val="none"/>
            </w:rPr>
            <w:fldChar w:fldCharType="begin"/>
          </w:r>
          <w:r>
            <w:rPr>
              <w:rFonts w:hint="eastAsia"/>
              <w:color w:val="auto"/>
              <w:highlight w:val="none"/>
            </w:rPr>
            <w:instrText xml:space="preserve"> HYPERLINK \l _Toc13747 </w:instrText>
          </w:r>
          <w:r>
            <w:rPr>
              <w:rFonts w:hint="eastAsia"/>
              <w:color w:val="auto"/>
              <w:highlight w:val="none"/>
            </w:rPr>
            <w:fldChar w:fldCharType="separate"/>
          </w:r>
          <w:r>
            <w:rPr>
              <w:rFonts w:hint="eastAsia" w:ascii="仿宋_GB2312" w:hAnsi="仿宋_GB2312" w:eastAsia="仿宋_GB2312" w:cs="仿宋_GB2312"/>
              <w:bCs w:val="0"/>
              <w:color w:val="auto"/>
              <w:highlight w:val="none"/>
            </w:rPr>
            <w:t>十三、</w:t>
          </w:r>
          <w:r>
            <w:rPr>
              <w:rFonts w:hint="eastAsia" w:ascii="仿宋_GB2312" w:hAnsi="仿宋_GB2312" w:eastAsia="仿宋_GB2312" w:cs="仿宋_GB2312"/>
              <w:bCs w:val="0"/>
              <w:color w:val="auto"/>
              <w:highlight w:val="none"/>
              <w:lang w:eastAsia="zh-CN"/>
            </w:rPr>
            <w:t>财政拨款“三公”经费支出决算表</w:t>
          </w:r>
          <w:r>
            <w:rPr>
              <w:color w:val="auto"/>
              <w:highlight w:val="none"/>
            </w:rPr>
            <w:tab/>
          </w:r>
          <w:r>
            <w:rPr>
              <w:color w:val="auto"/>
              <w:highlight w:val="none"/>
            </w:rPr>
            <w:fldChar w:fldCharType="begin"/>
          </w:r>
          <w:r>
            <w:rPr>
              <w:color w:val="auto"/>
              <w:highlight w:val="none"/>
            </w:rPr>
            <w:instrText xml:space="preserve"> PAGEREF _Toc13747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highlight w:val="none"/>
            </w:rPr>
            <w:fldChar w:fldCharType="end"/>
          </w:r>
        </w:p>
        <w:p>
          <w:pPr>
            <w:pStyle w:val="2"/>
            <w:keepNext w:val="0"/>
            <w:keepLines w:val="0"/>
            <w:pageBreakBefore w:val="0"/>
            <w:shd w:val="clear"/>
            <w:kinsoku/>
            <w:wordWrap/>
            <w:overflowPunct/>
            <w:topLinePunct w:val="0"/>
            <w:autoSpaceDE/>
            <w:autoSpaceDN/>
            <w:bidi w:val="0"/>
            <w:adjustRightInd/>
            <w:snapToGrid/>
            <w:spacing w:line="340" w:lineRule="exact"/>
            <w:ind w:left="0" w:leftChars="0" w:firstLine="0" w:firstLineChars="0"/>
            <w:textAlignment w:val="auto"/>
            <w:rPr>
              <w:rFonts w:hint="eastAsia"/>
              <w:color w:val="auto"/>
              <w:highlight w:val="none"/>
            </w:rPr>
          </w:pPr>
          <w:r>
            <w:rPr>
              <w:rFonts w:hint="eastAsia"/>
              <w:b/>
              <w:color w:val="auto"/>
              <w:highlight w:val="none"/>
            </w:rPr>
            <w:fldChar w:fldCharType="end"/>
          </w:r>
        </w:p>
      </w:sdtContent>
    </w:sdt>
    <w:p>
      <w:pPr>
        <w:pStyle w:val="2"/>
        <w:shd w:val="clear"/>
        <w:rPr>
          <w:rFonts w:hint="eastAsia"/>
          <w:color w:val="auto"/>
          <w:highlight w:val="none"/>
          <w:lang w:eastAsia="zh-CN"/>
        </w:rPr>
        <w:sectPr>
          <w:pgSz w:w="11906" w:h="16838"/>
          <w:pgMar w:top="2098" w:right="1474" w:bottom="1984" w:left="1587" w:header="851" w:footer="992" w:gutter="0"/>
          <w:pgNumType w:fmt="decimal" w:start="1"/>
          <w:cols w:space="0" w:num="1"/>
          <w:titlePg/>
          <w:rtlGutter w:val="0"/>
          <w:docGrid w:type="lines" w:linePitch="312" w:charSpace="0"/>
        </w:sectPr>
      </w:pPr>
    </w:p>
    <w:p>
      <w:pPr>
        <w:pStyle w:val="2"/>
        <w:shd w:val="clear"/>
        <w:rPr>
          <w:rFonts w:hint="eastAsia"/>
          <w:color w:val="auto"/>
          <w:highlight w:val="none"/>
          <w:lang w:eastAsia="zh-CN"/>
        </w:rPr>
      </w:pPr>
    </w:p>
    <w:p>
      <w:pPr>
        <w:pageBreakBefore w:val="0"/>
        <w:widowControl w:val="0"/>
        <w:shd w:val="clear"/>
        <w:kinsoku/>
        <w:wordWrap/>
        <w:overflowPunct/>
        <w:topLinePunct w:val="0"/>
        <w:bidi w:val="0"/>
        <w:spacing w:line="576" w:lineRule="exact"/>
        <w:jc w:val="center"/>
        <w:textAlignment w:val="auto"/>
        <w:rPr>
          <w:rStyle w:val="22"/>
          <w:rFonts w:hint="eastAsia" w:ascii="黑体" w:hAnsi="黑体" w:eastAsia="黑体" w:cstheme="minorBidi"/>
          <w:b w:val="0"/>
          <w:bCs w:val="0"/>
          <w:color w:val="auto"/>
          <w:highlight w:val="none"/>
        </w:rPr>
      </w:pPr>
      <w:bookmarkStart w:id="13" w:name="_Toc30764"/>
      <w:bookmarkStart w:id="14" w:name="_Toc15396599"/>
      <w:bookmarkStart w:id="15" w:name="_Toc15377196"/>
      <w:r>
        <w:rPr>
          <w:rStyle w:val="22"/>
          <w:rFonts w:hint="eastAsia" w:ascii="黑体" w:hAnsi="黑体" w:eastAsia="黑体" w:cstheme="minorBidi"/>
          <w:b w:val="0"/>
          <w:bCs w:val="0"/>
          <w:color w:val="auto"/>
          <w:highlight w:val="none"/>
        </w:rPr>
        <w:t>第一部分</w:t>
      </w:r>
      <w:r>
        <w:rPr>
          <w:rStyle w:val="22"/>
          <w:rFonts w:hint="eastAsia" w:ascii="黑体" w:hAnsi="黑体" w:eastAsia="黑体" w:cstheme="minorBidi"/>
          <w:b w:val="0"/>
          <w:bCs w:val="0"/>
          <w:color w:val="auto"/>
          <w:highlight w:val="none"/>
          <w:lang w:val="en-US" w:eastAsia="zh-CN"/>
        </w:rPr>
        <w:t xml:space="preserve">  </w:t>
      </w:r>
      <w:r>
        <w:rPr>
          <w:rStyle w:val="22"/>
          <w:rFonts w:hint="eastAsia" w:ascii="黑体" w:hAnsi="黑体" w:eastAsia="黑体" w:cstheme="minorBidi"/>
          <w:b w:val="0"/>
          <w:bCs w:val="0"/>
          <w:color w:val="auto"/>
          <w:highlight w:val="none"/>
        </w:rPr>
        <w:t>部门概况</w:t>
      </w:r>
      <w:bookmarkEnd w:id="13"/>
      <w:bookmarkEnd w:id="14"/>
      <w:bookmarkEnd w:id="15"/>
    </w:p>
    <w:p>
      <w:pPr>
        <w:pStyle w:val="2"/>
        <w:pageBreakBefore w:val="0"/>
        <w:widowControl w:val="0"/>
        <w:shd w:val="clear"/>
        <w:kinsoku/>
        <w:wordWrap/>
        <w:overflowPunct/>
        <w:topLinePunct w:val="0"/>
        <w:bidi w:val="0"/>
        <w:spacing w:line="576" w:lineRule="exact"/>
        <w:textAlignment w:val="auto"/>
        <w:rPr>
          <w:rFonts w:hint="eastAsia"/>
          <w:color w:val="auto"/>
          <w:highlight w:val="none"/>
          <w:lang w:val="en-US" w:eastAsia="zh-CN"/>
        </w:rPr>
      </w:pPr>
    </w:p>
    <w:p>
      <w:pPr>
        <w:pStyle w:val="4"/>
        <w:pageBreakBefore w:val="0"/>
        <w:widowControl w:val="0"/>
        <w:shd w:val="clear"/>
        <w:kinsoku/>
        <w:wordWrap/>
        <w:overflowPunct/>
        <w:topLinePunct w:val="0"/>
        <w:autoSpaceDE/>
        <w:autoSpaceDN/>
        <w:bidi w:val="0"/>
        <w:adjustRightInd/>
        <w:spacing w:before="0" w:after="0" w:line="576" w:lineRule="exact"/>
        <w:ind w:left="0" w:leftChars="0" w:right="0" w:firstLine="640" w:firstLineChars="200"/>
        <w:jc w:val="both"/>
        <w:textAlignment w:val="auto"/>
        <w:rPr>
          <w:rFonts w:hint="eastAsia" w:ascii="黑体" w:hAnsi="黑体" w:eastAsia="黑体" w:cs="黑体"/>
          <w:b w:val="0"/>
          <w:color w:val="auto"/>
          <w:sz w:val="32"/>
          <w:szCs w:val="32"/>
          <w:highlight w:val="none"/>
          <w:lang w:val="en-US" w:eastAsia="zh-CN"/>
        </w:rPr>
      </w:pPr>
      <w:bookmarkStart w:id="16" w:name="_Toc27201"/>
      <w:r>
        <w:rPr>
          <w:rFonts w:hint="eastAsia" w:ascii="黑体" w:hAnsi="黑体" w:eastAsia="黑体" w:cs="黑体"/>
          <w:b w:val="0"/>
          <w:color w:val="auto"/>
          <w:sz w:val="32"/>
          <w:szCs w:val="32"/>
          <w:highlight w:val="none"/>
          <w:lang w:val="en-US" w:eastAsia="zh-CN"/>
        </w:rPr>
        <w:t>一、部门职责</w:t>
      </w:r>
      <w:bookmarkEnd w:id="16"/>
    </w:p>
    <w:p>
      <w:pPr>
        <w:pageBreakBefore w:val="0"/>
        <w:widowControl w:val="0"/>
        <w:numPr>
          <w:ilvl w:val="0"/>
          <w:numId w:val="0"/>
        </w:numPr>
        <w:shd w:val="clear"/>
        <w:kinsoku/>
        <w:wordWrap/>
        <w:overflowPunct/>
        <w:topLinePunct w:val="0"/>
        <w:autoSpaceDE/>
        <w:autoSpaceDN/>
        <w:bidi w:val="0"/>
        <w:adjustRightInd/>
        <w:spacing w:line="576" w:lineRule="exact"/>
        <w:ind w:left="0" w:leftChars="0" w:right="0" w:righ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按照规定权限，履行全民所有土地、矿产、森林、湿地、水等自然资源资产所有者职责和所有国土空间用途管制职责。拟订全市自然资源和国土空间规划地方性法规、政策规章草案，制定有关政策措施并监督检查执行情况。</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自然资源调查监测评价。依照自然资源调查监测评价的指标体系和统计标准，建立统一的自然资源调查监测评价制度。实施自然资源基础调查、专项调查和监测。负责自然资源调查监测评价成果的监督管理和信息发布。指导县区自然资源调查监测评价工作。</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自然资源统一确权登记工作。组织实施各类自然资源和不动产统一确权登记、权籍调查、不动产测绘、争议、调处、成果应用的制度、标准、规范。建立健全全市自然资源和不动产登记信息管理基础平台。负责自然资源和不动产登记资料收集、整理、共享、汇交管理等。指导监督自然资源和不动产确权登记工作。</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自然资源资产有偿使用工作。建立全民所有自然资源资产统计制度，负责全民所有自然资源资产核算。编制全民所有自然资源资产负债表，依照有关标准组织考核。按照规定权限，制定全民所有自然资源资产划拨、出让、租赁、作价出资和土地储备政策，合理配置全民所有自然资源资产。负责自然资源资产价值评估管理，依法收缴相关资产收益。</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自然资源的合理开发利用。组织拟订并实施自然资源发展规划和战略，建立政府公示自然资源价格体系，组织开展自然资源分等定级价格评估，开展自然资源利用评价考核，指导节约集约利用。负责自然资源</w:t>
      </w:r>
      <w:r>
        <w:rPr>
          <w:rFonts w:hint="eastAsia" w:ascii="仿宋_GB2312" w:hAnsi="仿宋_GB2312" w:eastAsia="仿宋_GB2312" w:cs="仿宋_GB2312"/>
          <w:color w:val="auto"/>
          <w:sz w:val="32"/>
          <w:szCs w:val="32"/>
          <w:highlight w:val="none"/>
          <w:lang w:eastAsia="zh-CN"/>
        </w:rPr>
        <w:t>市场监管</w:t>
      </w:r>
      <w:r>
        <w:rPr>
          <w:rFonts w:hint="eastAsia" w:ascii="仿宋_GB2312" w:hAnsi="仿宋_GB2312" w:eastAsia="仿宋_GB2312" w:cs="仿宋_GB2312"/>
          <w:color w:val="auto"/>
          <w:sz w:val="32"/>
          <w:szCs w:val="32"/>
          <w:highlight w:val="none"/>
        </w:rPr>
        <w:t>。组织研究自然资源管理涉及宏观调控、区域协调和城乡统筹的政策措施。</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建立全市空间规划体系并监督实施。推进主体功能区战略和制度，组织编制并监督实施国土空间规划和相关专项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研究拟订城乡规划政策并监督实施。组织拟订并实施土地等自然资源年度利用计划。负责土地等国土空间用途转用工作。负责土地征收征用管理。</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统筹全市国土空间生态修复。牵头组织编制全市国土空间生态修复规划并实施有关生态修复重大工程。负责开展国土空间综合整治、土地整理复垦、矿山地质环境恢复治理等工作。牵头建立和实施生态保护补偿制度，制定合理利用社会资金进行生态修复的政策措施，提出重大备选项目。</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八</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组织实施最严格的耕地保护制度。牵头拟订并实施全市耕地保护政策，负责耕地数量、质量、生态保护。组织实施耕地保护责任目标考核和永久基本农田特殊保护。完善耕地占补平衡制度，监督占用耕地补偿制度执行情况。</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九</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管理全市地质勘察和地质工作。拟订全市地质勘查规划并监督检查执行情况。组织实施重大地质矿产勘查专项。负责地质灾害预防和治理，监督管理地下水过量开采及引发的地面沉降等地质问题。负责古生物化石的监督管理。</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（十）</w:t>
      </w:r>
      <w:r>
        <w:rPr>
          <w:rFonts w:hint="eastAsia" w:ascii="仿宋_GB2312" w:hAnsi="仿宋_GB2312" w:eastAsia="仿宋_GB2312" w:cs="仿宋_GB2312"/>
          <w:color w:val="auto"/>
          <w:sz w:val="32"/>
          <w:szCs w:val="32"/>
          <w:highlight w:val="none"/>
        </w:rPr>
        <w:t>负责落实综合防灾减灾规划相关要求，组织编制并实施地质灾害防治规划。组织、指导、协调和监督地质灾害调查评价及隐患的普查、详查、排查。组织、指导开展群测群防、专业监测和预报预警等工作，组织、指导开展地质灾害工程治理工作。承担地质灾害应急救援的技术保障工作。</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负责全市矿产资源管理工作。负责矿产资源储量管理及压覆矿产资源审核报批。负责矿业权管理。会同有关部门承担保护性开采的特定矿种、优势矿产的调控及相关管理工作。监督指导矿产资源合理利用和保护。</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（十二）</w:t>
      </w:r>
      <w:r>
        <w:rPr>
          <w:rFonts w:hint="eastAsia" w:ascii="仿宋_GB2312" w:hAnsi="仿宋_GB2312" w:eastAsia="仿宋_GB2312" w:cs="仿宋_GB2312"/>
          <w:color w:val="auto"/>
          <w:sz w:val="32"/>
          <w:szCs w:val="32"/>
          <w:highlight w:val="none"/>
        </w:rPr>
        <w:t>推动全市自然资源领域科技发展和对外合作。制定并实施全市自然资源领域科技创新发展和人才培养规划、计划。组织实施重大科技专项及创新能力建设，推进自然资源信息化和信息资料的公共服务。组织开展全市自然资源系统对外交流合作。</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配合国家对县区政府落实党中央、国务院关于自然资源和国土空间规划的重大方针政策、决策部署及法律法规执行情况进行督察。按照市委、市政府安排，组织实施自然资源督查相关工作。查处全市自然资源开发利用、国土空间规划等领域重大违法案件。指导县区有关行政执法工作。</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负责职责范围内的安全生产和职业健康、生态环境保护、审批服务便民化等工作。</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十五</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负责测绘地理信息管理。负责基础测绘和测绘行业管理。监督管理全市测绘地理信息安全和市场秩序。负责地理信息公共服务管理和测量标志保护。</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统一领导和管理广元市林业局（简称林业局）。</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完成市委、市政府交办的其他任务。</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八）职能转变。落实关于统一行使全民所有自然资源所有者职责，统一行使所有者国土空间用途管制和生态保护修复职责的要求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（十九）在自然灾害防救方面的职责分工。</w:t>
      </w:r>
      <w:bookmarkStart w:id="17" w:name="_Toc15396601"/>
      <w:bookmarkStart w:id="18" w:name="_Toc15377200"/>
    </w:p>
    <w:p>
      <w:pPr>
        <w:pStyle w:val="4"/>
        <w:pageBreakBefore w:val="0"/>
        <w:widowControl w:val="0"/>
        <w:shd w:val="clear"/>
        <w:kinsoku/>
        <w:wordWrap/>
        <w:overflowPunct/>
        <w:topLinePunct w:val="0"/>
        <w:autoSpaceDE/>
        <w:autoSpaceDN/>
        <w:bidi w:val="0"/>
        <w:adjustRightInd/>
        <w:spacing w:before="0" w:after="0" w:line="576" w:lineRule="exact"/>
        <w:ind w:left="0" w:leftChars="0" w:right="0" w:firstLine="640" w:firstLineChars="200"/>
        <w:jc w:val="both"/>
        <w:textAlignment w:val="auto"/>
        <w:rPr>
          <w:rStyle w:val="23"/>
          <w:rFonts w:hint="eastAsia" w:ascii="黑体" w:hAnsi="黑体" w:eastAsia="黑体" w:cs="黑体"/>
          <w:b w:val="0"/>
          <w:bCs w:val="0"/>
          <w:color w:val="auto"/>
          <w:sz w:val="32"/>
          <w:szCs w:val="32"/>
          <w:highlight w:val="none"/>
        </w:rPr>
      </w:pPr>
      <w:bookmarkStart w:id="19" w:name="_Toc21914"/>
      <w:r>
        <w:rPr>
          <w:rFonts w:hint="eastAsia" w:ascii="黑体" w:hAnsi="黑体" w:eastAsia="黑体" w:cs="黑体"/>
          <w:b w:val="0"/>
          <w:color w:val="auto"/>
          <w:sz w:val="32"/>
          <w:szCs w:val="32"/>
          <w:highlight w:val="none"/>
        </w:rPr>
        <w:t>二、机</w:t>
      </w:r>
      <w:r>
        <w:rPr>
          <w:rStyle w:val="23"/>
          <w:rFonts w:hint="eastAsia" w:ascii="黑体" w:hAnsi="黑体" w:eastAsia="黑体" w:cs="黑体"/>
          <w:b w:val="0"/>
          <w:bCs w:val="0"/>
          <w:color w:val="auto"/>
          <w:sz w:val="32"/>
          <w:szCs w:val="32"/>
          <w:highlight w:val="none"/>
        </w:rPr>
        <w:t>构设置</w:t>
      </w:r>
      <w:bookmarkEnd w:id="17"/>
      <w:bookmarkEnd w:id="18"/>
      <w:bookmarkEnd w:id="19"/>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bookmarkStart w:id="20" w:name="_Toc15377204"/>
      <w:bookmarkStart w:id="21" w:name="_Toc15396602"/>
      <w:r>
        <w:rPr>
          <w:rFonts w:hint="eastAsia" w:ascii="仿宋_GB2312" w:hAnsi="仿宋_GB2312" w:eastAsia="仿宋_GB2312" w:cs="仿宋_GB2312"/>
          <w:color w:val="auto"/>
          <w:sz w:val="32"/>
          <w:szCs w:val="32"/>
          <w:highlight w:val="none"/>
          <w:lang w:val="en-US" w:eastAsia="zh-CN"/>
        </w:rPr>
        <w:t>广元市自然资源局下属二级预算单位9个（包括两个未独立核算的事业单位：广元市自然资源综合行政执法支队和广元市自然资源信息和档案中心），其中行政单位0个，参照公务员法管理的事业单位2个，其他事业单位7个。</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纳入广元市自然资源局2024年度部门决算编制范围的二级预算单位包括：</w:t>
      </w:r>
    </w:p>
    <w:p>
      <w:pPr>
        <w:pStyle w:val="11"/>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1.广元市自然资源局（本级）</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广元市自然资源局经济开发区事务中心</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广元市地质环境监测站</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广元市不动产登记中心</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广元市国土整治中心</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广元市自然资源储备交易中心</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广元市测绘地理信息中心</w:t>
      </w:r>
    </w:p>
    <w:p>
      <w:pPr>
        <w:pageBreakBefore w:val="0"/>
        <w:widowControl w:val="0"/>
        <w:shd w:val="clear"/>
        <w:kinsoku/>
        <w:wordWrap/>
        <w:overflowPunct/>
        <w:topLinePunct w:val="0"/>
        <w:autoSpaceDE/>
        <w:autoSpaceDN/>
        <w:bidi w:val="0"/>
        <w:adjustRightIn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广元市地籍地政事务中心</w:t>
      </w:r>
    </w:p>
    <w:p>
      <w:pPr>
        <w:pageBreakBefore w:val="0"/>
        <w:widowControl w:val="0"/>
        <w:shd w:val="clear"/>
        <w:kinsoku/>
        <w:wordWrap/>
        <w:overflowPunct/>
        <w:topLinePunct w:val="0"/>
        <w:bidi w:val="0"/>
        <w:spacing w:line="576" w:lineRule="exact"/>
        <w:ind w:left="0" w:leftChars="0" w:right="0" w:firstLine="420" w:firstLineChars="200"/>
        <w:jc w:val="both"/>
        <w:textAlignment w:val="auto"/>
        <w:rPr>
          <w:rFonts w:hint="eastAsia" w:ascii="黑体" w:hAnsi="黑体" w:eastAsia="黑体"/>
          <w:b w:val="0"/>
          <w:bCs/>
          <w:color w:val="auto"/>
          <w:highlight w:val="none"/>
        </w:rPr>
      </w:pPr>
      <w:r>
        <w:rPr>
          <w:rFonts w:hint="eastAsia" w:ascii="黑体" w:hAnsi="黑体" w:eastAsia="黑体"/>
          <w:b w:val="0"/>
          <w:bCs/>
          <w:color w:val="auto"/>
          <w:highlight w:val="none"/>
        </w:rPr>
        <w:br w:type="page"/>
      </w:r>
    </w:p>
    <w:p>
      <w:pPr>
        <w:pStyle w:val="33"/>
        <w:pageBreakBefore w:val="0"/>
        <w:widowControl w:val="0"/>
        <w:numPr>
          <w:ilvl w:val="0"/>
          <w:numId w:val="0"/>
        </w:numPr>
        <w:shd w:val="clear"/>
        <w:kinsoku/>
        <w:wordWrap/>
        <w:overflowPunct/>
        <w:topLinePunct w:val="0"/>
        <w:bidi w:val="0"/>
        <w:spacing w:line="576" w:lineRule="exact"/>
        <w:ind w:right="0" w:rightChars="0"/>
        <w:jc w:val="center"/>
        <w:textAlignment w:val="auto"/>
        <w:outlineLvl w:val="0"/>
        <w:rPr>
          <w:rStyle w:val="22"/>
          <w:rFonts w:hint="eastAsia" w:ascii="黑体" w:hAnsi="黑体" w:eastAsia="黑体" w:cstheme="minorBidi"/>
          <w:b w:val="0"/>
          <w:bCs/>
          <w:color w:val="auto"/>
          <w:highlight w:val="none"/>
        </w:rPr>
      </w:pPr>
      <w:bookmarkStart w:id="22" w:name="_Toc627"/>
      <w:r>
        <w:rPr>
          <w:rStyle w:val="22"/>
          <w:rFonts w:hint="eastAsia" w:ascii="黑体" w:hAnsi="黑体" w:eastAsia="黑体" w:cstheme="minorBidi"/>
          <w:b w:val="0"/>
          <w:bCs/>
          <w:color w:val="auto"/>
          <w:highlight w:val="none"/>
        </w:rPr>
        <w:t>第二部分</w:t>
      </w:r>
      <w:r>
        <w:rPr>
          <w:rStyle w:val="22"/>
          <w:rFonts w:hint="eastAsia" w:ascii="黑体" w:hAnsi="黑体" w:eastAsia="黑体" w:cstheme="minorBidi"/>
          <w:b w:val="0"/>
          <w:bCs/>
          <w:color w:val="auto"/>
          <w:highlight w:val="none"/>
          <w:lang w:val="en-US" w:eastAsia="zh-CN"/>
        </w:rPr>
        <w:t xml:space="preserve">  2024年度</w:t>
      </w:r>
      <w:r>
        <w:rPr>
          <w:rStyle w:val="22"/>
          <w:rFonts w:hint="eastAsia" w:ascii="黑体" w:hAnsi="黑体" w:eastAsia="黑体" w:cstheme="minorBidi"/>
          <w:b w:val="0"/>
          <w:bCs/>
          <w:color w:val="auto"/>
          <w:highlight w:val="none"/>
        </w:rPr>
        <w:t>部门决算情况说明</w:t>
      </w:r>
      <w:bookmarkEnd w:id="20"/>
      <w:bookmarkEnd w:id="21"/>
      <w:bookmarkEnd w:id="22"/>
      <w:bookmarkStart w:id="23" w:name="_Toc15396603"/>
      <w:bookmarkStart w:id="24" w:name="_Toc15377205"/>
    </w:p>
    <w:p>
      <w:pPr>
        <w:pStyle w:val="33"/>
        <w:pageBreakBefore w:val="0"/>
        <w:widowControl w:val="0"/>
        <w:numPr>
          <w:ilvl w:val="0"/>
          <w:numId w:val="0"/>
        </w:numPr>
        <w:shd w:val="clear"/>
        <w:kinsoku/>
        <w:wordWrap/>
        <w:overflowPunct/>
        <w:topLinePunct w:val="0"/>
        <w:bidi w:val="0"/>
        <w:spacing w:line="576" w:lineRule="exact"/>
        <w:ind w:right="0" w:rightChars="0"/>
        <w:jc w:val="center"/>
        <w:textAlignment w:val="auto"/>
        <w:outlineLvl w:val="9"/>
        <w:rPr>
          <w:rStyle w:val="22"/>
          <w:rFonts w:hint="eastAsia" w:ascii="黑体" w:hAnsi="黑体" w:eastAsia="黑体" w:cstheme="minorBidi"/>
          <w:b w:val="0"/>
          <w:bCs/>
          <w:color w:val="auto"/>
          <w:highlight w:val="none"/>
        </w:rPr>
      </w:pPr>
    </w:p>
    <w:p>
      <w:pPr>
        <w:pStyle w:val="33"/>
        <w:keepNext w:val="0"/>
        <w:keepLines w:val="0"/>
        <w:pageBreakBefore w:val="0"/>
        <w:widowControl w:val="0"/>
        <w:numPr>
          <w:ilvl w:val="0"/>
          <w:numId w:val="0"/>
        </w:numPr>
        <w:shd w:val="clear"/>
        <w:kinsoku/>
        <w:wordWrap/>
        <w:overflowPunct/>
        <w:topLinePunct w:val="0"/>
        <w:bidi w:val="0"/>
        <w:snapToGrid/>
        <w:spacing w:line="576" w:lineRule="exact"/>
        <w:ind w:leftChars="0" w:right="0" w:rightChars="0" w:firstLine="640" w:firstLineChars="200"/>
        <w:jc w:val="both"/>
        <w:textAlignment w:val="auto"/>
        <w:outlineLvl w:val="1"/>
        <w:rPr>
          <w:rStyle w:val="23"/>
          <w:rFonts w:ascii="黑体" w:hAnsi="黑体" w:eastAsia="黑体"/>
          <w:b w:val="0"/>
          <w:color w:val="auto"/>
          <w:highlight w:val="none"/>
        </w:rPr>
      </w:pPr>
      <w:bookmarkStart w:id="25" w:name="_Toc21546"/>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3"/>
          <w:rFonts w:hint="eastAsia" w:ascii="黑体" w:hAnsi="黑体" w:eastAsia="黑体"/>
          <w:b w:val="0"/>
          <w:color w:val="auto"/>
          <w:highlight w:val="none"/>
        </w:rPr>
        <w:t>入支出决算总体情况说明</w:t>
      </w:r>
      <w:bookmarkEnd w:id="23"/>
      <w:bookmarkEnd w:id="24"/>
      <w:bookmarkEnd w:id="25"/>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39787.52</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年相比，收、支总计各</w:t>
      </w:r>
      <w:r>
        <w:rPr>
          <w:rFonts w:hint="eastAsia" w:ascii="仿宋_GB2312" w:hAnsi="仿宋_GB2312" w:eastAsia="仿宋_GB2312" w:cs="仿宋_GB2312"/>
          <w:color w:val="auto"/>
          <w:sz w:val="32"/>
          <w:szCs w:val="32"/>
          <w:highlight w:val="none"/>
          <w:lang w:val="en-US" w:eastAsia="zh-CN"/>
        </w:rPr>
        <w:t>增加17854.05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增幅81.4</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val="en-US" w:eastAsia="zh-CN"/>
        </w:rPr>
        <w:t>项目拨款增加。</w:t>
      </w:r>
    </w:p>
    <w:p>
      <w:pPr>
        <w:pStyle w:val="2"/>
      </w:pPr>
    </w:p>
    <w:p>
      <w:pPr>
        <w:pStyle w:val="2"/>
        <w:rPr>
          <w:rFonts w:hint="default"/>
          <w:lang w:val="en-US" w:eastAsia="zh-CN"/>
        </w:rPr>
      </w:pPr>
      <w:r>
        <w:drawing>
          <wp:inline distT="0" distB="0" distL="114300" distR="114300">
            <wp:extent cx="5206365" cy="3314065"/>
            <wp:effectExtent l="4445" t="4445" r="8890" b="1524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33"/>
        <w:keepNext w:val="0"/>
        <w:keepLines w:val="0"/>
        <w:pageBreakBefore w:val="0"/>
        <w:widowControl w:val="0"/>
        <w:numPr>
          <w:ilvl w:val="0"/>
          <w:numId w:val="0"/>
        </w:numPr>
        <w:shd w:val="clear"/>
        <w:kinsoku/>
        <w:wordWrap/>
        <w:overflowPunct/>
        <w:topLinePunct w:val="0"/>
        <w:bidi w:val="0"/>
        <w:snapToGrid/>
        <w:spacing w:line="576" w:lineRule="exact"/>
        <w:ind w:right="0" w:rightChars="0"/>
        <w:jc w:val="center"/>
        <w:textAlignment w:val="auto"/>
        <w:outlineLvl w:val="1"/>
        <w:rPr>
          <w:rFonts w:hint="eastAsia" w:ascii="仿宋" w:hAnsi="仿宋" w:eastAsia="仿宋"/>
          <w:color w:val="auto"/>
          <w:sz w:val="32"/>
          <w:szCs w:val="32"/>
          <w:highlight w:val="none"/>
        </w:rPr>
      </w:pPr>
      <w:bookmarkStart w:id="26" w:name="_Toc10094"/>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bookmarkEnd w:id="26"/>
      <w:bookmarkStart w:id="27" w:name="_Toc15377206"/>
      <w:bookmarkStart w:id="28" w:name="_Toc15396604"/>
    </w:p>
    <w:p>
      <w:pPr>
        <w:pStyle w:val="33"/>
        <w:keepNext w:val="0"/>
        <w:keepLines w:val="0"/>
        <w:pageBreakBefore w:val="0"/>
        <w:widowControl w:val="0"/>
        <w:numPr>
          <w:ilvl w:val="0"/>
          <w:numId w:val="0"/>
        </w:numPr>
        <w:shd w:val="clear"/>
        <w:kinsoku/>
        <w:wordWrap/>
        <w:overflowPunct/>
        <w:topLinePunct w:val="0"/>
        <w:bidi w:val="0"/>
        <w:snapToGrid/>
        <w:spacing w:line="576" w:lineRule="exact"/>
        <w:ind w:leftChars="0" w:right="0" w:rightChars="0" w:firstLine="640" w:firstLineChars="200"/>
        <w:jc w:val="both"/>
        <w:textAlignment w:val="auto"/>
        <w:outlineLvl w:val="1"/>
        <w:rPr>
          <w:rStyle w:val="23"/>
          <w:rFonts w:ascii="黑体" w:hAnsi="黑体" w:eastAsia="黑体"/>
          <w:b w:val="0"/>
          <w:color w:val="auto"/>
          <w:highlight w:val="none"/>
        </w:rPr>
      </w:pPr>
      <w:bookmarkStart w:id="29" w:name="_Toc8410"/>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3"/>
          <w:rFonts w:hint="eastAsia" w:ascii="黑体" w:hAnsi="黑体" w:eastAsia="黑体"/>
          <w:b w:val="0"/>
          <w:color w:val="auto"/>
          <w:highlight w:val="none"/>
        </w:rPr>
        <w:t>入决算情况说明</w:t>
      </w:r>
      <w:bookmarkEnd w:id="27"/>
      <w:bookmarkEnd w:id="28"/>
      <w:bookmarkEnd w:id="29"/>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default" w:ascii="仿宋_GB2312" w:hAnsi="仿宋_GB2312" w:eastAsia="仿宋_GB2312" w:cs="仿宋_GB2312"/>
          <w:color w:val="auto"/>
          <w:sz w:val="32"/>
          <w:szCs w:val="32"/>
          <w:highlight w:val="none"/>
          <w:lang w:val="en-US" w:eastAsia="zh-CN"/>
        </w:rPr>
      </w:pPr>
      <w:bookmarkStart w:id="30" w:name="_Toc13729"/>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39774.59</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5607.76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14.1</w:t>
      </w:r>
      <w:r>
        <w:rPr>
          <w:rFonts w:hint="eastAsia" w:ascii="仿宋_GB2312" w:hAnsi="仿宋_GB2312" w:eastAsia="仿宋_GB2312" w:cs="仿宋_GB2312"/>
          <w:color w:val="auto"/>
          <w:sz w:val="32"/>
          <w:szCs w:val="32"/>
          <w:highlight w:val="none"/>
        </w:rPr>
        <w:t>%；政府性基金预算财政拨款收入</w:t>
      </w:r>
      <w:r>
        <w:rPr>
          <w:rFonts w:hint="eastAsia" w:ascii="仿宋_GB2312" w:hAnsi="仿宋_GB2312" w:eastAsia="仿宋_GB2312" w:cs="仿宋_GB2312"/>
          <w:color w:val="auto"/>
          <w:sz w:val="32"/>
          <w:szCs w:val="32"/>
          <w:highlight w:val="none"/>
          <w:lang w:val="en-US" w:eastAsia="zh-CN"/>
        </w:rPr>
        <w:t>33949.21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85.35</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en-US" w:eastAsia="zh-CN"/>
        </w:rPr>
        <w:t>217.63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0.55</w:t>
      </w:r>
      <w:r>
        <w:rPr>
          <w:rFonts w:hint="eastAsia" w:ascii="仿宋_GB2312" w:hAnsi="仿宋_GB2312" w:eastAsia="仿宋_GB2312" w:cs="仿宋_GB2312"/>
          <w:color w:val="auto"/>
          <w:sz w:val="32"/>
          <w:szCs w:val="32"/>
          <w:highlight w:val="none"/>
        </w:rPr>
        <w:t>%</w:t>
      </w:r>
      <w:bookmarkEnd w:id="30"/>
      <w:r>
        <w:rPr>
          <w:rFonts w:hint="eastAsia" w:ascii="仿宋_GB2312" w:hAnsi="仿宋_GB2312" w:eastAsia="仿宋_GB2312" w:cs="仿宋_GB2312"/>
          <w:color w:val="auto"/>
          <w:sz w:val="32"/>
          <w:szCs w:val="32"/>
          <w:highlight w:val="none"/>
          <w:lang w:val="en-US" w:eastAsia="zh-CN"/>
        </w:rPr>
        <w:t>。</w:t>
      </w:r>
    </w:p>
    <w:p>
      <w:pPr>
        <w:pStyle w:val="2"/>
        <w:shd w:val="clear"/>
        <w:ind w:left="0" w:leftChars="0" w:firstLine="0" w:firstLineChars="0"/>
        <w:jc w:val="center"/>
        <w:rPr>
          <w:color w:val="auto"/>
          <w:highlight w:val="none"/>
        </w:rPr>
      </w:pPr>
      <w:r>
        <w:drawing>
          <wp:inline distT="0" distB="0" distL="114300" distR="114300">
            <wp:extent cx="4826000" cy="2743200"/>
            <wp:effectExtent l="4445" t="4445" r="8255" b="14605"/>
            <wp:docPr id="4" name="图表 1" descr="7b0a202020202263686172745265734964223a202232303437363039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33"/>
        <w:keepNext w:val="0"/>
        <w:keepLines w:val="0"/>
        <w:pageBreakBefore w:val="0"/>
        <w:widowControl w:val="0"/>
        <w:numPr>
          <w:ilvl w:val="0"/>
          <w:numId w:val="0"/>
        </w:numPr>
        <w:shd w:val="clear"/>
        <w:kinsoku/>
        <w:wordWrap/>
        <w:overflowPunct/>
        <w:topLinePunct w:val="0"/>
        <w:autoSpaceDE/>
        <w:autoSpaceDN/>
        <w:bidi w:val="0"/>
        <w:adjustRightInd/>
        <w:snapToGrid/>
        <w:spacing w:line="520" w:lineRule="exact"/>
        <w:ind w:right="0" w:rightChars="0"/>
        <w:jc w:val="center"/>
        <w:textAlignment w:val="auto"/>
        <w:outlineLvl w:val="1"/>
        <w:rPr>
          <w:rStyle w:val="23"/>
          <w:rFonts w:ascii="黑体" w:hAnsi="黑体" w:eastAsia="黑体"/>
          <w:b w:val="0"/>
          <w:color w:val="auto"/>
          <w:highlight w:val="none"/>
        </w:rPr>
      </w:pPr>
      <w:bookmarkStart w:id="31" w:name="_Toc9241"/>
      <w:r>
        <w:rPr>
          <w:rFonts w:hint="eastAsia" w:ascii="仿宋" w:hAnsi="仿宋" w:eastAsia="仿宋"/>
          <w:color w:val="auto"/>
          <w:sz w:val="32"/>
          <w:szCs w:val="32"/>
          <w:highlight w:val="none"/>
        </w:rPr>
        <w:t>（图2：收入决算结构图）（饼状图）</w:t>
      </w:r>
      <w:bookmarkEnd w:id="31"/>
      <w:bookmarkStart w:id="32" w:name="_Toc15396605"/>
      <w:bookmarkStart w:id="33" w:name="_Toc15377207"/>
    </w:p>
    <w:p>
      <w:pPr>
        <w:pStyle w:val="33"/>
        <w:keepNext w:val="0"/>
        <w:keepLines w:val="0"/>
        <w:pageBreakBefore w:val="0"/>
        <w:widowControl w:val="0"/>
        <w:numPr>
          <w:ilvl w:val="0"/>
          <w:numId w:val="0"/>
        </w:numPr>
        <w:shd w:val="clear"/>
        <w:kinsoku/>
        <w:wordWrap/>
        <w:overflowPunct/>
        <w:topLinePunct w:val="0"/>
        <w:autoSpaceDE/>
        <w:autoSpaceDN/>
        <w:bidi w:val="0"/>
        <w:adjustRightInd/>
        <w:snapToGrid/>
        <w:spacing w:line="520" w:lineRule="exact"/>
        <w:ind w:leftChars="0" w:right="0" w:rightChars="0" w:firstLine="640" w:firstLineChars="200"/>
        <w:jc w:val="both"/>
        <w:textAlignment w:val="auto"/>
        <w:outlineLvl w:val="1"/>
        <w:rPr>
          <w:rStyle w:val="23"/>
          <w:rFonts w:ascii="黑体" w:hAnsi="黑体" w:eastAsia="黑体"/>
          <w:b w:val="0"/>
          <w:color w:val="auto"/>
          <w:highlight w:val="none"/>
        </w:rPr>
      </w:pPr>
      <w:bookmarkStart w:id="34" w:name="_Toc630"/>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3"/>
          <w:rFonts w:hint="eastAsia" w:ascii="黑体" w:hAnsi="黑体" w:eastAsia="黑体"/>
          <w:b w:val="0"/>
          <w:color w:val="auto"/>
          <w:highlight w:val="none"/>
        </w:rPr>
        <w:t>出决算情况说明</w:t>
      </w:r>
      <w:bookmarkEnd w:id="32"/>
      <w:bookmarkEnd w:id="33"/>
      <w:bookmarkEnd w:id="34"/>
    </w:p>
    <w:p>
      <w:pPr>
        <w:keepNext w:val="0"/>
        <w:keepLines w:val="0"/>
        <w:pageBreakBefore w:val="0"/>
        <w:widowControl w:val="0"/>
        <w:shd w:val="clear"/>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eastAsia="zh-CN"/>
        </w:rPr>
      </w:pPr>
      <w:bookmarkStart w:id="35" w:name="_Toc6528"/>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39787.52</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3692.74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9.28</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36094.78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90.72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bookmarkEnd w:id="35"/>
    </w:p>
    <w:p>
      <w:pPr>
        <w:jc w:val="center"/>
        <w:rPr>
          <w:rFonts w:hint="eastAsia"/>
          <w:lang w:eastAsia="zh-CN"/>
        </w:rPr>
      </w:pPr>
      <w:r>
        <w:drawing>
          <wp:inline distT="0" distB="0" distL="114300" distR="114300">
            <wp:extent cx="4572000" cy="2743200"/>
            <wp:effectExtent l="4445" t="4445" r="14605" b="14605"/>
            <wp:docPr id="2"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shd w:val="clear"/>
        <w:kinsoku/>
        <w:wordWrap/>
        <w:overflowPunct/>
        <w:topLinePunct w:val="0"/>
        <w:autoSpaceDE/>
        <w:autoSpaceDN/>
        <w:bidi w:val="0"/>
        <w:adjustRightInd/>
        <w:snapToGrid/>
        <w:spacing w:line="520" w:lineRule="exact"/>
        <w:ind w:right="0"/>
        <w:jc w:val="center"/>
        <w:textAlignment w:val="auto"/>
        <w:outlineLvl w:val="1"/>
        <w:rPr>
          <w:rFonts w:hint="eastAsia" w:ascii="仿宋" w:hAnsi="仿宋" w:eastAsia="仿宋"/>
          <w:color w:val="auto"/>
          <w:sz w:val="32"/>
          <w:szCs w:val="32"/>
          <w:highlight w:val="none"/>
          <w:lang w:eastAsia="zh-CN"/>
        </w:rPr>
      </w:pPr>
      <w:bookmarkStart w:id="36" w:name="_Toc28592"/>
      <w:r>
        <w:rPr>
          <w:rFonts w:hint="eastAsia" w:ascii="仿宋" w:hAnsi="仿宋" w:eastAsia="仿宋"/>
          <w:color w:val="auto"/>
          <w:sz w:val="32"/>
          <w:szCs w:val="32"/>
          <w:highlight w:val="none"/>
        </w:rPr>
        <w:t>（图3：支出决算结构图）（饼状图）</w:t>
      </w:r>
      <w:bookmarkEnd w:id="36"/>
      <w:bookmarkStart w:id="37" w:name="_Toc15396606"/>
      <w:bookmarkStart w:id="38" w:name="_Toc15377208"/>
    </w:p>
    <w:p>
      <w:pPr>
        <w:keepNext w:val="0"/>
        <w:keepLines w:val="0"/>
        <w:pageBreakBefore w:val="0"/>
        <w:widowControl w:val="0"/>
        <w:shd w:val="clear"/>
        <w:kinsoku/>
        <w:wordWrap/>
        <w:overflowPunct/>
        <w:topLinePunct w:val="0"/>
        <w:autoSpaceDE/>
        <w:autoSpaceDN/>
        <w:bidi w:val="0"/>
        <w:adjustRightInd/>
        <w:snapToGrid/>
        <w:spacing w:line="520" w:lineRule="exact"/>
        <w:ind w:left="0" w:leftChars="0" w:right="0" w:firstLine="640" w:firstLineChars="200"/>
        <w:jc w:val="both"/>
        <w:textAlignment w:val="auto"/>
        <w:outlineLvl w:val="1"/>
        <w:rPr>
          <w:rStyle w:val="23"/>
          <w:rFonts w:ascii="黑体" w:hAnsi="黑体" w:eastAsia="黑体"/>
          <w:b w:val="0"/>
          <w:color w:val="auto"/>
          <w:highlight w:val="none"/>
        </w:rPr>
      </w:pPr>
      <w:bookmarkStart w:id="39" w:name="_Toc17959"/>
      <w:r>
        <w:rPr>
          <w:rFonts w:hint="eastAsia" w:ascii="黑体" w:hAnsi="黑体" w:eastAsia="黑体"/>
          <w:color w:val="auto"/>
          <w:sz w:val="32"/>
          <w:szCs w:val="32"/>
          <w:highlight w:val="none"/>
        </w:rPr>
        <w:t>四、财</w:t>
      </w:r>
      <w:r>
        <w:rPr>
          <w:rStyle w:val="23"/>
          <w:rFonts w:hint="eastAsia" w:ascii="黑体" w:hAnsi="黑体" w:eastAsia="黑体"/>
          <w:b w:val="0"/>
          <w:color w:val="auto"/>
          <w:highlight w:val="none"/>
        </w:rPr>
        <w:t>政拨款收入支出决算总体情况说明</w:t>
      </w:r>
      <w:bookmarkEnd w:id="37"/>
      <w:bookmarkEnd w:id="38"/>
      <w:bookmarkEnd w:id="39"/>
    </w:p>
    <w:p>
      <w:pPr>
        <w:keepNext w:val="0"/>
        <w:keepLines w:val="0"/>
        <w:pageBreakBefore w:val="0"/>
        <w:widowControl w:val="0"/>
        <w:shd w:val="clear"/>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年财政拨款收、支总计</w:t>
      </w:r>
      <w:r>
        <w:rPr>
          <w:rFonts w:hint="eastAsia" w:ascii="仿宋_GB2312" w:hAnsi="仿宋_GB2312" w:eastAsia="仿宋_GB2312" w:cs="仿宋_GB2312"/>
          <w:color w:val="auto"/>
          <w:sz w:val="32"/>
          <w:szCs w:val="32"/>
          <w:highlight w:val="none"/>
          <w:lang w:val="en-US" w:eastAsia="zh-CN"/>
        </w:rPr>
        <w:t>39569.89</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年相比，财政拨款收、支总计各</w:t>
      </w:r>
      <w:r>
        <w:rPr>
          <w:rFonts w:hint="eastAsia" w:ascii="仿宋_GB2312" w:hAnsi="仿宋_GB2312" w:eastAsia="仿宋_GB2312" w:cs="仿宋_GB2312"/>
          <w:color w:val="auto"/>
          <w:sz w:val="32"/>
          <w:szCs w:val="32"/>
          <w:highlight w:val="none"/>
          <w:lang w:val="en-US" w:eastAsia="zh-CN"/>
        </w:rPr>
        <w:t>增加17832.02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增幅82.03</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val="en-US" w:eastAsia="zh-CN"/>
        </w:rPr>
        <w:t>2024年度政府性基金项目拨款增加</w:t>
      </w:r>
      <w:r>
        <w:rPr>
          <w:rFonts w:hint="eastAsia" w:ascii="仿宋_GB2312" w:hAnsi="仿宋_GB2312" w:eastAsia="仿宋_GB2312" w:cs="仿宋_GB2312"/>
          <w:color w:val="auto"/>
          <w:sz w:val="32"/>
          <w:szCs w:val="32"/>
          <w:highlight w:val="none"/>
          <w:lang w:eastAsia="zh-CN"/>
        </w:rPr>
        <w:t>。</w:t>
      </w:r>
    </w:p>
    <w:p>
      <w:pPr>
        <w:pStyle w:val="2"/>
        <w:rPr>
          <w:rFonts w:hint="eastAsia"/>
          <w:color w:val="auto"/>
          <w:highlight w:val="none"/>
          <w:lang w:eastAsia="zh-CN"/>
        </w:rPr>
      </w:pPr>
      <w:r>
        <w:drawing>
          <wp:inline distT="0" distB="0" distL="114300" distR="114300">
            <wp:extent cx="4523740" cy="2458085"/>
            <wp:effectExtent l="4445" t="4445" r="5715" b="1397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shd w:val="clear"/>
        <w:kinsoku/>
        <w:wordWrap/>
        <w:overflowPunct/>
        <w:topLinePunct w:val="0"/>
        <w:autoSpaceDE/>
        <w:autoSpaceDN/>
        <w:bidi w:val="0"/>
        <w:adjustRightInd/>
        <w:snapToGrid/>
        <w:spacing w:line="520" w:lineRule="exact"/>
        <w:ind w:right="0"/>
        <w:jc w:val="center"/>
        <w:textAlignment w:val="auto"/>
        <w:outlineLvl w:val="1"/>
        <w:rPr>
          <w:rFonts w:hint="eastAsia" w:ascii="仿宋" w:hAnsi="仿宋" w:eastAsia="仿宋"/>
          <w:color w:val="auto"/>
          <w:sz w:val="32"/>
          <w:szCs w:val="32"/>
          <w:highlight w:val="none"/>
          <w:lang w:eastAsia="zh-CN"/>
        </w:rPr>
      </w:pPr>
      <w:bookmarkStart w:id="40" w:name="_Toc30431"/>
      <w:r>
        <w:rPr>
          <w:rFonts w:hint="eastAsia" w:ascii="仿宋" w:hAnsi="仿宋" w:eastAsia="仿宋"/>
          <w:color w:val="auto"/>
          <w:sz w:val="32"/>
          <w:szCs w:val="32"/>
          <w:highlight w:val="none"/>
        </w:rPr>
        <w:t>（图4：财政拨款收、支决算总计变动情况）（柱状图）</w:t>
      </w:r>
      <w:bookmarkEnd w:id="40"/>
      <w:bookmarkStart w:id="41" w:name="_Toc15377209"/>
      <w:bookmarkStart w:id="42" w:name="_Toc15396607"/>
    </w:p>
    <w:p>
      <w:pPr>
        <w:keepNext w:val="0"/>
        <w:keepLines w:val="0"/>
        <w:pageBreakBefore w:val="0"/>
        <w:widowControl w:val="0"/>
        <w:shd w:val="clear"/>
        <w:kinsoku/>
        <w:wordWrap/>
        <w:overflowPunct/>
        <w:topLinePunct w:val="0"/>
        <w:autoSpaceDE/>
        <w:autoSpaceDN/>
        <w:bidi w:val="0"/>
        <w:adjustRightInd/>
        <w:snapToGrid/>
        <w:spacing w:line="520" w:lineRule="exact"/>
        <w:ind w:left="0" w:leftChars="0" w:right="0" w:firstLine="640" w:firstLineChars="200"/>
        <w:jc w:val="both"/>
        <w:textAlignment w:val="auto"/>
        <w:outlineLvl w:val="1"/>
        <w:rPr>
          <w:rStyle w:val="23"/>
          <w:rFonts w:ascii="黑体" w:hAnsi="黑体" w:eastAsia="黑体"/>
          <w:b w:val="0"/>
          <w:color w:val="auto"/>
          <w:highlight w:val="none"/>
        </w:rPr>
      </w:pPr>
      <w:bookmarkStart w:id="43" w:name="_Toc19150"/>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3"/>
          <w:rFonts w:hint="eastAsia" w:ascii="黑体" w:hAnsi="黑体" w:eastAsia="黑体"/>
          <w:b w:val="0"/>
          <w:color w:val="auto"/>
          <w:highlight w:val="none"/>
        </w:rPr>
        <w:t>般公共预算财政拨款支出决算情况说明</w:t>
      </w:r>
      <w:bookmarkEnd w:id="41"/>
      <w:bookmarkEnd w:id="42"/>
      <w:bookmarkEnd w:id="43"/>
    </w:p>
    <w:p>
      <w:pPr>
        <w:keepNext w:val="0"/>
        <w:keepLines w:val="0"/>
        <w:pageBreakBefore w:val="0"/>
        <w:widowControl w:val="0"/>
        <w:shd w:val="clear"/>
        <w:kinsoku/>
        <w:wordWrap/>
        <w:overflowPunct/>
        <w:topLinePunct w:val="0"/>
        <w:autoSpaceDE/>
        <w:autoSpaceDN/>
        <w:bidi w:val="0"/>
        <w:adjustRightInd/>
        <w:snapToGrid/>
        <w:spacing w:line="520" w:lineRule="exact"/>
        <w:ind w:left="0" w:leftChars="0" w:right="0" w:firstLine="642" w:firstLineChars="200"/>
        <w:jc w:val="both"/>
        <w:textAlignment w:val="auto"/>
        <w:outlineLvl w:val="2"/>
        <w:rPr>
          <w:rFonts w:hint="eastAsia" w:ascii="楷体_GB2312" w:hAnsi="楷体_GB2312" w:eastAsia="楷体_GB2312" w:cs="楷体_GB2312"/>
          <w:b/>
          <w:color w:val="auto"/>
          <w:sz w:val="32"/>
          <w:szCs w:val="32"/>
          <w:highlight w:val="none"/>
        </w:rPr>
      </w:pPr>
      <w:bookmarkStart w:id="44" w:name="_Toc15377210"/>
      <w:r>
        <w:rPr>
          <w:rFonts w:hint="eastAsia" w:ascii="楷体_GB2312" w:hAnsi="楷体_GB2312" w:eastAsia="楷体_GB2312" w:cs="楷体_GB2312"/>
          <w:b/>
          <w:color w:val="auto"/>
          <w:sz w:val="32"/>
          <w:szCs w:val="32"/>
          <w:highlight w:val="none"/>
        </w:rPr>
        <w:t>（一）一般公共预算财政拨款支出决算总体情况</w:t>
      </w:r>
      <w:bookmarkEnd w:id="44"/>
    </w:p>
    <w:p>
      <w:pPr>
        <w:keepNext w:val="0"/>
        <w:keepLines w:val="0"/>
        <w:pageBreakBefore w:val="0"/>
        <w:widowControl w:val="0"/>
        <w:shd w:val="clear"/>
        <w:kinsoku/>
        <w:wordWrap/>
        <w:overflowPunct/>
        <w:topLinePunct w:val="0"/>
        <w:autoSpaceDE/>
        <w:autoSpaceDN/>
        <w:bidi w:val="0"/>
        <w:adjustRightInd/>
        <w:snapToGrid/>
        <w:spacing w:line="52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5607.76</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14.09</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增加278.6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增幅5.22</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val="en-US" w:eastAsia="zh-CN"/>
        </w:rPr>
        <w:t>一般公共预算项目增加。</w:t>
      </w:r>
    </w:p>
    <w:p>
      <w:pPr>
        <w:pStyle w:val="2"/>
        <w:shd w:val="clear"/>
        <w:ind w:left="0" w:leftChars="0" w:firstLine="0" w:firstLineChars="0"/>
        <w:jc w:val="center"/>
        <w:rPr>
          <w:color w:val="auto"/>
          <w:highlight w:val="none"/>
        </w:rPr>
      </w:pPr>
      <w:r>
        <w:drawing>
          <wp:inline distT="0" distB="0" distL="114300" distR="114300">
            <wp:extent cx="4386580" cy="2428875"/>
            <wp:effectExtent l="4445" t="5080" r="9525" b="444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val="0"/>
        <w:shd w:val="clear"/>
        <w:kinsoku/>
        <w:wordWrap/>
        <w:overflowPunct/>
        <w:topLinePunct w:val="0"/>
        <w:bidi w:val="0"/>
        <w:snapToGrid/>
        <w:spacing w:line="576" w:lineRule="exact"/>
        <w:ind w:right="0"/>
        <w:jc w:val="center"/>
        <w:textAlignment w:val="auto"/>
        <w:outlineLvl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（图5：一般公共预算财政拨款支出决算变动情况）（柱状图）</w:t>
      </w:r>
      <w:bookmarkStart w:id="45" w:name="_Toc15377211"/>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outlineLvl w:val="2"/>
        <w:rPr>
          <w:rFonts w:hint="eastAsia"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（二）一般公共预算财政拨款支出决算结构情况</w:t>
      </w:r>
      <w:bookmarkEnd w:id="45"/>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outlineLvl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5607.76</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color w:val="auto"/>
          <w:sz w:val="32"/>
          <w:szCs w:val="32"/>
          <w:highlight w:val="none"/>
        </w:rPr>
        <w:t>社会保障和就业</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b/>
          <w:bCs/>
          <w:color w:val="auto"/>
          <w:sz w:val="32"/>
          <w:szCs w:val="32"/>
          <w:highlight w:val="none"/>
          <w:lang w:val="en-US" w:eastAsia="zh-CN"/>
        </w:rPr>
        <w:t>657.36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11.72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卫生健康支出</w:t>
      </w:r>
      <w:r>
        <w:rPr>
          <w:rFonts w:hint="eastAsia" w:ascii="仿宋_GB2312" w:hAnsi="仿宋_GB2312" w:eastAsia="仿宋_GB2312" w:cs="仿宋_GB2312"/>
          <w:b/>
          <w:bCs/>
          <w:color w:val="auto"/>
          <w:sz w:val="32"/>
          <w:szCs w:val="32"/>
          <w:highlight w:val="none"/>
          <w:lang w:val="en-US" w:eastAsia="zh-CN"/>
        </w:rPr>
        <w:t>102.44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1.82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lang w:val="en-US" w:eastAsia="zh-CN"/>
        </w:rPr>
        <w:t>节能环保支出8.24</w:t>
      </w:r>
      <w:r>
        <w:rPr>
          <w:rFonts w:hint="eastAsia" w:ascii="仿宋_GB2312" w:hAnsi="仿宋_GB2312" w:eastAsia="仿宋_GB2312" w:cs="仿宋_GB2312"/>
          <w:color w:val="auto"/>
          <w:sz w:val="32"/>
          <w:szCs w:val="32"/>
          <w:highlight w:val="none"/>
          <w:lang w:val="en-US" w:eastAsia="zh-CN"/>
        </w:rPr>
        <w:t>万元，占0.15%；</w:t>
      </w:r>
      <w:r>
        <w:rPr>
          <w:rFonts w:hint="eastAsia" w:ascii="仿宋_GB2312" w:hAnsi="仿宋_GB2312" w:eastAsia="仿宋_GB2312" w:cs="仿宋_GB2312"/>
          <w:b/>
          <w:bCs/>
          <w:color w:val="auto"/>
          <w:sz w:val="32"/>
          <w:szCs w:val="32"/>
          <w:highlight w:val="none"/>
          <w:lang w:val="en-US" w:eastAsia="zh-CN"/>
        </w:rPr>
        <w:t>自然资源海洋气象等支出4496.78</w:t>
      </w:r>
      <w:r>
        <w:rPr>
          <w:rFonts w:hint="eastAsia" w:ascii="仿宋_GB2312" w:hAnsi="仿宋_GB2312" w:eastAsia="仿宋_GB2312" w:cs="仿宋_GB2312"/>
          <w:color w:val="auto"/>
          <w:sz w:val="32"/>
          <w:szCs w:val="32"/>
          <w:highlight w:val="none"/>
          <w:lang w:val="en-US" w:eastAsia="zh-CN"/>
        </w:rPr>
        <w:t>万元，占80.19%；</w:t>
      </w:r>
      <w:r>
        <w:rPr>
          <w:rFonts w:hint="eastAsia" w:ascii="仿宋_GB2312" w:hAnsi="仿宋_GB2312" w:eastAsia="仿宋_GB2312" w:cs="仿宋_GB2312"/>
          <w:b/>
          <w:bCs/>
          <w:color w:val="auto"/>
          <w:sz w:val="32"/>
          <w:szCs w:val="32"/>
          <w:highlight w:val="none"/>
        </w:rPr>
        <w:t>住房保障支出</w:t>
      </w:r>
      <w:r>
        <w:rPr>
          <w:rFonts w:hint="eastAsia" w:ascii="仿宋_GB2312" w:hAnsi="仿宋_GB2312" w:eastAsia="仿宋_GB2312" w:cs="仿宋_GB2312"/>
          <w:b/>
          <w:bCs/>
          <w:color w:val="auto"/>
          <w:sz w:val="32"/>
          <w:szCs w:val="32"/>
          <w:highlight w:val="none"/>
          <w:lang w:val="en-US" w:eastAsia="zh-CN"/>
        </w:rPr>
        <w:t>281.42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5.02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color w:val="auto"/>
          <w:sz w:val="32"/>
          <w:szCs w:val="32"/>
          <w:highlight w:val="none"/>
          <w:lang w:val="en-US" w:eastAsia="zh-CN"/>
        </w:rPr>
        <w:t>灾害防治及应急管理支出61.52</w:t>
      </w:r>
      <w:r>
        <w:rPr>
          <w:rFonts w:hint="eastAsia" w:ascii="仿宋_GB2312" w:hAnsi="仿宋_GB2312" w:eastAsia="仿宋_GB2312" w:cs="仿宋_GB2312"/>
          <w:color w:val="auto"/>
          <w:sz w:val="32"/>
          <w:szCs w:val="32"/>
          <w:highlight w:val="none"/>
          <w:lang w:val="en-US" w:eastAsia="zh-CN"/>
        </w:rPr>
        <w:t>万元，占1.1%。</w:t>
      </w:r>
    </w:p>
    <w:p>
      <w:pPr>
        <w:pStyle w:val="2"/>
        <w:shd w:val="clear"/>
        <w:ind w:left="0" w:leftChars="0" w:firstLine="0" w:firstLineChars="0"/>
        <w:jc w:val="center"/>
        <w:rPr>
          <w:rFonts w:hint="eastAsia"/>
          <w:color w:val="auto"/>
          <w:sz w:val="20"/>
          <w:szCs w:val="22"/>
          <w:highlight w:val="none"/>
          <w:lang w:val="en-US" w:eastAsia="zh-CN"/>
        </w:rPr>
      </w:pPr>
      <w:r>
        <w:rPr>
          <w:sz w:val="20"/>
          <w:szCs w:val="22"/>
        </w:rPr>
        <w:drawing>
          <wp:inline distT="0" distB="0" distL="114300" distR="114300">
            <wp:extent cx="4829175" cy="2900045"/>
            <wp:effectExtent l="4445" t="4445" r="5080" b="10160"/>
            <wp:docPr id="9" name="图表 8" descr="7b0a202020202263686172745265734964223a202232303437363039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widowControl w:val="0"/>
        <w:shd w:val="clear"/>
        <w:kinsoku/>
        <w:wordWrap/>
        <w:overflowPunct/>
        <w:topLinePunct w:val="0"/>
        <w:bidi w:val="0"/>
        <w:snapToGrid/>
        <w:spacing w:line="576" w:lineRule="exact"/>
        <w:ind w:right="0"/>
        <w:jc w:val="center"/>
        <w:textAlignment w:val="auto"/>
        <w:outlineLvl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（图6：一般公共预算财政拨款支出决算结构）（饼状图）</w:t>
      </w:r>
      <w:bookmarkStart w:id="46" w:name="_Toc15377212"/>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outlineLvl w:val="2"/>
        <w:rPr>
          <w:rFonts w:hint="eastAsia"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（三）一般公共预算财政拨款支出决算具体情况</w:t>
      </w:r>
      <w:bookmarkEnd w:id="46"/>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outlineLvl w:val="1"/>
        <w:rPr>
          <w:rStyle w:val="20"/>
          <w:rFonts w:hint="eastAsia" w:ascii="仿宋_GB2312" w:hAnsi="仿宋_GB2312" w:eastAsia="仿宋_GB2312" w:cs="仿宋_GB2312"/>
          <w:bCs/>
          <w:color w:val="auto"/>
          <w:sz w:val="32"/>
          <w:szCs w:val="32"/>
          <w:highlight w:val="none"/>
        </w:rPr>
      </w:pPr>
      <w:bookmarkStart w:id="47" w:name="_Toc15377444"/>
      <w:bookmarkStart w:id="48" w:name="_Toc15377213"/>
      <w:bookmarkStart w:id="49" w:name="_Toc15378460"/>
      <w:bookmarkStart w:id="50" w:name="_Toc21870"/>
      <w:r>
        <w:rPr>
          <w:rFonts w:hint="eastAsia" w:ascii="仿宋_GB2312" w:hAnsi="仿宋_GB2312" w:eastAsia="仿宋_GB2312" w:cs="仿宋_GB2312"/>
          <w:b/>
          <w:color w:val="auto"/>
          <w:sz w:val="32"/>
          <w:szCs w:val="32"/>
          <w:highlight w:val="none"/>
        </w:rPr>
        <w:t>20</w:t>
      </w:r>
      <w:r>
        <w:rPr>
          <w:rFonts w:hint="eastAsia" w:ascii="仿宋_GB2312" w:hAnsi="仿宋_GB2312" w:eastAsia="仿宋_GB2312" w:cs="仿宋_GB2312"/>
          <w:b/>
          <w:color w:val="auto"/>
          <w:sz w:val="32"/>
          <w:szCs w:val="32"/>
          <w:highlight w:val="none"/>
          <w:lang w:val="en-US" w:eastAsia="zh-CN"/>
        </w:rPr>
        <w:t>24</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一</w:t>
      </w:r>
      <w:r>
        <w:rPr>
          <w:rFonts w:hint="eastAsia" w:ascii="仿宋_GB2312" w:hAnsi="仿宋_GB2312" w:eastAsia="仿宋_GB2312" w:cs="仿宋_GB2312"/>
          <w:b/>
          <w:color w:val="auto"/>
          <w:sz w:val="32"/>
          <w:szCs w:val="32"/>
          <w:highlight w:val="none"/>
        </w:rPr>
        <w:t>般公共预算支出决算数为</w:t>
      </w:r>
      <w:r>
        <w:rPr>
          <w:rFonts w:hint="eastAsia" w:ascii="仿宋_GB2312" w:hAnsi="仿宋_GB2312" w:eastAsia="仿宋_GB2312" w:cs="仿宋_GB2312"/>
          <w:b/>
          <w:color w:val="auto"/>
          <w:sz w:val="32"/>
          <w:szCs w:val="32"/>
          <w:highlight w:val="none"/>
          <w:lang w:val="en-US" w:eastAsia="zh-CN"/>
        </w:rPr>
        <w:t>5607.76</w:t>
      </w:r>
      <w:r>
        <w:rPr>
          <w:rFonts w:hint="eastAsia" w:ascii="仿宋_GB2312" w:hAnsi="仿宋_GB2312" w:eastAsia="仿宋_GB2312" w:cs="仿宋_GB2312"/>
          <w:color w:val="auto"/>
          <w:sz w:val="32"/>
          <w:szCs w:val="32"/>
          <w:highlight w:val="none"/>
        </w:rPr>
        <w:t>，</w:t>
      </w:r>
      <w:r>
        <w:rPr>
          <w:rStyle w:val="20"/>
          <w:rFonts w:hint="eastAsia" w:ascii="仿宋_GB2312" w:hAnsi="仿宋_GB2312" w:eastAsia="仿宋_GB2312" w:cs="仿宋_GB2312"/>
          <w:bCs/>
          <w:color w:val="auto"/>
          <w:sz w:val="32"/>
          <w:szCs w:val="32"/>
          <w:highlight w:val="none"/>
        </w:rPr>
        <w:t>完成预算</w:t>
      </w:r>
      <w:r>
        <w:rPr>
          <w:rStyle w:val="20"/>
          <w:rFonts w:hint="eastAsia" w:ascii="仿宋_GB2312" w:hAnsi="仿宋_GB2312" w:eastAsia="仿宋_GB2312" w:cs="仿宋_GB2312"/>
          <w:bCs/>
          <w:color w:val="auto"/>
          <w:sz w:val="32"/>
          <w:szCs w:val="32"/>
          <w:highlight w:val="none"/>
          <w:lang w:val="en-US" w:eastAsia="zh-CN"/>
        </w:rPr>
        <w:t>100</w:t>
      </w:r>
      <w:r>
        <w:rPr>
          <w:rStyle w:val="20"/>
          <w:rFonts w:hint="eastAsia" w:ascii="仿宋_GB2312" w:hAnsi="仿宋_GB2312" w:eastAsia="仿宋_GB2312" w:cs="仿宋_GB2312"/>
          <w:bCs/>
          <w:color w:val="auto"/>
          <w:sz w:val="32"/>
          <w:szCs w:val="32"/>
          <w:highlight w:val="none"/>
        </w:rPr>
        <w:t>%。其中：</w:t>
      </w:r>
      <w:bookmarkEnd w:id="47"/>
      <w:bookmarkEnd w:id="48"/>
      <w:bookmarkEnd w:id="49"/>
      <w:bookmarkEnd w:id="50"/>
    </w:p>
    <w:p>
      <w:pPr>
        <w:pStyle w:val="2"/>
        <w:rPr>
          <w:rFonts w:hint="eastAsia" w:ascii="仿宋_GB2312" w:hAnsi="仿宋_GB2312" w:eastAsia="仿宋_GB2312" w:cs="仿宋_GB2312"/>
          <w:sz w:val="32"/>
          <w:szCs w:val="32"/>
        </w:rPr>
      </w:pPr>
      <w:r>
        <w:rPr>
          <w:rStyle w:val="20"/>
          <w:rFonts w:hint="eastAsia" w:ascii="仿宋_GB2312" w:hAnsi="仿宋_GB2312" w:eastAsia="仿宋_GB2312" w:cs="仿宋_GB2312"/>
          <w:bCs/>
          <w:color w:val="auto"/>
          <w:sz w:val="32"/>
          <w:szCs w:val="32"/>
          <w:highlight w:val="none"/>
        </w:rPr>
        <w:t>1.</w:t>
      </w:r>
      <w:r>
        <w:rPr>
          <w:rStyle w:val="20"/>
          <w:rFonts w:hint="eastAsia" w:ascii="仿宋_GB2312" w:hAnsi="仿宋_GB2312" w:eastAsia="仿宋_GB2312" w:cs="仿宋_GB2312"/>
          <w:bCs/>
          <w:color w:val="auto"/>
          <w:sz w:val="32"/>
          <w:szCs w:val="32"/>
          <w:highlight w:val="none"/>
          <w:lang w:val="en-US" w:eastAsia="zh-CN"/>
        </w:rPr>
        <w:t>社会保障和就业支出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人力资源和社会保障管理事务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引进人才费用</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103.6</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2</w:t>
      </w:r>
      <w:r>
        <w:rPr>
          <w:rStyle w:val="20"/>
          <w:rFonts w:hint="eastAsia" w:ascii="仿宋_GB2312" w:hAnsi="仿宋_GB2312" w:eastAsia="仿宋_GB2312" w:cs="仿宋_GB2312"/>
          <w:bCs/>
          <w:color w:val="auto"/>
          <w:sz w:val="32"/>
          <w:szCs w:val="32"/>
          <w:highlight w:val="none"/>
        </w:rPr>
        <w:t>.</w:t>
      </w:r>
      <w:r>
        <w:rPr>
          <w:rStyle w:val="20"/>
          <w:rFonts w:hint="eastAsia" w:ascii="仿宋_GB2312" w:hAnsi="仿宋_GB2312" w:eastAsia="仿宋_GB2312" w:cs="仿宋_GB2312"/>
          <w:bCs/>
          <w:color w:val="auto"/>
          <w:sz w:val="32"/>
          <w:szCs w:val="32"/>
          <w:highlight w:val="none"/>
          <w:lang w:val="en-US" w:eastAsia="zh-CN"/>
        </w:rPr>
        <w:t>社会保障和就业支出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行政事业单位养老支出</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行政单位离退休</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110.82</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sz w:val="32"/>
          <w:szCs w:val="32"/>
        </w:rPr>
      </w:pPr>
      <w:r>
        <w:rPr>
          <w:rStyle w:val="20"/>
          <w:rFonts w:hint="eastAsia" w:ascii="仿宋_GB2312" w:hAnsi="仿宋_GB2312" w:eastAsia="仿宋_GB2312" w:cs="仿宋_GB2312"/>
          <w:bCs/>
          <w:color w:val="auto"/>
          <w:sz w:val="32"/>
          <w:szCs w:val="32"/>
          <w:highlight w:val="none"/>
          <w:lang w:val="en-US" w:eastAsia="zh-CN"/>
        </w:rPr>
        <w:t>3</w:t>
      </w:r>
      <w:r>
        <w:rPr>
          <w:rStyle w:val="20"/>
          <w:rFonts w:hint="eastAsia" w:ascii="仿宋_GB2312" w:hAnsi="仿宋_GB2312" w:eastAsia="仿宋_GB2312" w:cs="仿宋_GB2312"/>
          <w:bCs/>
          <w:color w:val="auto"/>
          <w:sz w:val="32"/>
          <w:szCs w:val="32"/>
          <w:highlight w:val="none"/>
        </w:rPr>
        <w:t>.</w:t>
      </w:r>
      <w:r>
        <w:rPr>
          <w:rStyle w:val="20"/>
          <w:rFonts w:hint="eastAsia" w:ascii="仿宋_GB2312" w:hAnsi="仿宋_GB2312" w:eastAsia="仿宋_GB2312" w:cs="仿宋_GB2312"/>
          <w:bCs/>
          <w:color w:val="auto"/>
          <w:sz w:val="32"/>
          <w:szCs w:val="32"/>
          <w:highlight w:val="none"/>
          <w:lang w:val="en-US" w:eastAsia="zh-CN"/>
        </w:rPr>
        <w:t>社会保障和就业支出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行政事业单位养老支出</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事业单位离退休</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35.28</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4.</w:t>
      </w:r>
      <w:r>
        <w:rPr>
          <w:rStyle w:val="20"/>
          <w:rFonts w:hint="eastAsia" w:ascii="仿宋_GB2312" w:hAnsi="仿宋_GB2312" w:eastAsia="仿宋_GB2312" w:cs="仿宋_GB2312"/>
          <w:bCs/>
          <w:color w:val="auto"/>
          <w:sz w:val="32"/>
          <w:szCs w:val="32"/>
          <w:highlight w:val="none"/>
          <w:lang w:val="en-US" w:eastAsia="zh-CN"/>
        </w:rPr>
        <w:t>社会保障和就业支出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行政事业单位养老支出</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机关事业单位基本养老保险支出</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300.53</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rightChars="0" w:firstLine="640"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kern w:val="2"/>
          <w:sz w:val="32"/>
          <w:szCs w:val="32"/>
          <w:lang w:val="en-US" w:eastAsia="zh-CN" w:bidi="ar-SA"/>
        </w:rPr>
        <w:t>5.</w:t>
      </w:r>
      <w:r>
        <w:rPr>
          <w:rStyle w:val="20"/>
          <w:rFonts w:hint="eastAsia" w:ascii="仿宋_GB2312" w:hAnsi="仿宋_GB2312" w:eastAsia="仿宋_GB2312" w:cs="仿宋_GB2312"/>
          <w:bCs/>
          <w:color w:val="auto"/>
          <w:sz w:val="32"/>
          <w:szCs w:val="32"/>
          <w:highlight w:val="none"/>
          <w:lang w:val="en-US" w:eastAsia="zh-CN"/>
        </w:rPr>
        <w:t>社会保障和就业支出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行政事业单位养老支出</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机关事业单位职业年金缴费支出</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77.06</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rightChars="0" w:firstLine="642" w:firstLineChars="200"/>
        <w:jc w:val="both"/>
        <w:textAlignment w:val="auto"/>
        <w:rPr>
          <w:rStyle w:val="20"/>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
          <w:bCs/>
          <w:color w:val="auto"/>
          <w:kern w:val="2"/>
          <w:sz w:val="32"/>
          <w:szCs w:val="32"/>
          <w:lang w:val="en-US" w:eastAsia="zh-CN" w:bidi="ar-SA"/>
        </w:rPr>
        <w:t>6.</w:t>
      </w:r>
      <w:r>
        <w:rPr>
          <w:rStyle w:val="20"/>
          <w:rFonts w:hint="eastAsia" w:ascii="仿宋_GB2312" w:hAnsi="仿宋_GB2312" w:eastAsia="仿宋_GB2312" w:cs="仿宋_GB2312"/>
          <w:bCs/>
          <w:color w:val="auto"/>
          <w:sz w:val="32"/>
          <w:szCs w:val="32"/>
          <w:highlight w:val="none"/>
          <w:lang w:val="en-US" w:eastAsia="zh-CN"/>
        </w:rPr>
        <w:t>社会保障和就业支出（类）抚恤（款）死亡抚恤（项）：支出决算为24.43万元，完成预算100%。</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7.</w:t>
      </w:r>
      <w:r>
        <w:rPr>
          <w:rStyle w:val="20"/>
          <w:rFonts w:hint="eastAsia" w:ascii="仿宋_GB2312" w:hAnsi="仿宋_GB2312" w:eastAsia="仿宋_GB2312" w:cs="仿宋_GB2312"/>
          <w:bCs/>
          <w:color w:val="auto"/>
          <w:sz w:val="32"/>
          <w:szCs w:val="32"/>
          <w:highlight w:val="none"/>
        </w:rPr>
        <w:t>社会保障和就业</w:t>
      </w:r>
      <w:r>
        <w:rPr>
          <w:rStyle w:val="20"/>
          <w:rFonts w:hint="eastAsia" w:ascii="仿宋_GB2312" w:hAnsi="仿宋_GB2312" w:eastAsia="仿宋_GB2312" w:cs="仿宋_GB2312"/>
          <w:bCs/>
          <w:color w:val="auto"/>
          <w:sz w:val="32"/>
          <w:szCs w:val="32"/>
          <w:highlight w:val="none"/>
          <w:lang w:val="en-US" w:eastAsia="zh-CN"/>
        </w:rPr>
        <w:t>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其他社会保障和就业支出</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其他社会保障和就业支出</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5.64</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8</w:t>
      </w:r>
      <w:r>
        <w:rPr>
          <w:rStyle w:val="20"/>
          <w:rFonts w:hint="eastAsia" w:ascii="仿宋_GB2312" w:hAnsi="仿宋_GB2312" w:eastAsia="仿宋_GB2312" w:cs="仿宋_GB2312"/>
          <w:bCs/>
          <w:color w:val="auto"/>
          <w:sz w:val="32"/>
          <w:szCs w:val="32"/>
          <w:highlight w:val="none"/>
        </w:rPr>
        <w:t>.</w:t>
      </w:r>
      <w:r>
        <w:rPr>
          <w:rStyle w:val="20"/>
          <w:rFonts w:hint="eastAsia" w:ascii="仿宋_GB2312" w:hAnsi="仿宋_GB2312" w:eastAsia="仿宋_GB2312" w:cs="仿宋_GB2312"/>
          <w:bCs/>
          <w:color w:val="auto"/>
          <w:sz w:val="32"/>
          <w:szCs w:val="32"/>
          <w:highlight w:val="none"/>
          <w:lang w:val="en-US" w:eastAsia="zh-CN"/>
        </w:rPr>
        <w:t>卫生健康支出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行政事业单位医疗</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行政单位医疗</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55.97</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9.卫生健康支出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行政事业单位医疗</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事业单位医疗</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44.89</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0" w:firstLineChars="200"/>
        <w:jc w:val="both"/>
        <w:textAlignment w:val="auto"/>
        <w:rPr>
          <w:rStyle w:val="20"/>
          <w:rFonts w:hint="eastAsia" w:ascii="仿宋_GB2312" w:hAnsi="仿宋_GB2312" w:eastAsia="仿宋_GB2312" w:cs="仿宋_GB2312"/>
          <w:b w:val="0"/>
          <w:bCs/>
          <w:color w:val="auto"/>
          <w:sz w:val="32"/>
          <w:szCs w:val="32"/>
          <w:highlight w:val="none"/>
          <w:lang w:val="en-US" w:eastAsia="zh-CN"/>
        </w:rPr>
      </w:pPr>
      <w:r>
        <w:rPr>
          <w:rStyle w:val="20"/>
          <w:rFonts w:hint="eastAsia" w:ascii="仿宋_GB2312" w:hAnsi="仿宋_GB2312" w:eastAsia="仿宋_GB2312" w:cs="仿宋_GB2312"/>
          <w:b w:val="0"/>
          <w:bCs/>
          <w:color w:val="auto"/>
          <w:sz w:val="32"/>
          <w:szCs w:val="32"/>
          <w:highlight w:val="none"/>
          <w:lang w:val="en-US" w:eastAsia="zh-CN"/>
        </w:rPr>
        <w:t>10.</w:t>
      </w:r>
      <w:r>
        <w:rPr>
          <w:rStyle w:val="20"/>
          <w:rFonts w:hint="eastAsia" w:ascii="仿宋_GB2312" w:hAnsi="仿宋_GB2312" w:eastAsia="仿宋_GB2312" w:cs="仿宋_GB2312"/>
          <w:bCs/>
          <w:color w:val="auto"/>
          <w:sz w:val="32"/>
          <w:szCs w:val="32"/>
          <w:highlight w:val="none"/>
          <w:lang w:val="en-US" w:eastAsia="zh-CN"/>
        </w:rPr>
        <w:t>卫生健康支出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行政事业单位医疗</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其他行政事业单位医疗支出</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1.58</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val="en-US" w:eastAsia="zh-CN"/>
        </w:rPr>
      </w:pPr>
      <w:r>
        <w:rPr>
          <w:rStyle w:val="20"/>
          <w:rFonts w:hint="eastAsia" w:ascii="仿宋_GB2312" w:hAnsi="仿宋_GB2312" w:eastAsia="仿宋_GB2312" w:cs="仿宋_GB2312"/>
          <w:bCs/>
          <w:color w:val="auto"/>
          <w:sz w:val="32"/>
          <w:szCs w:val="32"/>
          <w:highlight w:val="none"/>
          <w:lang w:val="en-US" w:eastAsia="zh-CN"/>
        </w:rPr>
        <w:t>11.节能环保支出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自然生态保护</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生态保护</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8.24</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58.93</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lang w:val="en-US" w:eastAsia="zh-CN"/>
        </w:rPr>
        <w:t>主要原因是项目尾款需省厅验收合格后支付。</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12.自然资源海洋气象等支出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自然资源事务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行政运行</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1363.13</w:t>
      </w:r>
      <w:r>
        <w:rPr>
          <w:rStyle w:val="20"/>
          <w:rFonts w:hint="eastAsia" w:ascii="仿宋_GB2312" w:hAnsi="仿宋_GB2312" w:eastAsia="仿宋_GB2312" w:cs="仿宋_GB2312"/>
          <w:b w:val="0"/>
          <w:bCs/>
          <w:color w:val="auto"/>
          <w:sz w:val="32"/>
          <w:szCs w:val="32"/>
          <w:highlight w:val="none"/>
        </w:rPr>
        <w:t>万元，</w:t>
      </w:r>
      <w:r>
        <w:rPr>
          <w:rStyle w:val="20"/>
          <w:rFonts w:hint="eastAsia" w:ascii="仿宋_GB2312" w:hAnsi="仿宋_GB2312" w:eastAsia="仿宋_GB2312" w:cs="仿宋_GB2312"/>
          <w:b w:val="0"/>
          <w:bCs/>
          <w:color w:val="auto"/>
          <w:sz w:val="32"/>
          <w:szCs w:val="32"/>
          <w:highlight w:val="none"/>
          <w:lang w:val="en-US" w:eastAsia="zh-CN"/>
        </w:rPr>
        <w:t>与预算基本持平</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13.自然资源海洋气象等支出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自然资源事务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一般行政管理事务</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20</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14.自然资源海洋气象等支出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自然资源事务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自然资源利用与保护</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265.55</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15.自然资源海洋气象等支出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自然资源事务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自然资源行业业务管理</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14.98</w:t>
      </w:r>
      <w:r>
        <w:rPr>
          <w:rStyle w:val="20"/>
          <w:rFonts w:hint="eastAsia" w:ascii="仿宋_GB2312" w:hAnsi="仿宋_GB2312" w:eastAsia="仿宋_GB2312" w:cs="仿宋_GB2312"/>
          <w:b w:val="0"/>
          <w:bCs/>
          <w:color w:val="auto"/>
          <w:sz w:val="32"/>
          <w:szCs w:val="32"/>
          <w:highlight w:val="none"/>
        </w:rPr>
        <w:t>万元，</w:t>
      </w:r>
      <w:r>
        <w:rPr>
          <w:rStyle w:val="20"/>
          <w:rFonts w:hint="eastAsia" w:ascii="仿宋_GB2312" w:hAnsi="仿宋_GB2312" w:eastAsia="仿宋_GB2312" w:cs="仿宋_GB2312"/>
          <w:b w:val="0"/>
          <w:bCs/>
          <w:color w:val="auto"/>
          <w:sz w:val="32"/>
          <w:szCs w:val="32"/>
          <w:highlight w:val="none"/>
          <w:lang w:val="en-US" w:eastAsia="zh-CN"/>
        </w:rPr>
        <w:t>与预算基本持平</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16.自然资源海洋气象等支出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自然资源事务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val="en-US" w:eastAsia="zh-CN"/>
        </w:rPr>
        <w:t>自然资源调查与确权登记</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28.82</w:t>
      </w:r>
      <w:r>
        <w:rPr>
          <w:rStyle w:val="20"/>
          <w:rFonts w:hint="eastAsia" w:ascii="仿宋_GB2312" w:hAnsi="仿宋_GB2312" w:eastAsia="仿宋_GB2312" w:cs="仿宋_GB2312"/>
          <w:b w:val="0"/>
          <w:bCs/>
          <w:color w:val="auto"/>
          <w:sz w:val="32"/>
          <w:szCs w:val="32"/>
          <w:highlight w:val="none"/>
        </w:rPr>
        <w:t>万元，</w:t>
      </w:r>
      <w:r>
        <w:rPr>
          <w:rStyle w:val="20"/>
          <w:rFonts w:hint="eastAsia" w:ascii="仿宋_GB2312" w:hAnsi="仿宋_GB2312" w:eastAsia="仿宋_GB2312" w:cs="仿宋_GB2312"/>
          <w:b w:val="0"/>
          <w:bCs/>
          <w:color w:val="auto"/>
          <w:sz w:val="32"/>
          <w:szCs w:val="32"/>
          <w:highlight w:val="none"/>
          <w:lang w:val="en-US" w:eastAsia="zh-CN"/>
        </w:rPr>
        <w:t>与预算基本持平</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shd w:val="clear"/>
        <w:tabs>
          <w:tab w:val="right" w:pos="8306"/>
        </w:tabs>
        <w:kinsoku/>
        <w:wordWrap/>
        <w:overflowPunct/>
        <w:topLinePunct w:val="0"/>
        <w:bidi w:val="0"/>
        <w:snapToGrid/>
        <w:spacing w:line="576" w:lineRule="exact"/>
        <w:ind w:left="0" w:leftChars="0" w:right="0" w:firstLine="642" w:firstLineChars="200"/>
        <w:jc w:val="both"/>
        <w:textAlignment w:val="auto"/>
        <w:outlineLvl w:val="1"/>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17.自然资源海洋气象等支出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自然资源事务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Cs/>
          <w:color w:val="auto"/>
          <w:sz w:val="32"/>
          <w:szCs w:val="32"/>
          <w:highlight w:val="none"/>
          <w:lang w:val="en-US" w:eastAsia="zh-CN"/>
        </w:rPr>
        <w:t>地质勘察与矿产资源管理支出</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15</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pStyle w:val="2"/>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18.自然资源海洋气象等支出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自然资源事务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Cs/>
          <w:color w:val="auto"/>
          <w:sz w:val="32"/>
          <w:szCs w:val="32"/>
          <w:highlight w:val="none"/>
          <w:lang w:val="en-US" w:eastAsia="zh-CN"/>
        </w:rPr>
        <w:t>事业运行</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1288.39</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left="0" w:leftChars="0" w:right="0" w:firstLine="642" w:firstLineChars="200"/>
        <w:jc w:val="both"/>
        <w:textAlignment w:val="auto"/>
        <w:rPr>
          <w:rStyle w:val="20"/>
          <w:rFonts w:hint="eastAsia" w:ascii="仿宋_GB2312" w:hAnsi="仿宋_GB2312" w:eastAsia="仿宋_GB2312" w:cs="仿宋_GB2312"/>
          <w:b w:val="0"/>
          <w:bCs/>
          <w:color w:val="auto"/>
          <w:sz w:val="32"/>
          <w:szCs w:val="32"/>
          <w:highlight w:val="none"/>
          <w:lang w:eastAsia="zh-CN"/>
        </w:rPr>
      </w:pPr>
      <w:r>
        <w:rPr>
          <w:rStyle w:val="20"/>
          <w:rFonts w:hint="eastAsia" w:ascii="仿宋_GB2312" w:hAnsi="仿宋_GB2312" w:eastAsia="仿宋_GB2312" w:cs="仿宋_GB2312"/>
          <w:bCs/>
          <w:color w:val="auto"/>
          <w:sz w:val="32"/>
          <w:szCs w:val="32"/>
          <w:highlight w:val="none"/>
          <w:lang w:val="en-US" w:eastAsia="zh-CN"/>
        </w:rPr>
        <w:t>19.自然资源海洋气象等支出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自然资源事务</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Cs/>
          <w:color w:val="auto"/>
          <w:sz w:val="32"/>
          <w:szCs w:val="32"/>
          <w:highlight w:val="none"/>
          <w:lang w:val="en-US" w:eastAsia="zh-CN"/>
        </w:rPr>
        <w:t>其他自然资源事务支出</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1500.92</w:t>
      </w:r>
      <w:r>
        <w:rPr>
          <w:rStyle w:val="20"/>
          <w:rFonts w:hint="eastAsia" w:ascii="仿宋_GB2312" w:hAnsi="仿宋_GB2312" w:eastAsia="仿宋_GB2312" w:cs="仿宋_GB2312"/>
          <w:b w:val="0"/>
          <w:bCs/>
          <w:color w:val="auto"/>
          <w:sz w:val="32"/>
          <w:szCs w:val="32"/>
          <w:highlight w:val="none"/>
        </w:rPr>
        <w:t>万元，</w:t>
      </w:r>
      <w:r>
        <w:rPr>
          <w:rStyle w:val="20"/>
          <w:rFonts w:hint="eastAsia" w:ascii="仿宋_GB2312" w:hAnsi="仿宋_GB2312" w:eastAsia="仿宋_GB2312" w:cs="仿宋_GB2312"/>
          <w:b w:val="0"/>
          <w:bCs/>
          <w:color w:val="auto"/>
          <w:sz w:val="32"/>
          <w:szCs w:val="32"/>
          <w:highlight w:val="none"/>
          <w:lang w:val="en-US" w:eastAsia="zh-CN"/>
        </w:rPr>
        <w:t>与预算基本持平</w:t>
      </w:r>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shd w:val="clear"/>
        <w:tabs>
          <w:tab w:val="right" w:pos="8306"/>
        </w:tabs>
        <w:kinsoku/>
        <w:wordWrap/>
        <w:overflowPunct/>
        <w:topLinePunct w:val="0"/>
        <w:bidi w:val="0"/>
        <w:snapToGrid/>
        <w:spacing w:line="576" w:lineRule="exact"/>
        <w:ind w:left="0" w:leftChars="0" w:right="0" w:firstLine="642" w:firstLineChars="200"/>
        <w:jc w:val="both"/>
        <w:textAlignment w:val="auto"/>
        <w:outlineLvl w:val="1"/>
        <w:rPr>
          <w:rStyle w:val="20"/>
          <w:rFonts w:hint="eastAsia" w:ascii="仿宋_GB2312" w:hAnsi="仿宋_GB2312" w:eastAsia="仿宋_GB2312" w:cs="仿宋_GB2312"/>
          <w:b w:val="0"/>
          <w:bCs/>
          <w:color w:val="auto"/>
          <w:sz w:val="32"/>
          <w:szCs w:val="32"/>
          <w:highlight w:val="none"/>
          <w:lang w:eastAsia="zh-CN"/>
        </w:rPr>
      </w:pPr>
      <w:bookmarkStart w:id="51" w:name="_Toc1550"/>
      <w:r>
        <w:rPr>
          <w:rStyle w:val="20"/>
          <w:rFonts w:hint="eastAsia" w:ascii="仿宋_GB2312" w:hAnsi="仿宋_GB2312" w:eastAsia="仿宋_GB2312" w:cs="仿宋_GB2312"/>
          <w:bCs/>
          <w:color w:val="auto"/>
          <w:sz w:val="32"/>
          <w:szCs w:val="32"/>
          <w:highlight w:val="none"/>
          <w:lang w:val="en-US" w:eastAsia="zh-CN"/>
        </w:rPr>
        <w:t>20.住房保障支出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住房改革支出</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Cs/>
          <w:color w:val="auto"/>
          <w:sz w:val="32"/>
          <w:szCs w:val="32"/>
          <w:highlight w:val="none"/>
          <w:lang w:val="en-US" w:eastAsia="zh-CN"/>
        </w:rPr>
        <w:t>住房公积金</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281.42</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r>
        <w:rPr>
          <w:rStyle w:val="20"/>
          <w:rFonts w:hint="eastAsia" w:ascii="仿宋_GB2312" w:hAnsi="仿宋_GB2312" w:eastAsia="仿宋_GB2312" w:cs="仿宋_GB2312"/>
          <w:b w:val="0"/>
          <w:bCs/>
          <w:color w:val="auto"/>
          <w:sz w:val="32"/>
          <w:szCs w:val="32"/>
          <w:highlight w:val="none"/>
          <w:lang w:eastAsia="zh-CN"/>
        </w:rPr>
        <w:t>。</w:t>
      </w:r>
      <w:bookmarkEnd w:id="51"/>
    </w:p>
    <w:p>
      <w:pPr>
        <w:keepNext w:val="0"/>
        <w:keepLines w:val="0"/>
        <w:pageBreakBefore w:val="0"/>
        <w:widowControl w:val="0"/>
        <w:shd w:val="clear"/>
        <w:tabs>
          <w:tab w:val="right" w:pos="8306"/>
        </w:tabs>
        <w:kinsoku/>
        <w:wordWrap/>
        <w:overflowPunct/>
        <w:topLinePunct w:val="0"/>
        <w:bidi w:val="0"/>
        <w:snapToGrid/>
        <w:spacing w:line="576" w:lineRule="exact"/>
        <w:ind w:left="0" w:leftChars="0" w:right="0" w:firstLine="642" w:firstLineChars="200"/>
        <w:jc w:val="both"/>
        <w:textAlignment w:val="auto"/>
        <w:outlineLvl w:val="1"/>
        <w:rPr>
          <w:rStyle w:val="20"/>
          <w:rFonts w:hint="eastAsia" w:ascii="仿宋_GB2312" w:hAnsi="仿宋_GB2312" w:eastAsia="仿宋_GB2312" w:cs="仿宋_GB2312"/>
          <w:b w:val="0"/>
          <w:bCs/>
          <w:color w:val="auto"/>
          <w:sz w:val="32"/>
          <w:szCs w:val="32"/>
          <w:highlight w:val="none"/>
          <w:lang w:eastAsia="zh-CN"/>
        </w:rPr>
      </w:pPr>
      <w:bookmarkStart w:id="52" w:name="_Toc32610"/>
      <w:r>
        <w:rPr>
          <w:rStyle w:val="20"/>
          <w:rFonts w:hint="eastAsia" w:ascii="仿宋_GB2312" w:hAnsi="仿宋_GB2312" w:eastAsia="仿宋_GB2312" w:cs="仿宋_GB2312"/>
          <w:bCs/>
          <w:color w:val="auto"/>
          <w:sz w:val="32"/>
          <w:szCs w:val="32"/>
          <w:highlight w:val="none"/>
          <w:lang w:val="en-US" w:eastAsia="zh-CN"/>
        </w:rPr>
        <w:t>21.灾害防治及应急管理支出</w:t>
      </w:r>
      <w:r>
        <w:rPr>
          <w:rStyle w:val="20"/>
          <w:rFonts w:hint="eastAsia" w:ascii="仿宋_GB2312" w:hAnsi="仿宋_GB2312" w:eastAsia="仿宋_GB2312" w:cs="仿宋_GB2312"/>
          <w:bCs/>
          <w:color w:val="auto"/>
          <w:sz w:val="32"/>
          <w:szCs w:val="32"/>
          <w:highlight w:val="none"/>
        </w:rPr>
        <w:t>（类）</w:t>
      </w:r>
      <w:r>
        <w:rPr>
          <w:rStyle w:val="20"/>
          <w:rFonts w:hint="eastAsia" w:ascii="仿宋_GB2312" w:hAnsi="仿宋_GB2312" w:eastAsia="仿宋_GB2312" w:cs="仿宋_GB2312"/>
          <w:bCs/>
          <w:color w:val="auto"/>
          <w:sz w:val="32"/>
          <w:szCs w:val="32"/>
          <w:highlight w:val="none"/>
          <w:lang w:val="en-US" w:eastAsia="zh-CN"/>
        </w:rPr>
        <w:t>自然灾害防治</w:t>
      </w:r>
      <w:r>
        <w:rPr>
          <w:rStyle w:val="20"/>
          <w:rFonts w:hint="eastAsia" w:ascii="仿宋_GB2312" w:hAnsi="仿宋_GB2312" w:eastAsia="仿宋_GB2312" w:cs="仿宋_GB2312"/>
          <w:bCs/>
          <w:color w:val="auto"/>
          <w:sz w:val="32"/>
          <w:szCs w:val="32"/>
          <w:highlight w:val="none"/>
        </w:rPr>
        <w:t>（款</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Cs/>
          <w:color w:val="auto"/>
          <w:sz w:val="32"/>
          <w:szCs w:val="32"/>
          <w:highlight w:val="none"/>
          <w:lang w:val="en-US" w:eastAsia="zh-CN"/>
        </w:rPr>
        <w:t>地质灾害防治</w:t>
      </w:r>
      <w:r>
        <w:rPr>
          <w:rStyle w:val="20"/>
          <w:rFonts w:hint="eastAsia" w:ascii="仿宋_GB2312" w:hAnsi="仿宋_GB2312" w:eastAsia="仿宋_GB2312" w:cs="仿宋_GB2312"/>
          <w:bCs/>
          <w:color w:val="auto"/>
          <w:sz w:val="32"/>
          <w:szCs w:val="32"/>
          <w:highlight w:val="none"/>
        </w:rPr>
        <w:t>（项）</w:t>
      </w:r>
      <w:r>
        <w:rPr>
          <w:rStyle w:val="20"/>
          <w:rFonts w:hint="eastAsia" w:ascii="仿宋_GB2312" w:hAnsi="仿宋_GB2312" w:eastAsia="仿宋_GB2312" w:cs="仿宋_GB2312"/>
          <w:bCs/>
          <w:color w:val="auto"/>
          <w:sz w:val="32"/>
          <w:szCs w:val="32"/>
          <w:highlight w:val="none"/>
          <w:lang w:eastAsia="zh-CN"/>
        </w:rPr>
        <w:t>：</w:t>
      </w:r>
      <w:r>
        <w:rPr>
          <w:rStyle w:val="20"/>
          <w:rFonts w:hint="eastAsia" w:ascii="仿宋_GB2312" w:hAnsi="仿宋_GB2312" w:eastAsia="仿宋_GB2312" w:cs="仿宋_GB2312"/>
          <w:b w:val="0"/>
          <w:bCs/>
          <w:color w:val="auto"/>
          <w:sz w:val="32"/>
          <w:szCs w:val="32"/>
          <w:highlight w:val="none"/>
        </w:rPr>
        <w:t>支出决算为</w:t>
      </w:r>
      <w:r>
        <w:rPr>
          <w:rStyle w:val="20"/>
          <w:rFonts w:hint="eastAsia" w:ascii="仿宋_GB2312" w:hAnsi="仿宋_GB2312" w:eastAsia="仿宋_GB2312" w:cs="仿宋_GB2312"/>
          <w:b w:val="0"/>
          <w:bCs/>
          <w:color w:val="auto"/>
          <w:sz w:val="32"/>
          <w:szCs w:val="32"/>
          <w:highlight w:val="none"/>
          <w:lang w:val="en-US" w:eastAsia="zh-CN"/>
        </w:rPr>
        <w:t>61.52</w:t>
      </w:r>
      <w:r>
        <w:rPr>
          <w:rStyle w:val="20"/>
          <w:rFonts w:hint="eastAsia" w:ascii="仿宋_GB2312" w:hAnsi="仿宋_GB2312" w:eastAsia="仿宋_GB2312" w:cs="仿宋_GB2312"/>
          <w:b w:val="0"/>
          <w:bCs/>
          <w:color w:val="auto"/>
          <w:sz w:val="32"/>
          <w:szCs w:val="32"/>
          <w:highlight w:val="none"/>
        </w:rPr>
        <w:t>万元，完成预算</w:t>
      </w:r>
      <w:r>
        <w:rPr>
          <w:rStyle w:val="20"/>
          <w:rFonts w:hint="eastAsia" w:ascii="仿宋_GB2312" w:hAnsi="仿宋_GB2312" w:eastAsia="仿宋_GB2312" w:cs="仿宋_GB2312"/>
          <w:b w:val="0"/>
          <w:bCs/>
          <w:color w:val="auto"/>
          <w:sz w:val="32"/>
          <w:szCs w:val="32"/>
          <w:highlight w:val="none"/>
          <w:lang w:val="en-US" w:eastAsia="zh-CN"/>
        </w:rPr>
        <w:t>100</w:t>
      </w:r>
      <w:r>
        <w:rPr>
          <w:rStyle w:val="20"/>
          <w:rFonts w:hint="eastAsia" w:ascii="仿宋_GB2312" w:hAnsi="仿宋_GB2312" w:eastAsia="仿宋_GB2312" w:cs="仿宋_GB2312"/>
          <w:b w:val="0"/>
          <w:bCs/>
          <w:color w:val="auto"/>
          <w:sz w:val="32"/>
          <w:szCs w:val="32"/>
          <w:highlight w:val="none"/>
        </w:rPr>
        <w:t>%</w:t>
      </w:r>
      <w:bookmarkEnd w:id="52"/>
      <w:bookmarkStart w:id="53" w:name="_Toc15377214"/>
      <w:bookmarkStart w:id="54" w:name="_Toc15396608"/>
      <w:r>
        <w:rPr>
          <w:rStyle w:val="20"/>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shd w:val="clear"/>
        <w:tabs>
          <w:tab w:val="right" w:pos="8306"/>
        </w:tabs>
        <w:kinsoku/>
        <w:wordWrap/>
        <w:overflowPunct/>
        <w:topLinePunct w:val="0"/>
        <w:bidi w:val="0"/>
        <w:snapToGrid/>
        <w:spacing w:line="576" w:lineRule="exact"/>
        <w:ind w:left="0" w:leftChars="0" w:right="0" w:firstLine="640" w:firstLineChars="200"/>
        <w:jc w:val="both"/>
        <w:textAlignment w:val="auto"/>
        <w:outlineLvl w:val="1"/>
        <w:rPr>
          <w:rStyle w:val="23"/>
          <w:rFonts w:hint="eastAsia" w:ascii="仿宋_GB2312" w:hAnsi="仿宋_GB2312" w:eastAsia="仿宋_GB2312" w:cs="仿宋_GB2312"/>
          <w:color w:val="auto"/>
          <w:sz w:val="32"/>
          <w:szCs w:val="32"/>
          <w:highlight w:val="none"/>
        </w:rPr>
      </w:pPr>
      <w:bookmarkStart w:id="55" w:name="_Toc23181"/>
      <w:r>
        <w:rPr>
          <w:rFonts w:hint="eastAsia" w:ascii="仿宋_GB2312" w:hAnsi="仿宋_GB2312" w:eastAsia="仿宋_GB2312" w:cs="仿宋_GB2312"/>
          <w:color w:val="auto"/>
          <w:sz w:val="32"/>
          <w:szCs w:val="32"/>
          <w:highlight w:val="none"/>
        </w:rPr>
        <w:t>六</w:t>
      </w:r>
      <w:r>
        <w:rPr>
          <w:rFonts w:hint="eastAsia" w:ascii="仿宋_GB2312" w:hAnsi="仿宋_GB2312" w:eastAsia="仿宋_GB2312" w:cs="仿宋_GB2312"/>
          <w:b/>
          <w:color w:val="auto"/>
          <w:sz w:val="32"/>
          <w:szCs w:val="32"/>
          <w:highlight w:val="none"/>
        </w:rPr>
        <w:t>、一</w:t>
      </w:r>
      <w:r>
        <w:rPr>
          <w:rStyle w:val="23"/>
          <w:rFonts w:hint="eastAsia" w:ascii="仿宋_GB2312" w:hAnsi="仿宋_GB2312" w:eastAsia="仿宋_GB2312" w:cs="仿宋_GB2312"/>
          <w:b w:val="0"/>
          <w:color w:val="auto"/>
          <w:sz w:val="32"/>
          <w:szCs w:val="32"/>
          <w:highlight w:val="none"/>
        </w:rPr>
        <w:t>般公共预算财政拨款基本支出决算情况说明</w:t>
      </w:r>
      <w:bookmarkEnd w:id="53"/>
      <w:bookmarkEnd w:id="54"/>
      <w:bookmarkEnd w:id="55"/>
      <w:r>
        <w:rPr>
          <w:rStyle w:val="23"/>
          <w:rFonts w:hint="eastAsia" w:ascii="仿宋_GB2312" w:hAnsi="仿宋_GB2312" w:eastAsia="仿宋_GB2312" w:cs="仿宋_GB2312"/>
          <w:b w:val="0"/>
          <w:color w:val="auto"/>
          <w:sz w:val="32"/>
          <w:szCs w:val="32"/>
          <w:highlight w:val="none"/>
        </w:rPr>
        <w:tab/>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3692.74</w:t>
      </w:r>
      <w:r>
        <w:rPr>
          <w:rFonts w:hint="eastAsia" w:ascii="仿宋_GB2312" w:hAnsi="仿宋_GB2312" w:eastAsia="仿宋_GB2312" w:cs="仿宋_GB2312"/>
          <w:color w:val="auto"/>
          <w:sz w:val="32"/>
          <w:szCs w:val="32"/>
          <w:highlight w:val="none"/>
        </w:rPr>
        <w:t>万元，其中：</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3311.98</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w:t>
      </w:r>
      <w:r>
        <w:rPr>
          <w:rFonts w:hint="eastAsia" w:ascii="仿宋_GB2312" w:hAnsi="仿宋_GB2312" w:eastAsia="仿宋_GB2312" w:cs="仿宋_GB2312"/>
          <w:color w:val="auto"/>
          <w:sz w:val="32"/>
          <w:szCs w:val="32"/>
          <w:highlight w:val="none"/>
          <w:lang w:val="en-US" w:eastAsia="zh-CN"/>
        </w:rPr>
        <w:t>职工基本医疗保险缴费、</w:t>
      </w:r>
      <w:r>
        <w:rPr>
          <w:rFonts w:hint="eastAsia" w:ascii="仿宋_GB2312" w:hAnsi="仿宋_GB2312" w:eastAsia="仿宋_GB2312" w:cs="仿宋_GB2312"/>
          <w:color w:val="auto"/>
          <w:sz w:val="32"/>
          <w:szCs w:val="32"/>
          <w:highlight w:val="none"/>
        </w:rPr>
        <w:t>其他社会保障缴费、住房公积金、</w:t>
      </w:r>
      <w:r>
        <w:rPr>
          <w:rFonts w:hint="eastAsia" w:ascii="仿宋_GB2312" w:hAnsi="仿宋_GB2312" w:eastAsia="仿宋_GB2312" w:cs="仿宋_GB2312"/>
          <w:color w:val="auto"/>
          <w:sz w:val="32"/>
          <w:szCs w:val="32"/>
          <w:highlight w:val="none"/>
          <w:lang w:val="en-US" w:eastAsia="zh-CN"/>
        </w:rPr>
        <w:t>抚恤金、</w:t>
      </w:r>
      <w:r>
        <w:rPr>
          <w:rFonts w:hint="eastAsia" w:ascii="仿宋_GB2312" w:hAnsi="仿宋_GB2312" w:eastAsia="仿宋_GB2312" w:cs="仿宋_GB2312"/>
          <w:color w:val="auto"/>
          <w:sz w:val="32"/>
          <w:szCs w:val="32"/>
          <w:highlight w:val="none"/>
        </w:rPr>
        <w:t>生活补助、其他对个人和家庭的补助支出。</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val="en-US" w:eastAsia="zh-CN"/>
        </w:rPr>
        <w:t>380.76</w:t>
      </w:r>
      <w:r>
        <w:rPr>
          <w:rFonts w:hint="eastAsia" w:ascii="仿宋_GB2312" w:hAnsi="仿宋_GB2312" w:eastAsia="仿宋_GB2312" w:cs="仿宋_GB2312"/>
          <w:color w:val="auto"/>
          <w:sz w:val="32"/>
          <w:szCs w:val="32"/>
          <w:highlight w:val="none"/>
        </w:rPr>
        <w:t>万元，主要包括：办公费、印刷费、水费、电费、邮电费、物业管理费、差旅费、维修（护）费、租赁费、会议费、培训费、公务接待费、劳务费、委托业务费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工会经费、福利费、公务用车运行维护费、其他交通费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税金及附加费、</w:t>
      </w:r>
      <w:r>
        <w:rPr>
          <w:rFonts w:hint="eastAsia" w:ascii="仿宋_GB2312" w:hAnsi="仿宋_GB2312" w:eastAsia="仿宋_GB2312" w:cs="仿宋_GB2312"/>
          <w:color w:val="auto"/>
          <w:sz w:val="32"/>
          <w:szCs w:val="32"/>
          <w:highlight w:val="none"/>
        </w:rPr>
        <w:t>其他商品和服务支出、办公设备购置</w:t>
      </w:r>
      <w:r>
        <w:rPr>
          <w:rFonts w:hint="eastAsia" w:ascii="仿宋_GB2312" w:hAnsi="仿宋_GB2312" w:eastAsia="仿宋_GB2312" w:cs="仿宋_GB2312"/>
          <w:color w:val="auto"/>
          <w:sz w:val="32"/>
          <w:szCs w:val="32"/>
          <w:highlight w:val="none"/>
          <w:lang w:eastAsia="zh-CN"/>
        </w:rPr>
        <w:t>、专用设备购置</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outlineLvl w:val="1"/>
        <w:rPr>
          <w:rStyle w:val="23"/>
          <w:rFonts w:ascii="黑体" w:hAnsi="黑体" w:eastAsia="黑体"/>
          <w:b w:val="0"/>
          <w:color w:val="auto"/>
          <w:highlight w:val="none"/>
        </w:rPr>
      </w:pPr>
      <w:bookmarkStart w:id="56" w:name="_Toc15396609"/>
      <w:bookmarkStart w:id="57" w:name="_Toc25735"/>
      <w:bookmarkStart w:id="58" w:name="_Toc15377215"/>
      <w:r>
        <w:rPr>
          <w:rFonts w:hint="eastAsia" w:ascii="黑体" w:eastAsia="黑体"/>
          <w:color w:val="auto"/>
          <w:sz w:val="32"/>
          <w:szCs w:val="32"/>
          <w:highlight w:val="none"/>
        </w:rPr>
        <w:t>七、</w:t>
      </w:r>
      <w:r>
        <w:rPr>
          <w:rStyle w:val="23"/>
          <w:rFonts w:hint="eastAsia" w:ascii="黑体" w:hAnsi="黑体" w:eastAsia="黑体"/>
          <w:b w:val="0"/>
          <w:color w:val="auto"/>
          <w:highlight w:val="none"/>
        </w:rPr>
        <w:t>财政拨款</w:t>
      </w:r>
      <w:r>
        <w:rPr>
          <w:rStyle w:val="23"/>
          <w:rFonts w:hint="eastAsia" w:ascii="黑体" w:hAnsi="黑体" w:eastAsia="黑体"/>
          <w:color w:val="auto"/>
          <w:highlight w:val="none"/>
        </w:rPr>
        <w:t>“</w:t>
      </w:r>
      <w:r>
        <w:rPr>
          <w:rStyle w:val="23"/>
          <w:rFonts w:hint="eastAsia" w:ascii="黑体" w:hAnsi="黑体" w:eastAsia="黑体"/>
          <w:b w:val="0"/>
          <w:color w:val="auto"/>
          <w:highlight w:val="none"/>
        </w:rPr>
        <w:t>三公”经费支出决算情况说明</w:t>
      </w:r>
      <w:bookmarkEnd w:id="56"/>
      <w:bookmarkEnd w:id="57"/>
      <w:bookmarkEnd w:id="58"/>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outlineLvl w:val="2"/>
        <w:rPr>
          <w:rFonts w:hint="eastAsia" w:ascii="楷体_GB2312" w:hAnsi="楷体_GB2312" w:eastAsia="楷体_GB2312" w:cs="楷体_GB2312"/>
          <w:b/>
          <w:color w:val="auto"/>
          <w:sz w:val="32"/>
          <w:szCs w:val="32"/>
          <w:highlight w:val="none"/>
        </w:rPr>
      </w:pPr>
      <w:bookmarkStart w:id="59" w:name="_Toc15377216"/>
      <w:r>
        <w:rPr>
          <w:rFonts w:hint="eastAsia" w:ascii="楷体_GB2312" w:hAnsi="楷体_GB2312" w:eastAsia="楷体_GB2312" w:cs="楷体_GB2312"/>
          <w:b/>
          <w:color w:val="auto"/>
          <w:sz w:val="32"/>
          <w:szCs w:val="32"/>
          <w:highlight w:val="none"/>
        </w:rPr>
        <w:t>（一）“三公”经费财政拨款支出决算总体情况说明</w:t>
      </w:r>
      <w:bookmarkEnd w:id="59"/>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43.5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w:t>
      </w:r>
      <w:r>
        <w:rPr>
          <w:rFonts w:hint="eastAsia" w:ascii="仿宋_GB2312" w:hAnsi="仿宋_GB2312" w:eastAsia="仿宋_GB2312" w:cs="仿宋_GB2312"/>
          <w:color w:val="auto"/>
          <w:sz w:val="32"/>
          <w:szCs w:val="32"/>
          <w:highlight w:val="none"/>
          <w:lang w:val="en-US" w:eastAsia="zh-CN"/>
        </w:rPr>
        <w:t>减少8.95万元，下降17.06%，决算数与预算数持平。</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outlineLvl w:val="2"/>
        <w:rPr>
          <w:rFonts w:hint="eastAsia" w:ascii="楷体_GB2312" w:hAnsi="楷体_GB2312" w:eastAsia="楷体_GB2312" w:cs="楷体_GB2312"/>
          <w:b/>
          <w:color w:val="auto"/>
          <w:sz w:val="32"/>
          <w:szCs w:val="32"/>
          <w:highlight w:val="none"/>
        </w:rPr>
      </w:pPr>
      <w:bookmarkStart w:id="60" w:name="_Toc15377217"/>
      <w:r>
        <w:rPr>
          <w:rFonts w:hint="eastAsia" w:ascii="楷体_GB2312" w:hAnsi="楷体_GB2312" w:eastAsia="楷体_GB2312" w:cs="楷体_GB2312"/>
          <w:b/>
          <w:color w:val="auto"/>
          <w:sz w:val="32"/>
          <w:szCs w:val="32"/>
          <w:highlight w:val="none"/>
        </w:rPr>
        <w:t>（二）“三公”经费财政拨款支出决算具体情况说明</w:t>
      </w:r>
      <w:bookmarkEnd w:id="60"/>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32.9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75.63</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10.6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24.37</w:t>
      </w:r>
      <w:r>
        <w:rPr>
          <w:rFonts w:hint="eastAsia" w:ascii="仿宋_GB2312" w:hAnsi="仿宋_GB2312" w:eastAsia="仿宋_GB2312" w:cs="仿宋_GB2312"/>
          <w:color w:val="auto"/>
          <w:sz w:val="32"/>
          <w:szCs w:val="32"/>
          <w:highlight w:val="none"/>
        </w:rPr>
        <w:t>%。具体情况如下：</w:t>
      </w:r>
    </w:p>
    <w:p>
      <w:pPr>
        <w:pStyle w:val="2"/>
        <w:rPr>
          <w:rFonts w:hint="eastAsia" w:ascii="仿宋" w:hAnsi="仿宋" w:eastAsia="仿宋"/>
          <w:color w:val="auto"/>
          <w:sz w:val="32"/>
          <w:szCs w:val="32"/>
          <w:highlight w:val="none"/>
        </w:rPr>
      </w:pPr>
      <w:r>
        <w:drawing>
          <wp:inline distT="0" distB="0" distL="114300" distR="114300">
            <wp:extent cx="4828540" cy="2743200"/>
            <wp:effectExtent l="4445" t="4445" r="5715" b="1460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val="0"/>
        <w:shd w:val="clear"/>
        <w:kinsoku/>
        <w:wordWrap/>
        <w:overflowPunct/>
        <w:topLinePunct w:val="0"/>
        <w:bidi w:val="0"/>
        <w:snapToGrid/>
        <w:spacing w:line="576" w:lineRule="exact"/>
        <w:ind w:right="0"/>
        <w:jc w:val="center"/>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Fonts w:hint="eastAsia" w:ascii="仿宋_GB2312" w:eastAsia="仿宋_GB2312" w:cs="Times New Roman"/>
          <w:color w:val="auto"/>
          <w:sz w:val="32"/>
          <w:szCs w:val="32"/>
          <w:highlight w:val="none"/>
          <w:lang w:eastAsia="zh-CN"/>
        </w:rPr>
      </w:pPr>
      <w:r>
        <w:rPr>
          <w:rFonts w:hint="eastAsia" w:ascii="仿宋_GB2312" w:eastAsia="仿宋_GB2312"/>
          <w:b/>
          <w:color w:val="auto"/>
          <w:sz w:val="32"/>
          <w:szCs w:val="32"/>
          <w:highlight w:val="none"/>
          <w:lang w:val="en-US" w:eastAsia="zh-CN"/>
        </w:rPr>
        <w:t>1.</w:t>
      </w:r>
      <w:r>
        <w:rPr>
          <w:rFonts w:hint="eastAsia" w:ascii="仿宋_GB2312" w:eastAsia="仿宋_GB2312"/>
          <w:b/>
          <w:color w:val="auto"/>
          <w:sz w:val="32"/>
          <w:szCs w:val="32"/>
          <w:highlight w:val="none"/>
        </w:rPr>
        <w:t>因公出国（境）经费支出</w:t>
      </w:r>
      <w:r>
        <w:rPr>
          <w:rFonts w:hint="eastAsia" w:ascii="仿宋_GB2312" w:eastAsia="仿宋_GB2312"/>
          <w:b/>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年初未安排预算。</w:t>
      </w:r>
      <w:r>
        <w:rPr>
          <w:rFonts w:hint="eastAsia" w:ascii="仿宋_GB2312" w:eastAsia="仿宋_GB2312" w:cs="Times New Roman"/>
          <w:color w:val="auto"/>
          <w:sz w:val="32"/>
          <w:szCs w:val="32"/>
          <w:highlight w:val="none"/>
          <w:lang w:eastAsia="zh-CN"/>
        </w:rPr>
        <w:t>因公出国（境）支出决算较202</w:t>
      </w:r>
      <w:r>
        <w:rPr>
          <w:rFonts w:hint="eastAsia" w:ascii="仿宋_GB2312" w:eastAsia="仿宋_GB2312" w:cs="Times New Roman"/>
          <w:color w:val="auto"/>
          <w:sz w:val="32"/>
          <w:szCs w:val="32"/>
          <w:highlight w:val="none"/>
          <w:lang w:val="en-US" w:eastAsia="zh-CN"/>
        </w:rPr>
        <w:t>3</w:t>
      </w:r>
      <w:r>
        <w:rPr>
          <w:rFonts w:hint="eastAsia" w:ascii="仿宋_GB2312" w:eastAsia="仿宋_GB2312" w:cs="Times New Roman"/>
          <w:color w:val="auto"/>
          <w:sz w:val="32"/>
          <w:szCs w:val="32"/>
          <w:highlight w:val="none"/>
          <w:lang w:eastAsia="zh-CN"/>
        </w:rPr>
        <w:t>年无变化。</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Fonts w:hint="eastAsia" w:ascii="仿宋_GB2312" w:eastAsia="仿宋_GB2312"/>
          <w:b/>
          <w:color w:val="auto"/>
          <w:sz w:val="32"/>
          <w:szCs w:val="32"/>
          <w:highlight w:val="none"/>
          <w:lang w:eastAsia="zh-CN"/>
        </w:rPr>
      </w:pPr>
      <w:r>
        <w:rPr>
          <w:rFonts w:hint="eastAsia" w:ascii="仿宋_GB2312" w:eastAsia="仿宋_GB2312"/>
          <w:b/>
          <w:color w:val="auto"/>
          <w:sz w:val="32"/>
          <w:szCs w:val="32"/>
          <w:highlight w:val="none"/>
          <w:lang w:val="en-US" w:eastAsia="zh-CN"/>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b/>
          <w:color w:val="auto"/>
          <w:sz w:val="32"/>
          <w:szCs w:val="32"/>
          <w:highlight w:val="none"/>
          <w:lang w:val="en-US" w:eastAsia="zh-CN"/>
        </w:rPr>
        <w:t>32.9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20"/>
          <w:rFonts w:hint="eastAsia" w:ascii="仿宋" w:hAnsi="仿宋" w:eastAsia="仿宋"/>
          <w:b w:val="0"/>
          <w:bCs/>
          <w:color w:val="auto"/>
          <w:sz w:val="32"/>
          <w:szCs w:val="32"/>
          <w:highlight w:val="none"/>
        </w:rPr>
        <w:t>完成预算</w:t>
      </w:r>
      <w:r>
        <w:rPr>
          <w:rStyle w:val="20"/>
          <w:rFonts w:hint="eastAsia" w:ascii="仿宋" w:hAnsi="仿宋" w:eastAsia="仿宋"/>
          <w:b w:val="0"/>
          <w:bCs/>
          <w:color w:val="auto"/>
          <w:sz w:val="32"/>
          <w:szCs w:val="32"/>
          <w:highlight w:val="none"/>
          <w:lang w:val="en-US" w:eastAsia="zh-CN"/>
        </w:rPr>
        <w:t>100</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减少4.9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下降</w:t>
      </w: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例行节约，压缩开支。</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eastAsia="仿宋_GB2312"/>
          <w:b/>
          <w:color w:val="auto"/>
          <w:sz w:val="32"/>
          <w:szCs w:val="32"/>
          <w:highlight w:val="none"/>
          <w:lang w:eastAsia="zh-CN"/>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b/>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，全年未购置公务用车</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商务车1辆</w:t>
      </w:r>
      <w:r>
        <w:rPr>
          <w:rFonts w:hint="eastAsia" w:ascii="仿宋_GB2312" w:eastAsia="仿宋_GB2312"/>
          <w:color w:val="auto"/>
          <w:sz w:val="32"/>
          <w:szCs w:val="32"/>
          <w:highlight w:val="none"/>
          <w:lang w:eastAsia="zh-CN"/>
        </w:rPr>
        <w:t>。</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Fonts w:hint="eastAsia" w:eastAsia="仿宋_GB2312"/>
          <w:color w:val="auto"/>
          <w:highlight w:val="none"/>
          <w:lang w:eastAsia="zh-CN"/>
        </w:rPr>
      </w:pPr>
      <w:r>
        <w:rPr>
          <w:rFonts w:hint="eastAsia" w:ascii="仿宋_GB2312" w:eastAsia="仿宋_GB2312"/>
          <w:b/>
          <w:color w:val="auto"/>
          <w:sz w:val="32"/>
          <w:szCs w:val="32"/>
          <w:highlight w:val="none"/>
        </w:rPr>
        <w:t>公务用车运行维护费支出</w:t>
      </w:r>
      <w:r>
        <w:rPr>
          <w:rFonts w:hint="eastAsia" w:ascii="仿宋_GB2312" w:eastAsia="仿宋_GB2312"/>
          <w:b/>
          <w:color w:val="auto"/>
          <w:sz w:val="32"/>
          <w:szCs w:val="32"/>
          <w:highlight w:val="none"/>
          <w:lang w:val="en-US" w:eastAsia="zh-CN"/>
        </w:rPr>
        <w:t>32.9</w:t>
      </w:r>
      <w:r>
        <w:rPr>
          <w:rFonts w:hint="eastAsia" w:ascii="仿宋_GB2312" w:eastAsia="仿宋_GB2312"/>
          <w:color w:val="auto"/>
          <w:sz w:val="32"/>
          <w:szCs w:val="32"/>
          <w:highlight w:val="none"/>
        </w:rPr>
        <w:t>万元。主要用于</w:t>
      </w:r>
      <w:r>
        <w:rPr>
          <w:rFonts w:hint="eastAsia" w:ascii="仿宋_GB2312" w:hAnsi="仿宋_GB2312" w:eastAsia="仿宋_GB2312" w:cs="仿宋_GB2312"/>
          <w:color w:val="auto"/>
          <w:sz w:val="32"/>
          <w:szCs w:val="32"/>
          <w:highlight w:val="none"/>
        </w:rPr>
        <w:t>开展自然资源管理工作、</w:t>
      </w:r>
      <w:r>
        <w:rPr>
          <w:rFonts w:hint="eastAsia" w:ascii="仿宋_GB2312" w:hAnsi="仿宋_GB2312" w:eastAsia="仿宋_GB2312" w:cs="仿宋_GB2312"/>
          <w:color w:val="auto"/>
          <w:sz w:val="32"/>
          <w:szCs w:val="32"/>
          <w:highlight w:val="none"/>
          <w:lang w:val="en-US" w:eastAsia="zh-CN"/>
        </w:rPr>
        <w:t>地质灾害防治、耕地保护、矿业权管理、地籍测绘、土地整理、土地储备、乡村振兴</w:t>
      </w:r>
      <w:r>
        <w:rPr>
          <w:rFonts w:hint="eastAsia" w:ascii="仿宋_GB2312" w:hAnsi="仿宋_GB2312" w:eastAsia="仿宋_GB2312" w:cs="仿宋_GB2312"/>
          <w:color w:val="auto"/>
          <w:sz w:val="32"/>
          <w:szCs w:val="32"/>
          <w:highlight w:val="none"/>
        </w:rPr>
        <w:t>、下乡帮扶等所需的公务用车燃料费、维修费、过路过桥费、保险费等支出</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numPr>
          <w:ilvl w:val="0"/>
          <w:numId w:val="0"/>
        </w:numPr>
        <w:shd w:val="clear"/>
        <w:kinsoku/>
        <w:wordWrap/>
        <w:overflowPunct/>
        <w:topLinePunct w:val="0"/>
        <w:bidi w:val="0"/>
        <w:snapToGrid/>
        <w:spacing w:line="576" w:lineRule="exact"/>
        <w:ind w:right="0" w:rightChars="0" w:firstLine="642"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color w:val="auto"/>
          <w:sz w:val="32"/>
          <w:szCs w:val="32"/>
          <w:highlight w:val="none"/>
          <w:lang w:val="en-US" w:eastAsia="zh-CN"/>
        </w:rPr>
        <w:t>3.</w:t>
      </w:r>
      <w:r>
        <w:rPr>
          <w:rFonts w:hint="eastAsia" w:ascii="仿宋_GB2312" w:eastAsia="仿宋_GB2312"/>
          <w:b/>
          <w:color w:val="auto"/>
          <w:sz w:val="32"/>
          <w:szCs w:val="32"/>
          <w:highlight w:val="none"/>
        </w:rPr>
        <w:t>公务接待费支出</w:t>
      </w:r>
      <w:r>
        <w:rPr>
          <w:rFonts w:hint="eastAsia" w:ascii="仿宋_GB2312" w:eastAsia="仿宋_GB2312"/>
          <w:b/>
          <w:color w:val="auto"/>
          <w:sz w:val="32"/>
          <w:szCs w:val="32"/>
          <w:highlight w:val="none"/>
          <w:lang w:val="en-US" w:eastAsia="zh-CN"/>
        </w:rPr>
        <w:t>10.6</w:t>
      </w:r>
      <w:r>
        <w:rPr>
          <w:rFonts w:hint="eastAsia" w:ascii="仿宋_GB2312" w:eastAsia="仿宋_GB2312"/>
          <w:color w:val="auto"/>
          <w:sz w:val="32"/>
          <w:szCs w:val="32"/>
          <w:highlight w:val="none"/>
        </w:rPr>
        <w:t>万元，</w:t>
      </w:r>
      <w:r>
        <w:rPr>
          <w:rStyle w:val="20"/>
          <w:rFonts w:hint="eastAsia" w:ascii="仿宋" w:hAnsi="仿宋" w:eastAsia="仿宋"/>
          <w:b w:val="0"/>
          <w:bCs/>
          <w:color w:val="auto"/>
          <w:sz w:val="32"/>
          <w:szCs w:val="32"/>
          <w:highlight w:val="none"/>
        </w:rPr>
        <w:t>完成预算</w:t>
      </w:r>
      <w:r>
        <w:rPr>
          <w:rStyle w:val="20"/>
          <w:rFonts w:hint="eastAsia" w:ascii="仿宋" w:hAnsi="仿宋" w:eastAsia="仿宋"/>
          <w:b w:val="0"/>
          <w:bCs/>
          <w:color w:val="auto"/>
          <w:sz w:val="32"/>
          <w:szCs w:val="32"/>
          <w:highlight w:val="none"/>
          <w:lang w:val="en-US" w:eastAsia="zh-CN"/>
        </w:rPr>
        <w:t>63.74</w:t>
      </w:r>
      <w:r>
        <w:rPr>
          <w:rStyle w:val="20"/>
          <w:rFonts w:ascii="仿宋" w:hAnsi="仿宋" w:eastAsia="仿宋"/>
          <w:b w:val="0"/>
          <w:bCs/>
          <w:color w:val="auto"/>
          <w:sz w:val="32"/>
          <w:szCs w:val="32"/>
          <w:highlight w:val="none"/>
        </w:rPr>
        <w:t>%</w:t>
      </w:r>
      <w:r>
        <w:rPr>
          <w:rStyle w:val="20"/>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减少4.05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下降27.64%。</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厉行节约，压缩开支</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snapToGrid/>
        <w:spacing w:line="576" w:lineRule="exact"/>
        <w:ind w:left="0" w:leftChars="0" w:right="0" w:firstLine="642"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 w:hAnsi="仿宋" w:eastAsia="仿宋"/>
          <w:b/>
          <w:color w:val="auto"/>
          <w:sz w:val="32"/>
          <w:szCs w:val="32"/>
          <w:highlight w:val="none"/>
          <w:lang w:val="en-US" w:eastAsia="zh-CN"/>
        </w:rPr>
        <w:t>其中：</w:t>
      </w:r>
      <w:r>
        <w:rPr>
          <w:rFonts w:hint="eastAsia" w:ascii="仿宋" w:hAnsi="仿宋" w:eastAsia="仿宋"/>
          <w:b/>
          <w:color w:val="auto"/>
          <w:sz w:val="32"/>
          <w:szCs w:val="32"/>
          <w:highlight w:val="none"/>
        </w:rPr>
        <w:t>国内公务接待支出</w:t>
      </w:r>
      <w:r>
        <w:rPr>
          <w:rFonts w:hint="eastAsia" w:ascii="仿宋" w:hAnsi="仿宋" w:eastAsia="仿宋"/>
          <w:b/>
          <w:color w:val="auto"/>
          <w:sz w:val="32"/>
          <w:szCs w:val="32"/>
          <w:highlight w:val="none"/>
          <w:lang w:val="en-US" w:eastAsia="zh-CN"/>
        </w:rPr>
        <w:t>10.6</w:t>
      </w:r>
      <w:r>
        <w:rPr>
          <w:rFonts w:hint="eastAsia" w:ascii="仿宋_GB2312" w:eastAsia="仿宋_GB2312"/>
          <w:color w:val="auto"/>
          <w:sz w:val="32"/>
          <w:szCs w:val="32"/>
          <w:highlight w:val="none"/>
        </w:rPr>
        <w:t>万元，主要用于</w:t>
      </w:r>
      <w:r>
        <w:rPr>
          <w:rFonts w:hint="eastAsia" w:ascii="仿宋_GB2312" w:hAnsi="仿宋_GB2312" w:eastAsia="仿宋_GB2312" w:cs="仿宋_GB2312"/>
          <w:color w:val="auto"/>
          <w:sz w:val="32"/>
          <w:szCs w:val="32"/>
          <w:highlight w:val="none"/>
        </w:rPr>
        <w:t>自然资源</w:t>
      </w:r>
      <w:r>
        <w:rPr>
          <w:rFonts w:hint="eastAsia" w:ascii="仿宋_GB2312" w:hAnsi="仿宋_GB2312" w:eastAsia="仿宋_GB2312" w:cs="仿宋_GB2312"/>
          <w:color w:val="auto"/>
          <w:sz w:val="32"/>
          <w:szCs w:val="32"/>
          <w:highlight w:val="none"/>
          <w:lang w:val="en-US" w:eastAsia="zh-CN"/>
        </w:rPr>
        <w:t>部</w:t>
      </w:r>
      <w:r>
        <w:rPr>
          <w:rFonts w:hint="eastAsia" w:ascii="仿宋_GB2312" w:hAnsi="仿宋_GB2312" w:eastAsia="仿宋_GB2312" w:cs="仿宋_GB2312"/>
          <w:color w:val="auto"/>
          <w:sz w:val="32"/>
          <w:szCs w:val="32"/>
          <w:highlight w:val="none"/>
        </w:rPr>
        <w:t>、上级部门及其他市州的各类检查、督查、调研和县区自然资源局来我局交流汇报等</w:t>
      </w:r>
      <w:r>
        <w:rPr>
          <w:rFonts w:hint="eastAsia" w:ascii="仿宋_GB2312" w:eastAsia="仿宋_GB2312"/>
          <w:color w:val="auto"/>
          <w:sz w:val="32"/>
          <w:szCs w:val="32"/>
          <w:highlight w:val="none"/>
        </w:rPr>
        <w:t>执行公务、开展业务活动开支的交通费、住宿费、用餐费等。国内公务接待</w:t>
      </w:r>
      <w:r>
        <w:rPr>
          <w:rFonts w:hint="eastAsia" w:ascii="仿宋_GB2312" w:eastAsia="仿宋_GB2312"/>
          <w:color w:val="auto"/>
          <w:sz w:val="32"/>
          <w:szCs w:val="32"/>
          <w:highlight w:val="none"/>
          <w:lang w:val="en-US" w:eastAsia="zh-CN"/>
        </w:rPr>
        <w:t>91</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927</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10.6</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接待自然资源部、自然资源厅、德阳局一行来广管督导、考察“田长制”工作0.5万元；省国土空间生态修复及地灾防治工作0.51万元；省督导组一下来广例行督察工作0.12万元；省厅、省国土整治中心一下来广督导占补平衡及自然资源调查监测工作0.31万元；省地质调查研究院一行签订战略合作、省国土整治中心督导土地整治工作、广安局来人考察自然资源调查监测0.33万元；自然资源部四川基础信息测绘中心来广开展地籍三维工作建设调研、省厅一行督导耕地保护和粮食安全党政同责考核、省自然资源确权登记局关于调研确权登记工作、地市州来广考察0.84万元；省地质研究院来广座谈交流工作0.27万元；省国土空间规划院一行来广调研0.27万元；省厅宣教中心一行来广调研汛前地质灾害防治、厅矿报处一行实地检查水安全问题、自然资源部咨询研究院调研矿产资源市场化教育情况0.74万元；成都督察局一行来广例行督察0.32万元；经开区开展地灾防治和土地报征接待费0.3万元；</w:t>
      </w:r>
      <w:r>
        <w:rPr>
          <w:rFonts w:hint="eastAsia" w:ascii="仿宋_GB2312" w:hAnsi="仿宋_GB2312" w:eastAsia="仿宋_GB2312" w:cs="仿宋_GB2312"/>
          <w:color w:val="auto"/>
          <w:sz w:val="32"/>
          <w:szCs w:val="32"/>
          <w:highlight w:val="none"/>
          <w:lang w:eastAsia="zh-CN"/>
        </w:rPr>
        <w:t>接待省地质勘探开发局、省自然资源厅开展新一轮找矿工作、地质灾害防治工作督导检查等接待费</w:t>
      </w:r>
      <w:r>
        <w:rPr>
          <w:rFonts w:hint="eastAsia" w:ascii="仿宋_GB2312" w:hAnsi="仿宋_GB2312" w:eastAsia="仿宋_GB2312" w:cs="仿宋_GB2312"/>
          <w:color w:val="auto"/>
          <w:sz w:val="32"/>
          <w:szCs w:val="32"/>
          <w:highlight w:val="none"/>
          <w:lang w:val="en-US" w:eastAsia="zh-CN"/>
        </w:rPr>
        <w:t>0.71万元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接待县区对接土地储备工作接待费</w:t>
      </w:r>
      <w:r>
        <w:rPr>
          <w:rFonts w:hint="eastAsia" w:ascii="仿宋_GB2312" w:hAnsi="仿宋_GB2312" w:eastAsia="仿宋_GB2312" w:cs="仿宋_GB2312"/>
          <w:color w:val="auto"/>
          <w:sz w:val="32"/>
          <w:szCs w:val="32"/>
          <w:highlight w:val="none"/>
          <w:lang w:val="en-US" w:eastAsia="zh-CN"/>
        </w:rPr>
        <w:t>0.1万元</w:t>
      </w:r>
      <w:r>
        <w:rPr>
          <w:rFonts w:hint="eastAsia" w:ascii="仿宋_GB2312" w:hAnsi="仿宋_GB2312" w:eastAsia="仿宋_GB2312" w:cs="仿宋_GB2312"/>
          <w:color w:val="auto"/>
          <w:sz w:val="32"/>
          <w:szCs w:val="32"/>
          <w:highlight w:val="none"/>
        </w:rPr>
        <w:t>。接待各县区</w:t>
      </w:r>
      <w:r>
        <w:rPr>
          <w:rFonts w:hint="eastAsia" w:ascii="仿宋_GB2312" w:hAnsi="仿宋_GB2312" w:eastAsia="仿宋_GB2312" w:cs="仿宋_GB2312"/>
          <w:color w:val="auto"/>
          <w:sz w:val="32"/>
          <w:szCs w:val="32"/>
          <w:highlight w:val="none"/>
          <w:lang w:eastAsia="zh-CN"/>
        </w:rPr>
        <w:t>办理排查整改新增耕地核定工作</w:t>
      </w:r>
      <w:r>
        <w:rPr>
          <w:rFonts w:hint="eastAsia" w:ascii="仿宋_GB2312" w:hAnsi="仿宋_GB2312" w:eastAsia="仿宋_GB2312" w:cs="仿宋_GB2312"/>
          <w:color w:val="auto"/>
          <w:sz w:val="32"/>
          <w:szCs w:val="32"/>
          <w:highlight w:val="none"/>
        </w:rPr>
        <w:t>接待费0.</w:t>
      </w:r>
      <w:r>
        <w:rPr>
          <w:rFonts w:hint="default" w:ascii="仿宋_GB2312" w:hAnsi="仿宋_GB2312" w:eastAsia="仿宋_GB2312" w:cs="仿宋_GB2312"/>
          <w:color w:val="auto"/>
          <w:sz w:val="32"/>
          <w:szCs w:val="32"/>
          <w:highlight w:val="none"/>
          <w:lang w:eastAsia="zh-CN"/>
        </w:rPr>
        <w:t>74</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，接待省国土整治中心来广检查等接待费</w:t>
      </w:r>
      <w:r>
        <w:rPr>
          <w:rFonts w:hint="eastAsia" w:ascii="仿宋_GB2312" w:hAnsi="仿宋_GB2312" w:eastAsia="仿宋_GB2312" w:cs="仿宋_GB2312"/>
          <w:color w:val="auto"/>
          <w:sz w:val="32"/>
          <w:szCs w:val="32"/>
          <w:highlight w:val="none"/>
          <w:lang w:val="en-US" w:eastAsia="zh-CN"/>
        </w:rPr>
        <w:t>0.12万元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接待省厅、县区来人关于地籍测绘督导检查接待费2.4万元，接待省、县区不动产登记中心来人接待2.02万元。</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b/>
          <w:color w:val="auto"/>
          <w:sz w:val="32"/>
          <w:szCs w:val="32"/>
          <w:highlight w:val="none"/>
          <w:lang w:val="en-US" w:eastAsia="zh-CN"/>
        </w:rPr>
        <w:t>0</w:t>
      </w:r>
      <w:r>
        <w:rPr>
          <w:rFonts w:hint="eastAsia" w:ascii="仿宋_GB2312" w:eastAsia="仿宋_GB2312"/>
          <w:color w:val="auto"/>
          <w:sz w:val="32"/>
          <w:szCs w:val="32"/>
          <w:highlight w:val="none"/>
        </w:rPr>
        <w:t>万</w:t>
      </w:r>
      <w:r>
        <w:rPr>
          <w:rFonts w:hint="eastAsia" w:ascii="仿宋_GB2312" w:eastAsia="仿宋_GB2312"/>
          <w:color w:val="auto"/>
          <w:sz w:val="32"/>
          <w:szCs w:val="32"/>
          <w:highlight w:val="none"/>
          <w:lang w:val="en-US" w:eastAsia="zh-CN"/>
        </w:rPr>
        <w:t>元</w:t>
      </w:r>
      <w:r>
        <w:rPr>
          <w:rFonts w:hint="eastAsia" w:ascii="仿宋_GB2312" w:eastAsia="仿宋_GB2312"/>
          <w:color w:val="auto"/>
          <w:sz w:val="32"/>
          <w:szCs w:val="32"/>
          <w:highlight w:val="none"/>
          <w:lang w:eastAsia="zh-CN"/>
        </w:rPr>
        <w:t>。</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outlineLvl w:val="1"/>
        <w:rPr>
          <w:rStyle w:val="23"/>
          <w:rFonts w:ascii="黑体" w:hAnsi="黑体" w:eastAsia="黑体"/>
          <w:color w:val="auto"/>
          <w:highlight w:val="none"/>
        </w:rPr>
      </w:pPr>
      <w:bookmarkStart w:id="61" w:name="_Toc15377218"/>
      <w:bookmarkStart w:id="62" w:name="_Toc24925"/>
      <w:bookmarkStart w:id="63" w:name="_Toc15396610"/>
      <w:r>
        <w:rPr>
          <w:rFonts w:hint="eastAsia" w:ascii="黑体" w:eastAsia="黑体"/>
          <w:color w:val="auto"/>
          <w:sz w:val="32"/>
          <w:szCs w:val="32"/>
          <w:highlight w:val="none"/>
        </w:rPr>
        <w:t>八、</w:t>
      </w:r>
      <w:r>
        <w:rPr>
          <w:rStyle w:val="23"/>
          <w:rFonts w:hint="eastAsia" w:ascii="黑体" w:hAnsi="黑体" w:eastAsia="黑体"/>
          <w:b w:val="0"/>
          <w:color w:val="auto"/>
          <w:highlight w:val="none"/>
        </w:rPr>
        <w:t>政府性基金预算支出决算情况说明</w:t>
      </w:r>
      <w:bookmarkEnd w:id="61"/>
      <w:bookmarkEnd w:id="62"/>
      <w:bookmarkEnd w:id="63"/>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33926.14</w:t>
      </w:r>
      <w:r>
        <w:rPr>
          <w:rFonts w:hint="eastAsia" w:ascii="仿宋_GB2312" w:eastAsia="仿宋_GB2312"/>
          <w:color w:val="auto"/>
          <w:sz w:val="32"/>
          <w:szCs w:val="32"/>
          <w:highlight w:val="none"/>
        </w:rPr>
        <w:t>万元。</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0" w:firstLineChars="200"/>
        <w:jc w:val="both"/>
        <w:textAlignment w:val="auto"/>
        <w:outlineLvl w:val="1"/>
        <w:rPr>
          <w:rStyle w:val="23"/>
          <w:rFonts w:ascii="黑体" w:hAnsi="黑体" w:eastAsia="黑体"/>
          <w:b w:val="0"/>
          <w:color w:val="auto"/>
          <w:highlight w:val="none"/>
        </w:rPr>
      </w:pPr>
      <w:bookmarkStart w:id="64" w:name="_Toc15396611"/>
      <w:bookmarkStart w:id="65" w:name="_Toc4864"/>
      <w:bookmarkStart w:id="66" w:name="_Toc15377219"/>
      <w:r>
        <w:rPr>
          <w:rStyle w:val="23"/>
          <w:rFonts w:hint="eastAsia" w:ascii="黑体" w:hAnsi="黑体" w:eastAsia="黑体"/>
          <w:b w:val="0"/>
          <w:color w:val="auto"/>
          <w:highlight w:val="none"/>
        </w:rPr>
        <w:t>国有资本经营预算支出决算情况说明</w:t>
      </w:r>
      <w:bookmarkEnd w:id="64"/>
      <w:bookmarkEnd w:id="65"/>
      <w:bookmarkEnd w:id="66"/>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0" w:firstLineChars="200"/>
        <w:jc w:val="both"/>
        <w:textAlignment w:val="auto"/>
        <w:outlineLvl w:val="1"/>
        <w:rPr>
          <w:rStyle w:val="23"/>
          <w:rFonts w:hint="eastAsia" w:ascii="黑体" w:hAnsi="黑体" w:eastAsia="黑体"/>
          <w:b w:val="0"/>
          <w:color w:val="auto"/>
          <w:highlight w:val="none"/>
        </w:rPr>
      </w:pPr>
      <w:bookmarkStart w:id="67" w:name="_Toc15377221"/>
      <w:bookmarkStart w:id="68" w:name="_Toc23636"/>
      <w:bookmarkStart w:id="69" w:name="_Toc15396612"/>
      <w:r>
        <w:rPr>
          <w:rStyle w:val="23"/>
          <w:rFonts w:hint="eastAsia" w:ascii="黑体" w:hAnsi="黑体" w:eastAsia="黑体"/>
          <w:b w:val="0"/>
          <w:color w:val="auto"/>
          <w:highlight w:val="none"/>
        </w:rPr>
        <w:t>其他重要事项的情况说明</w:t>
      </w:r>
      <w:bookmarkEnd w:id="67"/>
      <w:bookmarkEnd w:id="68"/>
      <w:bookmarkEnd w:id="69"/>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outlineLvl w:val="2"/>
        <w:rPr>
          <w:rFonts w:hint="eastAsia" w:ascii="楷体_GB2312" w:hAnsi="楷体_GB2312" w:eastAsia="楷体_GB2312" w:cs="楷体_GB2312"/>
          <w:color w:val="auto"/>
          <w:sz w:val="32"/>
          <w:szCs w:val="32"/>
          <w:highlight w:val="none"/>
        </w:rPr>
      </w:pPr>
      <w:bookmarkStart w:id="70" w:name="_Toc15377222"/>
      <w:r>
        <w:rPr>
          <w:rFonts w:hint="eastAsia" w:ascii="楷体_GB2312" w:hAnsi="楷体_GB2312" w:eastAsia="楷体_GB2312" w:cs="楷体_GB2312"/>
          <w:b/>
          <w:color w:val="auto"/>
          <w:sz w:val="32"/>
          <w:szCs w:val="32"/>
          <w:highlight w:val="none"/>
        </w:rPr>
        <w:t>（一）机关运行经费支出情况</w:t>
      </w:r>
      <w:bookmarkEnd w:id="70"/>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广元市自然资源局机关</w:t>
      </w:r>
      <w:r>
        <w:rPr>
          <w:rFonts w:hint="eastAsia" w:ascii="仿宋_GB2312" w:eastAsia="仿宋_GB2312"/>
          <w:color w:val="auto"/>
          <w:sz w:val="32"/>
          <w:szCs w:val="32"/>
          <w:highlight w:val="none"/>
        </w:rPr>
        <w:t>运行经费支出</w:t>
      </w:r>
      <w:r>
        <w:rPr>
          <w:rFonts w:hint="eastAsia" w:ascii="仿宋_GB2312" w:eastAsia="仿宋_GB2312"/>
          <w:color w:val="auto"/>
          <w:sz w:val="32"/>
          <w:szCs w:val="32"/>
          <w:highlight w:val="none"/>
          <w:lang w:val="en-US" w:eastAsia="zh-CN"/>
        </w:rPr>
        <w:t>255.37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基本持平</w:t>
      </w:r>
      <w:r>
        <w:rPr>
          <w:rFonts w:hint="eastAsia" w:ascii="仿宋" w:hAnsi="仿宋" w:eastAsia="仿宋"/>
          <w:color w:val="auto"/>
          <w:sz w:val="32"/>
          <w:szCs w:val="32"/>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left="0" w:leftChars="0" w:right="0" w:firstLine="642" w:firstLineChars="200"/>
        <w:jc w:val="both"/>
        <w:textAlignment w:val="auto"/>
        <w:outlineLvl w:val="2"/>
        <w:rPr>
          <w:rFonts w:hint="eastAsia" w:ascii="楷体_GB2312" w:hAnsi="楷体_GB2312" w:eastAsia="楷体_GB2312" w:cs="楷体_GB2312"/>
          <w:b/>
          <w:color w:val="auto"/>
          <w:sz w:val="32"/>
          <w:szCs w:val="32"/>
          <w:highlight w:val="none"/>
        </w:rPr>
      </w:pPr>
      <w:bookmarkStart w:id="71" w:name="_Toc15377223"/>
      <w:r>
        <w:rPr>
          <w:rFonts w:hint="eastAsia" w:ascii="楷体_GB2312" w:hAnsi="楷体_GB2312" w:eastAsia="楷体_GB2312" w:cs="楷体_GB2312"/>
          <w:b/>
          <w:color w:val="auto"/>
          <w:sz w:val="32"/>
          <w:szCs w:val="32"/>
          <w:highlight w:val="none"/>
        </w:rPr>
        <w:t>（二）政府采购支出情况</w:t>
      </w:r>
      <w:bookmarkEnd w:id="71"/>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广元市自然资源局</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569.16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政府采购货物</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val="en-US" w:eastAsia="zh-CN"/>
        </w:rPr>
        <w:t>办公电脑、空调、打印机等办公设备购置，政府采购服务主要用于矿产资源调查、广元市卫片自主监测项目、广元市市本级自然资源技术辅助性服务等项目技术服务费</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549.19</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96</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549.19</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96</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ascii="仿宋_GB2312" w:eastAsia="仿宋_GB2312"/>
          <w:color w:val="auto"/>
          <w:sz w:val="32"/>
          <w:szCs w:val="32"/>
          <w:highlight w:val="none"/>
        </w:rPr>
      </w:pP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left="0" w:leftChars="0" w:right="0" w:firstLine="642" w:firstLineChars="200"/>
        <w:jc w:val="both"/>
        <w:textAlignment w:val="auto"/>
        <w:outlineLvl w:val="2"/>
        <w:rPr>
          <w:rFonts w:hint="eastAsia" w:ascii="楷体_GB2312" w:hAnsi="楷体_GB2312" w:eastAsia="楷体_GB2312" w:cs="楷体_GB2312"/>
          <w:b/>
          <w:color w:val="auto"/>
          <w:sz w:val="32"/>
          <w:szCs w:val="32"/>
          <w:highlight w:val="none"/>
        </w:rPr>
      </w:pPr>
      <w:bookmarkStart w:id="72" w:name="_Toc15377224"/>
      <w:r>
        <w:rPr>
          <w:rFonts w:hint="eastAsia" w:ascii="楷体_GB2312" w:hAnsi="楷体_GB2312" w:eastAsia="楷体_GB2312" w:cs="楷体_GB2312"/>
          <w:b/>
          <w:color w:val="auto"/>
          <w:sz w:val="32"/>
          <w:szCs w:val="32"/>
          <w:highlight w:val="none"/>
        </w:rPr>
        <w:t>（三）国有资产占有使用情况</w:t>
      </w:r>
      <w:bookmarkEnd w:id="72"/>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left="0" w:leftChars="0" w:right="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广元市自然资源局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辆，其中：</w:t>
      </w:r>
      <w:r>
        <w:rPr>
          <w:rFonts w:hint="eastAsia" w:ascii="仿宋_GB2312" w:eastAsia="仿宋_GB2312"/>
          <w:color w:val="auto"/>
          <w:sz w:val="32"/>
          <w:szCs w:val="32"/>
          <w:highlight w:val="none"/>
          <w:lang w:val="en-US" w:eastAsia="zh-CN"/>
        </w:rPr>
        <w:t>特种专业技术用车1辆、</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eastAsia="zh-CN"/>
        </w:rPr>
        <w:t>用于</w:t>
      </w:r>
      <w:r>
        <w:rPr>
          <w:rFonts w:hint="eastAsia" w:ascii="仿宋_GB2312" w:eastAsia="仿宋_GB2312"/>
          <w:color w:val="auto"/>
          <w:sz w:val="32"/>
          <w:szCs w:val="32"/>
          <w:highlight w:val="none"/>
          <w:lang w:val="en-US" w:eastAsia="zh-CN"/>
        </w:rPr>
        <w:t>一般公务、业务用车</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left="0" w:leftChars="0" w:right="0" w:firstLine="642" w:firstLineChars="200"/>
        <w:jc w:val="both"/>
        <w:textAlignment w:val="auto"/>
        <w:outlineLvl w:val="2"/>
        <w:rPr>
          <w:rFonts w:hint="eastAsia"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（四）预算绩效管理情况</w:t>
      </w:r>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年度预算编制阶段，组织对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广元市卫片自主监测项目</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163</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163</w:t>
      </w:r>
      <w:r>
        <w:rPr>
          <w:rFonts w:hint="eastAsia" w:ascii="仿宋_GB2312" w:hAnsi="仿宋_GB2312" w:eastAsia="仿宋_GB2312" w:cs="仿宋_GB2312"/>
          <w:color w:val="auto"/>
          <w:sz w:val="32"/>
          <w:szCs w:val="32"/>
          <w:highlight w:val="none"/>
        </w:rPr>
        <w:t>个项目开展绩效监控。</w:t>
      </w:r>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组织对202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年度一般公共预算、政府性基金预算等全面开展绩效自评，形成</w:t>
      </w:r>
      <w:r>
        <w:rPr>
          <w:rFonts w:hint="eastAsia" w:ascii="仿宋_GB2312" w:hAnsi="仿宋_GB2312" w:eastAsia="仿宋_GB2312" w:cs="仿宋_GB2312"/>
          <w:color w:val="auto"/>
          <w:sz w:val="32"/>
          <w:szCs w:val="32"/>
          <w:highlight w:val="none"/>
          <w:lang w:val="en-US" w:eastAsia="zh-CN"/>
        </w:rPr>
        <w:t>广元市自然资源局</w:t>
      </w:r>
      <w:r>
        <w:rPr>
          <w:rFonts w:hint="eastAsia" w:ascii="仿宋_GB2312" w:hAnsi="仿宋_GB2312" w:eastAsia="仿宋_GB2312" w:cs="仿宋_GB2312"/>
          <w:color w:val="auto"/>
          <w:sz w:val="32"/>
          <w:szCs w:val="32"/>
          <w:highlight w:val="none"/>
        </w:rPr>
        <w:t>部门整体（含部门预算项目）绩效自评报告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广元市卫片自主监测项目</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val="en-US" w:eastAsia="zh-CN"/>
        </w:rPr>
        <w:t>29个</w:t>
      </w:r>
      <w:r>
        <w:rPr>
          <w:rFonts w:hint="eastAsia" w:ascii="仿宋_GB2312" w:hAnsi="仿宋_GB2312" w:eastAsia="仿宋_GB2312" w:cs="仿宋_GB2312"/>
          <w:color w:val="auto"/>
          <w:sz w:val="32"/>
          <w:szCs w:val="32"/>
          <w:highlight w:val="none"/>
        </w:rPr>
        <w:t>专项预算项目绩效自评报告，其中，</w:t>
      </w:r>
      <w:r>
        <w:rPr>
          <w:rFonts w:hint="eastAsia" w:ascii="仿宋_GB2312" w:hAnsi="仿宋_GB2312" w:eastAsia="仿宋_GB2312" w:cs="仿宋_GB2312"/>
          <w:color w:val="auto"/>
          <w:sz w:val="32"/>
          <w:szCs w:val="32"/>
          <w:highlight w:val="none"/>
          <w:lang w:val="en-US" w:eastAsia="zh-CN"/>
        </w:rPr>
        <w:t>广元市自然资源局</w:t>
      </w:r>
      <w:r>
        <w:rPr>
          <w:rFonts w:hint="eastAsia" w:ascii="仿宋_GB2312" w:hAnsi="仿宋_GB2312" w:eastAsia="仿宋_GB2312" w:cs="仿宋_GB2312"/>
          <w:color w:val="auto"/>
          <w:sz w:val="32"/>
          <w:szCs w:val="32"/>
          <w:highlight w:val="none"/>
        </w:rPr>
        <w:t>部门整体（含部门预算项目）绩效自评得分为</w:t>
      </w:r>
      <w:r>
        <w:rPr>
          <w:rFonts w:hint="eastAsia" w:ascii="仿宋_GB2312" w:hAnsi="仿宋_GB2312" w:eastAsia="仿宋_GB2312" w:cs="仿宋_GB2312"/>
          <w:color w:val="auto"/>
          <w:sz w:val="32"/>
          <w:szCs w:val="32"/>
          <w:highlight w:val="none"/>
          <w:lang w:val="en-US" w:eastAsia="zh-CN"/>
        </w:rPr>
        <w:t>92</w:t>
      </w:r>
      <w:r>
        <w:rPr>
          <w:rFonts w:hint="eastAsia" w:ascii="仿宋_GB2312" w:hAnsi="仿宋_GB2312" w:eastAsia="仿宋_GB2312" w:cs="仿宋_GB2312"/>
          <w:color w:val="auto"/>
          <w:sz w:val="32"/>
          <w:szCs w:val="32"/>
          <w:highlight w:val="none"/>
        </w:rPr>
        <w:t>分，绩效自评综述：</w:t>
      </w:r>
      <w:r>
        <w:rPr>
          <w:rFonts w:hint="eastAsia" w:ascii="仿宋_GB2312" w:hAnsi="仿宋_GB2312" w:eastAsia="仿宋_GB2312" w:cs="仿宋_GB2312"/>
          <w:color w:val="auto"/>
          <w:sz w:val="32"/>
          <w:szCs w:val="32"/>
          <w:highlight w:val="none"/>
          <w:lang w:val="en-US" w:eastAsia="zh-CN"/>
        </w:rPr>
        <w:t>2024年，广元市自然资源局（含机关和下属单位）制定的目标绩效实现率为98.13%。一是</w:t>
      </w:r>
      <w:r>
        <w:rPr>
          <w:rFonts w:hint="eastAsia" w:ascii="仿宋_GB2312" w:hAnsi="仿宋_GB2312" w:eastAsia="仿宋_GB2312" w:cs="仿宋_GB2312"/>
          <w:color w:val="auto"/>
          <w:sz w:val="32"/>
          <w:szCs w:val="32"/>
          <w:highlight w:val="none"/>
          <w:lang w:eastAsia="zh-CN"/>
        </w:rPr>
        <w:t>人员经费支出</w:t>
      </w:r>
      <w:r>
        <w:rPr>
          <w:rFonts w:hint="eastAsia" w:ascii="仿宋" w:hAnsi="仿宋" w:eastAsia="仿宋"/>
          <w:color w:val="auto"/>
          <w:sz w:val="32"/>
          <w:szCs w:val="32"/>
          <w:highlight w:val="none"/>
          <w:lang w:val="en-US" w:eastAsia="zh-CN"/>
        </w:rPr>
        <w:t>3311.98</w:t>
      </w:r>
      <w:r>
        <w:rPr>
          <w:rFonts w:hint="eastAsia" w:ascii="仿宋_GB2312" w:hAnsi="仿宋_GB2312" w:eastAsia="仿宋_GB2312" w:cs="仿宋_GB2312"/>
          <w:color w:val="auto"/>
          <w:sz w:val="32"/>
          <w:szCs w:val="32"/>
          <w:highlight w:val="none"/>
          <w:lang w:eastAsia="zh-CN"/>
        </w:rPr>
        <w:t>万元，按时发放职工工资、津补贴、奖金等工资福利，人员经费预算执行率为</w:t>
      </w:r>
      <w:r>
        <w:rPr>
          <w:rFonts w:hint="eastAsia" w:ascii="仿宋_GB2312" w:hAnsi="仿宋_GB2312" w:eastAsia="仿宋_GB2312" w:cs="仿宋_GB2312"/>
          <w:color w:val="auto"/>
          <w:sz w:val="32"/>
          <w:szCs w:val="32"/>
          <w:highlight w:val="none"/>
          <w:lang w:val="en-US" w:eastAsia="zh-CN"/>
        </w:rPr>
        <w:t>100%。二是</w:t>
      </w:r>
      <w:r>
        <w:rPr>
          <w:rFonts w:hint="eastAsia" w:ascii="仿宋_GB2312" w:hAnsi="仿宋_GB2312" w:eastAsia="仿宋_GB2312" w:cs="仿宋_GB2312"/>
          <w:color w:val="auto"/>
          <w:sz w:val="32"/>
          <w:szCs w:val="32"/>
          <w:highlight w:val="none"/>
          <w:lang w:eastAsia="zh-CN"/>
        </w:rPr>
        <w:t>日常公用经费支出</w:t>
      </w:r>
      <w:r>
        <w:rPr>
          <w:rFonts w:hint="eastAsia" w:ascii="仿宋_GB2312" w:hAnsi="仿宋_GB2312" w:eastAsia="仿宋_GB2312" w:cs="仿宋_GB2312"/>
          <w:color w:val="auto"/>
          <w:sz w:val="32"/>
          <w:szCs w:val="32"/>
          <w:highlight w:val="none"/>
          <w:lang w:val="en-US" w:eastAsia="zh-CN"/>
        </w:rPr>
        <w:t>380.76</w:t>
      </w:r>
      <w:r>
        <w:rPr>
          <w:rFonts w:hint="eastAsia" w:ascii="仿宋_GB2312" w:hAnsi="仿宋_GB2312" w:eastAsia="仿宋_GB2312" w:cs="仿宋_GB2312"/>
          <w:color w:val="auto"/>
          <w:sz w:val="32"/>
          <w:szCs w:val="32"/>
          <w:highlight w:val="none"/>
          <w:lang w:eastAsia="zh-CN"/>
        </w:rPr>
        <w:t>万元，主要用于支付开展工作所需的办公费、会议费、印刷费、差旅费等，有效保障了机关日常运转，运转保障率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三是特定项目类支出</w:t>
      </w:r>
      <w:r>
        <w:rPr>
          <w:rFonts w:hint="eastAsia" w:ascii="仿宋_GB2312" w:hAnsi="仿宋_GB2312" w:eastAsia="仿宋_GB2312" w:cs="仿宋_GB2312"/>
          <w:color w:val="auto"/>
          <w:sz w:val="32"/>
          <w:szCs w:val="32"/>
          <w:highlight w:val="none"/>
          <w:lang w:val="en-US" w:eastAsia="zh-CN"/>
        </w:rPr>
        <w:t>36094.78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，包括</w:t>
      </w:r>
      <w:r>
        <w:rPr>
          <w:rFonts w:hint="eastAsia" w:ascii="仿宋_GB2312" w:hAnsi="仿宋_GB2312" w:eastAsia="仿宋_GB2312" w:cs="仿宋_GB2312"/>
          <w:color w:val="auto"/>
          <w:sz w:val="32"/>
          <w:szCs w:val="32"/>
          <w:highlight w:val="none"/>
          <w:lang w:val="en-US" w:eastAsia="zh-CN"/>
        </w:rPr>
        <w:t>局机关及下属单位地灾防治、耕地保护和土地报征、矿业权管理、信息化建设、空间规划一张图建设、地籍测绘、不动产登记等34个特定项目，包括设置的产出指标、效益指标、满意度指标等三个方面共50个三级绩效目标均已实现，完成率95%</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29个</w:t>
      </w:r>
      <w:r>
        <w:rPr>
          <w:rFonts w:hint="eastAsia" w:ascii="仿宋_GB2312" w:hAnsi="仿宋_GB2312" w:eastAsia="仿宋_GB2312" w:cs="仿宋_GB2312"/>
          <w:color w:val="auto"/>
          <w:sz w:val="32"/>
          <w:szCs w:val="32"/>
          <w:highlight w:val="none"/>
        </w:rPr>
        <w:t>专项预算项目绩效自评得分</w:t>
      </w:r>
      <w:r>
        <w:rPr>
          <w:rFonts w:hint="eastAsia" w:ascii="仿宋_GB2312" w:hAnsi="仿宋_GB2312" w:eastAsia="仿宋_GB2312" w:cs="仿宋_GB2312"/>
          <w:color w:val="auto"/>
          <w:sz w:val="32"/>
          <w:szCs w:val="32"/>
          <w:highlight w:val="none"/>
          <w:lang w:val="en-US" w:eastAsia="zh-CN"/>
        </w:rPr>
        <w:t>平均95</w:t>
      </w:r>
      <w:r>
        <w:rPr>
          <w:rFonts w:hint="eastAsia" w:ascii="仿宋_GB2312" w:hAnsi="仿宋_GB2312" w:eastAsia="仿宋_GB2312" w:cs="仿宋_GB2312"/>
          <w:color w:val="auto"/>
          <w:sz w:val="32"/>
          <w:szCs w:val="32"/>
          <w:highlight w:val="none"/>
        </w:rPr>
        <w:t>分，绩效自评综述</w:t>
      </w:r>
      <w:r>
        <w:rPr>
          <w:rFonts w:hint="eastAsia" w:ascii="仿宋_GB2312" w:hAnsi="仿宋_GB2312" w:eastAsia="仿宋_GB2312" w:cs="仿宋_GB2312"/>
          <w:color w:val="auto"/>
          <w:sz w:val="32"/>
          <w:szCs w:val="32"/>
          <w:highlight w:val="none"/>
          <w:lang w:eastAsia="zh-CN"/>
        </w:rPr>
        <w:t>：</w:t>
      </w:r>
      <w:r>
        <w:rPr>
          <w:rFonts w:hint="eastAsia" w:ascii="仿宋_GB2312" w:hAnsi="仿宋" w:eastAsia="仿宋_GB2312" w:cs="仿宋_GB2312"/>
          <w:color w:val="auto"/>
          <w:sz w:val="32"/>
          <w:szCs w:val="32"/>
          <w:highlight w:val="none"/>
        </w:rPr>
        <w:t>202</w:t>
      </w:r>
      <w:r>
        <w:rPr>
          <w:rFonts w:hint="eastAsia" w:ascii="仿宋_GB2312" w:hAnsi="仿宋" w:eastAsia="仿宋_GB2312" w:cs="仿宋_GB2312"/>
          <w:color w:val="auto"/>
          <w:sz w:val="32"/>
          <w:szCs w:val="32"/>
          <w:highlight w:val="none"/>
          <w:lang w:val="en-US" w:eastAsia="zh-CN"/>
        </w:rPr>
        <w:t>4</w:t>
      </w:r>
      <w:r>
        <w:rPr>
          <w:rFonts w:hint="eastAsia" w:ascii="仿宋_GB2312" w:hAnsi="仿宋" w:eastAsia="仿宋_GB2312" w:cs="仿宋_GB2312"/>
          <w:color w:val="auto"/>
          <w:sz w:val="32"/>
          <w:szCs w:val="32"/>
          <w:highlight w:val="none"/>
        </w:rPr>
        <w:t>年专项预算绩效目标</w:t>
      </w:r>
      <w:r>
        <w:rPr>
          <w:rFonts w:hint="eastAsia" w:ascii="仿宋_GB2312" w:hAnsi="仿宋" w:eastAsia="仿宋_GB2312" w:cs="仿宋_GB2312"/>
          <w:color w:val="auto"/>
          <w:sz w:val="32"/>
          <w:szCs w:val="32"/>
          <w:highlight w:val="none"/>
          <w:lang w:eastAsia="zh-CN"/>
        </w:rPr>
        <w:t>管理工作</w:t>
      </w:r>
      <w:r>
        <w:rPr>
          <w:rFonts w:hint="eastAsia" w:ascii="仿宋_GB2312" w:hAnsi="仿宋" w:eastAsia="仿宋_GB2312" w:cs="仿宋_GB2312"/>
          <w:color w:val="auto"/>
          <w:sz w:val="32"/>
          <w:szCs w:val="32"/>
          <w:highlight w:val="none"/>
        </w:rPr>
        <w:t>程序严密、规划合理、分配科学，按进度实施</w:t>
      </w:r>
      <w:r>
        <w:rPr>
          <w:rFonts w:hint="eastAsia" w:ascii="仿宋_GB2312" w:hAnsi="仿宋" w:eastAsia="仿宋_GB2312" w:cs="仿宋_GB2312"/>
          <w:color w:val="auto"/>
          <w:sz w:val="32"/>
          <w:szCs w:val="32"/>
          <w:highlight w:val="none"/>
          <w:lang w:eastAsia="zh-CN"/>
        </w:rPr>
        <w:t>完成</w:t>
      </w:r>
      <w:r>
        <w:rPr>
          <w:rFonts w:hint="eastAsia" w:ascii="仿宋_GB2312" w:hAnsi="仿宋" w:eastAsia="仿宋_GB2312" w:cs="仿宋_GB2312"/>
          <w:color w:val="auto"/>
          <w:sz w:val="32"/>
          <w:szCs w:val="32"/>
          <w:highlight w:val="none"/>
        </w:rPr>
        <w:t>，执行过程中未发生违规</w:t>
      </w:r>
      <w:r>
        <w:rPr>
          <w:rFonts w:hint="eastAsia" w:ascii="仿宋_GB2312" w:hAnsi="仿宋" w:eastAsia="仿宋_GB2312" w:cs="仿宋_GB2312"/>
          <w:color w:val="auto"/>
          <w:sz w:val="32"/>
          <w:szCs w:val="32"/>
          <w:highlight w:val="none"/>
          <w:lang w:eastAsia="zh-CN"/>
        </w:rPr>
        <w:t>行为</w:t>
      </w:r>
      <w:r>
        <w:rPr>
          <w:rFonts w:hint="eastAsia" w:ascii="仿宋_GB2312" w:hAnsi="仿宋_GB2312" w:eastAsia="仿宋_GB2312" w:cs="仿宋_GB2312"/>
          <w:color w:val="auto"/>
          <w:sz w:val="32"/>
          <w:szCs w:val="32"/>
          <w:highlight w:val="none"/>
        </w:rPr>
        <w:t>。绩效自评报告详见附件</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left="0" w:leftChars="0" w:right="0" w:firstLine="642" w:firstLineChars="200"/>
        <w:jc w:val="both"/>
        <w:textAlignment w:val="auto"/>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pStyle w:val="32"/>
        <w:keepNext w:val="0"/>
        <w:keepLines w:val="0"/>
        <w:pageBreakBefore w:val="0"/>
        <w:widowControl w:val="0"/>
        <w:shd w:val="clear"/>
        <w:kinsoku/>
        <w:wordWrap/>
        <w:overflowPunct/>
        <w:topLinePunct w:val="0"/>
        <w:bidi w:val="0"/>
        <w:snapToGrid/>
        <w:spacing w:line="576" w:lineRule="exact"/>
        <w:ind w:right="0"/>
        <w:jc w:val="center"/>
        <w:textAlignment w:val="auto"/>
        <w:outlineLvl w:val="0"/>
        <w:rPr>
          <w:rStyle w:val="22"/>
          <w:rFonts w:hint="eastAsia" w:ascii="黑体" w:hAnsi="黑体" w:eastAsia="黑体"/>
          <w:b w:val="0"/>
          <w:color w:val="auto"/>
          <w:highlight w:val="none"/>
        </w:rPr>
      </w:pPr>
      <w:bookmarkStart w:id="73" w:name="_Toc15377225"/>
      <w:bookmarkStart w:id="74" w:name="_Toc8591"/>
      <w:bookmarkStart w:id="75" w:name="_Toc15396613"/>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22"/>
          <w:rFonts w:hint="eastAsia" w:ascii="黑体" w:hAnsi="黑体" w:eastAsia="黑体"/>
          <w:b w:val="0"/>
          <w:color w:val="auto"/>
          <w:highlight w:val="none"/>
        </w:rPr>
        <w:t>词解释</w:t>
      </w:r>
      <w:bookmarkEnd w:id="73"/>
      <w:bookmarkEnd w:id="74"/>
      <w:bookmarkEnd w:id="75"/>
    </w:p>
    <w:p>
      <w:pPr>
        <w:pStyle w:val="32"/>
        <w:keepNext w:val="0"/>
        <w:keepLines w:val="0"/>
        <w:pageBreakBefore w:val="0"/>
        <w:widowControl w:val="0"/>
        <w:shd w:val="clear"/>
        <w:kinsoku/>
        <w:wordWrap/>
        <w:overflowPunct/>
        <w:topLinePunct w:val="0"/>
        <w:bidi w:val="0"/>
        <w:snapToGrid/>
        <w:spacing w:line="576" w:lineRule="exact"/>
        <w:ind w:right="0"/>
        <w:jc w:val="center"/>
        <w:textAlignment w:val="auto"/>
        <w:rPr>
          <w:rStyle w:val="22"/>
          <w:rFonts w:hint="eastAsia" w:ascii="黑体" w:hAnsi="黑体" w:eastAsia="黑体"/>
          <w:b w:val="0"/>
          <w:color w:val="auto"/>
          <w:highlight w:val="none"/>
          <w:lang w:eastAsia="zh-CN"/>
        </w:rPr>
      </w:pP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财政拨款收入：指单位从同级财政部门取得的财政预算资金。</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其他收入：指单位取得的除上述收入以外的各项收入。</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使用非财政拨款结余</w:t>
      </w:r>
      <w:r>
        <w:rPr>
          <w:rFonts w:hint="eastAsia" w:ascii="仿宋_GB2312" w:hAnsi="仿宋_GB2312" w:eastAsia="仿宋_GB2312" w:cs="仿宋_GB2312"/>
          <w:color w:val="auto"/>
          <w:sz w:val="32"/>
          <w:szCs w:val="32"/>
          <w:highlight w:val="none"/>
          <w:lang w:eastAsia="zh-CN"/>
        </w:rPr>
        <w:t>：指事业单位使用以前年度积累的非财政拨款结余弥补当年收支差额的金额。</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年初结转和结余：指以前年度尚未完成、结转到本年按有关规定继续使用的资金。</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人力资源和社会保障管理事务</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引进人才费用</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指引进人才的安家补助和生活补助。</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w:t>
      </w:r>
      <w:r>
        <w:rPr>
          <w:rFonts w:hint="eastAsia" w:ascii="仿宋_GB2312" w:hAnsi="仿宋_GB2312" w:eastAsia="仿宋_GB2312" w:cs="仿宋_GB2312"/>
          <w:color w:val="auto"/>
          <w:sz w:val="32"/>
          <w:szCs w:val="32"/>
          <w:highlight w:val="none"/>
          <w:lang w:val="en-US" w:eastAsia="zh-CN"/>
        </w:rPr>
        <w:t>养老支出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行政单位离退休</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w:t>
      </w:r>
      <w:r>
        <w:rPr>
          <w:rFonts w:hint="eastAsia" w:ascii="仿宋_GB2312" w:hAnsi="仿宋_GB2312" w:eastAsia="仿宋_GB2312" w:cs="仿宋_GB2312"/>
          <w:color w:val="auto"/>
          <w:sz w:val="32"/>
          <w:szCs w:val="32"/>
          <w:highlight w:val="none"/>
          <w:lang w:val="en-US" w:eastAsia="zh-CN"/>
        </w:rPr>
        <w:t>行政事业单位退休职工生活补助</w:t>
      </w:r>
      <w:r>
        <w:rPr>
          <w:rFonts w:hint="eastAsia" w:ascii="仿宋_GB2312" w:hAnsi="仿宋_GB2312" w:eastAsia="仿宋_GB2312" w:cs="仿宋_GB2312"/>
          <w:color w:val="auto"/>
          <w:sz w:val="32"/>
          <w:szCs w:val="32"/>
          <w:highlight w:val="none"/>
        </w:rPr>
        <w:t>。</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行政</w:t>
      </w:r>
      <w:r>
        <w:rPr>
          <w:rFonts w:hint="eastAsia" w:ascii="仿宋_GB2312" w:hAnsi="仿宋_GB2312" w:eastAsia="仿宋_GB2312" w:cs="仿宋_GB2312"/>
          <w:color w:val="auto"/>
          <w:sz w:val="32"/>
          <w:szCs w:val="32"/>
          <w:highlight w:val="none"/>
        </w:rPr>
        <w:t>事业单位</w:t>
      </w:r>
      <w:r>
        <w:rPr>
          <w:rFonts w:hint="eastAsia" w:ascii="仿宋_GB2312" w:hAnsi="仿宋_GB2312" w:eastAsia="仿宋_GB2312" w:cs="仿宋_GB2312"/>
          <w:color w:val="auto"/>
          <w:sz w:val="32"/>
          <w:szCs w:val="32"/>
          <w:highlight w:val="none"/>
          <w:lang w:val="en-US" w:eastAsia="zh-CN"/>
        </w:rPr>
        <w:t>养老支出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事业单位离退休</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w:t>
      </w:r>
      <w:r>
        <w:rPr>
          <w:rFonts w:hint="eastAsia" w:ascii="仿宋_GB2312" w:hAnsi="仿宋_GB2312" w:eastAsia="仿宋_GB2312" w:cs="仿宋_GB2312"/>
          <w:color w:val="auto"/>
          <w:sz w:val="32"/>
          <w:szCs w:val="32"/>
          <w:highlight w:val="none"/>
          <w:lang w:val="en-US" w:eastAsia="zh-CN"/>
        </w:rPr>
        <w:t>事业单位退休职工生活补助</w:t>
      </w:r>
      <w:r>
        <w:rPr>
          <w:rFonts w:hint="eastAsia" w:ascii="仿宋_GB2312" w:hAnsi="仿宋_GB2312" w:eastAsia="仿宋_GB2312" w:cs="仿宋_GB2312"/>
          <w:color w:val="auto"/>
          <w:sz w:val="32"/>
          <w:szCs w:val="32"/>
          <w:highlight w:val="none"/>
        </w:rPr>
        <w:t>。</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w:t>
      </w:r>
      <w:r>
        <w:rPr>
          <w:rFonts w:hint="eastAsia" w:ascii="仿宋_GB2312" w:hAnsi="仿宋_GB2312" w:eastAsia="仿宋_GB2312" w:cs="仿宋_GB2312"/>
          <w:color w:val="auto"/>
          <w:sz w:val="32"/>
          <w:szCs w:val="32"/>
          <w:highlight w:val="none"/>
          <w:lang w:val="en-US" w:eastAsia="zh-CN"/>
        </w:rPr>
        <w:t>养老支出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机关事业单位基本养老保险缴费支出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指机关事业单位实施养老保险制度由单位缴纳的基本养老保险费支出</w:t>
      </w:r>
      <w:r>
        <w:rPr>
          <w:rFonts w:hint="eastAsia" w:ascii="仿宋_GB2312" w:hAnsi="仿宋_GB2312" w:eastAsia="仿宋_GB2312" w:cs="仿宋_GB2312"/>
          <w:color w:val="auto"/>
          <w:sz w:val="32"/>
          <w:szCs w:val="32"/>
          <w:highlight w:val="none"/>
          <w:lang w:eastAsia="zh-CN"/>
        </w:rPr>
        <w:t>。</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w:t>
      </w:r>
      <w:r>
        <w:rPr>
          <w:rFonts w:hint="eastAsia" w:ascii="仿宋_GB2312" w:hAnsi="仿宋_GB2312" w:eastAsia="仿宋_GB2312" w:cs="仿宋_GB2312"/>
          <w:color w:val="auto"/>
          <w:sz w:val="32"/>
          <w:szCs w:val="32"/>
          <w:highlight w:val="none"/>
          <w:lang w:val="en-US" w:eastAsia="zh-CN"/>
        </w:rPr>
        <w:t>养老支出</w:t>
      </w:r>
      <w:r>
        <w:rPr>
          <w:rFonts w:hint="eastAsia" w:ascii="仿宋_GB2312" w:hAnsi="仿宋_GB2312" w:eastAsia="仿宋_GB2312" w:cs="仿宋_GB2312"/>
          <w:color w:val="auto"/>
          <w:sz w:val="32"/>
          <w:szCs w:val="32"/>
          <w:highlight w:val="none"/>
        </w:rPr>
        <w:t>（款）机关事业单位职业年金缴费支出（项）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指机关事业单位实施养老保险制度由单位实际缴纳的职业年金支出。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社会保障和就业支出（类）抚恤（款）死亡抚恤（项）：退休人员的丧葬费和抚恤金。</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支出（类）其他</w:t>
      </w: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支出（款）其他</w:t>
      </w: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支出（项）：指其他用于社会保障和就业方面的支出。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卫生健康</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（类）行政事业单位医疗（款）行政单位医疗（项）：指</w:t>
      </w:r>
      <w:r>
        <w:rPr>
          <w:rFonts w:hint="eastAsia" w:ascii="仿宋_GB2312" w:hAnsi="仿宋_GB2312" w:eastAsia="仿宋_GB2312" w:cs="仿宋_GB2312"/>
          <w:color w:val="auto"/>
          <w:sz w:val="32"/>
          <w:szCs w:val="32"/>
          <w:highlight w:val="none"/>
          <w:lang w:val="en-US" w:eastAsia="zh-CN"/>
        </w:rPr>
        <w:t>财政部门安排的行政单位（包括实行公务员管理的事业单位）基本医疗保险缴费经费。</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卫生健康</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（类）行政事业单位医疗（款）事业单位医疗（项）：指</w:t>
      </w:r>
      <w:r>
        <w:rPr>
          <w:rFonts w:hint="eastAsia" w:ascii="仿宋_GB2312" w:hAnsi="仿宋_GB2312" w:eastAsia="仿宋_GB2312" w:cs="仿宋_GB2312"/>
          <w:color w:val="auto"/>
          <w:sz w:val="32"/>
          <w:szCs w:val="32"/>
          <w:highlight w:val="none"/>
          <w:lang w:val="en-US" w:eastAsia="zh-CN"/>
        </w:rPr>
        <w:t>财政部门安排的</w:t>
      </w:r>
      <w:r>
        <w:rPr>
          <w:rFonts w:hint="eastAsia" w:ascii="仿宋_GB2312" w:hAnsi="仿宋_GB2312" w:eastAsia="仿宋_GB2312" w:cs="仿宋_GB2312"/>
          <w:color w:val="auto"/>
          <w:sz w:val="32"/>
          <w:szCs w:val="32"/>
          <w:highlight w:val="none"/>
        </w:rPr>
        <w:t>事业单位</w:t>
      </w:r>
      <w:r>
        <w:rPr>
          <w:rFonts w:hint="eastAsia" w:ascii="仿宋_GB2312" w:hAnsi="仿宋_GB2312" w:eastAsia="仿宋_GB2312" w:cs="仿宋_GB2312"/>
          <w:color w:val="auto"/>
          <w:sz w:val="32"/>
          <w:szCs w:val="32"/>
          <w:highlight w:val="none"/>
          <w:lang w:val="en-US" w:eastAsia="zh-CN"/>
        </w:rPr>
        <w:t>基本医疗保险缴费经费</w:t>
      </w:r>
      <w:r>
        <w:rPr>
          <w:rFonts w:hint="eastAsia" w:ascii="仿宋_GB2312" w:hAnsi="仿宋_GB2312" w:eastAsia="仿宋_GB2312" w:cs="仿宋_GB2312"/>
          <w:color w:val="auto"/>
          <w:sz w:val="32"/>
          <w:szCs w:val="32"/>
          <w:highlight w:val="none"/>
        </w:rPr>
        <w:t>。</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卫生健康支出（类）行政事业单位医疗（款）其他行政事业单位医疗支出（项）：</w:t>
      </w:r>
      <w:r>
        <w:rPr>
          <w:rFonts w:hint="eastAsia" w:ascii="仿宋_GB2312" w:hAnsi="仿宋_GB2312" w:eastAsia="仿宋_GB2312" w:cs="仿宋_GB2312"/>
          <w:color w:val="auto"/>
          <w:sz w:val="32"/>
          <w:szCs w:val="32"/>
          <w:highlight w:val="none"/>
          <w:lang w:val="en-US" w:eastAsia="zh-CN"/>
        </w:rPr>
        <w:t>指财政部门安排的行政事业单位的工伤保险支出。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节能环保支出（类）自然生态保护（款）生态保护（项）：指用于生态功能区、生态示范区等生态修复支出。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征地和拆迁补偿</w:t>
      </w:r>
      <w:r>
        <w:rPr>
          <w:rFonts w:hint="eastAsia" w:ascii="仿宋_GB2312" w:hAnsi="仿宋_GB2312" w:eastAsia="仿宋_GB2312" w:cs="仿宋_GB2312"/>
          <w:color w:val="auto"/>
          <w:sz w:val="32"/>
          <w:szCs w:val="32"/>
          <w:highlight w:val="none"/>
        </w:rPr>
        <w:t>支出（项）：</w:t>
      </w:r>
      <w:r>
        <w:rPr>
          <w:rFonts w:hint="eastAsia" w:ascii="仿宋_GB2312" w:hAnsi="仿宋_GB2312" w:eastAsia="仿宋_GB2312" w:cs="仿宋_GB2312"/>
          <w:color w:val="auto"/>
          <w:sz w:val="32"/>
          <w:szCs w:val="32"/>
          <w:highlight w:val="none"/>
          <w:lang w:val="en-US" w:eastAsia="zh-CN"/>
        </w:rPr>
        <w:t>指地方政府在征地和收购土地过程中支付的土地补偿费、安置补助费、地上附着物和青苗补偿费、拆迁补偿费支出。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城市建设支出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指国土空间总体规划编制工作。</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农村基础设施建设支出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指土地出让收入用于农村供水保障、村庄公共设施建设和管护以及与农业农村直接相关的以工代赈等方面的支出。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补助被征地农民支出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指用于被征土地农民的社保资金支出。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土地出让业务支出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指用于土地出让过程中的有关支出。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其他国有土地使用权出让收入安排的支出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指土地出让收入用于其他方面的支出</w:t>
      </w:r>
      <w:r>
        <w:rPr>
          <w:rFonts w:hint="eastAsia" w:ascii="仿宋_GB2312" w:hAnsi="仿宋_GB2312" w:eastAsia="仿宋_GB2312" w:cs="仿宋_GB2312"/>
          <w:color w:val="auto"/>
          <w:sz w:val="32"/>
          <w:szCs w:val="32"/>
          <w:highlight w:val="none"/>
        </w:rPr>
        <w:t>。</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自然资源海洋气象等（类）自然资源事务（款）行政运行（项）：指局</w:t>
      </w:r>
      <w:r>
        <w:rPr>
          <w:rFonts w:hint="eastAsia" w:ascii="仿宋_GB2312" w:hAnsi="仿宋_GB2312" w:eastAsia="仿宋_GB2312" w:cs="仿宋_GB2312"/>
          <w:color w:val="auto"/>
          <w:sz w:val="32"/>
          <w:szCs w:val="32"/>
          <w:highlight w:val="none"/>
          <w:lang w:val="en-US" w:eastAsia="zh-CN"/>
        </w:rPr>
        <w:t>机关及局属参公管理的事业单位</w:t>
      </w:r>
      <w:r>
        <w:rPr>
          <w:rFonts w:hint="eastAsia" w:ascii="仿宋_GB2312" w:hAnsi="仿宋_GB2312" w:eastAsia="仿宋_GB2312" w:cs="仿宋_GB2312"/>
          <w:color w:val="auto"/>
          <w:sz w:val="32"/>
          <w:szCs w:val="32"/>
          <w:highlight w:val="none"/>
        </w:rPr>
        <w:t>用于保障机构正常运行、开展日常工作的基本支出。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自然资源海洋气象等（类）自然资源事务（款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一般行政管理事务行（项）：指</w:t>
      </w:r>
      <w:r>
        <w:rPr>
          <w:rFonts w:hint="eastAsia" w:ascii="仿宋_GB2312" w:hAnsi="仿宋_GB2312" w:eastAsia="仿宋_GB2312" w:cs="仿宋_GB2312"/>
          <w:color w:val="auto"/>
          <w:sz w:val="32"/>
          <w:szCs w:val="32"/>
          <w:highlight w:val="none"/>
          <w:lang w:val="en-US" w:eastAsia="zh-CN"/>
        </w:rPr>
        <w:t>行政单位（包括实行公务员管理的事业单位）未单独设置项级科目的其他项目</w:t>
      </w:r>
      <w:r>
        <w:rPr>
          <w:rFonts w:hint="eastAsia" w:ascii="仿宋_GB2312" w:hAnsi="仿宋_GB2312" w:eastAsia="仿宋_GB2312" w:cs="仿宋_GB2312"/>
          <w:color w:val="auto"/>
          <w:sz w:val="32"/>
          <w:szCs w:val="32"/>
          <w:highlight w:val="none"/>
        </w:rPr>
        <w:t>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自然资源海洋气象等（类）自然资源事务（款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自然资源利用与保护</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指用于自然资源有偿使用与合理开发利用，国土空间生态修复，国土整治，耕地保护等方面的支出。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自然资源海洋气象等支出（类）自然资源事务（款）</w:t>
      </w:r>
      <w:r>
        <w:rPr>
          <w:rFonts w:hint="eastAsia" w:ascii="仿宋_GB2312" w:hAnsi="仿宋_GB2312" w:eastAsia="仿宋_GB2312" w:cs="仿宋_GB2312"/>
          <w:color w:val="auto"/>
          <w:sz w:val="32"/>
          <w:szCs w:val="32"/>
          <w:highlight w:val="none"/>
          <w:lang w:val="en-US" w:eastAsia="zh-CN"/>
        </w:rPr>
        <w:t>自然资源行业业务管理</w:t>
      </w:r>
      <w:r>
        <w:rPr>
          <w:rFonts w:hint="eastAsia" w:ascii="仿宋_GB2312" w:hAnsi="仿宋_GB2312" w:eastAsia="仿宋_GB2312" w:cs="仿宋_GB2312"/>
          <w:color w:val="auto"/>
          <w:sz w:val="32"/>
          <w:szCs w:val="32"/>
          <w:highlight w:val="none"/>
        </w:rPr>
        <w:t>（项）：指</w:t>
      </w:r>
      <w:r>
        <w:rPr>
          <w:rFonts w:hint="eastAsia" w:ascii="仿宋_GB2312" w:hAnsi="仿宋_GB2312" w:eastAsia="仿宋_GB2312" w:cs="仿宋_GB2312"/>
          <w:color w:val="auto"/>
          <w:sz w:val="32"/>
          <w:szCs w:val="32"/>
          <w:highlight w:val="none"/>
          <w:lang w:val="en-US" w:eastAsia="zh-CN"/>
        </w:rPr>
        <w:t>用于自然资源行业业务管理经费，包括政策法规、审计监督、队伍建设等方面的支出。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自然资源海洋气象等支出（类）自然资源事务（款）</w:t>
      </w:r>
      <w:r>
        <w:rPr>
          <w:rFonts w:hint="eastAsia" w:ascii="仿宋_GB2312" w:hAnsi="仿宋_GB2312" w:eastAsia="仿宋_GB2312" w:cs="仿宋_GB2312"/>
          <w:color w:val="auto"/>
          <w:sz w:val="32"/>
          <w:szCs w:val="32"/>
          <w:highlight w:val="none"/>
          <w:lang w:val="en-US" w:eastAsia="zh-CN"/>
        </w:rPr>
        <w:t>自然资源调查与确权登记</w:t>
      </w:r>
      <w:r>
        <w:rPr>
          <w:rFonts w:hint="eastAsia" w:ascii="仿宋_GB2312" w:hAnsi="仿宋_GB2312" w:eastAsia="仿宋_GB2312" w:cs="仿宋_GB2312"/>
          <w:color w:val="auto"/>
          <w:sz w:val="32"/>
          <w:szCs w:val="32"/>
          <w:highlight w:val="none"/>
        </w:rPr>
        <w:t>（项）：指</w:t>
      </w:r>
      <w:r>
        <w:rPr>
          <w:rFonts w:hint="eastAsia" w:ascii="仿宋_GB2312" w:hAnsi="仿宋_GB2312" w:eastAsia="仿宋_GB2312" w:cs="仿宋_GB2312"/>
          <w:color w:val="auto"/>
          <w:sz w:val="32"/>
          <w:szCs w:val="32"/>
          <w:highlight w:val="none"/>
          <w:lang w:val="en-US" w:eastAsia="zh-CN"/>
        </w:rPr>
        <w:t>自然资源部门用于自然资源调查监测评价，自然资源统一确权登记等方面的支出。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自然资源海洋气象等支出（类）自然资源事务（款）地质勘察与矿产资源管理（项）：指矿业权管理、矿产资源合理利用和保护方面的支出。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自然资源海洋气象等（类）自然资源事务（款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事业运行（项）：指局事业单位用于保障机构正常运行、开展日常工作的基本支出。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自然资源海洋气象等支出（类）自然资源事务（款）其他自然资源事务（项）：指除</w:t>
      </w:r>
      <w:r>
        <w:rPr>
          <w:rFonts w:hint="eastAsia" w:ascii="仿宋_GB2312" w:hAnsi="仿宋_GB2312" w:eastAsia="仿宋_GB2312" w:cs="仿宋_GB2312"/>
          <w:color w:val="auto"/>
          <w:sz w:val="32"/>
          <w:szCs w:val="32"/>
          <w:highlight w:val="none"/>
          <w:lang w:val="en-US" w:eastAsia="zh-CN"/>
        </w:rPr>
        <w:t>上述项目以外其他用于自然资源海洋气象等方面的支出。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住房保障（类）住房改革支出（款）住房公积金（项）：指按行政事业单位按人力资源和社会保障部、财政部规定的基本工资和津贴补贴以及规定比例为职工缴纳的住房公积金。</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灾害防治及应急管理（类）自然灾害防治（款）地质灾害防治（项）：指用于地质灾害防治方面的支出。</w:t>
      </w:r>
    </w:p>
    <w:p>
      <w:pPr>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p>
    <w:p>
      <w:pPr>
        <w:pStyle w:val="32"/>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2"/>
        </w:numPr>
        <w:shd w:val="clear"/>
        <w:kinsoku/>
        <w:wordWrap/>
        <w:overflowPunct/>
        <w:topLinePunct w:val="0"/>
        <w:bidi w:val="0"/>
        <w:snapToGrid/>
        <w:spacing w:line="576" w:lineRule="exact"/>
        <w:ind w:left="20" w:leftChars="0" w:right="0" w:firstLine="400" w:firstLineChars="0"/>
        <w:jc w:val="both"/>
        <w:textAlignment w:val="auto"/>
        <w:outlineLvl w:val="0"/>
        <w:rPr>
          <w:rFonts w:hint="eastAsia" w:ascii="仿宋_GB2312" w:eastAsia="仿宋_GB2312"/>
          <w:color w:val="auto"/>
          <w:sz w:val="32"/>
          <w:szCs w:val="32"/>
          <w:highlight w:val="none"/>
          <w:lang w:eastAsia="zh-CN"/>
        </w:rPr>
      </w:pPr>
      <w:bookmarkStart w:id="76" w:name="_Toc31341"/>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End w:id="76"/>
      <w:bookmarkStart w:id="77" w:name="_Toc15377226"/>
    </w:p>
    <w:p>
      <w:pPr>
        <w:pStyle w:val="2"/>
        <w:rPr>
          <w:rFonts w:hint="default" w:eastAsia="仿宋_GB2312"/>
          <w:lang w:val="en-US" w:eastAsia="zh-CN"/>
        </w:rPr>
      </w:pPr>
    </w:p>
    <w:p>
      <w:pPr>
        <w:pStyle w:val="2"/>
        <w:keepNext w:val="0"/>
        <w:keepLines w:val="0"/>
        <w:pageBreakBefore w:val="0"/>
        <w:widowControl w:val="0"/>
        <w:shd w:val="clear"/>
        <w:kinsoku/>
        <w:wordWrap/>
        <w:overflowPunct/>
        <w:topLinePunct w:val="0"/>
        <w:bidi w:val="0"/>
        <w:snapToGrid/>
        <w:spacing w:line="576" w:lineRule="exact"/>
        <w:ind w:leftChars="0" w:firstLine="420" w:firstLineChars="200"/>
        <w:jc w:val="both"/>
        <w:textAlignment w:val="auto"/>
        <w:rPr>
          <w:rFonts w:hint="eastAsia"/>
          <w:color w:val="auto"/>
          <w:highlight w:val="none"/>
          <w:lang w:eastAsia="zh-CN"/>
        </w:rPr>
      </w:pPr>
    </w:p>
    <w:p>
      <w:pPr>
        <w:pageBreakBefore w:val="0"/>
        <w:widowControl w:val="0"/>
        <w:shd w:val="clear"/>
        <w:kinsoku/>
        <w:wordWrap/>
        <w:overflowPunct/>
        <w:topLinePunct w:val="0"/>
        <w:bidi w:val="0"/>
        <w:spacing w:line="576" w:lineRule="exact"/>
        <w:ind w:right="0"/>
        <w:jc w:val="center"/>
        <w:textAlignment w:val="auto"/>
        <w:outlineLvl w:val="0"/>
        <w:rPr>
          <w:rStyle w:val="22"/>
          <w:rFonts w:hint="eastAsia" w:ascii="黑体" w:hAnsi="黑体" w:eastAsia="黑体"/>
          <w:b w:val="0"/>
          <w:color w:val="auto"/>
          <w:highlight w:val="none"/>
        </w:rPr>
      </w:pPr>
      <w:r>
        <w:rPr>
          <w:rFonts w:ascii="宋体"/>
          <w:b/>
          <w:color w:val="auto"/>
          <w:sz w:val="44"/>
          <w:szCs w:val="44"/>
          <w:highlight w:val="none"/>
        </w:rPr>
        <w:br w:type="page"/>
      </w:r>
      <w:bookmarkStart w:id="78" w:name="_Toc4498"/>
      <w:bookmarkStart w:id="79" w:name="_Toc15396614"/>
      <w:r>
        <w:rPr>
          <w:rFonts w:hint="eastAsia" w:ascii="黑体" w:hAnsi="黑体" w:eastAsia="黑体"/>
          <w:color w:val="auto"/>
          <w:sz w:val="44"/>
          <w:szCs w:val="44"/>
          <w:highlight w:val="none"/>
        </w:rPr>
        <w:t>第</w:t>
      </w:r>
      <w:r>
        <w:rPr>
          <w:rStyle w:val="22"/>
          <w:rFonts w:hint="eastAsia" w:ascii="黑体" w:hAnsi="黑体" w:eastAsia="黑体"/>
          <w:b w:val="0"/>
          <w:color w:val="auto"/>
          <w:highlight w:val="none"/>
        </w:rPr>
        <w:t>四部分</w:t>
      </w:r>
      <w:r>
        <w:rPr>
          <w:rStyle w:val="22"/>
          <w:rFonts w:hint="eastAsia" w:ascii="黑体" w:hAnsi="黑体" w:eastAsia="黑体"/>
          <w:b w:val="0"/>
          <w:color w:val="auto"/>
          <w:highlight w:val="none"/>
          <w:lang w:val="en-US" w:eastAsia="zh-CN"/>
        </w:rPr>
        <w:t xml:space="preserve">  </w:t>
      </w:r>
      <w:r>
        <w:rPr>
          <w:rStyle w:val="22"/>
          <w:rFonts w:hint="eastAsia" w:ascii="黑体" w:hAnsi="黑体" w:eastAsia="黑体"/>
          <w:b w:val="0"/>
          <w:color w:val="auto"/>
          <w:highlight w:val="none"/>
        </w:rPr>
        <w:t>附件</w:t>
      </w:r>
      <w:bookmarkEnd w:id="78"/>
      <w:bookmarkEnd w:id="79"/>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p>
      <w:pPr>
        <w:pageBreakBefore w:val="0"/>
        <w:widowControl w:val="0"/>
        <w:kinsoku/>
        <w:wordWrap/>
        <w:overflowPunct/>
        <w:topLinePunct w:val="0"/>
        <w:autoSpaceDE/>
        <w:autoSpaceDN/>
        <w:bidi w:val="0"/>
        <w:spacing w:line="520" w:lineRule="exact"/>
        <w:ind w:firstLine="0" w:firstLineChars="0"/>
        <w:contextualSpacing/>
        <w:jc w:val="center"/>
        <w:textAlignment w:val="auto"/>
        <w:rPr>
          <w:rFonts w:hint="eastAsia" w:ascii="方正小标宋_GBK" w:hAnsi="方正小标宋_GBK" w:eastAsia="方正小标宋_GBK" w:cs="方正小标宋_GBK"/>
          <w:b w:val="0"/>
          <w:bCs/>
          <w:sz w:val="44"/>
          <w:szCs w:val="44"/>
          <w:shd w:val="clear" w:color="auto" w:fill="FFFFFF"/>
        </w:rPr>
      </w:pPr>
      <w:r>
        <w:rPr>
          <w:rFonts w:hint="eastAsia" w:ascii="方正小标宋_GBK" w:hAnsi="方正小标宋_GBK" w:eastAsia="方正小标宋_GBK" w:cs="方正小标宋_GBK"/>
          <w:b w:val="0"/>
          <w:bCs/>
          <w:sz w:val="44"/>
          <w:szCs w:val="44"/>
          <w:shd w:val="clear" w:color="auto" w:fill="FFFFFF"/>
        </w:rPr>
        <w:t>广元市自然资源局</w:t>
      </w:r>
    </w:p>
    <w:p>
      <w:pPr>
        <w:pStyle w:val="2"/>
        <w:rPr>
          <w:rFonts w:hint="eastAsia"/>
          <w:lang w:val="en-US" w:eastAsia="zh-CN"/>
        </w:rPr>
      </w:pP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_GBK" w:cs="Times New Roman"/>
          <w:b w:val="0"/>
          <w:bCs/>
          <w:sz w:val="44"/>
          <w:szCs w:val="44"/>
          <w:highlight w:val="none"/>
          <w:shd w:val="clear" w:color="auto" w:fill="FFFFFF"/>
        </w:rPr>
      </w:pPr>
      <w:r>
        <w:rPr>
          <w:rFonts w:hint="default" w:ascii="Times New Roman" w:hAnsi="Times New Roman" w:eastAsia="方正小标宋_GBK" w:cs="Times New Roman"/>
          <w:b w:val="0"/>
          <w:bCs/>
          <w:sz w:val="44"/>
          <w:szCs w:val="44"/>
          <w:highlight w:val="none"/>
          <w:shd w:val="clear" w:color="auto" w:fill="FFFFFF"/>
        </w:rPr>
        <w:t>部门</w:t>
      </w:r>
      <w:r>
        <w:rPr>
          <w:rFonts w:hint="default" w:ascii="Times New Roman" w:hAnsi="Times New Roman" w:eastAsia="方正小标宋_GBK" w:cs="Times New Roman"/>
          <w:b w:val="0"/>
          <w:bCs/>
          <w:sz w:val="44"/>
          <w:szCs w:val="44"/>
          <w:highlight w:val="none"/>
          <w:shd w:val="clear" w:color="auto" w:fill="FFFFFF"/>
          <w:lang w:eastAsia="zh-CN"/>
        </w:rPr>
        <w:t>预算</w:t>
      </w:r>
      <w:r>
        <w:rPr>
          <w:rFonts w:hint="default" w:ascii="Times New Roman" w:hAnsi="Times New Roman" w:eastAsia="方正小标宋_GBK" w:cs="Times New Roman"/>
          <w:b w:val="0"/>
          <w:bCs/>
          <w:sz w:val="44"/>
          <w:szCs w:val="44"/>
          <w:highlight w:val="none"/>
          <w:shd w:val="clear" w:color="auto" w:fill="FFFFFF"/>
        </w:rPr>
        <w:t>绩效</w:t>
      </w:r>
      <w:r>
        <w:rPr>
          <w:rFonts w:hint="eastAsia" w:ascii="Times New Roman" w:hAnsi="Times New Roman" w:eastAsia="方正小标宋_GBK" w:cs="Times New Roman"/>
          <w:b w:val="0"/>
          <w:bCs/>
          <w:sz w:val="44"/>
          <w:szCs w:val="44"/>
          <w:highlight w:val="none"/>
          <w:shd w:val="clear" w:color="auto" w:fill="FFFFFF"/>
          <w:lang w:eastAsia="zh-CN"/>
        </w:rPr>
        <w:t>评价</w:t>
      </w:r>
      <w:r>
        <w:rPr>
          <w:rFonts w:hint="default" w:ascii="Times New Roman" w:hAnsi="Times New Roman" w:eastAsia="方正小标宋_GBK" w:cs="Times New Roman"/>
          <w:b w:val="0"/>
          <w:bCs/>
          <w:sz w:val="44"/>
          <w:szCs w:val="44"/>
          <w:highlight w:val="none"/>
          <w:shd w:val="clear" w:color="auto" w:fill="FFFFFF"/>
        </w:rPr>
        <w:t>报告范本</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仿宋_GB2312" w:cs="Times New Roman"/>
          <w:sz w:val="32"/>
          <w:szCs w:val="32"/>
          <w:highlight w:val="none"/>
          <w:shd w:val="clear" w:color="auto" w:fill="FFFFFF"/>
        </w:rPr>
        <w:t>（报告范围包括机关和下属单位）</w:t>
      </w:r>
    </w:p>
    <w:p>
      <w:pPr>
        <w:keepNext w:val="0"/>
        <w:keepLines w:val="0"/>
        <w:pageBreakBefore w:val="0"/>
        <w:widowControl w:val="0"/>
        <w:kinsoku/>
        <w:wordWrap/>
        <w:overflowPunct/>
        <w:topLinePunct w:val="0"/>
        <w:autoSpaceDE/>
        <w:autoSpaceDN/>
        <w:bidi w:val="0"/>
        <w:adjustRightInd/>
        <w:snapToGrid/>
        <w:spacing w:line="576" w:lineRule="exact"/>
        <w:ind w:firstLine="0" w:firstLineChars="0"/>
        <w:contextualSpacing/>
        <w:jc w:val="center"/>
        <w:textAlignment w:val="auto"/>
        <w:rPr>
          <w:rFonts w:hint="eastAsia" w:ascii="方正小标宋_GBK" w:hAnsi="方正小标宋_GBK" w:eastAsia="方正小标宋_GBK" w:cs="方正小标宋_GBK"/>
          <w:b w:val="0"/>
          <w:bCs/>
          <w:sz w:val="44"/>
          <w:szCs w:val="44"/>
          <w:shd w:val="clear" w:color="auto" w:fill="FFFFFF"/>
        </w:rPr>
      </w:pP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黑体" w:hAnsi="黑体" w:eastAsia="黑体" w:cs="黑体"/>
          <w:b w:val="0"/>
          <w:bCs/>
          <w:sz w:val="32"/>
          <w:szCs w:val="32"/>
        </w:rPr>
      </w:pPr>
      <w:r>
        <w:rPr>
          <w:rFonts w:hint="eastAsia" w:ascii="黑体" w:hAnsi="黑体" w:eastAsia="黑体" w:cs="黑体"/>
          <w:b w:val="0"/>
          <w:bCs/>
          <w:color w:val="000000"/>
          <w:kern w:val="0"/>
          <w:sz w:val="32"/>
          <w:szCs w:val="32"/>
          <w:shd w:val="clear" w:color="auto" w:fill="FFFFFF"/>
          <w:lang w:val="zh-CN"/>
        </w:rPr>
        <w:t>一、基本情况</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color w:val="000000"/>
          <w:kern w:val="0"/>
          <w:sz w:val="32"/>
          <w:szCs w:val="32"/>
          <w:shd w:val="clear" w:color="auto" w:fill="FFFFFF"/>
          <w:lang w:val="zh-CN"/>
        </w:rPr>
        <w:t>（一）机构组成。</w:t>
      </w:r>
      <w:r>
        <w:rPr>
          <w:rFonts w:hint="eastAsia" w:ascii="仿宋_GB2312" w:hAnsi="仿宋_GB2312" w:eastAsia="仿宋_GB2312" w:cs="仿宋_GB2312"/>
          <w:b w:val="0"/>
          <w:bCs/>
          <w:sz w:val="32"/>
          <w:szCs w:val="32"/>
        </w:rPr>
        <w:t>广元市自然资源局属广元市人民政府工作职能部门，为市财政一级预算的行政单位。根据中共广元市委办公室关于印发《广元市自然资源局职能配置、内设机构和人员编制制定的通知》（广委办</w:t>
      </w:r>
      <w:r>
        <w:rPr>
          <w:rFonts w:hint="eastAsia" w:ascii="仿宋_GB2312" w:hAnsi="仿宋_GB2312" w:cs="仿宋_GB2312"/>
          <w:b w:val="0"/>
          <w:bCs/>
          <w:sz w:val="32"/>
          <w:szCs w:val="32"/>
          <w:lang w:val="en-US" w:eastAsia="zh-CN"/>
        </w:rPr>
        <w:t>函</w:t>
      </w:r>
      <w:r>
        <w:rPr>
          <w:rFonts w:hint="eastAsia" w:ascii="仿宋_GB2312" w:hAnsi="仿宋_GB2312" w:eastAsia="仿宋_GB2312" w:cs="仿宋_GB2312"/>
          <w:b w:val="0"/>
          <w:bCs/>
          <w:sz w:val="32"/>
          <w:szCs w:val="32"/>
        </w:rPr>
        <w:t>[2019]41号），局机关内设机构共17个，分别为：办公室、机关党委、政策法规与执法监督科（行政审批科）、调查监测与确权登记科、自然资源所有者权益和审计科、自然资源开发利用科、国土空间规划科、国土空间用途管制科、国土空间生态修复科、规划管理科、耕地保护监督科、矿产资源管理科、地质灾害防治科、测绘地理信息管理科、督查信访科、财务与资金运用科、人事科。</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局属独立核算的事业单位7个，分别为广元市自然资源局经济开发区事务中心、广元市地质环境监测站、广元市不动产登记中心、广元市自然资源储备交易中心、广元市国土整治中心、广元市地籍地政事务中心、广元市测绘地理信息中心；纳入局机关统一核算的事业单位2个，分别是广元市自然资源信息档案中心、广元市自然资源综合行政执法支队。</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color w:val="000000"/>
          <w:kern w:val="0"/>
          <w:sz w:val="32"/>
          <w:szCs w:val="32"/>
          <w:shd w:val="clear" w:color="auto" w:fill="FFFFFF"/>
          <w:lang w:val="zh-CN"/>
        </w:rPr>
        <w:t>（二）机构职能。</w:t>
      </w:r>
      <w:r>
        <w:rPr>
          <w:rFonts w:hint="eastAsia" w:ascii="仿宋_GB2312" w:hAnsi="仿宋_GB2312" w:eastAsia="仿宋_GB2312" w:cs="仿宋_GB2312"/>
          <w:b w:val="0"/>
          <w:bCs/>
          <w:sz w:val="32"/>
          <w:szCs w:val="32"/>
        </w:rPr>
        <w:t>广元市自然资源局的主要职责：</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按照规定权限，履行全民所有土地、矿产、森林、湿地、水等自然资源资产所有者职责和所有国土空间用途管制职责。拟订全市自然资源和国土空间规划地方性法规、政策规章草案，制定有关政策措施并监督检查执行情况。</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负责全市自然资源调查监测评价。依照自然资源调查监测评价的指标体系和统计标准，建立统一的自然资源调查监测评价制度。实施自然资源基础调查、专项调查和监测。负责自然资源调查监测评价成果的监督管理和信息发布。指导县区自然资源调查监测评价工作。</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负责全市自然资源统一确权登记工作。组织实施各类自然资源和不动产统一确权登记、权籍调查、不动产测绘、争议调处、成果应用的制度、标准、规范。建立健全全市自然资源和不动产登记信息管理基础平台。负责自然资源和不动产登记资料收集、整理、共享、汇交管理等。指导监督自然资源和不动产确权登记工作。</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4.负责全市自然资源资产有偿使用工作。建立全民所有自然资源资产统计制度，负责全民所有自然资源资产核算。编制全民所有自然资源资产负债表，依照有关标准组织考核。按照规定权限，制定全民所有自然资源资产划拨、出让、租赁、作价出资和土地储备政策，合理配置全民所有自然资源资产。负责自然资源资产价值评估管理，依法收缴相关资产收益。</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负责全市自然资源的合理开发利用。组织拟订并实施自然资源发展规划和战略，建立政府公示自然资源价格体系，组织开展自然资源分等定级价格评估，开展自然资源利用评价考核，指导节约集约利用。负责自然资源市场监管。组织研究自然资源管理涉及宏观调控、区域协调和城乡统筹的政策措施。</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6.负责建立全市空间规划体系并监督实施。推进主体功能区战略和制度，组织编制并监督实施国土空间规划和相关专项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研究拟订城乡规划政策并监督实施。组织拟订并实施土地等自然资源年度利用计划。负责土地等国土空间用途转用工作。负责土地征收征用管理。</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7.负责统筹全市国土空间生态修复。牵头组织编制全市国土空间生态修复规划并实施有关生态修复重大工程。负责开展国土空间综合整治、土地整理复垦、矿山地质环境恢复治理等工作。牵头建立和实施生态保护补偿制度，制定合理利用社会资金进行生态修复的政策措施，提出重大备选项目。</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8.负责组织实施最严格的耕地保护制度。牵头拟订并实施全市耕地保护政策，负责耕地数量、质量、生态保护。组织实施耕地保护责任目标考核和永久基本农田特殊保护。完善耕地占补平衡制度，监督占用耕地补偿制度执行情况。</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9.负责管理全市地质勘察和地质工作。拟订全市地质勘查规划并监督检查执行情况。组织实施重大地质矿产勘查专项。负责地质灾害预防和治理，监督管理地下水过量开采及引发的地面沉降等地质问题。负责古生物化石的监督管理。</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10.负责落实综合防灾减灾规划相关要求，组织编制并实施地质灾害防治规划。组织、指导、协调和监督地质灾害调查评价及隐患的普查、详查、排查。组织、指导开展群测群防、专业监测和预报预警等工作，组织、指导开展地质灾害工程治理工作。承担地质灾害应急救援的技术保障工作。</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11.负责全市矿产资源管理工作。负责矿产资源储量管理及压覆矿产资源审核报批。负责矿业权管理。会同有关部门承担保护性开采的特定矿种、优势矿产的调控及相关管理工作。监督指导矿产资源合理利用和保护。</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12.推动全市自然资源领域科技发展和对外合作。制定并实施全市自然资源领域科技创新发展和人才培养规划、计划。组织实施重大科技专项及创新能力建设，推进自然资源信息化和信息资料的公共服务。组织开展全市自然资源系统对外交流合作。</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13.配合国家对县区政府落实党中央、国务院关于自然资源和国土空间规划的重大方针政策、决策部署及法律法规执行情况进行督察。按照市委、市政府安排，组织实施自然资源督查相关工作。查处全市自然资源开发利用、国土空间规划等领域重大违法案件。指导县区有关行政执法工作。</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14.负责职责范围内的安全生产和职业健康、生态环境保护、审批服务便民化等工作。</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15.负责测绘地理信息管理。负责基础测绘和测绘行业管理。监督管理全市测绘地理信息安全和市场秩序。负责地理信息公共服务管理和测量标志保护。</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16.统一领导和管理广元市林业局（简称林业局）。</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17.完成市委、市政府交办的其他任务。</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18.职能转变。落实关于统一行使全民所有自然资源资产所有者职责，统一行使所有国土空间用途管制和生态修复职责的要求，发挥国土空间规划的管控作用，为保护合理开发利用自然资源提供科学指引。</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color w:val="000000"/>
          <w:kern w:val="0"/>
          <w:sz w:val="32"/>
          <w:szCs w:val="32"/>
          <w:shd w:val="clear" w:color="auto" w:fill="FFFFFF"/>
          <w:lang w:val="zh-CN"/>
        </w:rPr>
        <w:t>（三）人员概况。</w:t>
      </w:r>
      <w:r>
        <w:rPr>
          <w:rFonts w:hint="eastAsia" w:ascii="仿宋_GB2312" w:hAnsi="仿宋_GB2312" w:eastAsia="仿宋_GB2312" w:cs="仿宋_GB2312"/>
          <w:b w:val="0"/>
          <w:bCs/>
          <w:sz w:val="32"/>
          <w:szCs w:val="32"/>
        </w:rPr>
        <w:t>截至202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rPr>
        <w:t>年末，广元市自然资源局及下属事业单位总编制175名，其中:行政编制34名，工勤编制3名，参公人员38名，其他事业编制100名。年末在职人员1</w:t>
      </w:r>
      <w:r>
        <w:rPr>
          <w:rFonts w:hint="eastAsia" w:ascii="仿宋_GB2312" w:hAnsi="仿宋_GB2312" w:cs="仿宋_GB2312"/>
          <w:b w:val="0"/>
          <w:bCs/>
          <w:sz w:val="32"/>
          <w:szCs w:val="32"/>
          <w:lang w:val="en-US" w:eastAsia="zh-CN"/>
        </w:rPr>
        <w:t>74</w:t>
      </w:r>
      <w:r>
        <w:rPr>
          <w:rFonts w:hint="eastAsia" w:ascii="仿宋_GB2312" w:hAnsi="仿宋_GB2312" w:eastAsia="仿宋_GB2312" w:cs="仿宋_GB2312"/>
          <w:b w:val="0"/>
          <w:bCs/>
          <w:sz w:val="32"/>
          <w:szCs w:val="32"/>
        </w:rPr>
        <w:t>人，其中行政人员3</w:t>
      </w:r>
      <w:r>
        <w:rPr>
          <w:rFonts w:hint="eastAsia" w:ascii="仿宋_GB2312" w:hAnsi="仿宋_GB2312" w:cs="仿宋_GB2312"/>
          <w:b w:val="0"/>
          <w:bCs/>
          <w:sz w:val="32"/>
          <w:szCs w:val="32"/>
          <w:lang w:val="en-US" w:eastAsia="zh-CN"/>
        </w:rPr>
        <w:t>5</w:t>
      </w:r>
      <w:r>
        <w:rPr>
          <w:rFonts w:hint="eastAsia" w:ascii="仿宋_GB2312" w:hAnsi="仿宋_GB2312" w:eastAsia="仿宋_GB2312" w:cs="仿宋_GB2312"/>
          <w:b w:val="0"/>
          <w:bCs/>
          <w:sz w:val="32"/>
          <w:szCs w:val="32"/>
        </w:rPr>
        <w:t>人（含派驻纪检组</w:t>
      </w:r>
      <w:r>
        <w:rPr>
          <w:rFonts w:hint="eastAsia" w:ascii="仿宋_GB2312" w:hAnsi="仿宋_GB2312" w:cs="仿宋_GB2312"/>
          <w:b w:val="0"/>
          <w:bCs/>
          <w:sz w:val="32"/>
          <w:szCs w:val="32"/>
          <w:lang w:val="en-US" w:eastAsia="zh-CN"/>
        </w:rPr>
        <w:t>6人</w:t>
      </w:r>
      <w:r>
        <w:rPr>
          <w:rFonts w:hint="eastAsia" w:ascii="仿宋_GB2312" w:hAnsi="仿宋_GB2312" w:eastAsia="仿宋_GB2312" w:cs="仿宋_GB2312"/>
          <w:b w:val="0"/>
          <w:bCs/>
          <w:sz w:val="32"/>
          <w:szCs w:val="32"/>
        </w:rPr>
        <w:t>），工勤人员</w:t>
      </w:r>
      <w:r>
        <w:rPr>
          <w:rFonts w:hint="eastAsia" w:ascii="仿宋_GB2312" w:hAnsi="仿宋_GB2312" w:cs="仿宋_GB2312"/>
          <w:b w:val="0"/>
          <w:bCs/>
          <w:sz w:val="32"/>
          <w:szCs w:val="32"/>
          <w:lang w:val="en-US" w:eastAsia="zh-CN"/>
        </w:rPr>
        <w:t>3</w:t>
      </w:r>
      <w:r>
        <w:rPr>
          <w:rFonts w:hint="eastAsia" w:ascii="仿宋_GB2312" w:hAnsi="仿宋_GB2312" w:eastAsia="仿宋_GB2312" w:cs="仿宋_GB2312"/>
          <w:b w:val="0"/>
          <w:bCs/>
          <w:sz w:val="32"/>
          <w:szCs w:val="32"/>
        </w:rPr>
        <w:t>人，参公人员</w:t>
      </w:r>
      <w:r>
        <w:rPr>
          <w:rFonts w:hint="eastAsia" w:ascii="仿宋_GB2312" w:hAnsi="仿宋_GB2312" w:cs="仿宋_GB2312"/>
          <w:b w:val="0"/>
          <w:bCs/>
          <w:sz w:val="32"/>
          <w:szCs w:val="32"/>
          <w:lang w:val="en-US" w:eastAsia="zh-CN"/>
        </w:rPr>
        <w:t>38</w:t>
      </w:r>
      <w:r>
        <w:rPr>
          <w:rFonts w:hint="eastAsia" w:ascii="仿宋_GB2312" w:hAnsi="仿宋_GB2312" w:eastAsia="仿宋_GB2312" w:cs="仿宋_GB2312"/>
          <w:b w:val="0"/>
          <w:bCs/>
          <w:sz w:val="32"/>
          <w:szCs w:val="32"/>
        </w:rPr>
        <w:t>人，其他事业人员9</w:t>
      </w:r>
      <w:r>
        <w:rPr>
          <w:rFonts w:hint="eastAsia" w:ascii="仿宋_GB2312" w:hAnsi="仿宋_GB2312" w:cs="仿宋_GB2312"/>
          <w:b w:val="0"/>
          <w:bCs/>
          <w:sz w:val="32"/>
          <w:szCs w:val="32"/>
          <w:lang w:val="en-US" w:eastAsia="zh-CN"/>
        </w:rPr>
        <w:t>8</w:t>
      </w:r>
      <w:r>
        <w:rPr>
          <w:rFonts w:hint="eastAsia" w:ascii="仿宋_GB2312" w:hAnsi="仿宋_GB2312" w:eastAsia="仿宋_GB2312" w:cs="仿宋_GB2312"/>
          <w:b w:val="0"/>
          <w:bCs/>
          <w:sz w:val="32"/>
          <w:szCs w:val="32"/>
        </w:rPr>
        <w:t>人。</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黑体" w:hAnsi="黑体" w:eastAsia="黑体" w:cs="黑体"/>
          <w:b w:val="0"/>
          <w:bCs/>
          <w:color w:val="000000"/>
          <w:kern w:val="0"/>
          <w:sz w:val="32"/>
          <w:szCs w:val="32"/>
          <w:shd w:val="clear" w:color="auto" w:fill="FFFFFF"/>
          <w:lang w:val="zh-CN"/>
        </w:rPr>
      </w:pPr>
      <w:r>
        <w:rPr>
          <w:rFonts w:hint="eastAsia" w:ascii="黑体" w:hAnsi="黑体" w:eastAsia="黑体" w:cs="黑体"/>
          <w:b w:val="0"/>
          <w:bCs/>
          <w:color w:val="000000"/>
          <w:kern w:val="0"/>
          <w:sz w:val="32"/>
          <w:szCs w:val="32"/>
          <w:shd w:val="clear" w:color="auto" w:fill="FFFFFF"/>
          <w:lang w:val="zh-CN"/>
        </w:rPr>
        <w:t>二、部门资金收支情况</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kern w:val="0"/>
          <w:sz w:val="32"/>
          <w:szCs w:val="32"/>
        </w:rPr>
      </w:pPr>
      <w:r>
        <w:rPr>
          <w:rFonts w:hint="eastAsia" w:ascii="楷体_GB2312" w:hAnsi="楷体_GB2312" w:eastAsia="楷体_GB2312" w:cs="楷体_GB2312"/>
          <w:b w:val="0"/>
          <w:bCs/>
          <w:color w:val="000000"/>
          <w:kern w:val="0"/>
          <w:sz w:val="32"/>
          <w:szCs w:val="32"/>
          <w:shd w:val="clear" w:color="auto" w:fill="FFFFFF"/>
          <w:lang w:val="zh-CN"/>
        </w:rPr>
        <w:t>（一）收入情况。</w:t>
      </w:r>
      <w:r>
        <w:rPr>
          <w:rFonts w:hint="eastAsia" w:ascii="仿宋_GB2312" w:hAnsi="仿宋_GB2312" w:eastAsia="仿宋_GB2312" w:cs="仿宋_GB2312"/>
          <w:b w:val="0"/>
          <w:bCs/>
          <w:sz w:val="32"/>
          <w:szCs w:val="32"/>
        </w:rPr>
        <w:t>广元市自然资源局及下属事业单位202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rPr>
        <w:t>年年初预算收入</w:t>
      </w:r>
      <w:r>
        <w:rPr>
          <w:rFonts w:hint="eastAsia" w:ascii="仿宋_GB2312" w:hAnsi="仿宋_GB2312" w:cs="仿宋_GB2312"/>
          <w:b w:val="0"/>
          <w:bCs/>
          <w:sz w:val="32"/>
          <w:szCs w:val="32"/>
          <w:lang w:val="en-US" w:eastAsia="zh-CN"/>
        </w:rPr>
        <w:t>4973.52</w:t>
      </w:r>
      <w:r>
        <w:rPr>
          <w:rFonts w:hint="eastAsia" w:ascii="仿宋_GB2312" w:hAnsi="仿宋_GB2312" w:eastAsia="仿宋_GB2312" w:cs="仿宋_GB2312"/>
          <w:b w:val="0"/>
          <w:bCs/>
          <w:sz w:val="32"/>
          <w:szCs w:val="32"/>
        </w:rPr>
        <w:t>万元。其中：财政拨款收入</w:t>
      </w:r>
      <w:r>
        <w:rPr>
          <w:rFonts w:hint="eastAsia" w:ascii="仿宋_GB2312" w:hAnsi="仿宋_GB2312" w:cs="仿宋_GB2312"/>
          <w:b w:val="0"/>
          <w:bCs/>
          <w:sz w:val="32"/>
          <w:szCs w:val="32"/>
          <w:lang w:val="en-US" w:eastAsia="zh-CN"/>
        </w:rPr>
        <w:t>4720.96</w:t>
      </w:r>
      <w:r>
        <w:rPr>
          <w:rFonts w:hint="eastAsia" w:ascii="仿宋_GB2312" w:hAnsi="仿宋_GB2312" w:eastAsia="仿宋_GB2312" w:cs="仿宋_GB2312"/>
          <w:b w:val="0"/>
          <w:bCs/>
          <w:sz w:val="32"/>
          <w:szCs w:val="32"/>
        </w:rPr>
        <w:t>万元，其他收入</w:t>
      </w:r>
      <w:r>
        <w:rPr>
          <w:rFonts w:hint="eastAsia" w:ascii="仿宋_GB2312" w:hAnsi="仿宋_GB2312" w:cs="仿宋_GB2312"/>
          <w:b w:val="0"/>
          <w:bCs/>
          <w:sz w:val="32"/>
          <w:szCs w:val="32"/>
          <w:lang w:val="en-US" w:eastAsia="zh-CN"/>
        </w:rPr>
        <w:t>252.56</w:t>
      </w:r>
      <w:r>
        <w:rPr>
          <w:rFonts w:hint="eastAsia" w:ascii="仿宋_GB2312" w:hAnsi="仿宋_GB2312" w:eastAsia="仿宋_GB2312" w:cs="仿宋_GB2312"/>
          <w:b w:val="0"/>
          <w:bCs/>
          <w:sz w:val="32"/>
          <w:szCs w:val="32"/>
        </w:rPr>
        <w:t>万元；决算报表</w:t>
      </w:r>
      <w:r>
        <w:rPr>
          <w:rFonts w:hint="eastAsia" w:ascii="仿宋_GB2312" w:hAnsi="仿宋_GB2312" w:eastAsia="仿宋_GB2312" w:cs="仿宋_GB2312"/>
          <w:b w:val="0"/>
          <w:bCs/>
          <w:kern w:val="0"/>
          <w:sz w:val="32"/>
          <w:szCs w:val="32"/>
        </w:rPr>
        <w:t>收入</w:t>
      </w:r>
      <w:r>
        <w:rPr>
          <w:rFonts w:hint="eastAsia" w:ascii="仿宋_GB2312" w:hAnsi="仿宋_GB2312" w:cs="仿宋_GB2312"/>
          <w:b w:val="0"/>
          <w:bCs/>
          <w:kern w:val="0"/>
          <w:sz w:val="32"/>
          <w:szCs w:val="32"/>
          <w:lang w:val="en-US" w:eastAsia="zh-CN"/>
        </w:rPr>
        <w:t>39787.52</w:t>
      </w:r>
      <w:r>
        <w:rPr>
          <w:rFonts w:hint="eastAsia" w:ascii="仿宋_GB2312" w:hAnsi="仿宋_GB2312" w:eastAsia="仿宋_GB2312" w:cs="仿宋_GB2312"/>
          <w:b w:val="0"/>
          <w:bCs/>
          <w:kern w:val="0"/>
          <w:sz w:val="32"/>
          <w:szCs w:val="32"/>
        </w:rPr>
        <w:t>万元</w:t>
      </w:r>
      <w:r>
        <w:rPr>
          <w:rFonts w:hint="eastAsia" w:ascii="仿宋_GB2312" w:hAnsi="仿宋_GB2312" w:cs="仿宋_GB2312"/>
          <w:b w:val="0"/>
          <w:bCs/>
          <w:kern w:val="0"/>
          <w:sz w:val="32"/>
          <w:szCs w:val="32"/>
          <w:lang w:eastAsia="zh-CN"/>
        </w:rPr>
        <w:t>，</w:t>
      </w:r>
      <w:r>
        <w:rPr>
          <w:rFonts w:hint="eastAsia" w:ascii="仿宋_GB2312" w:hAnsi="仿宋_GB2312" w:eastAsia="仿宋_GB2312" w:cs="仿宋_GB2312"/>
          <w:b w:val="0"/>
          <w:bCs/>
          <w:kern w:val="0"/>
          <w:sz w:val="32"/>
          <w:szCs w:val="32"/>
        </w:rPr>
        <w:t>其中：财政拨款收入</w:t>
      </w:r>
      <w:r>
        <w:rPr>
          <w:rFonts w:hint="eastAsia" w:ascii="仿宋_GB2312" w:hAnsi="仿宋_GB2312" w:cs="仿宋_GB2312"/>
          <w:b w:val="0"/>
          <w:bCs/>
          <w:kern w:val="0"/>
          <w:sz w:val="32"/>
          <w:szCs w:val="32"/>
          <w:lang w:val="en-US" w:eastAsia="zh-CN"/>
        </w:rPr>
        <w:t>39556.96</w:t>
      </w:r>
      <w:r>
        <w:rPr>
          <w:rFonts w:hint="eastAsia" w:ascii="仿宋_GB2312" w:hAnsi="仿宋_GB2312" w:eastAsia="仿宋_GB2312" w:cs="仿宋_GB2312"/>
          <w:b w:val="0"/>
          <w:bCs/>
          <w:kern w:val="0"/>
          <w:sz w:val="32"/>
          <w:szCs w:val="32"/>
        </w:rPr>
        <w:t>万元，存量资金安排</w:t>
      </w:r>
      <w:r>
        <w:rPr>
          <w:rFonts w:hint="eastAsia" w:ascii="仿宋_GB2312" w:hAnsi="仿宋_GB2312" w:cs="仿宋_GB2312"/>
          <w:b w:val="0"/>
          <w:bCs/>
          <w:kern w:val="0"/>
          <w:sz w:val="32"/>
          <w:szCs w:val="32"/>
          <w:lang w:val="en-US" w:eastAsia="zh-CN"/>
        </w:rPr>
        <w:t>12.93</w:t>
      </w:r>
      <w:r>
        <w:rPr>
          <w:rFonts w:hint="eastAsia" w:ascii="仿宋_GB2312" w:hAnsi="仿宋_GB2312" w:eastAsia="仿宋_GB2312" w:cs="仿宋_GB2312"/>
          <w:b w:val="0"/>
          <w:bCs/>
          <w:kern w:val="0"/>
          <w:sz w:val="32"/>
          <w:szCs w:val="32"/>
        </w:rPr>
        <w:t>万元，其他收入</w:t>
      </w:r>
      <w:r>
        <w:rPr>
          <w:rFonts w:hint="eastAsia" w:ascii="仿宋_GB2312" w:hAnsi="仿宋_GB2312" w:cs="仿宋_GB2312"/>
          <w:b w:val="0"/>
          <w:bCs/>
          <w:kern w:val="0"/>
          <w:sz w:val="32"/>
          <w:szCs w:val="32"/>
          <w:lang w:val="en-US" w:eastAsia="zh-CN"/>
        </w:rPr>
        <w:t>217.63</w:t>
      </w:r>
      <w:r>
        <w:rPr>
          <w:rFonts w:hint="eastAsia" w:ascii="仿宋_GB2312" w:hAnsi="仿宋_GB2312" w:eastAsia="仿宋_GB2312" w:cs="仿宋_GB2312"/>
          <w:b w:val="0"/>
          <w:bCs/>
          <w:kern w:val="0"/>
          <w:sz w:val="32"/>
          <w:szCs w:val="32"/>
        </w:rPr>
        <w:t>万元。</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楷体_GB2312" w:hAnsi="楷体_GB2312" w:eastAsia="楷体_GB2312" w:cs="楷体_GB2312"/>
          <w:b w:val="0"/>
          <w:bCs/>
          <w:color w:val="000000"/>
          <w:kern w:val="0"/>
          <w:sz w:val="32"/>
          <w:szCs w:val="32"/>
          <w:shd w:val="clear" w:color="auto" w:fill="FFFFFF"/>
          <w:lang w:val="zh-CN"/>
        </w:rPr>
        <w:t>（二）支出情况。</w:t>
      </w:r>
      <w:r>
        <w:rPr>
          <w:rFonts w:hint="eastAsia" w:ascii="仿宋_GB2312" w:hAnsi="仿宋_GB2312" w:eastAsia="仿宋_GB2312" w:cs="仿宋_GB2312"/>
          <w:b w:val="0"/>
          <w:bCs/>
          <w:sz w:val="32"/>
          <w:szCs w:val="32"/>
        </w:rPr>
        <w:t>广元市自然资源局及下属事业单位202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rPr>
        <w:t>年年初预算支出</w:t>
      </w:r>
      <w:r>
        <w:rPr>
          <w:rFonts w:hint="eastAsia" w:ascii="仿宋_GB2312" w:hAnsi="仿宋_GB2312" w:cs="仿宋_GB2312"/>
          <w:b w:val="0"/>
          <w:bCs/>
          <w:sz w:val="32"/>
          <w:szCs w:val="32"/>
          <w:lang w:val="en-US" w:eastAsia="zh-CN"/>
        </w:rPr>
        <w:t>4773.52</w:t>
      </w:r>
      <w:r>
        <w:rPr>
          <w:rFonts w:hint="eastAsia" w:ascii="仿宋_GB2312" w:hAnsi="仿宋_GB2312" w:eastAsia="仿宋_GB2312" w:cs="仿宋_GB2312"/>
          <w:b w:val="0"/>
          <w:bCs/>
          <w:sz w:val="32"/>
          <w:szCs w:val="32"/>
        </w:rPr>
        <w:t>万元，其中基本支出32</w:t>
      </w:r>
      <w:r>
        <w:rPr>
          <w:rFonts w:hint="eastAsia" w:ascii="仿宋_GB2312" w:hAnsi="仿宋_GB2312" w:cs="仿宋_GB2312"/>
          <w:b w:val="0"/>
          <w:bCs/>
          <w:sz w:val="32"/>
          <w:szCs w:val="32"/>
          <w:lang w:val="en-US" w:eastAsia="zh-CN"/>
        </w:rPr>
        <w:t>88.55</w:t>
      </w:r>
      <w:r>
        <w:rPr>
          <w:rFonts w:hint="eastAsia" w:ascii="仿宋_GB2312" w:hAnsi="仿宋_GB2312" w:eastAsia="仿宋_GB2312" w:cs="仿宋_GB2312"/>
          <w:b w:val="0"/>
          <w:bCs/>
          <w:sz w:val="32"/>
          <w:szCs w:val="32"/>
        </w:rPr>
        <w:t>万元，项目支出</w:t>
      </w:r>
      <w:r>
        <w:rPr>
          <w:rFonts w:hint="eastAsia" w:ascii="仿宋_GB2312" w:hAnsi="仿宋_GB2312" w:cs="仿宋_GB2312"/>
          <w:b w:val="0"/>
          <w:bCs/>
          <w:sz w:val="32"/>
          <w:szCs w:val="32"/>
          <w:lang w:val="en-US" w:eastAsia="zh-CN"/>
        </w:rPr>
        <w:t>1684.97</w:t>
      </w:r>
      <w:r>
        <w:rPr>
          <w:rFonts w:hint="eastAsia" w:ascii="仿宋_GB2312" w:hAnsi="仿宋_GB2312" w:eastAsia="仿宋_GB2312" w:cs="仿宋_GB2312"/>
          <w:b w:val="0"/>
          <w:bCs/>
          <w:sz w:val="32"/>
          <w:szCs w:val="32"/>
        </w:rPr>
        <w:t>万元；决算报表</w:t>
      </w:r>
      <w:r>
        <w:rPr>
          <w:rFonts w:hint="eastAsia" w:ascii="仿宋_GB2312" w:hAnsi="仿宋_GB2312" w:cs="仿宋_GB2312"/>
          <w:b w:val="0"/>
          <w:bCs/>
          <w:sz w:val="32"/>
          <w:szCs w:val="32"/>
          <w:lang w:val="en-US" w:eastAsia="zh-CN"/>
        </w:rPr>
        <w:t>支出39787.52万元，其中</w:t>
      </w:r>
      <w:r>
        <w:rPr>
          <w:rFonts w:hint="eastAsia" w:ascii="仿宋_GB2312" w:hAnsi="仿宋_GB2312" w:eastAsia="仿宋_GB2312" w:cs="仿宋_GB2312"/>
          <w:b w:val="0"/>
          <w:bCs/>
          <w:sz w:val="32"/>
          <w:szCs w:val="32"/>
        </w:rPr>
        <w:t>基本支出</w:t>
      </w:r>
      <w:r>
        <w:rPr>
          <w:rFonts w:hint="eastAsia" w:ascii="仿宋_GB2312" w:hAnsi="仿宋_GB2312" w:cs="仿宋_GB2312"/>
          <w:b w:val="0"/>
          <w:bCs/>
          <w:sz w:val="32"/>
          <w:szCs w:val="32"/>
          <w:lang w:val="en-US" w:eastAsia="zh-CN"/>
        </w:rPr>
        <w:t>3692.74</w:t>
      </w:r>
      <w:r>
        <w:rPr>
          <w:rFonts w:hint="eastAsia" w:ascii="仿宋_GB2312" w:hAnsi="仿宋_GB2312" w:eastAsia="仿宋_GB2312" w:cs="仿宋_GB2312"/>
          <w:b w:val="0"/>
          <w:bCs/>
          <w:sz w:val="32"/>
          <w:szCs w:val="32"/>
        </w:rPr>
        <w:t>万元，项目支出</w:t>
      </w:r>
      <w:r>
        <w:rPr>
          <w:rFonts w:hint="eastAsia" w:ascii="仿宋_GB2312" w:hAnsi="仿宋_GB2312" w:cs="仿宋_GB2312"/>
          <w:b w:val="0"/>
          <w:bCs/>
          <w:sz w:val="32"/>
          <w:szCs w:val="32"/>
          <w:lang w:val="en-US" w:eastAsia="zh-CN"/>
        </w:rPr>
        <w:t>36094.78</w:t>
      </w:r>
      <w:r>
        <w:rPr>
          <w:rFonts w:hint="eastAsia" w:ascii="仿宋_GB2312" w:hAnsi="仿宋_GB2312" w:eastAsia="仿宋_GB2312" w:cs="仿宋_GB2312"/>
          <w:b w:val="0"/>
          <w:bCs/>
          <w:sz w:val="32"/>
          <w:szCs w:val="32"/>
        </w:rPr>
        <w:t>万元。</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楷体_GB2312" w:hAnsi="楷体_GB2312" w:eastAsia="楷体_GB2312" w:cs="楷体_GB2312"/>
          <w:b w:val="0"/>
          <w:bCs/>
          <w:color w:val="000000"/>
          <w:kern w:val="0"/>
          <w:sz w:val="32"/>
          <w:szCs w:val="32"/>
          <w:shd w:val="clear" w:color="auto" w:fill="FFFFFF"/>
          <w:lang w:val="zh-CN"/>
        </w:rPr>
        <w:t>（三）结转结余情况。</w:t>
      </w:r>
      <w:r>
        <w:rPr>
          <w:rFonts w:hint="eastAsia" w:ascii="仿宋_GB2312" w:hAnsi="仿宋_GB2312" w:eastAsia="仿宋_GB2312" w:cs="仿宋_GB2312"/>
          <w:b w:val="0"/>
          <w:bCs/>
          <w:sz w:val="32"/>
          <w:szCs w:val="32"/>
        </w:rPr>
        <w:t>广元市自然资源局及下属事业单位202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rPr>
        <w:t>年决算报表结转结余为0。</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黑体" w:hAnsi="黑体" w:eastAsia="黑体" w:cs="黑体"/>
          <w:b w:val="0"/>
          <w:bCs/>
          <w:color w:val="000000"/>
          <w:kern w:val="0"/>
          <w:sz w:val="32"/>
          <w:szCs w:val="32"/>
          <w:shd w:val="clear" w:color="auto" w:fill="FFFFFF"/>
          <w:lang w:val="zh-CN"/>
        </w:rPr>
      </w:pPr>
      <w:r>
        <w:rPr>
          <w:rFonts w:hint="eastAsia" w:ascii="黑体" w:hAnsi="黑体" w:eastAsia="黑体" w:cs="黑体"/>
          <w:b w:val="0"/>
          <w:bCs/>
          <w:color w:val="000000"/>
          <w:kern w:val="0"/>
          <w:sz w:val="32"/>
          <w:szCs w:val="32"/>
          <w:shd w:val="clear" w:color="auto" w:fill="FFFFFF"/>
          <w:lang w:val="zh-CN"/>
        </w:rPr>
        <w:t>三、部门预算绩效分析</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楷体_GB2312" w:hAnsi="楷体_GB2312" w:eastAsia="楷体_GB2312" w:cs="楷体_GB2312"/>
          <w:b w:val="0"/>
          <w:bCs/>
          <w:color w:val="000000"/>
          <w:kern w:val="0"/>
          <w:sz w:val="32"/>
          <w:szCs w:val="32"/>
          <w:shd w:val="clear" w:color="auto" w:fill="FFFFFF"/>
          <w:lang w:val="zh-CN"/>
        </w:rPr>
      </w:pPr>
      <w:r>
        <w:rPr>
          <w:rFonts w:hint="eastAsia" w:ascii="楷体_GB2312" w:hAnsi="楷体_GB2312" w:eastAsia="楷体_GB2312" w:cs="楷体_GB2312"/>
          <w:b w:val="0"/>
          <w:bCs/>
          <w:color w:val="000000"/>
          <w:kern w:val="0"/>
          <w:sz w:val="32"/>
          <w:szCs w:val="32"/>
          <w:shd w:val="clear" w:color="auto" w:fill="FFFFFF"/>
          <w:lang w:val="zh-CN"/>
        </w:rPr>
        <w:t>（一）部门预算总体绩效分析。</w:t>
      </w:r>
    </w:p>
    <w:p>
      <w:pPr>
        <w:pStyle w:val="6"/>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color w:val="000000"/>
          <w:kern w:val="0"/>
          <w:sz w:val="32"/>
          <w:szCs w:val="32"/>
          <w:shd w:val="clear" w:color="auto" w:fill="FFFFFF"/>
        </w:rPr>
      </w:pPr>
      <w:r>
        <w:rPr>
          <w:rFonts w:hint="eastAsia" w:ascii="仿宋_GB2312" w:hAnsi="仿宋_GB2312" w:eastAsia="仿宋_GB2312" w:cs="仿宋_GB2312"/>
          <w:b w:val="0"/>
          <w:bCs/>
          <w:color w:val="000000"/>
          <w:kern w:val="0"/>
          <w:sz w:val="32"/>
          <w:szCs w:val="32"/>
          <w:shd w:val="clear" w:color="auto" w:fill="FFFFFF"/>
        </w:rPr>
        <w:t>1.</w:t>
      </w:r>
      <w:r>
        <w:rPr>
          <w:rFonts w:hint="eastAsia" w:ascii="仿宋_GB2312" w:hAnsi="仿宋_GB2312" w:eastAsia="仿宋_GB2312" w:cs="仿宋_GB2312"/>
          <w:b w:val="0"/>
          <w:bCs/>
          <w:color w:val="000000"/>
          <w:kern w:val="0"/>
          <w:sz w:val="32"/>
          <w:szCs w:val="32"/>
          <w:shd w:val="clear" w:color="auto" w:fill="FFFFFF"/>
          <w:lang w:val="zh-CN"/>
        </w:rPr>
        <w:t>履职效能。</w:t>
      </w:r>
      <w:r>
        <w:rPr>
          <w:rFonts w:hint="default" w:ascii="Times New Roman" w:hAnsi="Times New Roman" w:eastAsia="仿宋_GB2312" w:cs="Times New Roman"/>
          <w:b w:val="0"/>
          <w:bCs w:val="0"/>
          <w:color w:val="auto"/>
          <w:spacing w:val="0"/>
          <w:kern w:val="2"/>
          <w:sz w:val="32"/>
          <w:szCs w:val="32"/>
          <w:u w:val="none" w:color="auto"/>
          <w:lang w:val="en" w:eastAsia="zh-CN" w:bidi="ar-SA"/>
        </w:rPr>
        <w:t>2024</w:t>
      </w:r>
      <w:r>
        <w:rPr>
          <w:rFonts w:hint="default" w:ascii="Times New Roman" w:hAnsi="Times New Roman" w:eastAsia="仿宋_GB2312" w:cs="Times New Roman"/>
          <w:b w:val="0"/>
          <w:bCs w:val="0"/>
          <w:color w:val="auto"/>
          <w:spacing w:val="0"/>
          <w:kern w:val="2"/>
          <w:sz w:val="32"/>
          <w:szCs w:val="32"/>
          <w:u w:val="none" w:color="auto"/>
          <w:lang w:val="en-US" w:eastAsia="zh-CN" w:bidi="ar-SA"/>
        </w:rPr>
        <w:t>年，全市自然资源系统坚持以习近平新时代中国特色社会主义思想为指导，深入贯彻党的二十大和二十届二中、三中全会精神，全面贯彻习近平总书记关于自然资源管理的重要论述和来川视察重要指示精神，认真落实省委省政府、市委市政府各项重大决策部署，紧紧围绕新时代自然资源工作定位，以国家自然资源督察、中央生态环境保护督察、省委巡视和“两个责任”审计等监督检查为契机，以全市自然资源系统争先提能“六大活动”为抓手，全力以赴拼经济比发展、惠民生增福祉、防风险保安全，推动全市自然资源工作取得良好成效。</w:t>
      </w:r>
    </w:p>
    <w:p>
      <w:pPr>
        <w:pageBreakBefore w:val="0"/>
        <w:widowControl w:val="0"/>
        <w:kinsoku/>
        <w:wordWrap/>
        <w:overflowPunct/>
        <w:topLinePunct w:val="0"/>
        <w:autoSpaceDE/>
        <w:autoSpaceDN/>
        <w:bidi w:val="0"/>
        <w:spacing w:line="520" w:lineRule="exact"/>
        <w:ind w:firstLine="640" w:firstLineChars="200"/>
        <w:jc w:val="both"/>
        <w:textAlignment w:val="auto"/>
        <w:rPr>
          <w:rFonts w:hint="default" w:ascii="Times New Roman" w:hAnsi="Times New Roman" w:eastAsia="仿宋_GB2312" w:cs="Times New Roman"/>
          <w:b w:val="0"/>
          <w:bCs w:val="0"/>
          <w:color w:val="auto"/>
          <w:spacing w:val="0"/>
          <w:kern w:val="2"/>
          <w:sz w:val="32"/>
          <w:szCs w:val="32"/>
          <w:u w:val="none" w:color="auto"/>
          <w:lang w:val="en-US" w:eastAsia="zh-CN" w:bidi="ar-SA"/>
        </w:rPr>
      </w:pPr>
      <w:r>
        <w:rPr>
          <w:rFonts w:hint="eastAsia" w:ascii="仿宋_GB2312" w:hAnsi="仿宋_GB2312" w:eastAsia="仿宋_GB2312" w:cs="仿宋_GB2312"/>
          <w:b w:val="0"/>
          <w:bCs/>
          <w:color w:val="000000"/>
          <w:kern w:val="0"/>
          <w:sz w:val="32"/>
          <w:szCs w:val="32"/>
          <w:shd w:val="clear" w:color="auto" w:fill="FFFFFF"/>
        </w:rPr>
        <w:t>（1）</w:t>
      </w:r>
      <w:r>
        <w:rPr>
          <w:rFonts w:hint="default" w:ascii="Times New Roman" w:hAnsi="Times New Roman" w:eastAsia="楷体_GB2312" w:cs="Times New Roman"/>
          <w:b w:val="0"/>
          <w:bCs w:val="0"/>
          <w:color w:val="auto"/>
          <w:spacing w:val="0"/>
          <w:kern w:val="2"/>
          <w:sz w:val="32"/>
          <w:szCs w:val="32"/>
          <w:u w:val="none" w:color="auto"/>
          <w:lang w:val="en-US" w:eastAsia="zh-CN" w:bidi="ar-SA"/>
        </w:rPr>
        <w:t>耕地保护工作全面加强。</w:t>
      </w:r>
      <w:r>
        <w:rPr>
          <w:rFonts w:hint="default" w:ascii="Times New Roman" w:hAnsi="Times New Roman" w:eastAsia="仿宋_GB2312" w:cs="Times New Roman"/>
          <w:b w:val="0"/>
          <w:bCs w:val="0"/>
          <w:color w:val="auto"/>
          <w:spacing w:val="0"/>
          <w:kern w:val="2"/>
          <w:sz w:val="32"/>
          <w:szCs w:val="32"/>
          <w:u w:val="none" w:color="auto"/>
          <w:lang w:val="en-US" w:eastAsia="zh-CN" w:bidi="ar-SA"/>
        </w:rPr>
        <w:t>研究制定《广元市加强耕地保护十条措施》，压紧压实耕地保护责任。顺利完成2023年度国土变更调查后续工作，全市兑现承诺种植耕地27070亩，完成率98.03%，市、县两级兑现比例均达到国家规定的95%以上。落实落细田长制工作，各级田长累计开展巡田171万余次，解决上报违法违规线索453余条，在全省居于中上水平。加强永久基本农田特殊保护，</w:t>
      </w:r>
      <w:r>
        <w:rPr>
          <w:rFonts w:hint="eastAsia" w:ascii="仿宋_GB2312" w:hAnsi="仿宋_GB2312" w:eastAsia="仿宋_GB2312" w:cs="仿宋_GB2312"/>
          <w:color w:val="auto"/>
          <w:kern w:val="2"/>
          <w:sz w:val="32"/>
          <w:szCs w:val="32"/>
          <w:lang w:val="en-US" w:eastAsia="zh-CN" w:bidi="ar-SA"/>
        </w:rPr>
        <w:t>全面完成</w:t>
      </w:r>
      <w:r>
        <w:rPr>
          <w:rFonts w:hint="default" w:ascii="Times New Roman" w:hAnsi="Times New Roman" w:eastAsia="仿宋_GB2312" w:cs="Times New Roman"/>
          <w:b w:val="0"/>
          <w:bCs w:val="0"/>
          <w:color w:val="auto"/>
          <w:spacing w:val="0"/>
          <w:kern w:val="2"/>
          <w:sz w:val="32"/>
          <w:szCs w:val="32"/>
          <w:u w:val="none" w:color="auto"/>
          <w:lang w:val="en-US" w:eastAsia="zh-CN" w:bidi="ar-SA"/>
        </w:rPr>
        <w:t>3.2万亩</w:t>
      </w:r>
      <w:r>
        <w:rPr>
          <w:rFonts w:hint="eastAsia" w:ascii="仿宋_GB2312" w:hAnsi="仿宋_GB2312" w:eastAsia="仿宋_GB2312" w:cs="仿宋_GB2312"/>
          <w:color w:val="auto"/>
          <w:kern w:val="2"/>
          <w:sz w:val="32"/>
          <w:szCs w:val="32"/>
          <w:lang w:val="en-US" w:eastAsia="zh-CN" w:bidi="ar-SA"/>
        </w:rPr>
        <w:t>永久基本农田储备区补充更新，</w:t>
      </w:r>
      <w:r>
        <w:rPr>
          <w:rFonts w:hint="default" w:ascii="Times New Roman" w:hAnsi="Times New Roman" w:eastAsia="仿宋_GB2312" w:cs="Times New Roman"/>
          <w:b w:val="0"/>
          <w:bCs w:val="0"/>
          <w:color w:val="auto"/>
          <w:spacing w:val="0"/>
          <w:kern w:val="2"/>
          <w:sz w:val="32"/>
          <w:szCs w:val="32"/>
          <w:u w:val="none" w:color="auto"/>
          <w:lang w:val="en-US" w:eastAsia="zh-CN" w:bidi="ar-SA"/>
        </w:rPr>
        <w:t>比省级下达319.88万亩永久基本农田控制数多补划约2.26万亩。</w:t>
      </w:r>
    </w:p>
    <w:p>
      <w:pPr>
        <w:keepNext w:val="0"/>
        <w:keepLines w:val="0"/>
        <w:pageBreakBefore w:val="0"/>
        <w:widowControl w:val="0"/>
        <w:shd w:val="clear" w:color="auto" w:fill="auto"/>
        <w:suppressAutoHyphens/>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b w:val="0"/>
          <w:bCs w:val="0"/>
          <w:color w:val="auto"/>
          <w:spacing w:val="0"/>
          <w:kern w:val="2"/>
          <w:sz w:val="32"/>
          <w:szCs w:val="32"/>
          <w:u w:val="none" w:color="auto"/>
          <w:lang w:val="en-US" w:eastAsia="zh-CN" w:bidi="ar-SA"/>
        </w:rPr>
      </w:pPr>
      <w:r>
        <w:rPr>
          <w:rFonts w:hint="eastAsia" w:ascii="仿宋_GB2312" w:hAnsi="仿宋_GB2312" w:eastAsia="仿宋_GB2312" w:cs="仿宋_GB2312"/>
          <w:b w:val="0"/>
          <w:bCs/>
          <w:sz w:val="32"/>
          <w:szCs w:val="32"/>
        </w:rPr>
        <w:t>（2）</w:t>
      </w:r>
      <w:r>
        <w:rPr>
          <w:rFonts w:hint="default" w:ascii="Times New Roman" w:hAnsi="Times New Roman" w:eastAsia="楷体_GB2312" w:cs="Times New Roman"/>
          <w:b w:val="0"/>
          <w:bCs w:val="0"/>
          <w:color w:val="auto"/>
          <w:spacing w:val="0"/>
          <w:kern w:val="2"/>
          <w:sz w:val="32"/>
          <w:szCs w:val="32"/>
          <w:u w:val="none" w:color="auto"/>
          <w:lang w:val="en-US" w:eastAsia="zh-CN" w:bidi="ar-SA"/>
        </w:rPr>
        <w:t>空间规划支撑作用有效发挥。</w:t>
      </w:r>
      <w:r>
        <w:rPr>
          <w:rFonts w:hint="default" w:ascii="Times New Roman" w:hAnsi="Times New Roman" w:eastAsia="仿宋_GB2312" w:cs="Times New Roman"/>
          <w:b w:val="0"/>
          <w:bCs w:val="0"/>
          <w:color w:val="auto"/>
          <w:spacing w:val="0"/>
          <w:kern w:val="2"/>
          <w:sz w:val="32"/>
          <w:szCs w:val="32"/>
          <w:u w:val="none" w:color="auto"/>
          <w:lang w:val="en-US" w:eastAsia="zh-CN" w:bidi="ar-SA"/>
        </w:rPr>
        <w:t>市、县国土空间总体规划均获省政府批复，</w:t>
      </w:r>
      <w:r>
        <w:rPr>
          <w:rFonts w:hint="default" w:ascii="Times New Roman" w:hAnsi="Times New Roman" w:eastAsia="仿宋_GB2312" w:cs="Times New Roman"/>
          <w:color w:val="auto"/>
          <w:spacing w:val="0"/>
          <w:kern w:val="2"/>
          <w:sz w:val="32"/>
          <w:szCs w:val="32"/>
          <w:u w:val="none" w:color="auto"/>
          <w:lang w:val="en-US" w:eastAsia="zh-CN" w:bidi="ar-SA"/>
        </w:rPr>
        <w:t>33个以片区为单元的乡镇级国土空间总体规划全部通过市人民政府批准，按需求编制50个村级规划。</w:t>
      </w:r>
      <w:r>
        <w:rPr>
          <w:rFonts w:hint="default" w:ascii="Times New Roman" w:hAnsi="Times New Roman" w:eastAsia="仿宋_GB2312" w:cs="Times New Roman"/>
          <w:b w:val="0"/>
          <w:bCs w:val="0"/>
          <w:color w:val="auto"/>
          <w:spacing w:val="0"/>
          <w:kern w:val="2"/>
          <w:sz w:val="32"/>
          <w:szCs w:val="32"/>
          <w:u w:val="none" w:color="auto"/>
          <w:lang w:val="en-US" w:eastAsia="zh-CN" w:bidi="ar-SA"/>
        </w:rPr>
        <w:t>创新提出的村级片区“一图一表一规则”得到自然资源部</w:t>
      </w:r>
      <w:r>
        <w:rPr>
          <w:rFonts w:hint="default" w:ascii="Times New Roman" w:hAnsi="Times New Roman" w:eastAsia="仿宋_GB2312" w:cs="Times New Roman"/>
          <w:b w:val="0"/>
          <w:bCs w:val="0"/>
          <w:color w:val="auto"/>
          <w:spacing w:val="0"/>
          <w:kern w:val="2"/>
          <w:sz w:val="32"/>
          <w:szCs w:val="32"/>
          <w:u w:val="none" w:color="auto"/>
          <w:lang w:val="en" w:eastAsia="zh-CN" w:bidi="ar-SA"/>
        </w:rPr>
        <w:t>刘国洪副部长高度肯定</w:t>
      </w:r>
      <w:r>
        <w:rPr>
          <w:rFonts w:hint="default" w:ascii="Times New Roman" w:hAnsi="Times New Roman" w:eastAsia="仿宋_GB2312" w:cs="Times New Roman"/>
          <w:b w:val="0"/>
          <w:bCs w:val="0"/>
          <w:color w:val="auto"/>
          <w:spacing w:val="0"/>
          <w:kern w:val="2"/>
          <w:sz w:val="32"/>
          <w:szCs w:val="32"/>
          <w:u w:val="none" w:color="auto"/>
          <w:lang w:val="en-US" w:eastAsia="zh-CN" w:bidi="ar-SA"/>
        </w:rPr>
        <w:t>。全面启动市县详细规划编制工作，完成中心城区照明、停车场、户外广告、电动汽车充电基础设施等专项规划编制报批。印发《广元市城市建筑设计导则（试行）》《广元市规划管理技术规定（试行202</w:t>
      </w:r>
      <w:r>
        <w:rPr>
          <w:rFonts w:hint="default" w:ascii="Times New Roman" w:hAnsi="Times New Roman" w:eastAsia="仿宋_GB2312" w:cs="Times New Roman"/>
          <w:b w:val="0"/>
          <w:bCs w:val="0"/>
          <w:color w:val="auto"/>
          <w:spacing w:val="0"/>
          <w:kern w:val="2"/>
          <w:sz w:val="32"/>
          <w:szCs w:val="32"/>
          <w:u w:val="none" w:color="auto"/>
          <w:lang w:val="en" w:eastAsia="zh-CN" w:bidi="ar-SA"/>
        </w:rPr>
        <w:t>4</w:t>
      </w:r>
      <w:r>
        <w:rPr>
          <w:rFonts w:hint="default" w:ascii="Times New Roman" w:hAnsi="Times New Roman" w:eastAsia="仿宋_GB2312" w:cs="Times New Roman"/>
          <w:b w:val="0"/>
          <w:bCs w:val="0"/>
          <w:color w:val="auto"/>
          <w:spacing w:val="0"/>
          <w:kern w:val="2"/>
          <w:sz w:val="32"/>
          <w:szCs w:val="32"/>
          <w:u w:val="none" w:color="auto"/>
          <w:lang w:val="en-US" w:eastAsia="zh-CN" w:bidi="ar-SA"/>
        </w:rPr>
        <w:t>版）》，制定《广元市试点建设城市森林花园住宅实施方案》。结合全市开发区审核公告目录修订，科学优化调整城镇开发边界，</w:t>
      </w:r>
      <w:r>
        <w:rPr>
          <w:rFonts w:hint="default" w:ascii="Times New Roman" w:hAnsi="Times New Roman" w:eastAsia="仿宋_GB2312" w:cs="Times New Roman"/>
          <w:color w:val="auto"/>
          <w:sz w:val="32"/>
          <w:szCs w:val="32"/>
          <w:u w:val="none" w:color="auto"/>
          <w:shd w:val="clear" w:color="auto" w:fill="auto"/>
          <w:lang w:val="en-US" w:eastAsia="zh-CN"/>
        </w:rPr>
        <w:t>新增经济开发区用地</w:t>
      </w:r>
      <w:r>
        <w:rPr>
          <w:rFonts w:hint="default" w:ascii="Times New Roman" w:hAnsi="Times New Roman" w:eastAsia="仿宋_GB2312" w:cs="Times New Roman"/>
          <w:color w:val="auto"/>
          <w:sz w:val="32"/>
          <w:szCs w:val="32"/>
          <w:u w:val="none" w:color="auto"/>
          <w:shd w:val="clear" w:color="auto" w:fill="auto"/>
          <w:lang w:val="en" w:eastAsia="zh-CN"/>
        </w:rPr>
        <w:t>8230.9</w:t>
      </w:r>
      <w:r>
        <w:rPr>
          <w:rFonts w:hint="default" w:ascii="Times New Roman" w:hAnsi="Times New Roman" w:eastAsia="仿宋_GB2312" w:cs="Times New Roman"/>
          <w:color w:val="auto"/>
          <w:sz w:val="32"/>
          <w:szCs w:val="32"/>
          <w:u w:val="none" w:color="auto"/>
          <w:shd w:val="clear" w:color="auto" w:fill="auto"/>
          <w:lang w:val="en-US" w:eastAsia="zh-CN"/>
        </w:rPr>
        <w:t>亩</w:t>
      </w:r>
      <w:r>
        <w:rPr>
          <w:rFonts w:hint="default" w:ascii="Times New Roman" w:hAnsi="Times New Roman" w:eastAsia="仿宋_GB2312" w:cs="Times New Roman"/>
          <w:b w:val="0"/>
          <w:bCs w:val="0"/>
          <w:color w:val="auto"/>
          <w:spacing w:val="0"/>
          <w:kern w:val="2"/>
          <w:sz w:val="32"/>
          <w:szCs w:val="32"/>
          <w:u w:val="none" w:color="auto"/>
          <w:lang w:val="en-US" w:eastAsia="zh-CN" w:bidi="ar-SA"/>
        </w:rPr>
        <w:t>，有力支撑产业园区拓园扩面提质增效。</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p>
    <w:p>
      <w:pPr>
        <w:keepNext w:val="0"/>
        <w:keepLines w:val="0"/>
        <w:pageBreakBefore w:val="0"/>
        <w:widowControl w:val="0"/>
        <w:shd w:val="clear" w:color="auto" w:fill="auto"/>
        <w:suppressAutoHyphens/>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（3）</w:t>
      </w:r>
      <w:r>
        <w:rPr>
          <w:rFonts w:hint="default" w:ascii="仿宋_GB2312" w:hAnsi="仿宋_GB2312" w:eastAsia="仿宋_GB2312" w:cs="仿宋_GB2312"/>
          <w:b w:val="0"/>
          <w:bCs/>
          <w:sz w:val="32"/>
          <w:szCs w:val="32"/>
          <w:lang w:val="en-US" w:eastAsia="zh-CN"/>
        </w:rPr>
        <w:t>自然资源基础工作不断夯实。启动全省首个市域卫片自主监测，引进“卫星田长”，并配套建立运行机制，与省级综合动态监测错月互补，及时预判、制止倾向性、苗头性、潜在性问题。扎实开展自然资源调查监测，完成2023年度国土变更调查，有序推进日常变更调查。加强与林业部门协同配合，深入推进林草湿荒普查工作。稳步开展全市113个登记单元自然资源统一确权登记，有序推进集体土地所有权、农村房地一体宅基地和集体建设用地使用权、林权、土地承包经营权等农村不动产确权登记颁证工作。积极争取部、省支持，广元入选国家三维地籍</w:t>
      </w:r>
      <w:r>
        <w:rPr>
          <w:rFonts w:hint="default" w:ascii="仿宋_GB2312" w:hAnsi="仿宋_GB2312" w:eastAsia="仿宋_GB2312" w:cs="仿宋_GB2312"/>
          <w:b w:val="0"/>
          <w:bCs/>
          <w:sz w:val="32"/>
          <w:szCs w:val="32"/>
          <w:lang w:val="en" w:eastAsia="zh-CN"/>
        </w:rPr>
        <w:t>13个</w:t>
      </w:r>
      <w:r>
        <w:rPr>
          <w:rFonts w:hint="default" w:ascii="仿宋_GB2312" w:hAnsi="仿宋_GB2312" w:eastAsia="仿宋_GB2312" w:cs="仿宋_GB2312"/>
          <w:b w:val="0"/>
          <w:bCs/>
          <w:sz w:val="32"/>
          <w:szCs w:val="32"/>
          <w:lang w:val="en-US" w:eastAsia="zh-CN"/>
        </w:rPr>
        <w:t>试点城市（地区）之一、全省</w:t>
      </w:r>
      <w:r>
        <w:rPr>
          <w:rFonts w:hint="default" w:ascii="仿宋_GB2312" w:hAnsi="仿宋_GB2312" w:eastAsia="仿宋_GB2312" w:cs="仿宋_GB2312"/>
          <w:b w:val="0"/>
          <w:bCs/>
          <w:sz w:val="32"/>
          <w:szCs w:val="32"/>
          <w:lang w:val="en" w:eastAsia="zh-CN"/>
        </w:rPr>
        <w:t>2个</w:t>
      </w:r>
      <w:r>
        <w:rPr>
          <w:rFonts w:hint="default" w:ascii="仿宋_GB2312" w:hAnsi="仿宋_GB2312" w:eastAsia="仿宋_GB2312" w:cs="仿宋_GB2312"/>
          <w:b w:val="0"/>
          <w:bCs/>
          <w:sz w:val="32"/>
          <w:szCs w:val="32"/>
          <w:lang w:val="en-US" w:eastAsia="zh-CN"/>
        </w:rPr>
        <w:t>地籍调查省级示范点之一，在全国三维地籍试点工作视频推进会上作交流发言。全面启动全民所有自然资源资产清查工作。稳步推进实景三维广元建设。</w:t>
      </w:r>
    </w:p>
    <w:p>
      <w:pPr>
        <w:pStyle w:val="7"/>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default" w:ascii="Times New Roman" w:hAnsi="Times New Roman" w:eastAsia="仿宋_GB2312" w:cs="Times New Roman"/>
          <w:b w:val="0"/>
          <w:bCs w:val="0"/>
          <w:color w:val="auto"/>
          <w:spacing w:val="0"/>
          <w:kern w:val="2"/>
          <w:sz w:val="32"/>
          <w:szCs w:val="32"/>
          <w:u w:val="none" w:color="auto"/>
          <w:lang w:val="en-US" w:eastAsia="zh-CN" w:bidi="ar-SA"/>
        </w:rPr>
      </w:pPr>
      <w:r>
        <w:rPr>
          <w:rFonts w:hint="eastAsia" w:ascii="仿宋_GB2312" w:hAnsi="仿宋_GB2312" w:eastAsia="仿宋_GB2312" w:cs="仿宋_GB2312"/>
          <w:b w:val="0"/>
          <w:bCs/>
          <w:sz w:val="32"/>
          <w:szCs w:val="32"/>
        </w:rPr>
        <w:t>（4）</w:t>
      </w:r>
      <w:r>
        <w:rPr>
          <w:rFonts w:hint="default" w:ascii="Times New Roman" w:hAnsi="Times New Roman" w:eastAsia="楷体_GB2312" w:cs="Times New Roman"/>
          <w:b w:val="0"/>
          <w:bCs w:val="0"/>
          <w:color w:val="auto"/>
          <w:spacing w:val="0"/>
          <w:kern w:val="2"/>
          <w:sz w:val="32"/>
          <w:szCs w:val="32"/>
          <w:u w:val="none" w:color="auto"/>
          <w:lang w:val="en-US" w:eastAsia="zh-CN" w:bidi="ar-SA"/>
        </w:rPr>
        <w:t>节约集约用地水平持续提升</w:t>
      </w:r>
      <w:r>
        <w:rPr>
          <w:rFonts w:hint="default" w:ascii="Times New Roman" w:hAnsi="Times New Roman" w:eastAsia="仿宋_GB2312" w:cs="Times New Roman"/>
          <w:b w:val="0"/>
          <w:bCs w:val="0"/>
          <w:color w:val="auto"/>
          <w:spacing w:val="0"/>
          <w:kern w:val="2"/>
          <w:sz w:val="32"/>
          <w:szCs w:val="32"/>
          <w:u w:val="none" w:color="auto"/>
          <w:lang w:val="en-US" w:eastAsia="zh-CN" w:bidi="ar-SA"/>
        </w:rPr>
        <w:t>。</w:t>
      </w:r>
      <w:r>
        <w:rPr>
          <w:rFonts w:hint="default" w:ascii="Times New Roman" w:hAnsi="Times New Roman" w:eastAsia="仿宋_GB2312" w:cs="Times New Roman"/>
          <w:b w:val="0"/>
          <w:bCs w:val="0"/>
          <w:color w:val="auto"/>
          <w:sz w:val="32"/>
          <w:szCs w:val="32"/>
          <w:u w:val="none" w:color="auto"/>
          <w:lang w:val="en-US" w:eastAsia="zh-CN"/>
        </w:rPr>
        <w:t>完成标准地供应28宗1322.76亩，</w:t>
      </w:r>
      <w:r>
        <w:rPr>
          <w:rFonts w:hint="default" w:ascii="Times New Roman" w:hAnsi="Times New Roman" w:eastAsia="仿宋_GB2312" w:cs="Times New Roman"/>
          <w:b w:val="0"/>
          <w:bCs w:val="0"/>
          <w:color w:val="auto"/>
          <w:spacing w:val="0"/>
          <w:kern w:val="2"/>
          <w:sz w:val="32"/>
          <w:szCs w:val="32"/>
          <w:u w:val="none" w:color="auto"/>
          <w:lang w:val="en-US" w:eastAsia="zh-CN" w:bidi="ar-SA"/>
        </w:rPr>
        <w:t>“</w:t>
      </w:r>
      <w:r>
        <w:rPr>
          <w:rFonts w:hint="default" w:ascii="Times New Roman" w:hAnsi="Times New Roman" w:eastAsia="仿宋_GB2312" w:cs="Times New Roman"/>
          <w:b w:val="0"/>
          <w:bCs w:val="0"/>
          <w:color w:val="auto"/>
          <w:sz w:val="32"/>
          <w:szCs w:val="32"/>
          <w:u w:val="none" w:color="auto"/>
          <w:lang w:val="en-US" w:eastAsia="zh-CN"/>
        </w:rPr>
        <w:t>拿地即开工</w:t>
      </w:r>
      <w:r>
        <w:rPr>
          <w:rFonts w:hint="default" w:ascii="Times New Roman" w:hAnsi="Times New Roman" w:eastAsia="仿宋_GB2312" w:cs="Times New Roman"/>
          <w:b w:val="0"/>
          <w:bCs w:val="0"/>
          <w:color w:val="auto"/>
          <w:spacing w:val="0"/>
          <w:kern w:val="2"/>
          <w:sz w:val="32"/>
          <w:szCs w:val="32"/>
          <w:u w:val="none" w:color="auto"/>
          <w:lang w:val="en-US" w:eastAsia="zh-CN" w:bidi="ar-SA"/>
        </w:rPr>
        <w:t>”</w:t>
      </w:r>
      <w:r>
        <w:rPr>
          <w:rFonts w:hint="default" w:ascii="Times New Roman" w:hAnsi="Times New Roman" w:eastAsia="仿宋_GB2312" w:cs="Times New Roman"/>
          <w:b w:val="0"/>
          <w:bCs w:val="0"/>
          <w:color w:val="auto"/>
          <w:sz w:val="32"/>
          <w:szCs w:val="32"/>
          <w:u w:val="none" w:color="auto"/>
          <w:lang w:val="en-US" w:eastAsia="zh-CN"/>
        </w:rPr>
        <w:t>16宗。</w:t>
      </w:r>
      <w:r>
        <w:rPr>
          <w:rFonts w:hint="default" w:ascii="Times New Roman" w:hAnsi="Times New Roman" w:eastAsia="仿宋_GB2312" w:cs="Times New Roman"/>
          <w:b w:val="0"/>
          <w:bCs w:val="0"/>
          <w:color w:val="auto"/>
          <w:spacing w:val="0"/>
          <w:kern w:val="2"/>
          <w:sz w:val="32"/>
          <w:szCs w:val="32"/>
          <w:u w:val="none" w:color="auto"/>
          <w:lang w:val="en-US" w:eastAsia="zh-CN" w:bidi="ar-SA"/>
        </w:rPr>
        <w:t>处置批而未供土地2.</w:t>
      </w:r>
      <w:r>
        <w:rPr>
          <w:rFonts w:hint="default" w:ascii="Times New Roman" w:hAnsi="Times New Roman" w:eastAsia="仿宋_GB2312" w:cs="Times New Roman"/>
          <w:b w:val="0"/>
          <w:bCs w:val="0"/>
          <w:color w:val="auto"/>
          <w:spacing w:val="0"/>
          <w:kern w:val="2"/>
          <w:sz w:val="32"/>
          <w:szCs w:val="32"/>
          <w:u w:val="none" w:color="auto"/>
          <w:lang w:val="en" w:eastAsia="zh-CN" w:bidi="ar-SA"/>
        </w:rPr>
        <w:t>74</w:t>
      </w:r>
      <w:r>
        <w:rPr>
          <w:rFonts w:hint="default" w:ascii="Times New Roman" w:hAnsi="Times New Roman" w:eastAsia="仿宋_GB2312" w:cs="Times New Roman"/>
          <w:b w:val="0"/>
          <w:bCs w:val="0"/>
          <w:color w:val="auto"/>
          <w:spacing w:val="0"/>
          <w:kern w:val="2"/>
          <w:sz w:val="32"/>
          <w:szCs w:val="32"/>
          <w:u w:val="none" w:color="auto"/>
          <w:lang w:val="en-US" w:eastAsia="zh-CN" w:bidi="ar-SA"/>
        </w:rPr>
        <w:t>万亩、处置率</w:t>
      </w:r>
      <w:r>
        <w:rPr>
          <w:rFonts w:hint="default" w:ascii="Times New Roman" w:hAnsi="Times New Roman" w:eastAsia="仿宋_GB2312" w:cs="Times New Roman"/>
          <w:b w:val="0"/>
          <w:bCs w:val="0"/>
          <w:color w:val="auto"/>
          <w:spacing w:val="0"/>
          <w:kern w:val="2"/>
          <w:sz w:val="32"/>
          <w:szCs w:val="32"/>
          <w:u w:val="none" w:color="auto"/>
          <w:lang w:val="en" w:eastAsia="zh-CN" w:bidi="ar-SA"/>
        </w:rPr>
        <w:t>36.8</w:t>
      </w:r>
      <w:r>
        <w:rPr>
          <w:rFonts w:hint="default" w:ascii="Times New Roman" w:hAnsi="Times New Roman" w:eastAsia="仿宋_GB2312" w:cs="Times New Roman"/>
          <w:b w:val="0"/>
          <w:bCs w:val="0"/>
          <w:color w:val="auto"/>
          <w:spacing w:val="0"/>
          <w:kern w:val="2"/>
          <w:sz w:val="32"/>
          <w:szCs w:val="32"/>
          <w:u w:val="none" w:color="auto"/>
          <w:lang w:val="en-US" w:eastAsia="zh-CN" w:bidi="ar-SA"/>
        </w:rPr>
        <w:t>%，居全省第五位；处置闲置土地4205.28亩、净减少率25.06%，居全省第三位。稳步推进全市69宗3170.28亩闲置存量房地产用地处置，已完成</w:t>
      </w:r>
      <w:r>
        <w:rPr>
          <w:rFonts w:hint="default" w:ascii="Times New Roman" w:hAnsi="Times New Roman" w:eastAsia="仿宋_GB2312" w:cs="Times New Roman"/>
          <w:b w:val="0"/>
          <w:bCs w:val="0"/>
          <w:color w:val="auto"/>
          <w:sz w:val="32"/>
          <w:szCs w:val="32"/>
          <w:u w:val="none" w:color="auto"/>
          <w:lang w:val="en-US" w:eastAsia="zh-CN"/>
        </w:rPr>
        <w:t>处置10宗462.98亩。</w:t>
      </w:r>
      <w:r>
        <w:rPr>
          <w:rFonts w:hint="default" w:ascii="Times New Roman" w:hAnsi="Times New Roman" w:eastAsia="仿宋_GB2312" w:cs="Times New Roman"/>
          <w:b w:val="0"/>
          <w:bCs w:val="0"/>
          <w:color w:val="auto"/>
          <w:kern w:val="2"/>
          <w:sz w:val="32"/>
          <w:szCs w:val="32"/>
          <w:u w:val="none" w:color="auto"/>
          <w:lang w:val="en-US" w:eastAsia="zh-CN" w:bidi="ar-SA"/>
        </w:rPr>
        <w:t>坚持“以供为主，撤回为辅”，</w:t>
      </w:r>
      <w:r>
        <w:rPr>
          <w:rFonts w:hint="default" w:ascii="Times New Roman" w:hAnsi="Times New Roman" w:eastAsia="仿宋_GB2312" w:cs="Times New Roman"/>
          <w:color w:val="auto"/>
          <w:sz w:val="32"/>
          <w:szCs w:val="32"/>
          <w:u w:val="none" w:color="auto"/>
          <w:lang w:val="en-US" w:eastAsia="zh-CN"/>
        </w:rPr>
        <w:t>全市拟撤回用地批文1825亩，1063亩已提交自然资源厅审查。</w:t>
      </w:r>
      <w:r>
        <w:rPr>
          <w:rFonts w:hint="default" w:ascii="Times New Roman" w:hAnsi="Times New Roman" w:eastAsia="仿宋_GB2312" w:cs="Times New Roman"/>
          <w:b w:val="0"/>
          <w:bCs w:val="0"/>
          <w:color w:val="auto"/>
          <w:spacing w:val="0"/>
          <w:kern w:val="2"/>
          <w:sz w:val="32"/>
          <w:szCs w:val="32"/>
          <w:u w:val="none" w:color="auto"/>
          <w:lang w:val="en-US" w:eastAsia="zh-CN" w:bidi="ar-SA"/>
        </w:rPr>
        <w:t>制定《广元市工业用地使用权租赁、先租后让和弹性年期出让暂行办法》，</w:t>
      </w:r>
      <w:r>
        <w:rPr>
          <w:rFonts w:hint="default" w:ascii="Times New Roman" w:hAnsi="Times New Roman" w:eastAsia="仿宋_GB2312" w:cs="Times New Roman"/>
          <w:b w:val="0"/>
          <w:bCs w:val="0"/>
          <w:color w:val="auto"/>
          <w:sz w:val="32"/>
          <w:szCs w:val="32"/>
          <w:u w:val="none" w:color="auto"/>
          <w:lang w:val="en-US" w:eastAsia="zh-CN"/>
        </w:rPr>
        <w:t>全市弹性年期出让工业用地20宗852.09亩。制定</w:t>
      </w:r>
      <w:r>
        <w:rPr>
          <w:rFonts w:hint="default" w:ascii="Times New Roman" w:hAnsi="Times New Roman" w:eastAsia="仿宋_GB2312" w:cs="Times New Roman"/>
          <w:b w:val="0"/>
          <w:bCs w:val="0"/>
          <w:color w:val="auto"/>
          <w:spacing w:val="0"/>
          <w:kern w:val="2"/>
          <w:sz w:val="32"/>
          <w:szCs w:val="32"/>
          <w:u w:val="none" w:color="auto"/>
          <w:lang w:val="en-US" w:eastAsia="zh-CN" w:bidi="ar-SA"/>
        </w:rPr>
        <w:t>《广元市建设用地使用权转让、出租、抵押二级市场的管理办法》，</w:t>
      </w:r>
      <w:r>
        <w:rPr>
          <w:rFonts w:hint="default" w:ascii="Times New Roman" w:hAnsi="Times New Roman" w:eastAsia="仿宋_GB2312" w:cs="Times New Roman"/>
          <w:b w:val="0"/>
          <w:bCs w:val="0"/>
          <w:color w:val="auto"/>
          <w:sz w:val="32"/>
          <w:szCs w:val="32"/>
          <w:u w:val="none" w:color="auto"/>
          <w:lang w:val="en-US" w:eastAsia="zh-CN"/>
        </w:rPr>
        <w:t>实现二级市场线上交易1宗。谋划申报土地储备专项债券，推进存量闲置土地收回收购，全市拟纳入2025年首批次土地储备专项债发行涉及土地面积878公顷，拟申报发行专项债金额120.83亿元。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val="0"/>
          <w:bCs w:val="0"/>
          <w:color w:val="auto"/>
          <w:spacing w:val="0"/>
          <w:kern w:val="2"/>
          <w:sz w:val="32"/>
          <w:szCs w:val="32"/>
          <w:u w:val="none" w:color="auto"/>
          <w:lang w:val="en-US" w:eastAsia="zh-CN" w:bidi="ar-SA"/>
        </w:rPr>
      </w:pPr>
      <w:r>
        <w:rPr>
          <w:rFonts w:hint="eastAsia" w:ascii="仿宋_GB2312" w:hAnsi="仿宋_GB2312" w:eastAsia="仿宋_GB2312" w:cs="仿宋_GB2312"/>
          <w:b w:val="0"/>
          <w:bCs/>
          <w:sz w:val="32"/>
          <w:szCs w:val="32"/>
        </w:rPr>
        <w:t>（5）</w:t>
      </w:r>
      <w:r>
        <w:rPr>
          <w:rFonts w:hint="default" w:ascii="Times New Roman" w:hAnsi="Times New Roman" w:eastAsia="楷体_GB2312" w:cs="Times New Roman"/>
          <w:b w:val="0"/>
          <w:bCs w:val="0"/>
          <w:color w:val="auto"/>
          <w:spacing w:val="0"/>
          <w:kern w:val="2"/>
          <w:sz w:val="32"/>
          <w:szCs w:val="32"/>
          <w:u w:val="none" w:color="auto"/>
          <w:lang w:val="en-US" w:eastAsia="zh-CN" w:bidi="ar-SA"/>
        </w:rPr>
        <w:t>自然资源要素保障坚实有力。</w:t>
      </w:r>
      <w:r>
        <w:rPr>
          <w:rFonts w:hint="default" w:ascii="Times New Roman" w:hAnsi="Times New Roman" w:eastAsia="仿宋_GB2312" w:cs="Times New Roman"/>
          <w:b w:val="0"/>
          <w:bCs w:val="0"/>
          <w:color w:val="auto"/>
          <w:spacing w:val="0"/>
          <w:kern w:val="2"/>
          <w:sz w:val="32"/>
          <w:szCs w:val="32"/>
          <w:u w:val="none" w:color="auto"/>
          <w:lang w:val="en-US" w:eastAsia="zh-CN" w:bidi="ar-SA"/>
        </w:rPr>
        <w:t>全面落实国家一揽子增量政策，服务保障拼经济、搞建设。</w:t>
      </w:r>
      <w:r>
        <w:rPr>
          <w:rFonts w:hint="default" w:ascii="Times New Roman" w:hAnsi="Times New Roman" w:eastAsia="仿宋_GB2312" w:cs="Times New Roman"/>
          <w:b w:val="0"/>
          <w:bCs w:val="0"/>
          <w:color w:val="auto"/>
          <w:sz w:val="32"/>
          <w:szCs w:val="32"/>
          <w:u w:val="none" w:color="auto"/>
          <w:lang w:val="en-US" w:eastAsia="zh-CN"/>
        </w:rPr>
        <w:t>上报建设用地报件92</w:t>
      </w:r>
      <w:r>
        <w:rPr>
          <w:rFonts w:hint="default" w:ascii="Times New Roman" w:hAnsi="Times New Roman" w:eastAsia="仿宋_GB2312" w:cs="Times New Roman"/>
          <w:b w:val="0"/>
          <w:bCs w:val="0"/>
          <w:color w:val="auto"/>
          <w:sz w:val="32"/>
          <w:szCs w:val="32"/>
          <w:u w:val="none" w:color="auto"/>
          <w:lang w:val="en" w:eastAsia="zh-CN"/>
        </w:rPr>
        <w:t>60</w:t>
      </w:r>
      <w:r>
        <w:rPr>
          <w:rFonts w:hint="default" w:ascii="Times New Roman" w:hAnsi="Times New Roman" w:eastAsia="仿宋_GB2312" w:cs="Times New Roman"/>
          <w:b w:val="0"/>
          <w:bCs w:val="0"/>
          <w:color w:val="auto"/>
          <w:sz w:val="32"/>
          <w:szCs w:val="32"/>
          <w:u w:val="none" w:color="auto"/>
          <w:lang w:val="en-US" w:eastAsia="zh-CN"/>
        </w:rPr>
        <w:t>亩、已取得批复5785.94亩，获新增建设用地计划指标</w:t>
      </w:r>
      <w:r>
        <w:rPr>
          <w:rFonts w:hint="default" w:ascii="Times New Roman" w:hAnsi="Times New Roman" w:eastAsia="仿宋_GB2312" w:cs="Times New Roman"/>
          <w:b w:val="0"/>
          <w:bCs w:val="0"/>
          <w:color w:val="auto"/>
          <w:sz w:val="32"/>
          <w:szCs w:val="32"/>
          <w:u w:val="none" w:color="auto"/>
          <w:lang w:val="en" w:eastAsia="zh-CN"/>
        </w:rPr>
        <w:t>16946</w:t>
      </w:r>
      <w:r>
        <w:rPr>
          <w:rFonts w:hint="default" w:ascii="Times New Roman" w:hAnsi="Times New Roman" w:eastAsia="仿宋_GB2312" w:cs="Times New Roman"/>
          <w:b w:val="0"/>
          <w:bCs w:val="0"/>
          <w:color w:val="auto"/>
          <w:sz w:val="32"/>
          <w:szCs w:val="32"/>
          <w:highlight w:val="none"/>
          <w:u w:val="none" w:color="auto"/>
          <w:lang w:val="en-US" w:eastAsia="zh-CN"/>
        </w:rPr>
        <w:t>亩，统筹保障</w:t>
      </w:r>
      <w:r>
        <w:rPr>
          <w:rFonts w:hint="default" w:ascii="Times New Roman" w:hAnsi="Times New Roman" w:eastAsia="仿宋_GB2312" w:cs="Times New Roman"/>
          <w:b w:val="0"/>
          <w:bCs w:val="0"/>
          <w:color w:val="auto"/>
          <w:sz w:val="32"/>
          <w:szCs w:val="32"/>
          <w:highlight w:val="none"/>
          <w:u w:val="none" w:color="auto"/>
          <w:lang w:val="en" w:eastAsia="zh-CN"/>
        </w:rPr>
        <w:t>9305</w:t>
      </w:r>
      <w:r>
        <w:rPr>
          <w:rFonts w:hint="default" w:ascii="Times New Roman" w:hAnsi="Times New Roman" w:eastAsia="仿宋_GB2312" w:cs="Times New Roman"/>
          <w:b w:val="0"/>
          <w:bCs w:val="0"/>
          <w:color w:val="auto"/>
          <w:sz w:val="32"/>
          <w:szCs w:val="32"/>
          <w:highlight w:val="none"/>
          <w:u w:val="none" w:color="auto"/>
          <w:lang w:val="en-US" w:eastAsia="zh-CN"/>
        </w:rPr>
        <w:t>亩，</w:t>
      </w:r>
      <w:r>
        <w:rPr>
          <w:rFonts w:hint="default" w:ascii="Times New Roman" w:hAnsi="Times New Roman" w:eastAsia="仿宋_GB2312" w:cs="Times New Roman"/>
          <w:b w:val="0"/>
          <w:bCs w:val="0"/>
          <w:color w:val="auto"/>
          <w:spacing w:val="0"/>
          <w:kern w:val="2"/>
          <w:sz w:val="32"/>
          <w:szCs w:val="32"/>
          <w:u w:val="none" w:color="auto"/>
          <w:lang w:val="en-US" w:eastAsia="zh-CN" w:bidi="ar-SA"/>
        </w:rPr>
        <w:t>为山东鲁丽、元宝山铁路专用线、中核职院等重点行业、重点项目和重点区域用地做好支撑，山东鲁丽项目用地保障成效获市委主要领导</w:t>
      </w:r>
      <w:r>
        <w:rPr>
          <w:rFonts w:hint="eastAsia" w:ascii="Times New Roman" w:hAnsi="Times New Roman" w:eastAsia="仿宋_GB2312" w:cs="Times New Roman"/>
          <w:b w:val="0"/>
          <w:bCs w:val="0"/>
          <w:color w:val="auto"/>
          <w:spacing w:val="0"/>
          <w:kern w:val="2"/>
          <w:sz w:val="32"/>
          <w:szCs w:val="32"/>
          <w:u w:val="none" w:color="auto"/>
          <w:lang w:val="en-US" w:eastAsia="zh-CN" w:bidi="ar-SA"/>
        </w:rPr>
        <w:t>高度</w:t>
      </w:r>
      <w:r>
        <w:rPr>
          <w:rFonts w:hint="default" w:ascii="Times New Roman" w:hAnsi="Times New Roman" w:eastAsia="仿宋_GB2312" w:cs="Times New Roman"/>
          <w:b w:val="0"/>
          <w:bCs w:val="0"/>
          <w:color w:val="auto"/>
          <w:spacing w:val="0"/>
          <w:kern w:val="2"/>
          <w:sz w:val="32"/>
          <w:szCs w:val="32"/>
          <w:u w:val="none" w:color="auto"/>
          <w:lang w:val="en-US" w:eastAsia="zh-CN" w:bidi="ar-SA"/>
        </w:rPr>
        <w:t>肯定。大力推进土地出让工作，市本级实现土地价款收入入库</w:t>
      </w:r>
      <w:r>
        <w:rPr>
          <w:rFonts w:hint="default" w:ascii="Times New Roman" w:hAnsi="Times New Roman" w:eastAsia="仿宋_GB2312" w:cs="Times New Roman"/>
          <w:b w:val="0"/>
          <w:bCs w:val="0"/>
          <w:color w:val="auto"/>
          <w:spacing w:val="0"/>
          <w:kern w:val="2"/>
          <w:sz w:val="32"/>
          <w:szCs w:val="32"/>
          <w:u w:val="none" w:color="auto"/>
          <w:lang w:val="en" w:eastAsia="zh-CN" w:bidi="ar-SA"/>
        </w:rPr>
        <w:t>32.95</w:t>
      </w:r>
      <w:r>
        <w:rPr>
          <w:rFonts w:hint="default" w:ascii="Times New Roman" w:hAnsi="Times New Roman" w:eastAsia="仿宋_GB2312" w:cs="Times New Roman"/>
          <w:b w:val="0"/>
          <w:bCs w:val="0"/>
          <w:color w:val="auto"/>
          <w:spacing w:val="0"/>
          <w:kern w:val="2"/>
          <w:sz w:val="32"/>
          <w:szCs w:val="32"/>
          <w:u w:val="none" w:color="auto"/>
          <w:lang w:val="en-US" w:eastAsia="zh-CN" w:bidi="ar-SA"/>
        </w:rPr>
        <w:t>亿元。创新产业发展用地要素保障，供应民宿小宗地16宗421.26亩。有序推进利州区集体经营性建设用地入市试点，已成功入市10宗、126.66亩，成交金额1674.73万元；正在公告1宗、6.29亩，预计成交金额64万元。强化矿产资源保障，全市发布矿业权出让公告13宗，其中已成功出让10宗、正在公告2宗、流拍1宗，实现出让收益1</w:t>
      </w:r>
      <w:r>
        <w:rPr>
          <w:rFonts w:hint="default" w:ascii="Times New Roman" w:hAnsi="Times New Roman" w:eastAsia="仿宋_GB2312" w:cs="Times New Roman"/>
          <w:b w:val="0"/>
          <w:bCs w:val="0"/>
          <w:color w:val="auto"/>
          <w:spacing w:val="0"/>
          <w:kern w:val="2"/>
          <w:sz w:val="32"/>
          <w:szCs w:val="32"/>
          <w:u w:val="none" w:color="auto"/>
          <w:lang w:val="en" w:eastAsia="zh-CN" w:bidi="ar-SA"/>
        </w:rPr>
        <w:t>.</w:t>
      </w:r>
      <w:r>
        <w:rPr>
          <w:rFonts w:hint="default" w:ascii="Times New Roman" w:hAnsi="Times New Roman" w:eastAsia="仿宋_GB2312" w:cs="Times New Roman"/>
          <w:b w:val="0"/>
          <w:bCs w:val="0"/>
          <w:color w:val="auto"/>
          <w:spacing w:val="0"/>
          <w:kern w:val="2"/>
          <w:sz w:val="32"/>
          <w:szCs w:val="32"/>
          <w:u w:val="none" w:color="auto"/>
          <w:lang w:val="en-US" w:eastAsia="zh-CN" w:bidi="ar-SA"/>
        </w:rPr>
        <w:t>41亿元。以新一轮找矿突破战略行动为契机，发挥天然沥青、地热、钒矿、石英类等重点矿产资源优势，圈定区块28个。推进西南地区战略腹地战略性矿产资源调查，联合绵阳市申报“青川—平武地区锰矿资源”项目。落实市委、市政府部署，新设市矿产资源勘探开发利用专班，协调推进市政府与省地质局、省地调院正式签订战略合作协议。全面开展矿产资源情况调查，基本摸清全市地质现状和矿产资源禀赋。围绕全市重点产业用矿需求，规划16个勘查区块、17个开采区块，为天然沥青、钒矿、锰矿等优势矿种开发利用打牢基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cs="Times New Roman"/>
          <w:color w:val="auto"/>
          <w:u w:val="none" w:color="auto"/>
          <w:lang w:val="en-US" w:eastAsia="zh-CN"/>
        </w:rPr>
      </w:pPr>
      <w:r>
        <w:rPr>
          <w:rFonts w:hint="eastAsia" w:ascii="仿宋_GB2312" w:hAnsi="仿宋_GB2312" w:eastAsia="仿宋_GB2312" w:cs="仿宋_GB2312"/>
          <w:b w:val="0"/>
          <w:bCs/>
          <w:sz w:val="32"/>
          <w:szCs w:val="32"/>
        </w:rPr>
        <w:t>（6）</w:t>
      </w:r>
      <w:r>
        <w:rPr>
          <w:rFonts w:hint="default" w:ascii="Times New Roman" w:hAnsi="Times New Roman" w:eastAsia="楷体_GB2312" w:cs="Times New Roman"/>
          <w:b w:val="0"/>
          <w:bCs w:val="0"/>
          <w:color w:val="auto"/>
          <w:spacing w:val="0"/>
          <w:kern w:val="2"/>
          <w:sz w:val="32"/>
          <w:szCs w:val="32"/>
          <w:u w:val="none" w:color="auto"/>
          <w:lang w:val="en-US" w:eastAsia="zh-CN" w:bidi="ar-SA"/>
        </w:rPr>
        <w:t>矿产资源问题整治有序推进。</w:t>
      </w:r>
      <w:r>
        <w:rPr>
          <w:rFonts w:hint="default" w:ascii="Times New Roman" w:hAnsi="Times New Roman" w:eastAsia="仿宋_GB2312" w:cs="Times New Roman"/>
          <w:b w:val="0"/>
          <w:bCs w:val="0"/>
          <w:color w:val="auto"/>
          <w:spacing w:val="0"/>
          <w:kern w:val="2"/>
          <w:sz w:val="32"/>
          <w:szCs w:val="32"/>
          <w:u w:val="none" w:color="auto"/>
          <w:lang w:val="en-US" w:eastAsia="zh-CN" w:bidi="ar-SA"/>
        </w:rPr>
        <w:t>牵头开展全市矿产资源领域突出问题专项整治行动，排查发现问题694个，整改完成560个，扣除长期整改108个，整改率95.6%</w:t>
      </w:r>
      <w:r>
        <w:rPr>
          <w:rFonts w:hint="default" w:ascii="Times New Roman" w:hAnsi="Times New Roman" w:eastAsia="仿宋_GB2312" w:cs="Times New Roman"/>
          <w:color w:val="auto"/>
          <w:sz w:val="32"/>
          <w:szCs w:val="32"/>
          <w:u w:val="none" w:color="auto"/>
          <w:lang w:eastAsia="zh-CN"/>
        </w:rPr>
        <w:t>；依法立案查处矿产资源违法案件</w:t>
      </w:r>
      <w:r>
        <w:rPr>
          <w:rFonts w:hint="default" w:ascii="Times New Roman" w:hAnsi="Times New Roman" w:eastAsia="仿宋_GB2312" w:cs="Times New Roman"/>
          <w:color w:val="auto"/>
          <w:sz w:val="32"/>
          <w:szCs w:val="32"/>
          <w:u w:val="none" w:color="auto"/>
          <w:lang w:val="en-US" w:eastAsia="zh-CN"/>
        </w:rPr>
        <w:t>32</w:t>
      </w:r>
      <w:r>
        <w:rPr>
          <w:rFonts w:hint="default" w:ascii="Times New Roman" w:hAnsi="Times New Roman" w:eastAsia="仿宋_GB2312" w:cs="Times New Roman"/>
          <w:color w:val="auto"/>
          <w:sz w:val="32"/>
          <w:szCs w:val="32"/>
          <w:u w:val="none" w:color="auto"/>
          <w:lang w:eastAsia="zh-CN"/>
        </w:rPr>
        <w:t>起，其中向公安机关移交线索1</w:t>
      </w:r>
      <w:r>
        <w:rPr>
          <w:rFonts w:hint="default" w:ascii="Times New Roman" w:hAnsi="Times New Roman" w:eastAsia="仿宋_GB2312" w:cs="Times New Roman"/>
          <w:color w:val="auto"/>
          <w:sz w:val="32"/>
          <w:szCs w:val="32"/>
          <w:u w:val="none" w:color="auto"/>
          <w:lang w:val="en-US" w:eastAsia="zh-CN"/>
        </w:rPr>
        <w:t>2</w:t>
      </w:r>
      <w:r>
        <w:rPr>
          <w:rFonts w:hint="default" w:ascii="Times New Roman" w:hAnsi="Times New Roman" w:eastAsia="仿宋_GB2312" w:cs="Times New Roman"/>
          <w:color w:val="auto"/>
          <w:sz w:val="32"/>
          <w:szCs w:val="32"/>
          <w:u w:val="none" w:color="auto"/>
          <w:lang w:eastAsia="zh-CN"/>
        </w:rPr>
        <w:t>起，涉案金额1.25亿元。</w:t>
      </w:r>
      <w:r>
        <w:rPr>
          <w:rFonts w:hint="default" w:ascii="Times New Roman" w:hAnsi="Times New Roman" w:eastAsia="仿宋_GB2312" w:cs="Times New Roman"/>
          <w:color w:val="auto"/>
          <w:sz w:val="32"/>
          <w:szCs w:val="32"/>
          <w:u w:val="none" w:color="auto"/>
          <w:lang w:val="en-US" w:eastAsia="zh-CN"/>
        </w:rPr>
        <w:t>深化自然资源领域“打非治违”。严厉打击无证开采、越界开采和以整治修复等名义采矿违法行为，全市立案查处无证开采、越界开采矿产类违法案件14件，没收矿产品4.58万吨，罚没73.27万元。持续加强生态保护修复，</w:t>
      </w:r>
      <w:r>
        <w:rPr>
          <w:rFonts w:hint="default" w:ascii="Times New Roman" w:hAnsi="Times New Roman" w:eastAsia="仿宋_GB2312" w:cs="Times New Roman"/>
          <w:b w:val="0"/>
          <w:bCs w:val="0"/>
          <w:color w:val="auto"/>
          <w:spacing w:val="0"/>
          <w:kern w:val="2"/>
          <w:sz w:val="32"/>
          <w:szCs w:val="32"/>
          <w:u w:val="none" w:color="auto"/>
          <w:lang w:val="en-US" w:eastAsia="zh-CN" w:bidi="ar-SA"/>
        </w:rPr>
        <w:t>完成</w:t>
      </w:r>
      <w:r>
        <w:rPr>
          <w:rFonts w:hint="default" w:ascii="Times New Roman" w:hAnsi="Times New Roman" w:eastAsia="仿宋_GB2312" w:cs="Times New Roman"/>
          <w:b w:val="0"/>
          <w:bCs w:val="0"/>
          <w:color w:val="auto"/>
          <w:sz w:val="32"/>
          <w:szCs w:val="32"/>
          <w:highlight w:val="none"/>
          <w:u w:val="none" w:color="auto"/>
          <w:lang w:val="en-US" w:eastAsia="zh-CN"/>
        </w:rPr>
        <w:t>生态修复规划体系建设、历史遗留矿山生态修复、碳汇能力巩固提升方案编制</w:t>
      </w:r>
      <w:r>
        <w:rPr>
          <w:rFonts w:hint="eastAsia" w:ascii="Times New Roman" w:hAnsi="Times New Roman" w:eastAsia="仿宋_GB2312" w:cs="Times New Roman"/>
          <w:b w:val="0"/>
          <w:bCs w:val="0"/>
          <w:color w:val="auto"/>
          <w:sz w:val="32"/>
          <w:szCs w:val="32"/>
          <w:highlight w:val="none"/>
          <w:u w:val="none" w:color="auto"/>
          <w:lang w:val="en-US" w:eastAsia="zh-CN"/>
        </w:rPr>
        <w:t>年度</w:t>
      </w:r>
      <w:r>
        <w:rPr>
          <w:rFonts w:hint="default" w:ascii="Times New Roman" w:hAnsi="Times New Roman" w:eastAsia="仿宋_GB2312" w:cs="Times New Roman"/>
          <w:b w:val="0"/>
          <w:bCs w:val="0"/>
          <w:color w:val="auto"/>
          <w:sz w:val="32"/>
          <w:szCs w:val="32"/>
          <w:highlight w:val="none"/>
          <w:u w:val="none" w:color="auto"/>
          <w:lang w:val="en-US" w:eastAsia="zh-CN"/>
        </w:rPr>
        <w:t>任务。</w:t>
      </w:r>
      <w:r>
        <w:rPr>
          <w:rFonts w:hint="default" w:ascii="Times New Roman" w:hAnsi="Times New Roman" w:eastAsia="仿宋_GB2312" w:cs="Times New Roman"/>
          <w:color w:val="auto"/>
          <w:sz w:val="32"/>
          <w:szCs w:val="32"/>
          <w:u w:val="none" w:color="auto"/>
          <w:lang w:val="en-US" w:eastAsia="zh-CN"/>
        </w:rPr>
        <w:t>全市历史遗留废弃矿山图斑变更核查工作通过部级核查20个，涉及图斑面积30.95公顷，实际治理修复面积31.04公顷，居全省前列。</w:t>
      </w:r>
    </w:p>
    <w:p>
      <w:pPr>
        <w:pageBreakBefore w:val="0"/>
        <w:widowControl w:val="0"/>
        <w:kinsoku/>
        <w:wordWrap/>
        <w:overflowPunct/>
        <w:topLinePunct w:val="0"/>
        <w:autoSpaceDE/>
        <w:autoSpaceDN/>
        <w:bidi w:val="0"/>
        <w:spacing w:line="520" w:lineRule="exact"/>
        <w:ind w:firstLine="640" w:firstLineChars="200"/>
        <w:jc w:val="both"/>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w:t>
      </w:r>
      <w:r>
        <w:rPr>
          <w:rFonts w:hint="eastAsia" w:ascii="仿宋_GB2312" w:hAnsi="仿宋_GB2312" w:cs="仿宋_GB2312"/>
          <w:b w:val="0"/>
          <w:bCs/>
          <w:sz w:val="32"/>
          <w:szCs w:val="32"/>
          <w:lang w:val="en-US" w:eastAsia="zh-CN"/>
        </w:rPr>
        <w:t>7</w:t>
      </w:r>
      <w:r>
        <w:rPr>
          <w:rFonts w:hint="eastAsia" w:ascii="仿宋_GB2312" w:hAnsi="仿宋_GB2312" w:eastAsia="仿宋_GB2312" w:cs="仿宋_GB2312"/>
          <w:b w:val="0"/>
          <w:bCs/>
          <w:sz w:val="32"/>
          <w:szCs w:val="32"/>
        </w:rPr>
        <w:t>）优化营商环境工作。一是加速推进环境优势向竞争优势转变，打造“梨即登”“便利登”等多个“党建+不动产登记”品牌，创新推出“阆苍南”不动产登记协同办理。</w:t>
      </w:r>
      <w:r>
        <w:rPr>
          <w:rFonts w:hint="eastAsia" w:ascii="仿宋_GB2312" w:hAnsi="仿宋_GB2312" w:cs="仿宋_GB2312"/>
          <w:b w:val="0"/>
          <w:bCs/>
          <w:sz w:val="32"/>
          <w:szCs w:val="32"/>
          <w:lang w:val="en-US" w:eastAsia="zh-CN"/>
        </w:rPr>
        <w:t>探索开展智能化工作模式、开发不动产登记信息及地籍图可视化查询系统、建立全市不动产登记中心数据库等新技术，实现业务受理压缩至20分钟以内、不动产登记“看图查询”、市、县不动产登记数据库统一管理。</w:t>
      </w:r>
      <w:r>
        <w:rPr>
          <w:rFonts w:hint="eastAsia" w:ascii="仿宋_GB2312" w:hAnsi="仿宋_GB2312" w:eastAsia="仿宋_GB2312" w:cs="仿宋_GB2312"/>
          <w:b w:val="0"/>
          <w:bCs/>
          <w:sz w:val="32"/>
          <w:szCs w:val="32"/>
        </w:rPr>
        <w:t>二是深入实施民生保障提质行动。积极推进“交地即交证”“交房即交证”工作，今年以来全市实现“交地即交证”23宗、“交房即交证”10宗。</w:t>
      </w:r>
      <w:r>
        <w:rPr>
          <w:rFonts w:hint="eastAsia" w:ascii="仿宋_GB2312" w:hAnsi="仿宋_GB2312" w:cs="仿宋_GB2312"/>
          <w:b w:val="0"/>
          <w:bCs/>
          <w:sz w:val="32"/>
          <w:szCs w:val="32"/>
          <w:lang w:val="en-US" w:eastAsia="zh-CN"/>
        </w:rPr>
        <w:t>积极化解不动产登记历史遗留问题，解决云栈园、新民翠屏社区棚户区改造一期等20个不动产“登记难”问题，为3110户群众办理不动产登记。</w:t>
      </w:r>
    </w:p>
    <w:p>
      <w:pPr>
        <w:pageBreakBefore w:val="0"/>
        <w:widowControl w:val="0"/>
        <w:kinsoku/>
        <w:wordWrap/>
        <w:overflowPunct/>
        <w:topLinePunct w:val="0"/>
        <w:autoSpaceDE/>
        <w:autoSpaceDN/>
        <w:bidi w:val="0"/>
        <w:spacing w:line="520" w:lineRule="exact"/>
        <w:ind w:firstLine="640" w:firstLineChars="200"/>
        <w:jc w:val="both"/>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w:t>
      </w:r>
      <w:r>
        <w:rPr>
          <w:rFonts w:hint="eastAsia" w:ascii="仿宋_GB2312" w:hAnsi="仿宋_GB2312" w:eastAsia="仿宋_GB2312" w:cs="仿宋_GB2312"/>
          <w:b w:val="0"/>
          <w:bCs/>
          <w:sz w:val="32"/>
          <w:szCs w:val="32"/>
        </w:rPr>
        <w:t>）</w:t>
      </w:r>
      <w:r>
        <w:rPr>
          <w:rFonts w:hint="default" w:ascii="仿宋_GB2312" w:hAnsi="仿宋_GB2312" w:eastAsia="仿宋_GB2312" w:cs="仿宋_GB2312"/>
          <w:b w:val="0"/>
          <w:bCs/>
          <w:sz w:val="32"/>
          <w:szCs w:val="32"/>
          <w:lang w:val="en-US" w:eastAsia="zh-CN"/>
        </w:rPr>
        <w:t>地灾防治再次实现“零伤亡”。广元市地质环境监测站荣获全国自然资源系统先进集体称号，地灾项目管理和“点面双控”做法被省地灾指治办在全省宣传推广，中国地质环境监测院“多尺度地质灾害风险动态防控关键技术研发”年度成果交流会在我市成功召开。全年排查隐患点位10874处次、在建工程1362处次，培训2480场次、59701人次，演练2127场次、47763人次，成功应对9轮强降雨，有效处置险情42起。创新实施</w:t>
      </w:r>
      <w:r>
        <w:rPr>
          <w:rFonts w:hint="default" w:ascii="仿宋_GB2312" w:hAnsi="仿宋_GB2312" w:eastAsia="仿宋_GB2312" w:cs="仿宋_GB2312"/>
          <w:b w:val="0"/>
          <w:bCs/>
          <w:sz w:val="32"/>
          <w:szCs w:val="32"/>
          <w:lang w:val="zh-CN" w:eastAsia="zh-CN"/>
        </w:rPr>
        <w:t>黄、橙、红预警精准避险转移运行机制，</w:t>
      </w:r>
      <w:r>
        <w:rPr>
          <w:rFonts w:hint="default" w:ascii="仿宋_GB2312" w:hAnsi="仿宋_GB2312" w:eastAsia="仿宋_GB2312" w:cs="仿宋_GB2312"/>
          <w:b w:val="0"/>
          <w:bCs/>
          <w:sz w:val="32"/>
          <w:szCs w:val="32"/>
          <w:lang w:val="en-US" w:eastAsia="zh-CN"/>
        </w:rPr>
        <w:t>转移受威胁群众13048户29719人次，成功避险地质灾害7起，避免10户30人可能的因灾伤亡，旺苍县何家湾泥石流避险案例入选自然资源部成功避险典型案例。申报地灾特别国债资金2.96亿元，195个治理项目和180户避险搬迁全部完成实施，拨付资金2.74亿余元（其中国债资金2.45亿余元、地方配套0.29亿余元），实现应拨尽拨。</w:t>
      </w:r>
    </w:p>
    <w:p>
      <w:pPr>
        <w:keepNext w:val="0"/>
        <w:keepLines w:val="0"/>
        <w:pageBreakBefore w:val="0"/>
        <w:widowControl w:val="0"/>
        <w:numPr>
          <w:ilvl w:val="0"/>
          <w:numId w:val="0"/>
        </w:numPr>
        <w:shd w:val="clear" w:color="auto" w:fill="auto"/>
        <w:suppressAutoHyphens/>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仿宋_GB2312" w:cs="Times New Roman"/>
          <w:b w:val="0"/>
          <w:bCs w:val="0"/>
          <w:color w:val="auto"/>
          <w:spacing w:val="0"/>
          <w:kern w:val="2"/>
          <w:sz w:val="32"/>
          <w:szCs w:val="32"/>
          <w:u w:val="none" w:color="auto"/>
          <w:lang w:val="en-US" w:eastAsia="zh-CN" w:bidi="ar-SA"/>
        </w:rPr>
      </w:pPr>
      <w:r>
        <w:rPr>
          <w:rFonts w:hint="eastAsia" w:ascii="Times New Roman" w:hAnsi="Times New Roman" w:eastAsia="楷体_GB2312" w:cs="Times New Roman"/>
          <w:b w:val="0"/>
          <w:bCs w:val="0"/>
          <w:color w:val="auto"/>
          <w:spacing w:val="0"/>
          <w:kern w:val="2"/>
          <w:sz w:val="32"/>
          <w:szCs w:val="32"/>
          <w:u w:val="none" w:color="auto"/>
          <w:lang w:val="en-US" w:eastAsia="zh-CN" w:bidi="ar-SA"/>
        </w:rPr>
        <w:t>（9）</w:t>
      </w:r>
      <w:r>
        <w:rPr>
          <w:rFonts w:hint="default" w:ascii="Times New Roman" w:hAnsi="Times New Roman" w:eastAsia="楷体_GB2312" w:cs="Times New Roman"/>
          <w:b w:val="0"/>
          <w:bCs w:val="0"/>
          <w:color w:val="auto"/>
          <w:spacing w:val="0"/>
          <w:kern w:val="2"/>
          <w:sz w:val="32"/>
          <w:szCs w:val="32"/>
          <w:u w:val="none" w:color="auto"/>
          <w:lang w:val="en-US" w:eastAsia="zh-CN" w:bidi="ar-SA"/>
        </w:rPr>
        <w:t>不动产登记服务取得较好成效。</w:t>
      </w:r>
      <w:r>
        <w:rPr>
          <w:rFonts w:hint="default" w:ascii="Times New Roman" w:hAnsi="Times New Roman" w:eastAsia="仿宋_GB2312" w:cs="Times New Roman"/>
          <w:b w:val="0"/>
          <w:bCs w:val="0"/>
          <w:color w:val="auto"/>
          <w:spacing w:val="0"/>
          <w:kern w:val="2"/>
          <w:sz w:val="32"/>
          <w:szCs w:val="32"/>
          <w:u w:val="none" w:color="auto"/>
          <w:lang w:val="en-US" w:eastAsia="zh-CN" w:bidi="ar-SA"/>
        </w:rPr>
        <w:t>充分发挥“放管服”与“标准地”改革叠加效应，积极推进“住权”“产权”同步，</w:t>
      </w:r>
      <w:r>
        <w:rPr>
          <w:rFonts w:hint="default" w:ascii="Times New Roman" w:hAnsi="Times New Roman" w:eastAsia="仿宋_GB2312" w:cs="Times New Roman"/>
          <w:b w:val="0"/>
          <w:bCs w:val="0"/>
          <w:color w:val="auto"/>
          <w:sz w:val="32"/>
          <w:szCs w:val="32"/>
          <w:u w:val="none" w:color="auto"/>
          <w:lang w:val="en-US" w:eastAsia="zh-CN"/>
        </w:rPr>
        <w:t>实现“交地即交证”25宗、</w:t>
      </w:r>
      <w:r>
        <w:rPr>
          <w:rFonts w:hint="default" w:ascii="Times New Roman" w:hAnsi="Times New Roman" w:eastAsia="仿宋_GB2312" w:cs="Times New Roman"/>
          <w:b w:val="0"/>
          <w:bCs w:val="0"/>
          <w:color w:val="auto"/>
          <w:spacing w:val="0"/>
          <w:kern w:val="2"/>
          <w:sz w:val="32"/>
          <w:szCs w:val="32"/>
          <w:u w:val="none" w:color="auto"/>
          <w:lang w:val="en-US" w:eastAsia="zh-CN" w:bidi="ar-SA"/>
        </w:rPr>
        <w:t>“交房即交证”</w:t>
      </w:r>
      <w:r>
        <w:rPr>
          <w:rFonts w:hint="default" w:ascii="Times New Roman" w:hAnsi="Times New Roman" w:eastAsia="仿宋_GB2312" w:cs="Times New Roman"/>
          <w:b w:val="0"/>
          <w:bCs w:val="0"/>
          <w:color w:val="auto"/>
          <w:spacing w:val="0"/>
          <w:kern w:val="2"/>
          <w:sz w:val="32"/>
          <w:szCs w:val="32"/>
          <w:u w:val="none" w:color="auto"/>
          <w:lang w:val="en" w:eastAsia="zh-CN" w:bidi="ar-SA"/>
        </w:rPr>
        <w:t>4</w:t>
      </w:r>
      <w:r>
        <w:rPr>
          <w:rFonts w:hint="default" w:ascii="Times New Roman" w:hAnsi="Times New Roman" w:eastAsia="仿宋_GB2312" w:cs="Times New Roman"/>
          <w:b w:val="0"/>
          <w:bCs w:val="0"/>
          <w:color w:val="auto"/>
          <w:spacing w:val="0"/>
          <w:kern w:val="2"/>
          <w:sz w:val="32"/>
          <w:szCs w:val="32"/>
          <w:u w:val="none" w:color="auto"/>
          <w:lang w:val="en-US" w:eastAsia="zh-CN" w:bidi="ar-SA"/>
        </w:rPr>
        <w:t>宗。全面落实市委市政府安排部署和“保交房”工作要求，加快化解问题项目和“登记难”项目。会同法院、住建、国防动员、税务部门建立“五联五定”不动产登记历史遗留问题化解长效机制，市本级化解“登记难”项目（含原“问题楼盘”）</w:t>
      </w:r>
      <w:r>
        <w:rPr>
          <w:rFonts w:hint="default" w:ascii="Times New Roman" w:hAnsi="Times New Roman" w:eastAsia="仿宋_GB2312" w:cs="Times New Roman"/>
          <w:b w:val="0"/>
          <w:bCs w:val="0"/>
          <w:color w:val="auto"/>
          <w:spacing w:val="0"/>
          <w:kern w:val="2"/>
          <w:sz w:val="32"/>
          <w:szCs w:val="32"/>
          <w:u w:val="none" w:color="auto"/>
          <w:lang w:val="en" w:eastAsia="zh-CN" w:bidi="ar-SA"/>
        </w:rPr>
        <w:t>20</w:t>
      </w:r>
      <w:r>
        <w:rPr>
          <w:rFonts w:hint="default" w:ascii="Times New Roman" w:hAnsi="Times New Roman" w:eastAsia="仿宋_GB2312" w:cs="Times New Roman"/>
          <w:b w:val="0"/>
          <w:bCs w:val="0"/>
          <w:color w:val="auto"/>
          <w:spacing w:val="0"/>
          <w:kern w:val="2"/>
          <w:sz w:val="32"/>
          <w:szCs w:val="32"/>
          <w:u w:val="none" w:color="auto"/>
          <w:lang w:val="en-US" w:eastAsia="zh-CN" w:bidi="ar-SA"/>
        </w:rPr>
        <w:t>个，为</w:t>
      </w:r>
      <w:r>
        <w:rPr>
          <w:rFonts w:hint="default" w:ascii="Times New Roman" w:hAnsi="Times New Roman" w:eastAsia="仿宋_GB2312" w:cs="Times New Roman"/>
          <w:b w:val="0"/>
          <w:bCs w:val="0"/>
          <w:color w:val="auto"/>
          <w:spacing w:val="0"/>
          <w:kern w:val="2"/>
          <w:sz w:val="32"/>
          <w:szCs w:val="32"/>
          <w:u w:val="none" w:color="auto"/>
          <w:lang w:val="en" w:eastAsia="zh-CN" w:bidi="ar-SA"/>
        </w:rPr>
        <w:t>40</w:t>
      </w:r>
      <w:r>
        <w:rPr>
          <w:rFonts w:hint="default" w:ascii="Times New Roman" w:hAnsi="Times New Roman" w:eastAsia="仿宋_GB2312" w:cs="Times New Roman"/>
          <w:b w:val="0"/>
          <w:bCs w:val="0"/>
          <w:color w:val="auto"/>
          <w:spacing w:val="0"/>
          <w:kern w:val="2"/>
          <w:sz w:val="32"/>
          <w:szCs w:val="32"/>
          <w:u w:val="none" w:color="auto"/>
          <w:lang w:val="en-US" w:eastAsia="zh-CN" w:bidi="ar-SA"/>
        </w:rPr>
        <w:t>00余户业主办理不动产权证书。持续优化不动产登记服务，承办全省自然资源系统不动产登记综合业务培训和不动产登记总结会，并作经验交流发言。</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rPr>
        <w:t>2.</w:t>
      </w:r>
      <w:r>
        <w:rPr>
          <w:rFonts w:hint="eastAsia" w:ascii="仿宋_GB2312" w:hAnsi="仿宋_GB2312" w:eastAsia="仿宋_GB2312" w:cs="仿宋_GB2312"/>
          <w:b w:val="0"/>
          <w:bCs/>
          <w:color w:val="000000"/>
          <w:kern w:val="0"/>
          <w:sz w:val="32"/>
          <w:szCs w:val="32"/>
          <w:shd w:val="clear" w:color="auto" w:fill="FFFFFF"/>
          <w:lang w:val="zh-CN"/>
        </w:rPr>
        <w:t>预算管理。</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严格编制部门预算，做到编制完整无漏项，基本支出按人员编制和定额标准，项目支出按照本单位的职能职责和上级部门下达的工作目标任务编制，做到了资料完整、依据充分。二是按照《预算法》《会计法》和政府会计准则的要求，不断强化预算意识，严格按照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rPr>
        <w:t>年部门预算执行支出，加强预算执行过程的控制和结果反馈，及时采取措施纠正执行偏差，促进预算目标的全面完成。全年执行进度为</w:t>
      </w:r>
      <w:r>
        <w:rPr>
          <w:rFonts w:hint="eastAsia" w:ascii="仿宋_GB2312" w:hAnsi="仿宋_GB2312" w:cs="仿宋_GB2312"/>
          <w:b w:val="0"/>
          <w:bCs/>
          <w:sz w:val="32"/>
          <w:szCs w:val="32"/>
          <w:lang w:val="en-US" w:eastAsia="zh-CN"/>
        </w:rPr>
        <w:t>98.13</w:t>
      </w:r>
      <w:r>
        <w:rPr>
          <w:rFonts w:hint="eastAsia" w:ascii="仿宋_GB2312" w:hAnsi="仿宋_GB2312" w:eastAsia="仿宋_GB2312" w:cs="仿宋_GB2312"/>
          <w:b w:val="0"/>
          <w:bCs/>
          <w:sz w:val="32"/>
          <w:szCs w:val="32"/>
        </w:rPr>
        <w:t>%，年终无预算结余。</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rPr>
        <w:t>3.</w:t>
      </w:r>
      <w:r>
        <w:rPr>
          <w:rFonts w:hint="eastAsia" w:ascii="仿宋_GB2312" w:hAnsi="仿宋_GB2312" w:eastAsia="仿宋_GB2312" w:cs="仿宋_GB2312"/>
          <w:b w:val="0"/>
          <w:bCs/>
          <w:color w:val="000000"/>
          <w:kern w:val="0"/>
          <w:sz w:val="32"/>
          <w:szCs w:val="32"/>
          <w:shd w:val="clear" w:color="auto" w:fill="FFFFFF"/>
          <w:lang w:val="zh-CN"/>
        </w:rPr>
        <w:t>财务管理。</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会计机构和会计人员。设立财务与资金运用科，负责本部门财务收支核算和管理工作。会计人员有从业资格，会计出纳分设，监督和执行岗位健全，会计机构负责人符合任职资格条件，并按照相关文件要求进行了备案。</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内部管理制度。内部管理制度健全，主要有《广元市自然资源局财务管理制度》《广元市自然资源局预算管理办法》《广元市自然资源局资产管理办法》《广元市自然资源局政府采购内控管理制度》《广元市自然资源局“三重一大”集体决策制度》《广元市自然资源局自行采购管理办法》等内部控制制度，在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rPr>
        <w:t>年度未发现因内部控制制度不健全或执行不到位造成单位出现廉政风险或发生重大责任事故的情形。</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（3）会计核算。依法建账，使用符合规定的会计准则制度，建立《总账》《现金日记账》《银行存款日记账》以及相应的《明细分类账》，</w:t>
      </w:r>
      <w:r>
        <w:rPr>
          <w:rFonts w:hint="eastAsia" w:ascii="仿宋_GB2312" w:hAnsi="仿宋_GB2312" w:cs="仿宋_GB2312"/>
          <w:b w:val="0"/>
          <w:bCs/>
          <w:sz w:val="32"/>
          <w:szCs w:val="32"/>
          <w:lang w:val="en-US" w:eastAsia="zh-CN"/>
        </w:rPr>
        <w:t>严格按照《预算法》《政府会计准则制度》设立会计科目并进行会计核算，</w:t>
      </w:r>
      <w:r>
        <w:rPr>
          <w:rFonts w:hint="eastAsia" w:ascii="仿宋_GB2312" w:hAnsi="仿宋_GB2312" w:eastAsia="仿宋_GB2312" w:cs="仿宋_GB2312"/>
          <w:b w:val="0"/>
          <w:bCs/>
          <w:sz w:val="32"/>
          <w:szCs w:val="32"/>
        </w:rPr>
        <w:t>资金支付均坚持“先有预算、后有支出”，并严格执行资金支付审批流程。</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color w:val="000000"/>
          <w:kern w:val="0"/>
          <w:sz w:val="32"/>
          <w:szCs w:val="32"/>
          <w:shd w:val="clear" w:color="auto" w:fill="FFFFFF"/>
          <w:lang w:val="zh-CN"/>
        </w:rPr>
      </w:pPr>
      <w:r>
        <w:rPr>
          <w:rFonts w:hint="eastAsia" w:ascii="仿宋_GB2312" w:hAnsi="仿宋_GB2312" w:eastAsia="仿宋_GB2312" w:cs="仿宋_GB2312"/>
          <w:b w:val="0"/>
          <w:bCs/>
          <w:color w:val="000000"/>
          <w:kern w:val="0"/>
          <w:sz w:val="32"/>
          <w:szCs w:val="32"/>
          <w:shd w:val="clear" w:color="auto" w:fill="FFFFFF"/>
        </w:rPr>
        <w:t>4.</w:t>
      </w:r>
      <w:r>
        <w:rPr>
          <w:rFonts w:hint="eastAsia" w:ascii="仿宋_GB2312" w:hAnsi="仿宋_GB2312" w:eastAsia="仿宋_GB2312" w:cs="仿宋_GB2312"/>
          <w:b w:val="0"/>
          <w:bCs/>
          <w:color w:val="000000"/>
          <w:kern w:val="0"/>
          <w:sz w:val="32"/>
          <w:szCs w:val="32"/>
          <w:shd w:val="clear" w:color="auto" w:fill="FFFFFF"/>
          <w:lang w:val="zh-CN"/>
        </w:rPr>
        <w:t>资产管理。</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严格执行固定资产管理制度，所有固定资产按种类、数量、金额登记明细账和编制卡片录入资产管理系统，确保账实相符，二是加强程序管理，从资产采购、入库、领用到处置报废，均按照财政和机关事务中心有关规定执行。三是加强内部监督，定期或不定期对资产使用管理情况进行抽查，严防国有资产流失。  截至202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rPr>
        <w:t>年12月31日，广元市自然资源局（含下属事业单位）资产总额（账面净值）</w:t>
      </w:r>
      <w:r>
        <w:rPr>
          <w:rFonts w:hint="eastAsia" w:ascii="仿宋_GB2312" w:hAnsi="仿宋_GB2312" w:cs="仿宋_GB2312"/>
          <w:b w:val="0"/>
          <w:bCs/>
          <w:sz w:val="32"/>
          <w:szCs w:val="32"/>
          <w:lang w:val="en-US" w:eastAsia="zh-CN"/>
        </w:rPr>
        <w:t>2231.35</w:t>
      </w:r>
      <w:r>
        <w:rPr>
          <w:rFonts w:hint="eastAsia" w:ascii="仿宋_GB2312" w:hAnsi="仿宋_GB2312" w:eastAsia="仿宋_GB2312" w:cs="仿宋_GB2312"/>
          <w:b w:val="0"/>
          <w:bCs/>
          <w:sz w:val="32"/>
          <w:szCs w:val="32"/>
        </w:rPr>
        <w:t>万，较上年增长-</w:t>
      </w:r>
      <w:r>
        <w:rPr>
          <w:rFonts w:hint="eastAsia" w:ascii="仿宋_GB2312" w:hAnsi="仿宋_GB2312" w:cs="仿宋_GB2312"/>
          <w:b w:val="0"/>
          <w:bCs/>
          <w:sz w:val="32"/>
          <w:szCs w:val="32"/>
          <w:lang w:val="en-US" w:eastAsia="zh-CN"/>
        </w:rPr>
        <w:t>19.96</w:t>
      </w:r>
      <w:r>
        <w:rPr>
          <w:rFonts w:hint="eastAsia" w:ascii="仿宋_GB2312" w:hAnsi="仿宋_GB2312" w:eastAsia="仿宋_GB2312" w:cs="仿宋_GB2312"/>
          <w:b w:val="0"/>
          <w:bCs/>
          <w:sz w:val="32"/>
          <w:szCs w:val="32"/>
        </w:rPr>
        <w:t>%。负债总额</w:t>
      </w:r>
      <w:r>
        <w:rPr>
          <w:rFonts w:hint="eastAsia" w:ascii="仿宋_GB2312" w:hAnsi="仿宋_GB2312" w:cs="仿宋_GB2312"/>
          <w:b w:val="0"/>
          <w:bCs/>
          <w:sz w:val="32"/>
          <w:szCs w:val="32"/>
          <w:lang w:val="en-US" w:eastAsia="zh-CN"/>
        </w:rPr>
        <w:t>947.66</w:t>
      </w:r>
      <w:r>
        <w:rPr>
          <w:rFonts w:hint="eastAsia" w:ascii="仿宋_GB2312" w:hAnsi="仿宋_GB2312" w:eastAsia="仿宋_GB2312" w:cs="仿宋_GB2312"/>
          <w:b w:val="0"/>
          <w:bCs/>
          <w:sz w:val="32"/>
          <w:szCs w:val="32"/>
        </w:rPr>
        <w:t>万元,较上年增长-</w:t>
      </w:r>
      <w:r>
        <w:rPr>
          <w:rFonts w:hint="eastAsia" w:ascii="仿宋_GB2312" w:hAnsi="仿宋_GB2312" w:cs="仿宋_GB2312"/>
          <w:b w:val="0"/>
          <w:bCs/>
          <w:sz w:val="32"/>
          <w:szCs w:val="32"/>
          <w:lang w:val="en-US" w:eastAsia="zh-CN"/>
        </w:rPr>
        <w:t>36.37</w:t>
      </w:r>
      <w:r>
        <w:rPr>
          <w:rFonts w:hint="eastAsia" w:ascii="仿宋_GB2312" w:hAnsi="仿宋_GB2312" w:eastAsia="仿宋_GB2312" w:cs="仿宋_GB2312"/>
          <w:b w:val="0"/>
          <w:bCs/>
          <w:sz w:val="32"/>
          <w:szCs w:val="32"/>
        </w:rPr>
        <w:t>%。净资产</w:t>
      </w:r>
      <w:r>
        <w:rPr>
          <w:rFonts w:hint="eastAsia" w:ascii="仿宋_GB2312" w:hAnsi="仿宋_GB2312" w:cs="仿宋_GB2312"/>
          <w:b w:val="0"/>
          <w:bCs/>
          <w:sz w:val="32"/>
          <w:szCs w:val="32"/>
          <w:lang w:val="en-US" w:eastAsia="zh-CN"/>
        </w:rPr>
        <w:t>1283.69</w:t>
      </w:r>
      <w:r>
        <w:rPr>
          <w:rFonts w:hint="eastAsia" w:ascii="仿宋_GB2312" w:hAnsi="仿宋_GB2312" w:eastAsia="仿宋_GB2312" w:cs="仿宋_GB2312"/>
          <w:b w:val="0"/>
          <w:bCs/>
          <w:sz w:val="32"/>
          <w:szCs w:val="32"/>
        </w:rPr>
        <w:t>万元,较上年增长-</w:t>
      </w:r>
      <w:r>
        <w:rPr>
          <w:rFonts w:hint="eastAsia" w:ascii="仿宋_GB2312" w:hAnsi="仿宋_GB2312" w:cs="仿宋_GB2312"/>
          <w:b w:val="0"/>
          <w:bCs/>
          <w:sz w:val="32"/>
          <w:szCs w:val="32"/>
          <w:lang w:val="en-US" w:eastAsia="zh-CN"/>
        </w:rPr>
        <w:t>1.14</w:t>
      </w:r>
      <w:r>
        <w:rPr>
          <w:rFonts w:hint="eastAsia" w:ascii="仿宋_GB2312" w:hAnsi="仿宋_GB2312" w:eastAsia="仿宋_GB2312" w:cs="仿宋_GB2312"/>
          <w:b w:val="0"/>
          <w:bCs/>
          <w:sz w:val="32"/>
          <w:szCs w:val="32"/>
        </w:rPr>
        <w:t>%。</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color w:val="000000"/>
          <w:kern w:val="0"/>
          <w:sz w:val="32"/>
          <w:szCs w:val="32"/>
          <w:shd w:val="clear" w:color="auto" w:fill="FFFFFF"/>
        </w:rPr>
      </w:pPr>
      <w:r>
        <w:rPr>
          <w:rFonts w:hint="eastAsia" w:ascii="仿宋_GB2312" w:hAnsi="仿宋_GB2312" w:eastAsia="仿宋_GB2312" w:cs="仿宋_GB2312"/>
          <w:b w:val="0"/>
          <w:bCs/>
          <w:color w:val="000000"/>
          <w:kern w:val="0"/>
          <w:sz w:val="32"/>
          <w:szCs w:val="32"/>
          <w:shd w:val="clear" w:color="auto" w:fill="FFFFFF"/>
        </w:rPr>
        <w:t>5.采购管理。</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color w:val="000000"/>
          <w:kern w:val="0"/>
          <w:sz w:val="32"/>
          <w:szCs w:val="32"/>
          <w:shd w:val="clear" w:color="auto" w:fill="FFFFFF"/>
        </w:rPr>
      </w:pPr>
      <w:r>
        <w:rPr>
          <w:rFonts w:hint="eastAsia" w:ascii="仿宋_GB2312" w:hAnsi="仿宋_GB2312" w:eastAsia="仿宋_GB2312" w:cs="仿宋_GB2312"/>
          <w:b w:val="0"/>
          <w:bCs/>
          <w:color w:val="000000"/>
          <w:kern w:val="0"/>
          <w:sz w:val="32"/>
          <w:szCs w:val="32"/>
          <w:shd w:val="clear" w:color="auto" w:fill="FFFFFF"/>
        </w:rPr>
        <w:t>（1）政府采购实施计划编制。202</w:t>
      </w:r>
      <w:r>
        <w:rPr>
          <w:rFonts w:hint="eastAsia" w:ascii="仿宋_GB2312" w:hAnsi="仿宋_GB2312" w:cs="仿宋_GB2312"/>
          <w:b w:val="0"/>
          <w:bCs/>
          <w:color w:val="000000"/>
          <w:kern w:val="0"/>
          <w:sz w:val="32"/>
          <w:szCs w:val="32"/>
          <w:shd w:val="clear" w:color="auto" w:fill="FFFFFF"/>
          <w:lang w:val="en-US" w:eastAsia="zh-CN"/>
        </w:rPr>
        <w:t>4</w:t>
      </w:r>
      <w:r>
        <w:rPr>
          <w:rFonts w:hint="eastAsia" w:ascii="仿宋_GB2312" w:hAnsi="仿宋_GB2312" w:eastAsia="仿宋_GB2312" w:cs="仿宋_GB2312"/>
          <w:b w:val="0"/>
          <w:bCs/>
          <w:color w:val="000000"/>
          <w:kern w:val="0"/>
          <w:sz w:val="32"/>
          <w:szCs w:val="32"/>
          <w:shd w:val="clear" w:color="auto" w:fill="FFFFFF"/>
        </w:rPr>
        <w:t>年广元市自然资源局（含下属事业单位）政府采购年初预算纳入部门经费和基建预算，并单独编制了政府采购预算，实施计划及备案金额为6</w:t>
      </w:r>
      <w:r>
        <w:rPr>
          <w:rFonts w:hint="eastAsia" w:ascii="仿宋_GB2312" w:hAnsi="仿宋_GB2312" w:cs="仿宋_GB2312"/>
          <w:b w:val="0"/>
          <w:bCs/>
          <w:color w:val="000000"/>
          <w:kern w:val="0"/>
          <w:sz w:val="32"/>
          <w:szCs w:val="32"/>
          <w:shd w:val="clear" w:color="auto" w:fill="FFFFFF"/>
          <w:lang w:val="en-US" w:eastAsia="zh-CN"/>
        </w:rPr>
        <w:t>98.3</w:t>
      </w:r>
      <w:r>
        <w:rPr>
          <w:rFonts w:hint="eastAsia" w:ascii="仿宋_GB2312" w:hAnsi="仿宋_GB2312" w:eastAsia="仿宋_GB2312" w:cs="仿宋_GB2312"/>
          <w:b w:val="0"/>
          <w:bCs/>
          <w:color w:val="000000"/>
          <w:kern w:val="0"/>
          <w:sz w:val="32"/>
          <w:szCs w:val="32"/>
          <w:shd w:val="clear" w:color="auto" w:fill="FFFFFF"/>
        </w:rPr>
        <w:t>万元。</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（2）政府采购实施计划执行。广元市自然资源局202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lang w:val="zh-CN"/>
        </w:rPr>
        <w:t>年政府采购纳入年初部门预算和基建预算，经备案的政府采购实施计划为6</w:t>
      </w:r>
      <w:r>
        <w:rPr>
          <w:rFonts w:hint="eastAsia" w:ascii="仿宋_GB2312" w:hAnsi="仿宋_GB2312" w:cs="仿宋_GB2312"/>
          <w:b w:val="0"/>
          <w:bCs/>
          <w:sz w:val="32"/>
          <w:szCs w:val="32"/>
          <w:lang w:val="en-US" w:eastAsia="zh-CN"/>
        </w:rPr>
        <w:t>98.3</w:t>
      </w:r>
      <w:r>
        <w:rPr>
          <w:rFonts w:hint="eastAsia" w:ascii="仿宋_GB2312" w:hAnsi="仿宋_GB2312" w:eastAsia="仿宋_GB2312" w:cs="仿宋_GB2312"/>
          <w:b w:val="0"/>
          <w:bCs/>
          <w:sz w:val="32"/>
          <w:szCs w:val="32"/>
          <w:lang w:val="zh-CN"/>
        </w:rPr>
        <w:t>万元，实际执行政府采购金额为</w:t>
      </w:r>
      <w:r>
        <w:rPr>
          <w:rFonts w:hint="eastAsia" w:ascii="仿宋_GB2312" w:hAnsi="仿宋_GB2312" w:cs="仿宋_GB2312"/>
          <w:b w:val="0"/>
          <w:bCs/>
          <w:sz w:val="32"/>
          <w:szCs w:val="32"/>
          <w:lang w:val="en-US" w:eastAsia="zh-CN"/>
        </w:rPr>
        <w:t>569.16</w:t>
      </w:r>
      <w:r>
        <w:rPr>
          <w:rFonts w:hint="eastAsia" w:ascii="仿宋_GB2312" w:hAnsi="仿宋_GB2312" w:eastAsia="仿宋_GB2312" w:cs="仿宋_GB2312"/>
          <w:b w:val="0"/>
          <w:bCs/>
          <w:sz w:val="32"/>
          <w:szCs w:val="32"/>
          <w:lang w:val="zh-CN"/>
        </w:rPr>
        <w:t>万元，其中政府采购授予中小企业合同金额</w:t>
      </w:r>
      <w:r>
        <w:rPr>
          <w:rFonts w:hint="eastAsia" w:ascii="仿宋_GB2312" w:hAnsi="仿宋_GB2312" w:cs="仿宋_GB2312"/>
          <w:b w:val="0"/>
          <w:bCs/>
          <w:sz w:val="32"/>
          <w:szCs w:val="32"/>
          <w:lang w:val="en-US" w:eastAsia="zh-CN"/>
        </w:rPr>
        <w:t>540.58</w:t>
      </w:r>
      <w:r>
        <w:rPr>
          <w:rFonts w:hint="eastAsia" w:ascii="仿宋_GB2312" w:hAnsi="仿宋_GB2312" w:eastAsia="仿宋_GB2312" w:cs="仿宋_GB2312"/>
          <w:b w:val="0"/>
          <w:bCs/>
          <w:sz w:val="32"/>
          <w:szCs w:val="32"/>
          <w:lang w:val="zh-CN"/>
        </w:rPr>
        <w:t>万元，执行实施计划与备案的实施计划一致率</w:t>
      </w:r>
      <w:r>
        <w:rPr>
          <w:rFonts w:hint="eastAsia" w:ascii="仿宋_GB2312" w:hAnsi="仿宋_GB2312" w:cs="仿宋_GB2312"/>
          <w:b w:val="0"/>
          <w:bCs/>
          <w:sz w:val="32"/>
          <w:szCs w:val="32"/>
          <w:lang w:val="en-US" w:eastAsia="zh-CN"/>
        </w:rPr>
        <w:t>81.51</w:t>
      </w:r>
      <w:r>
        <w:rPr>
          <w:rFonts w:hint="eastAsia" w:ascii="仿宋_GB2312" w:hAnsi="仿宋_GB2312" w:eastAsia="仿宋_GB2312" w:cs="仿宋_GB2312"/>
          <w:b w:val="0"/>
          <w:bCs/>
          <w:sz w:val="32"/>
          <w:szCs w:val="32"/>
          <w:lang w:val="zh-CN"/>
        </w:rPr>
        <w:t>%，执行率低的原因是有些采购项目属于跨年度项目，按照合同约定及进度支付款项。</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color w:val="000000"/>
          <w:kern w:val="0"/>
          <w:sz w:val="32"/>
          <w:szCs w:val="32"/>
          <w:shd w:val="clear" w:color="auto" w:fill="FFFFFF"/>
          <w:lang w:val="zh-CN"/>
        </w:rPr>
        <w:t>（二）部门预算项目绩效分析。</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lang w:val="zh-CN"/>
        </w:rPr>
        <w:t>年度广元市自然资源局（含下属事业单位）涉及项目总数</w:t>
      </w:r>
      <w:r>
        <w:rPr>
          <w:rFonts w:hint="eastAsia" w:ascii="仿宋_GB2312" w:hAnsi="仿宋_GB2312" w:eastAsia="仿宋_GB2312" w:cs="仿宋_GB2312"/>
          <w:b w:val="0"/>
          <w:bCs/>
          <w:sz w:val="32"/>
          <w:szCs w:val="32"/>
        </w:rPr>
        <w:t xml:space="preserve"> </w:t>
      </w:r>
      <w:r>
        <w:rPr>
          <w:rFonts w:hint="eastAsia" w:ascii="仿宋_GB2312" w:hAnsi="仿宋_GB2312" w:cs="仿宋_GB2312"/>
          <w:b w:val="0"/>
          <w:bCs/>
          <w:sz w:val="32"/>
          <w:szCs w:val="32"/>
          <w:lang w:val="en-US" w:eastAsia="zh-CN"/>
        </w:rPr>
        <w:t>163</w:t>
      </w:r>
      <w:r>
        <w:rPr>
          <w:rFonts w:hint="eastAsia" w:ascii="仿宋_GB2312" w:hAnsi="仿宋_GB2312" w:eastAsia="仿宋_GB2312" w:cs="仿宋_GB2312"/>
          <w:b w:val="0"/>
          <w:bCs/>
          <w:sz w:val="32"/>
          <w:szCs w:val="32"/>
          <w:lang w:val="zh-CN"/>
        </w:rPr>
        <w:t>个，涉及预算总金额</w:t>
      </w:r>
      <w:r>
        <w:rPr>
          <w:rFonts w:hint="eastAsia" w:ascii="仿宋_GB2312" w:hAnsi="仿宋_GB2312" w:eastAsia="仿宋_GB2312" w:cs="仿宋_GB2312"/>
          <w:b w:val="0"/>
          <w:bCs/>
          <w:sz w:val="32"/>
          <w:szCs w:val="32"/>
        </w:rPr>
        <w:t xml:space="preserve"> </w:t>
      </w:r>
      <w:r>
        <w:rPr>
          <w:rFonts w:hint="eastAsia" w:ascii="仿宋_GB2312" w:hAnsi="仿宋_GB2312" w:cs="仿宋_GB2312"/>
          <w:b w:val="0"/>
          <w:bCs/>
          <w:sz w:val="32"/>
          <w:szCs w:val="32"/>
          <w:lang w:val="en-US" w:eastAsia="zh-CN"/>
        </w:rPr>
        <w:t>39787.52</w:t>
      </w:r>
      <w:r>
        <w:rPr>
          <w:rFonts w:hint="eastAsia" w:ascii="仿宋_GB2312" w:hAnsi="仿宋_GB2312" w:eastAsia="仿宋_GB2312" w:cs="仿宋_GB2312"/>
          <w:b w:val="0"/>
          <w:bCs/>
          <w:sz w:val="32"/>
          <w:szCs w:val="32"/>
          <w:lang w:val="zh-CN"/>
        </w:rPr>
        <w:t>万元，1—1</w:t>
      </w: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lang w:val="zh-CN"/>
        </w:rPr>
        <w:t>月预算执行总体进度为</w:t>
      </w:r>
      <w:r>
        <w:rPr>
          <w:rFonts w:hint="eastAsia" w:ascii="仿宋_GB2312" w:hAnsi="仿宋_GB2312" w:eastAsia="仿宋_GB2312" w:cs="仿宋_GB2312"/>
          <w:b w:val="0"/>
          <w:bCs/>
          <w:sz w:val="32"/>
          <w:szCs w:val="32"/>
        </w:rPr>
        <w:t xml:space="preserve"> </w:t>
      </w:r>
      <w:r>
        <w:rPr>
          <w:rFonts w:hint="eastAsia" w:ascii="仿宋_GB2312" w:hAnsi="仿宋_GB2312" w:cs="仿宋_GB2312"/>
          <w:b w:val="0"/>
          <w:bCs/>
          <w:sz w:val="32"/>
          <w:szCs w:val="32"/>
          <w:lang w:val="en-US" w:eastAsia="zh-CN"/>
        </w:rPr>
        <w:t>98.13</w:t>
      </w:r>
      <w:r>
        <w:rPr>
          <w:rFonts w:hint="eastAsia" w:ascii="仿宋_GB2312" w:hAnsi="仿宋_GB2312" w:eastAsia="仿宋_GB2312" w:cs="仿宋_GB2312"/>
          <w:b w:val="0"/>
          <w:bCs/>
          <w:sz w:val="32"/>
          <w:szCs w:val="32"/>
          <w:lang w:val="zh-CN"/>
        </w:rPr>
        <w:t>%，其中：没有预算结余率大于</w:t>
      </w:r>
      <w:r>
        <w:rPr>
          <w:rFonts w:hint="eastAsia" w:ascii="仿宋_GB2312" w:hAnsi="仿宋_GB2312" w:eastAsia="仿宋_GB2312" w:cs="仿宋_GB2312"/>
          <w:b w:val="0"/>
          <w:bCs/>
          <w:sz w:val="32"/>
          <w:szCs w:val="32"/>
        </w:rPr>
        <w:t>10%</w:t>
      </w:r>
      <w:r>
        <w:rPr>
          <w:rFonts w:hint="eastAsia" w:ascii="仿宋_GB2312" w:hAnsi="仿宋_GB2312" w:eastAsia="仿宋_GB2312" w:cs="仿宋_GB2312"/>
          <w:b w:val="0"/>
          <w:bCs/>
          <w:sz w:val="32"/>
          <w:szCs w:val="32"/>
          <w:lang w:val="zh-CN"/>
        </w:rPr>
        <w:t>的项目。</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1.项目决策。</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是贯彻落实中央关于自然资源工作的方针政策和省委、市委决策部署，并按照单位的职能职责，资金预算合规、科学、合理的同时，把预算、绩效和自然资源改革发展工作深度融合。二是履行预算绩效设立审核程序，经集体研究决策后纳入预算。三是细化量化项目绩效目标，编制预算时对科室申报的预算项目进行全面梳理，严把审核关，所有项目必须有明细的资金测算，对审核后的所有项目全部进行入库管理。</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2.项目执行。</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是对照年初制定的目标对项目进度、预算执行、投入产出、各项效益的阶段完成情况实施监控，严格执行预算，执行中没有调整事项。二是明确项目牵头科室，落实预算执行主体，负责实现项目绩效目标。三是定期对目标绩效有偏差的项目进行监督检查和纠偏处理。四是部门预算执行进度在6、9、11月达到续时进度的70%、80%、90%，即</w:t>
      </w:r>
      <w:r>
        <w:rPr>
          <w:rFonts w:hint="eastAsia" w:ascii="仿宋_GB2312" w:hAnsi="仿宋_GB2312" w:cs="仿宋_GB2312"/>
          <w:b w:val="0"/>
          <w:bCs/>
          <w:sz w:val="32"/>
          <w:szCs w:val="32"/>
          <w:lang w:val="en-US" w:eastAsia="zh-CN"/>
        </w:rPr>
        <w:t>年终</w:t>
      </w:r>
      <w:r>
        <w:rPr>
          <w:rFonts w:hint="eastAsia" w:ascii="仿宋_GB2312" w:hAnsi="仿宋_GB2312" w:eastAsia="仿宋_GB2312" w:cs="仿宋_GB2312"/>
          <w:b w:val="0"/>
          <w:bCs/>
          <w:sz w:val="32"/>
          <w:szCs w:val="32"/>
          <w:lang w:val="zh-CN"/>
        </w:rPr>
        <w:t>实际支出达到9</w:t>
      </w:r>
      <w:r>
        <w:rPr>
          <w:rFonts w:hint="eastAsia" w:ascii="仿宋_GB2312" w:hAnsi="仿宋_GB2312" w:cs="仿宋_GB2312"/>
          <w:b w:val="0"/>
          <w:bCs/>
          <w:sz w:val="32"/>
          <w:szCs w:val="32"/>
          <w:lang w:val="en-US" w:eastAsia="zh-CN"/>
        </w:rPr>
        <w:t>8.13</w:t>
      </w:r>
      <w:r>
        <w:rPr>
          <w:rFonts w:hint="eastAsia" w:ascii="仿宋_GB2312" w:hAnsi="仿宋_GB2312" w:eastAsia="仿宋_GB2312" w:cs="仿宋_GB2312"/>
          <w:b w:val="0"/>
          <w:bCs/>
          <w:sz w:val="32"/>
          <w:szCs w:val="32"/>
          <w:lang w:val="zh-CN"/>
        </w:rPr>
        <w:t>%。</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3.目标实现。202</w:t>
      </w:r>
      <w:r>
        <w:rPr>
          <w:rFonts w:hint="eastAsia" w:ascii="仿宋_GB2312" w:hAnsi="仿宋_GB2312" w:cs="仿宋_GB2312"/>
          <w:b w:val="0"/>
          <w:bCs/>
          <w:sz w:val="32"/>
          <w:szCs w:val="32"/>
          <w:lang w:val="en-US" w:eastAsia="zh-CN"/>
        </w:rPr>
        <w:t>4</w:t>
      </w:r>
      <w:r>
        <w:rPr>
          <w:rFonts w:hint="eastAsia" w:ascii="仿宋_GB2312" w:hAnsi="仿宋_GB2312" w:eastAsia="仿宋_GB2312" w:cs="仿宋_GB2312"/>
          <w:b w:val="0"/>
          <w:bCs/>
          <w:sz w:val="32"/>
          <w:szCs w:val="32"/>
          <w:lang w:val="zh-CN"/>
        </w:rPr>
        <w:t>年，在市委、市政府及省厅的坚强领导下，以自然资源高质量发展为主题，以改革创新为动力，通过对绩效目标的全链条化管理，全面实现预期目标。</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color w:val="000000"/>
          <w:kern w:val="0"/>
          <w:sz w:val="32"/>
          <w:szCs w:val="32"/>
          <w:shd w:val="clear" w:color="auto" w:fill="FFFFFF"/>
        </w:rPr>
      </w:pPr>
      <w:r>
        <w:rPr>
          <w:rFonts w:hint="eastAsia" w:ascii="仿宋_GB2312" w:hAnsi="仿宋_GB2312" w:eastAsia="仿宋_GB2312" w:cs="仿宋_GB2312"/>
          <w:b w:val="0"/>
          <w:bCs/>
          <w:color w:val="000000"/>
          <w:kern w:val="0"/>
          <w:sz w:val="32"/>
          <w:szCs w:val="32"/>
          <w:shd w:val="clear" w:color="auto" w:fill="FFFFFF"/>
        </w:rPr>
        <w:t>（1）人员类项目绩效目标完成情况。202</w:t>
      </w:r>
      <w:r>
        <w:rPr>
          <w:rFonts w:hint="eastAsia" w:ascii="仿宋_GB2312" w:hAnsi="仿宋_GB2312" w:cs="仿宋_GB2312"/>
          <w:b w:val="0"/>
          <w:bCs/>
          <w:color w:val="000000"/>
          <w:kern w:val="0"/>
          <w:sz w:val="32"/>
          <w:szCs w:val="32"/>
          <w:shd w:val="clear" w:color="auto" w:fill="FFFFFF"/>
          <w:lang w:val="en-US" w:eastAsia="zh-CN"/>
        </w:rPr>
        <w:t>4</w:t>
      </w:r>
      <w:r>
        <w:rPr>
          <w:rFonts w:hint="eastAsia" w:ascii="仿宋_GB2312" w:hAnsi="仿宋_GB2312" w:eastAsia="仿宋_GB2312" w:cs="仿宋_GB2312"/>
          <w:b w:val="0"/>
          <w:bCs/>
          <w:color w:val="000000"/>
          <w:kern w:val="0"/>
          <w:sz w:val="32"/>
          <w:szCs w:val="32"/>
          <w:shd w:val="clear" w:color="auto" w:fill="FFFFFF"/>
        </w:rPr>
        <w:t>年度财政下达广元市自然资源局（含下属事业单位）人员工资福利预算3</w:t>
      </w:r>
      <w:r>
        <w:rPr>
          <w:rFonts w:hint="eastAsia" w:ascii="仿宋_GB2312" w:hAnsi="仿宋_GB2312" w:cs="仿宋_GB2312"/>
          <w:b w:val="0"/>
          <w:bCs/>
          <w:color w:val="000000"/>
          <w:kern w:val="0"/>
          <w:sz w:val="32"/>
          <w:szCs w:val="32"/>
          <w:shd w:val="clear" w:color="auto" w:fill="FFFFFF"/>
          <w:lang w:val="en-US" w:eastAsia="zh-CN"/>
        </w:rPr>
        <w:t>311.98</w:t>
      </w:r>
      <w:r>
        <w:rPr>
          <w:rFonts w:hint="eastAsia" w:ascii="仿宋_GB2312" w:hAnsi="仿宋_GB2312" w:eastAsia="仿宋_GB2312" w:cs="仿宋_GB2312"/>
          <w:b w:val="0"/>
          <w:bCs/>
          <w:color w:val="000000"/>
          <w:kern w:val="0"/>
          <w:sz w:val="32"/>
          <w:szCs w:val="32"/>
          <w:shd w:val="clear" w:color="auto" w:fill="FFFFFF"/>
        </w:rPr>
        <w:t>万元，执行3</w:t>
      </w:r>
      <w:r>
        <w:rPr>
          <w:rFonts w:hint="eastAsia" w:ascii="仿宋_GB2312" w:hAnsi="仿宋_GB2312" w:cs="仿宋_GB2312"/>
          <w:b w:val="0"/>
          <w:bCs/>
          <w:color w:val="000000"/>
          <w:kern w:val="0"/>
          <w:sz w:val="32"/>
          <w:szCs w:val="32"/>
          <w:shd w:val="clear" w:color="auto" w:fill="FFFFFF"/>
          <w:lang w:val="en-US" w:eastAsia="zh-CN"/>
        </w:rPr>
        <w:t>311.98</w:t>
      </w:r>
      <w:r>
        <w:rPr>
          <w:rFonts w:hint="eastAsia" w:ascii="仿宋_GB2312" w:hAnsi="仿宋_GB2312" w:eastAsia="仿宋_GB2312" w:cs="仿宋_GB2312"/>
          <w:b w:val="0"/>
          <w:bCs/>
          <w:color w:val="000000"/>
          <w:kern w:val="0"/>
          <w:sz w:val="32"/>
          <w:szCs w:val="32"/>
          <w:shd w:val="clear" w:color="auto" w:fill="FFFFFF"/>
        </w:rPr>
        <w:t>万元，人员经费保障率100%，资金结余率0，支出无违规记录等情况。我局人员类经费用于职工工资、绩效发放，“五险两金”等缴纳，切实保障职工利益。经费使用符合国家财经法规，加强自身队伍建设，做好日常工作，提高职工满意度，确保资金效益得到充分发挥。</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color w:val="000000"/>
          <w:kern w:val="0"/>
          <w:sz w:val="32"/>
          <w:szCs w:val="32"/>
          <w:shd w:val="clear" w:color="auto" w:fill="FFFFFF"/>
        </w:rPr>
        <w:t>（2）运转类项目绩效目标完成情况。202</w:t>
      </w:r>
      <w:r>
        <w:rPr>
          <w:rFonts w:hint="eastAsia" w:ascii="仿宋_GB2312" w:hAnsi="仿宋_GB2312" w:cs="仿宋_GB2312"/>
          <w:b w:val="0"/>
          <w:bCs/>
          <w:color w:val="000000"/>
          <w:kern w:val="0"/>
          <w:sz w:val="32"/>
          <w:szCs w:val="32"/>
          <w:shd w:val="clear" w:color="auto" w:fill="FFFFFF"/>
          <w:lang w:val="en-US" w:eastAsia="zh-CN"/>
        </w:rPr>
        <w:t>4</w:t>
      </w:r>
      <w:r>
        <w:rPr>
          <w:rFonts w:hint="eastAsia" w:ascii="仿宋_GB2312" w:hAnsi="仿宋_GB2312" w:eastAsia="仿宋_GB2312" w:cs="仿宋_GB2312"/>
          <w:b w:val="0"/>
          <w:bCs/>
          <w:color w:val="000000"/>
          <w:kern w:val="0"/>
          <w:sz w:val="32"/>
          <w:szCs w:val="32"/>
          <w:shd w:val="clear" w:color="auto" w:fill="FFFFFF"/>
        </w:rPr>
        <w:t>年度财政下达广元市自然资源局(含下属事业单位）日常公用经费预算3</w:t>
      </w:r>
      <w:r>
        <w:rPr>
          <w:rFonts w:hint="eastAsia" w:ascii="仿宋_GB2312" w:hAnsi="仿宋_GB2312" w:cs="仿宋_GB2312"/>
          <w:b w:val="0"/>
          <w:bCs/>
          <w:color w:val="000000"/>
          <w:kern w:val="0"/>
          <w:sz w:val="32"/>
          <w:szCs w:val="32"/>
          <w:shd w:val="clear" w:color="auto" w:fill="FFFFFF"/>
          <w:lang w:val="en-US" w:eastAsia="zh-CN"/>
        </w:rPr>
        <w:t>80.76</w:t>
      </w:r>
      <w:r>
        <w:rPr>
          <w:rFonts w:hint="eastAsia" w:ascii="仿宋_GB2312" w:hAnsi="仿宋_GB2312" w:eastAsia="仿宋_GB2312" w:cs="仿宋_GB2312"/>
          <w:b w:val="0"/>
          <w:bCs/>
          <w:color w:val="000000"/>
          <w:kern w:val="0"/>
          <w:sz w:val="32"/>
          <w:szCs w:val="32"/>
          <w:shd w:val="clear" w:color="auto" w:fill="FFFFFF"/>
        </w:rPr>
        <w:t>万元，执行3</w:t>
      </w:r>
      <w:r>
        <w:rPr>
          <w:rFonts w:hint="eastAsia" w:ascii="仿宋_GB2312" w:hAnsi="仿宋_GB2312" w:cs="仿宋_GB2312"/>
          <w:b w:val="0"/>
          <w:bCs/>
          <w:color w:val="000000"/>
          <w:kern w:val="0"/>
          <w:sz w:val="32"/>
          <w:szCs w:val="32"/>
          <w:shd w:val="clear" w:color="auto" w:fill="FFFFFF"/>
          <w:lang w:val="en-US" w:eastAsia="zh-CN"/>
        </w:rPr>
        <w:t>80.76</w:t>
      </w:r>
      <w:r>
        <w:rPr>
          <w:rFonts w:hint="eastAsia" w:ascii="仿宋_GB2312" w:hAnsi="仿宋_GB2312" w:eastAsia="仿宋_GB2312" w:cs="仿宋_GB2312"/>
          <w:b w:val="0"/>
          <w:bCs/>
          <w:color w:val="000000"/>
          <w:kern w:val="0"/>
          <w:sz w:val="32"/>
          <w:szCs w:val="32"/>
          <w:shd w:val="clear" w:color="auto" w:fill="FFFFFF"/>
        </w:rPr>
        <w:t>万元，执行率100%。资金结余率0，无支出违规记录等情况。主要用于支付开展日常工作所需的办公费、会议费、印刷费、差旅费等，资金节余率0，支出无违规记录等情况。有效保障了部门单位的日常运转，运转保障率100%，</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color w:val="000000"/>
          <w:kern w:val="0"/>
          <w:sz w:val="32"/>
          <w:szCs w:val="32"/>
          <w:shd w:val="clear" w:color="auto" w:fill="FFFFFF"/>
        </w:rPr>
      </w:pPr>
      <w:r>
        <w:rPr>
          <w:rFonts w:hint="eastAsia" w:ascii="仿宋_GB2312" w:hAnsi="仿宋_GB2312" w:eastAsia="仿宋_GB2312" w:cs="仿宋_GB2312"/>
          <w:b w:val="0"/>
          <w:bCs/>
          <w:color w:val="000000"/>
          <w:kern w:val="0"/>
          <w:sz w:val="32"/>
          <w:szCs w:val="32"/>
          <w:shd w:val="clear" w:color="auto" w:fill="FFFFFF"/>
        </w:rPr>
        <w:t>（3）特定目标类项目绩效目标完成情况。202</w:t>
      </w:r>
      <w:r>
        <w:rPr>
          <w:rFonts w:hint="eastAsia" w:ascii="仿宋_GB2312" w:hAnsi="仿宋_GB2312" w:cs="仿宋_GB2312"/>
          <w:b w:val="0"/>
          <w:bCs/>
          <w:color w:val="000000"/>
          <w:kern w:val="0"/>
          <w:sz w:val="32"/>
          <w:szCs w:val="32"/>
          <w:shd w:val="clear" w:color="auto" w:fill="FFFFFF"/>
          <w:lang w:val="en-US" w:eastAsia="zh-CN"/>
        </w:rPr>
        <w:t>4</w:t>
      </w:r>
      <w:r>
        <w:rPr>
          <w:rFonts w:hint="eastAsia" w:ascii="仿宋_GB2312" w:hAnsi="仿宋_GB2312" w:eastAsia="仿宋_GB2312" w:cs="仿宋_GB2312"/>
          <w:b w:val="0"/>
          <w:bCs/>
          <w:color w:val="000000"/>
          <w:kern w:val="0"/>
          <w:sz w:val="32"/>
          <w:szCs w:val="32"/>
          <w:shd w:val="clear" w:color="auto" w:fill="FFFFFF"/>
        </w:rPr>
        <w:t>年度财政下达广元市自然资源局（含下属事业单位）特定项目工作经费</w:t>
      </w:r>
      <w:r>
        <w:rPr>
          <w:rFonts w:hint="eastAsia" w:ascii="仿宋_GB2312" w:hAnsi="仿宋_GB2312" w:cs="仿宋_GB2312"/>
          <w:b w:val="0"/>
          <w:bCs/>
          <w:color w:val="000000"/>
          <w:kern w:val="0"/>
          <w:sz w:val="32"/>
          <w:szCs w:val="32"/>
          <w:shd w:val="clear" w:color="auto" w:fill="FFFFFF"/>
          <w:lang w:val="en-US" w:eastAsia="zh-CN"/>
        </w:rPr>
        <w:t>36094.78</w:t>
      </w:r>
      <w:r>
        <w:rPr>
          <w:rFonts w:hint="eastAsia" w:ascii="仿宋_GB2312" w:hAnsi="仿宋_GB2312" w:eastAsia="仿宋_GB2312" w:cs="仿宋_GB2312"/>
          <w:b w:val="0"/>
          <w:bCs/>
          <w:color w:val="000000"/>
          <w:kern w:val="0"/>
          <w:sz w:val="32"/>
          <w:szCs w:val="32"/>
          <w:shd w:val="clear" w:color="auto" w:fill="FFFFFF"/>
        </w:rPr>
        <w:t>万元，其中财政拨款</w:t>
      </w:r>
      <w:r>
        <w:rPr>
          <w:rFonts w:hint="eastAsia" w:ascii="仿宋_GB2312" w:hAnsi="仿宋_GB2312" w:cs="仿宋_GB2312"/>
          <w:b w:val="0"/>
          <w:bCs/>
          <w:color w:val="000000"/>
          <w:kern w:val="0"/>
          <w:sz w:val="32"/>
          <w:szCs w:val="32"/>
          <w:shd w:val="clear" w:color="auto" w:fill="FFFFFF"/>
          <w:lang w:val="en-US" w:eastAsia="zh-CN"/>
        </w:rPr>
        <w:t>35877.15</w:t>
      </w:r>
      <w:r>
        <w:rPr>
          <w:rFonts w:hint="eastAsia" w:ascii="仿宋_GB2312" w:hAnsi="仿宋_GB2312" w:eastAsia="仿宋_GB2312" w:cs="仿宋_GB2312"/>
          <w:b w:val="0"/>
          <w:bCs/>
          <w:color w:val="000000"/>
          <w:kern w:val="0"/>
          <w:sz w:val="32"/>
          <w:szCs w:val="32"/>
          <w:shd w:val="clear" w:color="auto" w:fill="FFFFFF"/>
        </w:rPr>
        <w:t>万元，其他收入</w:t>
      </w:r>
      <w:r>
        <w:rPr>
          <w:rFonts w:hint="eastAsia" w:ascii="仿宋_GB2312" w:hAnsi="仿宋_GB2312" w:cs="仿宋_GB2312"/>
          <w:b w:val="0"/>
          <w:bCs/>
          <w:color w:val="000000"/>
          <w:kern w:val="0"/>
          <w:sz w:val="32"/>
          <w:szCs w:val="32"/>
          <w:shd w:val="clear" w:color="auto" w:fill="FFFFFF"/>
          <w:lang w:val="en-US" w:eastAsia="zh-CN"/>
        </w:rPr>
        <w:t>217.63</w:t>
      </w:r>
      <w:r>
        <w:rPr>
          <w:rFonts w:hint="eastAsia" w:ascii="仿宋_GB2312" w:hAnsi="仿宋_GB2312" w:eastAsia="仿宋_GB2312" w:cs="仿宋_GB2312"/>
          <w:b w:val="0"/>
          <w:bCs/>
          <w:color w:val="000000"/>
          <w:kern w:val="0"/>
          <w:sz w:val="32"/>
          <w:szCs w:val="32"/>
          <w:shd w:val="clear" w:color="auto" w:fill="FFFFFF"/>
        </w:rPr>
        <w:t>万元，全年执行</w:t>
      </w:r>
      <w:r>
        <w:rPr>
          <w:rFonts w:hint="eastAsia" w:ascii="仿宋_GB2312" w:hAnsi="仿宋_GB2312" w:cs="仿宋_GB2312"/>
          <w:b w:val="0"/>
          <w:bCs/>
          <w:color w:val="000000"/>
          <w:kern w:val="0"/>
          <w:sz w:val="32"/>
          <w:szCs w:val="32"/>
          <w:shd w:val="clear" w:color="auto" w:fill="FFFFFF"/>
          <w:lang w:val="en-US" w:eastAsia="zh-CN"/>
        </w:rPr>
        <w:t>36094.78</w:t>
      </w:r>
      <w:r>
        <w:rPr>
          <w:rFonts w:hint="eastAsia" w:ascii="仿宋_GB2312" w:hAnsi="仿宋_GB2312" w:eastAsia="仿宋_GB2312" w:cs="仿宋_GB2312"/>
          <w:b w:val="0"/>
          <w:bCs/>
          <w:color w:val="000000"/>
          <w:kern w:val="0"/>
          <w:sz w:val="32"/>
          <w:szCs w:val="32"/>
          <w:shd w:val="clear" w:color="auto" w:fill="FFFFFF"/>
        </w:rPr>
        <w:t>万元，预算执行率100%。各项目均编制了绩效目标申报表，且绩效目标编制明确、细化、量化。项目决策科学，依据充分，项目管理规范；绩效执行进度达到预期，与预算匹配；项目完成效果好，实施后达到了预期目的，能反映部门年度职责履行情况。遵守财务管理制度以及有关项目资金管理办法的规定，确保资金效益得到充分发挥。具体</w:t>
      </w:r>
      <w:r>
        <w:rPr>
          <w:rFonts w:hint="eastAsia" w:ascii="仿宋_GB2312" w:hAnsi="仿宋_GB2312" w:cs="仿宋_GB2312"/>
          <w:b w:val="0"/>
          <w:bCs/>
          <w:color w:val="000000"/>
          <w:kern w:val="0"/>
          <w:sz w:val="32"/>
          <w:szCs w:val="32"/>
          <w:shd w:val="clear" w:color="auto" w:fill="FFFFFF"/>
          <w:lang w:val="en-US" w:eastAsia="zh-CN"/>
        </w:rPr>
        <w:t>情况见部门预算项目整体绩效自评表和部门预算项目支出绩效自评表。</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楷体_GB2312" w:hAnsi="楷体_GB2312" w:eastAsia="楷体_GB2312" w:cs="楷体_GB2312"/>
          <w:b w:val="0"/>
          <w:bCs/>
          <w:sz w:val="32"/>
          <w:szCs w:val="32"/>
          <w:lang w:val="zh-CN"/>
        </w:rPr>
      </w:pPr>
      <w:r>
        <w:rPr>
          <w:rFonts w:hint="eastAsia" w:ascii="楷体_GB2312" w:hAnsi="楷体_GB2312" w:eastAsia="楷体_GB2312" w:cs="楷体_GB2312"/>
          <w:b w:val="0"/>
          <w:bCs/>
          <w:sz w:val="32"/>
          <w:szCs w:val="32"/>
          <w:lang w:val="zh-CN"/>
        </w:rPr>
        <w:t>（三）绩效结果应用情况。</w:t>
      </w:r>
    </w:p>
    <w:p>
      <w:pPr>
        <w:pageBreakBefore w:val="0"/>
        <w:widowControl w:val="0"/>
        <w:kinsoku/>
        <w:wordWrap/>
        <w:overflowPunct/>
        <w:topLinePunct w:val="0"/>
        <w:autoSpaceDE/>
        <w:autoSpaceDN/>
        <w:bidi w:val="0"/>
        <w:spacing w:line="52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按要求将绩效目标随同部门年初预算同步公开，将绩效目标完成情况、部门整体支出绩效自评报告等绩效信息随同部门年终决算公开。二是注重结果运用，将绩效评价结果作为以后年度预算申请、安排、分配的重要依据。三是将相关科室、直属事业单位预算绩效管理纳入部门年度考核。四是在绩效管理过程中（包括绩效目标核查、绩效监控核查和重点绩效评价）我局未出现需要整改反馈的问题。</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黑体" w:hAnsi="黑体" w:eastAsia="黑体" w:cs="黑体"/>
          <w:b w:val="0"/>
          <w:bCs/>
          <w:color w:val="000000"/>
          <w:kern w:val="0"/>
          <w:sz w:val="32"/>
          <w:szCs w:val="32"/>
          <w:shd w:val="clear" w:color="auto" w:fill="FFFFFF"/>
        </w:rPr>
      </w:pPr>
      <w:r>
        <w:rPr>
          <w:rFonts w:hint="eastAsia" w:ascii="黑体" w:hAnsi="黑体" w:eastAsia="黑体" w:cs="黑体"/>
          <w:b w:val="0"/>
          <w:bCs/>
          <w:color w:val="000000"/>
          <w:kern w:val="0"/>
          <w:sz w:val="32"/>
          <w:szCs w:val="32"/>
          <w:shd w:val="clear" w:color="auto" w:fill="FFFFFF"/>
        </w:rPr>
        <w:t>四、评价结论及建议</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sz w:val="32"/>
          <w:szCs w:val="32"/>
          <w:lang w:val="zh-CN"/>
        </w:rPr>
        <w:t>（一）评价结论。</w:t>
      </w:r>
      <w:r>
        <w:rPr>
          <w:rFonts w:hint="eastAsia" w:ascii="仿宋_GB2312" w:hAnsi="仿宋_GB2312" w:eastAsia="仿宋_GB2312" w:cs="仿宋_GB2312"/>
          <w:b w:val="0"/>
          <w:bCs/>
          <w:sz w:val="32"/>
          <w:szCs w:val="32"/>
        </w:rPr>
        <w:t>按照《部门整体支出绩效评价指标体系》，自评得分9</w:t>
      </w:r>
      <w:r>
        <w:rPr>
          <w:rFonts w:hint="eastAsia" w:ascii="仿宋_GB2312" w:hAnsi="仿宋_GB2312" w:cs="仿宋_GB2312"/>
          <w:b w:val="0"/>
          <w:bCs/>
          <w:sz w:val="32"/>
          <w:szCs w:val="32"/>
          <w:lang w:val="en-US" w:eastAsia="zh-CN"/>
        </w:rPr>
        <w:t>2</w:t>
      </w:r>
      <w:r>
        <w:rPr>
          <w:rFonts w:hint="eastAsia" w:ascii="仿宋_GB2312" w:hAnsi="仿宋_GB2312" w:eastAsia="仿宋_GB2312" w:cs="仿宋_GB2312"/>
          <w:b w:val="0"/>
          <w:bCs/>
          <w:sz w:val="32"/>
          <w:szCs w:val="32"/>
        </w:rPr>
        <w:t>分。广元市自然资源局严格执行财经纪律、法规和各项规章制度，加强财务管理，规范会计核算，资金高效运行。项目决策科学，依据充分，项目管理规范；绩效执行进度达到预期；项目完成效果好，实施后达到了预期目的，促进了广元自然资源事业管理的高效发展。</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rPr>
      </w:pPr>
      <w:r>
        <w:rPr>
          <w:rFonts w:hint="eastAsia" w:ascii="楷体_GB2312" w:hAnsi="楷体_GB2312" w:eastAsia="楷体_GB2312" w:cs="楷体_GB2312"/>
          <w:b w:val="0"/>
          <w:bCs/>
          <w:sz w:val="32"/>
          <w:szCs w:val="32"/>
          <w:lang w:val="zh-CN"/>
        </w:rPr>
        <w:t>（二）改进建议。</w:t>
      </w:r>
      <w:r>
        <w:rPr>
          <w:rFonts w:hint="eastAsia" w:ascii="仿宋_GB2312" w:hAnsi="仿宋_GB2312" w:eastAsia="仿宋_GB2312" w:cs="仿宋_GB2312"/>
          <w:b w:val="0"/>
          <w:bCs/>
          <w:sz w:val="32"/>
          <w:szCs w:val="32"/>
        </w:rPr>
        <w:t>市财政加强对预算单位绩效评价工作的培训和指导，规范部门预算收支核算，切实提高部门预算收支管理水平，进一步优化项目考核指标体系，做到合理性与可操作性的有机统一。</w:t>
      </w:r>
    </w:p>
    <w:p>
      <w:pPr>
        <w:pStyle w:val="25"/>
        <w:pageBreakBefore w:val="0"/>
        <w:widowControl w:val="0"/>
        <w:kinsoku/>
        <w:wordWrap/>
        <w:overflowPunct/>
        <w:topLinePunct w:val="0"/>
        <w:autoSpaceDE/>
        <w:autoSpaceDN/>
        <w:bidi w:val="0"/>
        <w:spacing w:before="0" w:after="0" w:line="520" w:lineRule="exact"/>
        <w:textAlignment w:val="auto"/>
        <w:rPr>
          <w:rFonts w:hint="eastAsia"/>
        </w:rPr>
      </w:pPr>
    </w:p>
    <w:p>
      <w:pPr>
        <w:pStyle w:val="1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color w:val="auto"/>
          <w:sz w:val="32"/>
          <w:szCs w:val="32"/>
          <w:highlight w:val="none"/>
          <w:lang w:val="zh-CN" w:eastAsia="zh-CN"/>
        </w:rPr>
      </w:pPr>
      <w:r>
        <w:rPr>
          <w:rFonts w:hint="eastAsia" w:hAnsi="Times New Roman" w:cs="Times New Roman"/>
          <w:color w:val="auto"/>
          <w:sz w:val="32"/>
          <w:szCs w:val="32"/>
          <w:highlight w:val="none"/>
          <w:lang w:val="zh-CN" w:eastAsia="zh-CN"/>
        </w:rPr>
        <w:t>附表：</w:t>
      </w:r>
      <w:r>
        <w:rPr>
          <w:rFonts w:hint="eastAsia" w:hAnsi="Times New Roman" w:cs="Times New Roman"/>
          <w:color w:val="auto"/>
          <w:sz w:val="32"/>
          <w:szCs w:val="32"/>
          <w:highlight w:val="none"/>
          <w:lang w:val="en-US" w:eastAsia="zh-CN"/>
        </w:rPr>
        <w:t>部门预算项目支出绩效自评表（202</w:t>
      </w:r>
      <w:r>
        <w:rPr>
          <w:rFonts w:hint="eastAsia" w:cs="Times New Roman"/>
          <w:color w:val="auto"/>
          <w:sz w:val="32"/>
          <w:szCs w:val="32"/>
          <w:highlight w:val="none"/>
          <w:lang w:val="en-US" w:eastAsia="zh-CN"/>
        </w:rPr>
        <w:t>4</w:t>
      </w:r>
      <w:r>
        <w:rPr>
          <w:rFonts w:hint="eastAsia" w:hAnsi="Times New Roman" w:cs="Times New Roman"/>
          <w:color w:val="auto"/>
          <w:sz w:val="32"/>
          <w:szCs w:val="32"/>
          <w:highlight w:val="none"/>
          <w:lang w:val="en-US" w:eastAsia="zh-CN"/>
        </w:rPr>
        <w:t>年度）</w:t>
      </w:r>
      <w:r>
        <w:rPr>
          <w:rFonts w:hint="eastAsia" w:cs="Times New Roman"/>
          <w:color w:val="auto"/>
          <w:sz w:val="32"/>
          <w:szCs w:val="32"/>
          <w:highlight w:val="none"/>
          <w:lang w:val="en-US" w:eastAsia="zh-CN"/>
        </w:rPr>
        <w:t>（见附件）</w:t>
      </w:r>
    </w:p>
    <w:p>
      <w:pPr>
        <w:pageBreakBefore w:val="0"/>
        <w:widowControl w:val="0"/>
        <w:kinsoku/>
        <w:wordWrap/>
        <w:overflowPunct/>
        <w:topLinePunct w:val="0"/>
        <w:autoSpaceDE/>
        <w:autoSpaceDN/>
        <w:bidi w:val="0"/>
        <w:adjustRightInd/>
        <w:snapToGrid/>
        <w:spacing w:line="520" w:lineRule="exact"/>
        <w:ind w:firstLine="0" w:firstLineChars="0"/>
        <w:jc w:val="both"/>
        <w:textAlignment w:val="auto"/>
        <w:rPr>
          <w:rFonts w:hint="eastAsia" w:ascii="仿宋_GB2312" w:hAnsi="仿宋_GB2312" w:eastAsia="仿宋_GB2312" w:cs="仿宋_GB2312"/>
          <w:b w:val="0"/>
          <w:bCs/>
          <w:color w:val="000000"/>
          <w:kern w:val="0"/>
          <w:sz w:val="32"/>
          <w:szCs w:val="32"/>
          <w:shd w:val="clear" w:color="auto" w:fill="FFFFFF"/>
        </w:rPr>
      </w:pPr>
    </w:p>
    <w:p>
      <w:pPr>
        <w:pageBreakBefore w:val="0"/>
        <w:widowControl w:val="0"/>
        <w:kinsoku/>
        <w:wordWrap/>
        <w:overflowPunct/>
        <w:topLinePunct w:val="0"/>
        <w:autoSpaceDE/>
        <w:autoSpaceDN/>
        <w:bidi w:val="0"/>
        <w:adjustRightInd/>
        <w:snapToGrid/>
        <w:spacing w:line="520" w:lineRule="exact"/>
        <w:ind w:firstLine="0" w:firstLineChars="0"/>
        <w:jc w:val="both"/>
        <w:textAlignment w:val="auto"/>
        <w:rPr>
          <w:rFonts w:hint="eastAsia" w:ascii="仿宋_GB2312" w:hAnsi="仿宋_GB2312" w:eastAsia="仿宋_GB2312" w:cs="仿宋_GB2312"/>
          <w:b w:val="0"/>
          <w:bCs/>
          <w:color w:val="000000"/>
          <w:kern w:val="0"/>
          <w:sz w:val="32"/>
          <w:szCs w:val="32"/>
          <w:shd w:val="clear" w:color="auto" w:fill="FFFFFF"/>
        </w:rPr>
      </w:pPr>
    </w:p>
    <w:p>
      <w:pPr>
        <w:ind w:firstLine="5440" w:firstLineChars="1700"/>
        <w:rPr>
          <w:rFonts w:hint="eastAsia" w:ascii="黑体" w:hAnsi="黑体" w:eastAsia="黑体" w:cs="黑体"/>
          <w:color w:val="auto"/>
          <w:kern w:val="0"/>
          <w:sz w:val="32"/>
          <w:szCs w:val="32"/>
          <w:highlight w:val="none"/>
          <w:shd w:val="clear" w:color="auto" w:fill="FFFFFF"/>
          <w:lang w:val="zh-CN"/>
        </w:rPr>
      </w:pPr>
      <w:bookmarkStart w:id="109" w:name="_GoBack"/>
      <w:bookmarkEnd w:id="109"/>
      <w:r>
        <w:rPr>
          <w:rFonts w:hint="eastAsia" w:ascii="仿宋_GB2312" w:hAnsi="仿宋_GB2312" w:cs="仿宋_GB2312"/>
          <w:b w:val="0"/>
          <w:bCs/>
          <w:color w:val="000000"/>
          <w:kern w:val="0"/>
          <w:sz w:val="32"/>
          <w:szCs w:val="32"/>
          <w:shd w:val="clear" w:color="auto" w:fill="FFFFFF"/>
          <w:lang w:val="en-US" w:eastAsia="zh-CN"/>
        </w:rPr>
        <w:t xml:space="preserve">   </w:t>
      </w:r>
      <w:r>
        <w:rPr>
          <w:rFonts w:hint="eastAsia" w:ascii="黑体" w:hAnsi="黑体" w:eastAsia="黑体" w:cs="黑体"/>
          <w:color w:val="auto"/>
          <w:kern w:val="0"/>
          <w:sz w:val="32"/>
          <w:szCs w:val="32"/>
          <w:highlight w:val="none"/>
          <w:shd w:val="clear" w:color="auto" w:fill="FFFFFF"/>
          <w:lang w:val="zh-CN"/>
        </w:rPr>
        <w:br w:type="page"/>
      </w:r>
    </w:p>
    <w:p>
      <w:pPr>
        <w:pStyle w:val="7"/>
        <w:rPr>
          <w:rFonts w:hint="eastAsia" w:ascii="黑体" w:hAnsi="黑体" w:eastAsia="黑体" w:cs="黑体"/>
          <w:color w:val="auto"/>
          <w:sz w:val="32"/>
          <w:szCs w:val="32"/>
          <w:highlight w:val="none"/>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w:t>
      </w:r>
    </w:p>
    <w:p>
      <w:pPr>
        <w:pStyle w:val="37"/>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color w:val="auto"/>
          <w:kern w:val="2"/>
          <w:sz w:val="44"/>
          <w:szCs w:val="44"/>
          <w:highlight w:val="none"/>
          <w:lang w:val="en-US" w:eastAsia="zh-CN"/>
        </w:rPr>
      </w:pPr>
      <w:r>
        <w:rPr>
          <w:rFonts w:hint="eastAsia" w:ascii="方正小标宋_GBK" w:hAnsi="方正小标宋_GBK" w:eastAsia="方正小标宋_GBK" w:cs="方正小标宋_GBK"/>
          <w:color w:val="auto"/>
          <w:kern w:val="2"/>
          <w:sz w:val="44"/>
          <w:szCs w:val="44"/>
          <w:highlight w:val="none"/>
          <w:lang w:val="en-US" w:eastAsia="zh-CN"/>
        </w:rPr>
        <w:t>专项预算项目绩效评价报告范本</w:t>
      </w:r>
    </w:p>
    <w:p>
      <w:pPr>
        <w:rPr>
          <w:rFonts w:hint="eastAsia" w:ascii="黑体" w:hAnsi="黑体" w:eastAsia="黑体"/>
          <w:color w:val="auto"/>
          <w:sz w:val="44"/>
          <w:szCs w:val="44"/>
          <w:highlight w:val="none"/>
        </w:rPr>
      </w:pPr>
      <w:bookmarkStart w:id="80" w:name="_Toc15396618"/>
      <w:bookmarkStart w:id="81" w:name="_Toc21652"/>
    </w:p>
    <w:p>
      <w:pPr>
        <w:pStyle w:val="37"/>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rPr>
      </w:pPr>
    </w:p>
    <w:p>
      <w:pPr>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广元市自然资源局</w:t>
      </w:r>
    </w:p>
    <w:p>
      <w:pPr>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关于广元市卫片自主监测项目专项预算</w:t>
      </w:r>
    </w:p>
    <w:p>
      <w:pPr>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绩效评价报告</w:t>
      </w:r>
    </w:p>
    <w:p>
      <w:pPr>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eastAsia="宋体"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numPr>
          <w:ilvl w:val="0"/>
          <w:numId w:val="0"/>
        </w:numPr>
        <w:spacing w:line="580" w:lineRule="exact"/>
        <w:ind w:firstLine="642" w:firstLineChars="200"/>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adjustRightInd w:val="0"/>
        <w:snapToGrid w:val="0"/>
        <w:spacing w:line="520" w:lineRule="exact"/>
        <w:ind w:firstLine="640" w:firstLineChars="200"/>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为提升我市耕地、林地和矿产等自然资源监测主动性、靶向性，特别是对违法占用耕地和基本农田、耕地不合理流出、违法破坏森林资源和开采矿产等行为做到早发现、早制止，降低行政执法成本和整改恢复成本，全面提升我市自然资源保护管理水平，开展全市卫片自主监测工作。</w:t>
      </w:r>
    </w:p>
    <w:p>
      <w:pPr>
        <w:numPr>
          <w:ilvl w:val="0"/>
          <w:numId w:val="3"/>
        </w:numPr>
        <w:adjustRightInd w:val="0"/>
        <w:snapToGrid w:val="0"/>
        <w:spacing w:line="520" w:lineRule="exact"/>
        <w:ind w:firstLine="642" w:firstLineChars="200"/>
        <w:rPr>
          <w:rFonts w:hint="eastAsia"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numPr>
          <w:ilvl w:val="0"/>
          <w:numId w:val="0"/>
        </w:numPr>
        <w:adjustRightInd w:val="0"/>
        <w:snapToGrid w:val="0"/>
        <w:spacing w:line="520" w:lineRule="exact"/>
        <w:ind w:firstLine="960" w:firstLineChars="300"/>
        <w:rPr>
          <w:rFonts w:hint="default" w:ascii="仿宋_GB2312" w:hAnsi="宋体" w:eastAsia="楷体_GB2312"/>
          <w:sz w:val="32"/>
          <w:szCs w:val="32"/>
          <w:lang w:val="en-US" w:eastAsia="zh-CN"/>
        </w:rPr>
      </w:pPr>
      <w:r>
        <w:rPr>
          <w:rFonts w:hint="eastAsia" w:ascii="仿宋_GB2312" w:hAnsi="宋体" w:eastAsia="仿宋_GB2312"/>
          <w:sz w:val="32"/>
          <w:szCs w:val="32"/>
          <w:lang w:val="en-US" w:eastAsia="zh-CN"/>
        </w:rPr>
        <w:t>基于广元上年度最新的亚米级卫星影像作为基期影像，全年获取6期亚米级高分子卫星影像数据为基础，制作当期影像，按照国家有关技术标准，结合自然资源管理数据，围绕耕地、林地和矿产等重点自然资源保护，对16319平方公里的亚米级卫星影像和遥感影像利用分析和数据分发（正射影像）制作；对4688平方公里耕地、矿产监测图斑提取及制作；对11631平方公里林地监测图斑提取及制作；采用空间统计分析技术实现变化信息的分析比对，完成监测成果的整理与分析评价，深化卫片执法成果应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2" w:firstLineChars="200"/>
        <w:contextualSpacing/>
        <w:jc w:val="both"/>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adjustRightInd w:val="0"/>
        <w:snapToGrid w:val="0"/>
        <w:spacing w:line="520" w:lineRule="exact"/>
        <w:ind w:firstLine="640" w:firstLineChars="200"/>
        <w:rPr>
          <w:rFonts w:hint="eastAsia" w:ascii="仿宋_GB2312" w:hAnsi="宋体" w:eastAsia="仿宋_GB2312"/>
          <w:sz w:val="32"/>
          <w:szCs w:val="32"/>
        </w:rPr>
      </w:pPr>
      <w:r>
        <w:rPr>
          <w:rFonts w:hint="eastAsia" w:ascii="宋体" w:hAnsi="宋体" w:eastAsia="仿宋_GB2312" w:cs="Times New Roman"/>
          <w:color w:val="333333"/>
          <w:sz w:val="32"/>
          <w:szCs w:val="32"/>
          <w:shd w:val="clear" w:color="auto" w:fill="FFFFFF"/>
          <w:lang w:val="en-US" w:eastAsia="zh-CN"/>
        </w:rPr>
        <w:t>根据我局的资金申请，</w:t>
      </w:r>
      <w:r>
        <w:rPr>
          <w:rFonts w:hint="eastAsia" w:ascii="仿宋_GB2312" w:hAnsi="宋体" w:eastAsia="仿宋_GB2312"/>
          <w:sz w:val="32"/>
          <w:szCs w:val="32"/>
        </w:rPr>
        <w:t>财政于202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月1</w:t>
      </w:r>
      <w:r>
        <w:rPr>
          <w:rFonts w:hint="eastAsia" w:ascii="仿宋_GB2312" w:hAnsi="宋体" w:eastAsia="仿宋_GB2312"/>
          <w:sz w:val="32"/>
          <w:szCs w:val="32"/>
          <w:lang w:val="en-US" w:eastAsia="zh-CN"/>
        </w:rPr>
        <w:t>8</w:t>
      </w:r>
      <w:r>
        <w:rPr>
          <w:rFonts w:hint="eastAsia" w:ascii="仿宋_GB2312" w:hAnsi="宋体" w:eastAsia="仿宋_GB2312"/>
          <w:sz w:val="32"/>
          <w:szCs w:val="32"/>
        </w:rPr>
        <w:t>日下达该项目费用</w:t>
      </w:r>
      <w:r>
        <w:rPr>
          <w:rFonts w:hint="eastAsia" w:ascii="仿宋_GB2312" w:hAnsi="宋体" w:eastAsia="仿宋_GB2312"/>
          <w:sz w:val="32"/>
          <w:szCs w:val="32"/>
          <w:lang w:val="en-US" w:eastAsia="zh-CN"/>
        </w:rPr>
        <w:t>341.58</w:t>
      </w:r>
      <w:r>
        <w:rPr>
          <w:rFonts w:hint="eastAsia" w:ascii="仿宋_GB2312" w:hAnsi="宋体" w:eastAsia="仿宋_GB2312"/>
          <w:sz w:val="32"/>
          <w:szCs w:val="32"/>
        </w:rPr>
        <w:t>万元（广财投[202</w:t>
      </w:r>
      <w:r>
        <w:rPr>
          <w:rFonts w:hint="eastAsia" w:ascii="仿宋_GB2312" w:hAnsi="宋体" w:eastAsia="仿宋_GB2312"/>
          <w:sz w:val="32"/>
          <w:szCs w:val="32"/>
          <w:lang w:val="en-US" w:eastAsia="zh-CN"/>
        </w:rPr>
        <w:t>4</w:t>
      </w:r>
      <w:r>
        <w:rPr>
          <w:rFonts w:hint="eastAsia" w:ascii="仿宋_GB2312" w:hAnsi="宋体" w:eastAsia="仿宋_GB2312"/>
          <w:sz w:val="32"/>
          <w:szCs w:val="32"/>
        </w:rPr>
        <w:t>]</w:t>
      </w:r>
      <w:r>
        <w:rPr>
          <w:rFonts w:hint="eastAsia" w:ascii="仿宋_GB2312" w:hAnsi="宋体" w:eastAsia="仿宋_GB2312"/>
          <w:sz w:val="32"/>
          <w:szCs w:val="32"/>
          <w:lang w:val="en-US" w:eastAsia="zh-CN"/>
        </w:rPr>
        <w:t>002</w:t>
      </w:r>
      <w:r>
        <w:rPr>
          <w:rFonts w:hint="eastAsia" w:ascii="仿宋_GB2312" w:hAnsi="宋体" w:eastAsia="仿宋_GB2312"/>
          <w:sz w:val="32"/>
          <w:szCs w:val="32"/>
        </w:rPr>
        <w:t>号，我局于202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年6</w:t>
      </w:r>
      <w:r>
        <w:rPr>
          <w:rFonts w:hint="eastAsia" w:ascii="仿宋_GB2312" w:hAnsi="宋体" w:eastAsia="仿宋_GB2312"/>
          <w:sz w:val="32"/>
          <w:szCs w:val="32"/>
          <w:lang w:val="en-US" w:eastAsia="zh-CN"/>
        </w:rPr>
        <w:t>-10</w:t>
      </w:r>
      <w:r>
        <w:rPr>
          <w:rFonts w:hint="eastAsia" w:ascii="仿宋_GB2312" w:hAnsi="宋体" w:eastAsia="仿宋_GB2312"/>
          <w:sz w:val="32"/>
          <w:szCs w:val="32"/>
        </w:rPr>
        <w:t>月支付</w:t>
      </w:r>
      <w:r>
        <w:rPr>
          <w:rFonts w:hint="eastAsia" w:ascii="仿宋_GB2312" w:hAnsi="宋体" w:eastAsia="仿宋_GB2312"/>
          <w:sz w:val="32"/>
          <w:szCs w:val="32"/>
          <w:lang w:val="en-US" w:eastAsia="zh-CN"/>
        </w:rPr>
        <w:t>该费用239.97万元，</w:t>
      </w:r>
      <w:r>
        <w:rPr>
          <w:rFonts w:hint="eastAsia" w:ascii="仿宋_GB2312" w:hAnsi="宋体" w:eastAsia="仿宋_GB2312"/>
          <w:sz w:val="32"/>
          <w:szCs w:val="32"/>
        </w:rPr>
        <w:t>专项用于</w:t>
      </w:r>
      <w:r>
        <w:rPr>
          <w:rFonts w:hint="eastAsia" w:ascii="仿宋_GB2312" w:hAnsi="宋体" w:eastAsia="仿宋_GB2312"/>
          <w:sz w:val="32"/>
          <w:szCs w:val="32"/>
          <w:lang w:val="en-US" w:eastAsia="zh-CN"/>
        </w:rPr>
        <w:t>广元市卫片自主监测项目1-4期</w:t>
      </w:r>
      <w:r>
        <w:rPr>
          <w:rFonts w:hint="eastAsia" w:ascii="仿宋_GB2312" w:hAnsi="宋体" w:eastAsia="仿宋_GB2312"/>
          <w:sz w:val="32"/>
          <w:szCs w:val="32"/>
        </w:rPr>
        <w:t>费用。</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宋体" w:hAnsi="宋体" w:eastAsia="仿宋_GB2312" w:cs="Times New Roman"/>
          <w:color w:val="333333"/>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default" w:ascii="仿宋_GB2312" w:hAnsi="宋体" w:eastAsia="仿宋_GB2312"/>
          <w:sz w:val="32"/>
          <w:szCs w:val="32"/>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宋体" w:eastAsia="仿宋_GB2312"/>
          <w:sz w:val="32"/>
          <w:szCs w:val="32"/>
        </w:rPr>
        <w:t>绩效目标和绩效指标可量化考核</w:t>
      </w:r>
      <w:r>
        <w:rPr>
          <w:rFonts w:hint="eastAsia" w:ascii="仿宋_GB2312" w:hAnsi="宋体" w:eastAsia="仿宋_GB2312"/>
          <w:sz w:val="32"/>
          <w:szCs w:val="32"/>
          <w:lang w:eastAsia="zh-CN"/>
        </w:rPr>
        <w:t>，与年度工作目标相一致。绩效指标细化、量化，绩效目标和绩效指标契合政策或项目实质，产出和效果相关联。可对满意度指标进行量化预测，绩效目标具有一定的前瞻性和挑战性。</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hint="eastAsia" w:ascii="仿宋_GB2312" w:hAnsi="Times New Roman" w:eastAsia="仿宋_GB2312" w:cs="Times New Roman"/>
          <w:kern w:val="2"/>
          <w:sz w:val="32"/>
          <w:szCs w:val="32"/>
          <w:highlight w:val="none"/>
          <w:lang w:val="en-US" w:eastAsia="zh-CN" w:bidi="ar-SA"/>
        </w:rPr>
        <w:t>通过绩效评价，一是对项目预算及资金使用方案的合理性和有效性进行优化，去除不合理的预算项目。二是详细掌握资金使用情况，提高预算执行力。三是促进预算管理的公开化透明化</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default" w:ascii="宋体" w:hAnsi="宋体" w:eastAsia="仿宋_GB2312" w:cs="Times New Roman"/>
          <w:b w:val="0"/>
          <w:bCs/>
          <w:color w:val="333333"/>
          <w:sz w:val="32"/>
          <w:szCs w:val="32"/>
          <w:highlight w:val="none"/>
          <w:u w:val="none"/>
          <w:shd w:val="clear" w:color="auto" w:fill="FFFFFF"/>
          <w:lang w:val="en-US"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楷体_GB2312" w:hAnsi="宋体" w:eastAsia="楷体_GB2312"/>
          <w:b w:val="0"/>
          <w:bCs/>
          <w:color w:val="auto"/>
          <w:sz w:val="32"/>
          <w:szCs w:val="32"/>
          <w:highlight w:val="none"/>
          <w:u w:val="none"/>
          <w:lang w:val="en-US" w:eastAsia="zh-CN"/>
        </w:rPr>
        <w:t>按照绩效评价指标体系体系</w:t>
      </w:r>
      <w:r>
        <w:rPr>
          <w:rFonts w:hint="eastAsia" w:ascii="楷体_GB2312" w:hAnsi="宋体" w:eastAsia="楷体_GB2312"/>
          <w:b w:val="0"/>
          <w:bCs/>
          <w:color w:val="auto"/>
          <w:sz w:val="32"/>
          <w:szCs w:val="32"/>
          <w:highlight w:val="none"/>
          <w:u w:val="none"/>
          <w:lang w:val="zh-CN"/>
        </w:rPr>
        <w:t>，</w:t>
      </w:r>
      <w:r>
        <w:rPr>
          <w:rFonts w:hint="eastAsia" w:ascii="楷体_GB2312" w:hAnsi="宋体" w:eastAsia="楷体_GB2312"/>
          <w:b w:val="0"/>
          <w:bCs/>
          <w:color w:val="auto"/>
          <w:sz w:val="32"/>
          <w:szCs w:val="32"/>
          <w:highlight w:val="none"/>
          <w:u w:val="none"/>
          <w:lang w:val="en-US" w:eastAsia="zh-CN"/>
        </w:rPr>
        <w:t>该项目</w:t>
      </w:r>
      <w:r>
        <w:rPr>
          <w:rFonts w:hint="eastAsia" w:eastAsia="仿宋_GB2312" w:cs="Times New Roman"/>
          <w:b w:val="0"/>
          <w:bCs/>
          <w:sz w:val="32"/>
          <w:szCs w:val="32"/>
          <w:lang w:eastAsia="zh-CN"/>
        </w:rPr>
        <w:t>经费使用应符合相关财务法规和政策</w:t>
      </w:r>
      <w:r>
        <w:rPr>
          <w:rFonts w:hint="eastAsia" w:eastAsia="仿宋_GB2312" w:cs="Times New Roman"/>
          <w:sz w:val="32"/>
          <w:szCs w:val="32"/>
          <w:lang w:eastAsia="zh-CN"/>
        </w:rPr>
        <w:t>，</w:t>
      </w:r>
      <w:r>
        <w:rPr>
          <w:rFonts w:hint="eastAsia" w:eastAsia="仿宋_GB2312" w:cs="Times New Roman"/>
          <w:sz w:val="32"/>
          <w:szCs w:val="32"/>
          <w:lang w:val="en-US" w:eastAsia="zh-CN"/>
        </w:rPr>
        <w:t>按照合同约定和项目进度进行支付，做到专款专用，</w:t>
      </w:r>
      <w:r>
        <w:rPr>
          <w:rFonts w:hint="eastAsia" w:eastAsia="仿宋_GB2312" w:cs="Times New Roman"/>
          <w:sz w:val="32"/>
          <w:szCs w:val="32"/>
          <w:lang w:eastAsia="zh-CN"/>
        </w:rPr>
        <w:t>确保资金使用的合法合规，避免违规行为发生。</w:t>
      </w:r>
      <w:r>
        <w:rPr>
          <w:rFonts w:hint="eastAsia" w:ascii="宋体" w:hAnsi="宋体" w:eastAsia="仿宋_GB2312" w:cs="Times New Roman"/>
          <w:color w:val="333333"/>
          <w:sz w:val="32"/>
          <w:szCs w:val="32"/>
          <w:shd w:val="clear" w:color="auto" w:fill="FFFFFF"/>
          <w:lang w:val="en-US" w:eastAsia="zh-CN"/>
        </w:rPr>
        <w:t>对1-4期完成的成果内容和成果数据进行重点评价，该成果已通过专家组验收合格。</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default" w:eastAsia="楷体_GB2312" w:cs="Times New Roman"/>
          <w:sz w:val="32"/>
          <w:szCs w:val="32"/>
          <w:lang w:val="en-US" w:eastAsia="zh-CN"/>
        </w:rPr>
      </w:pPr>
      <w:r>
        <w:rPr>
          <w:rFonts w:hint="eastAsia" w:ascii="楷体_GB2312" w:hAnsi="宋体" w:eastAsia="楷体_GB2312"/>
          <w:b/>
          <w:color w:val="auto"/>
          <w:sz w:val="32"/>
          <w:szCs w:val="32"/>
          <w:highlight w:val="none"/>
          <w:u w:val="none"/>
          <w:lang w:val="zh-CN"/>
        </w:rPr>
        <w:t>（三）评价选点。</w:t>
      </w:r>
      <w:r>
        <w:rPr>
          <w:rFonts w:hint="eastAsia" w:ascii="宋体" w:hAnsi="宋体" w:eastAsia="仿宋_GB2312" w:cs="Times New Roman"/>
          <w:color w:val="333333"/>
          <w:sz w:val="32"/>
          <w:szCs w:val="32"/>
          <w:shd w:val="clear" w:color="auto" w:fill="FFFFFF"/>
          <w:lang w:val="en-US" w:eastAsia="zh-CN"/>
        </w:rPr>
        <w:t>我单位不适用。</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val="en-US"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采用单位自评法</w:t>
      </w:r>
      <w:r>
        <w:rPr>
          <w:rFonts w:hint="eastAsia" w:eastAsia="仿宋_GB2312"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2" w:firstLineChars="200"/>
        <w:contextualSpacing/>
        <w:jc w:val="both"/>
        <w:textAlignment w:val="auto"/>
        <w:rPr>
          <w:rFonts w:hint="eastAsia" w:ascii="仿宋_GB2312" w:eastAsia="仿宋_GB2312"/>
          <w:b w:val="0"/>
          <w:bCs w:val="0"/>
          <w:sz w:val="32"/>
          <w:szCs w:val="32"/>
          <w:highlight w:val="none"/>
          <w:lang w:val="en-US"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eastAsia="仿宋_GB2312"/>
          <w:b w:val="0"/>
          <w:bCs w:val="0"/>
          <w:sz w:val="32"/>
          <w:szCs w:val="32"/>
          <w:highlight w:val="none"/>
          <w:lang w:val="en-US" w:eastAsia="zh-CN"/>
        </w:rPr>
        <w:t>按照财政资金“谁使用，谁自评”的原则，</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我单位在收到</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自评工作通知后，立即</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落实专人负责</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，及时</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与相关业务科实协调对接</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，对项目概况、评价实施、绩效分析、评价结论、存在主要问题、改进建议等进行综合自评，形成自评结果。</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 w:val="32"/>
          <w:szCs w:val="32"/>
          <w:lang w:val="en-US" w:eastAsia="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eastAsia="仿宋_GB2312"/>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hAnsi="仿宋_GB2312" w:eastAsia="仿宋_GB2312" w:cs="仿宋_GB2312"/>
          <w:b w:val="0"/>
          <w:bCs/>
          <w:sz w:val="32"/>
          <w:szCs w:val="32"/>
          <w:lang w:val="zh-CN"/>
        </w:rPr>
        <w:t>一是贯彻落实中央关于自然资源工作的方针政策和省委、市委决策部署，并按照单位的职能职责，资金预算合规、科学、合理的同时，把预算、绩效和自然资源改革发展工作深度融合。二是履行预算绩效设立审核程序，经集体研究决策后纳入预算。三是细化量化项目绩效目标，编制预算时对科室申报的预算项目进行全面梳理，严把审核关，所有项目必须有明细的资金测算，对审核后的所有项目全部进行入库管理。</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楷体_GB2312" w:hAnsi="楷体_GB2312" w:eastAsia="楷体_GB2312" w:cs="楷体_GB2312"/>
          <w:color w:val="auto"/>
          <w:sz w:val="32"/>
          <w:szCs w:val="32"/>
          <w:lang w:val="en-US" w:eastAsia="zh-CN"/>
        </w:rPr>
        <w:t>一是</w:t>
      </w:r>
      <w:r>
        <w:rPr>
          <w:rFonts w:hint="eastAsia" w:ascii="仿宋_GB2312" w:hAnsi="仿宋_GB2312" w:eastAsia="仿宋_GB2312" w:cs="仿宋_GB2312"/>
          <w:b w:val="0"/>
          <w:bCs/>
          <w:sz w:val="32"/>
          <w:szCs w:val="32"/>
          <w:lang w:val="zh-CN"/>
        </w:rPr>
        <w:t>履行</w:t>
      </w:r>
      <w:r>
        <w:rPr>
          <w:rFonts w:hint="eastAsia" w:ascii="仿宋_GB2312" w:hAnsi="仿宋_GB2312" w:eastAsia="仿宋_GB2312" w:cs="仿宋_GB2312"/>
          <w:b w:val="0"/>
          <w:bCs/>
          <w:sz w:val="32"/>
          <w:szCs w:val="32"/>
          <w:lang w:val="en-US" w:eastAsia="zh-CN"/>
        </w:rPr>
        <w:t>项目</w:t>
      </w:r>
      <w:r>
        <w:rPr>
          <w:rFonts w:hint="eastAsia" w:ascii="仿宋_GB2312" w:hAnsi="仿宋_GB2312" w:eastAsia="仿宋_GB2312" w:cs="仿宋_GB2312"/>
          <w:b w:val="0"/>
          <w:bCs/>
          <w:sz w:val="32"/>
          <w:szCs w:val="32"/>
          <w:lang w:val="zh-CN"/>
        </w:rPr>
        <w:t>预算绩效设立审核程序，经集体研究决策后纳入</w:t>
      </w:r>
      <w:r>
        <w:rPr>
          <w:rFonts w:hint="eastAsia" w:ascii="仿宋_GB2312" w:hAnsi="仿宋_GB2312" w:eastAsia="仿宋_GB2312" w:cs="仿宋_GB2312"/>
          <w:b w:val="0"/>
          <w:bCs/>
          <w:sz w:val="32"/>
          <w:szCs w:val="32"/>
          <w:lang w:val="en-US" w:eastAsia="zh-CN"/>
        </w:rPr>
        <w:t>基建</w:t>
      </w:r>
      <w:r>
        <w:rPr>
          <w:rFonts w:hint="eastAsia" w:ascii="仿宋_GB2312" w:hAnsi="仿宋_GB2312" w:eastAsia="仿宋_GB2312" w:cs="仿宋_GB2312"/>
          <w:b w:val="0"/>
          <w:bCs/>
          <w:sz w:val="32"/>
          <w:szCs w:val="32"/>
          <w:lang w:val="zh-CN"/>
        </w:rPr>
        <w:t>预算。</w:t>
      </w: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sz w:val="32"/>
          <w:szCs w:val="32"/>
          <w:lang w:val="zh-CN"/>
        </w:rPr>
        <w:t>是细化量化项目绩效目标，编制预算时对科室申报的预算项目进行全面梳理，严把审核关，所有项目必须有明细的资金测算，对审核后进行入库管理。</w:t>
      </w:r>
      <w:r>
        <w:rPr>
          <w:rFonts w:hint="eastAsia" w:ascii="仿宋_GB2312" w:hAnsi="仿宋_GB2312" w:eastAsia="仿宋_GB2312" w:cs="仿宋_GB2312"/>
          <w:b w:val="0"/>
          <w:bCs/>
          <w:sz w:val="32"/>
          <w:szCs w:val="32"/>
          <w:lang w:val="en-US" w:eastAsia="zh-CN"/>
        </w:rPr>
        <w:t>财政下达资金后，我局严格按照《预算法》《项目资金管理办法》及时支付，确保项目按时按质完成。</w:t>
      </w:r>
    </w:p>
    <w:p>
      <w:pPr>
        <w:adjustRightInd w:val="0"/>
        <w:snapToGrid w:val="0"/>
        <w:spacing w:line="580" w:lineRule="exact"/>
        <w:ind w:firstLine="640" w:firstLineChars="200"/>
        <w:rPr>
          <w:rFonts w:ascii="楷体_GB2312" w:hAnsi="宋体" w:eastAsia="仿宋_GB2312"/>
          <w:bCs/>
          <w:sz w:val="32"/>
          <w:szCs w:val="32"/>
        </w:rPr>
      </w:pPr>
      <w:r>
        <w:rPr>
          <w:rFonts w:hint="eastAsia" w:ascii="楷体_GB2312" w:hAnsi="楷体_GB2312" w:eastAsia="楷体_GB2312" w:cs="楷体_GB2312"/>
          <w:color w:val="auto"/>
          <w:sz w:val="32"/>
          <w:szCs w:val="32"/>
          <w:lang w:val="en-US" w:eastAsia="zh-CN"/>
        </w:rPr>
        <w:t>3.项目实施。</w:t>
      </w:r>
      <w:r>
        <w:rPr>
          <w:rFonts w:hint="eastAsia" w:ascii="仿宋_GB2312" w:hAnsi="宋体" w:eastAsia="仿宋_GB2312"/>
          <w:sz w:val="32"/>
          <w:szCs w:val="32"/>
          <w:lang w:val="en-US" w:eastAsia="zh-CN"/>
        </w:rPr>
        <w:t>对16319平方公里的亚米级卫星影像和遥感影像利用分析和数据分发（正射影像）制作；对4688平方公里耕地、矿产监测图斑提取及制作；对11631平方公里林地监测图斑提取及制作；采用空间统计分析技术实现变化信息的分析比对，完成监测成果的整理与分析评价。资金使用过程中严格按照</w:t>
      </w:r>
      <w:r>
        <w:rPr>
          <w:rFonts w:ascii="楷体_GB2312" w:hAnsi="楷体_GB2312" w:eastAsia="仿宋_GB2312"/>
          <w:bCs/>
          <w:sz w:val="32"/>
          <w:szCs w:val="32"/>
        </w:rPr>
        <w:t>我局制</w:t>
      </w:r>
      <w:r>
        <w:rPr>
          <w:rFonts w:hint="eastAsia" w:ascii="楷体_GB2312" w:hAnsi="楷体_GB2312" w:eastAsia="仿宋_GB2312"/>
          <w:bCs/>
          <w:sz w:val="32"/>
          <w:szCs w:val="32"/>
          <w:lang w:val="en-US" w:eastAsia="zh-CN"/>
        </w:rPr>
        <w:t>定的</w:t>
      </w:r>
      <w:r>
        <w:rPr>
          <w:rFonts w:ascii="楷体_GB2312" w:hAnsi="楷体_GB2312" w:eastAsia="仿宋_GB2312"/>
          <w:bCs/>
          <w:sz w:val="32"/>
          <w:szCs w:val="32"/>
        </w:rPr>
        <w:t>《财务管理制度》《专项资金管理制度》《三重一大制度》，</w:t>
      </w:r>
      <w:r>
        <w:rPr>
          <w:rFonts w:hint="eastAsia" w:ascii="楷体_GB2312" w:hAnsi="楷体_GB2312" w:eastAsia="仿宋_GB2312"/>
          <w:bCs/>
          <w:sz w:val="32"/>
          <w:szCs w:val="32"/>
        </w:rPr>
        <w:t>确保</w:t>
      </w:r>
      <w:r>
        <w:rPr>
          <w:rFonts w:ascii="楷体_GB2312" w:hAnsi="楷体_GB2312" w:eastAsia="仿宋_GB2312"/>
          <w:bCs/>
          <w:sz w:val="32"/>
          <w:szCs w:val="32"/>
        </w:rPr>
        <w:t>项目</w:t>
      </w:r>
      <w:r>
        <w:rPr>
          <w:rFonts w:hint="eastAsia" w:ascii="楷体_GB2312" w:hAnsi="楷体_GB2312" w:eastAsia="仿宋_GB2312"/>
          <w:bCs/>
          <w:sz w:val="32"/>
          <w:szCs w:val="32"/>
          <w:lang w:val="en-US" w:eastAsia="zh-CN"/>
        </w:rPr>
        <w:t>资金</w:t>
      </w:r>
      <w:r>
        <w:rPr>
          <w:rFonts w:hint="eastAsia" w:ascii="楷体_GB2312" w:hAnsi="楷体_GB2312" w:eastAsia="仿宋_GB2312"/>
          <w:bCs/>
          <w:sz w:val="32"/>
          <w:szCs w:val="32"/>
        </w:rPr>
        <w:t>高效率使用</w:t>
      </w:r>
      <w:r>
        <w:rPr>
          <w:rFonts w:hint="eastAsia" w:ascii="楷体_GB2312" w:hAnsi="楷体_GB2312" w:eastAsia="仿宋_GB2312"/>
          <w:bCs/>
          <w:sz w:val="32"/>
          <w:szCs w:val="32"/>
          <w:lang w:eastAsia="zh-CN"/>
        </w:rPr>
        <w:t>，</w:t>
      </w:r>
      <w:r>
        <w:rPr>
          <w:rFonts w:hint="eastAsia" w:ascii="楷体_GB2312" w:hAnsi="楷体_GB2312" w:eastAsia="仿宋_GB2312"/>
          <w:bCs/>
          <w:sz w:val="32"/>
          <w:szCs w:val="32"/>
          <w:lang w:val="en-US" w:eastAsia="zh-CN"/>
        </w:rPr>
        <w:t>做到</w:t>
      </w:r>
      <w:r>
        <w:rPr>
          <w:rFonts w:ascii="楷体_GB2312" w:hAnsi="楷体_GB2312" w:eastAsia="仿宋_GB2312"/>
          <w:bCs/>
          <w:sz w:val="32"/>
          <w:szCs w:val="32"/>
        </w:rPr>
        <w:t>专款专用，无截留，无挪用。</w:t>
      </w:r>
    </w:p>
    <w:p>
      <w:pPr>
        <w:numPr>
          <w:ilvl w:val="0"/>
          <w:numId w:val="0"/>
        </w:numPr>
        <w:adjustRightInd w:val="0"/>
        <w:snapToGrid w:val="0"/>
        <w:spacing w:line="520" w:lineRule="exact"/>
        <w:ind w:firstLine="960" w:firstLineChars="300"/>
        <w:rPr>
          <w:rFonts w:hint="default" w:ascii="仿宋_GB2312" w:hAnsi="宋体" w:eastAsia="仿宋_GB2312"/>
          <w:sz w:val="32"/>
          <w:szCs w:val="32"/>
          <w:lang w:val="en-US" w:eastAsia="zh-CN"/>
        </w:rPr>
      </w:pPr>
      <w:r>
        <w:rPr>
          <w:rFonts w:hint="eastAsia" w:ascii="楷体_GB2312" w:hAnsi="楷体_GB2312" w:eastAsia="楷体_GB2312" w:cs="楷体_GB2312"/>
          <w:color w:val="auto"/>
          <w:kern w:val="2"/>
          <w:position w:val="0"/>
          <w:sz w:val="32"/>
          <w:szCs w:val="32"/>
          <w:lang w:val="en-US" w:eastAsia="zh-CN" w:bidi="ar-SA"/>
        </w:rPr>
        <w:t>4.项目结果。</w:t>
      </w:r>
      <w:r>
        <w:rPr>
          <w:rFonts w:hint="eastAsia" w:ascii="仿宋_GB2312" w:hAnsi="宋体" w:eastAsia="仿宋_GB2312"/>
          <w:sz w:val="32"/>
          <w:szCs w:val="32"/>
          <w:lang w:val="en-US" w:eastAsia="zh-CN"/>
        </w:rPr>
        <w:t>获取和制作亚米级高分辨率卫星遥感影像、提取地类变化图斑、监测数据分析评价报告，针对违法用地、用矿和占用林草湿地等资源情况进行专项提前预警，对全市全年自然资源变化情况再次进行全面梳理，摸清底数，进一步夯实了全市自然资源管理数据摸底。</w:t>
      </w:r>
    </w:p>
    <w:p>
      <w:pPr>
        <w:keepNext w:val="0"/>
        <w:keepLines w:val="0"/>
        <w:pageBreakBefore w:val="0"/>
        <w:widowControl w:val="0"/>
        <w:kinsoku/>
        <w:wordWrap/>
        <w:overflowPunct/>
        <w:topLinePunct w:val="0"/>
        <w:autoSpaceDE/>
        <w:autoSpaceDN/>
        <w:bidi w:val="0"/>
        <w:adjustRightInd/>
        <w:snapToGrid/>
        <w:spacing w:line="578" w:lineRule="exact"/>
        <w:ind w:firstLine="642" w:firstLineChars="200"/>
        <w:textAlignment w:val="auto"/>
        <w:outlineLvl w:val="9"/>
        <w:rPr>
          <w:rFonts w:hint="eastAsia" w:ascii="Times New Roman" w:hAnsi="Times New Roman" w:eastAsia="仿宋_GB2312" w:cs="Times New Roman"/>
          <w:color w:val="auto"/>
          <w:sz w:val="32"/>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Times New Roman" w:hAnsi="Times New Roman" w:eastAsia="仿宋_GB2312" w:cs="Times New Roman"/>
          <w:color w:val="auto"/>
          <w:sz w:val="32"/>
          <w:szCs w:val="32"/>
          <w:lang w:val="zh-CN" w:eastAsia="zh-CN"/>
        </w:rPr>
        <w:t>。</w:t>
      </w:r>
    </w:p>
    <w:p>
      <w:pPr>
        <w:numPr>
          <w:ilvl w:val="0"/>
          <w:numId w:val="0"/>
        </w:numPr>
        <w:adjustRightInd w:val="0"/>
        <w:snapToGrid w:val="0"/>
        <w:spacing w:line="520" w:lineRule="exact"/>
        <w:ind w:firstLine="960" w:firstLineChars="300"/>
        <w:rPr>
          <w:rFonts w:hint="default" w:ascii="仿宋_GB2312" w:hAnsi="宋体" w:eastAsia="楷体_GB2312"/>
          <w:sz w:val="32"/>
          <w:szCs w:val="32"/>
          <w:lang w:val="en-US" w:eastAsia="zh-CN"/>
        </w:rPr>
      </w:pPr>
      <w:r>
        <w:rPr>
          <w:rFonts w:hint="eastAsia" w:eastAsia="仿宋_GB2312" w:cs="Times New Roman"/>
          <w:color w:val="auto"/>
          <w:sz w:val="32"/>
          <w:szCs w:val="32"/>
          <w:lang w:val="en-US" w:eastAsia="zh-CN"/>
        </w:rPr>
        <w:t>1.</w:t>
      </w:r>
      <w:r>
        <w:rPr>
          <w:rFonts w:hint="eastAsia" w:ascii="楷体_GB2312" w:hAnsi="楷体_GB2312" w:eastAsia="楷体_GB2312" w:cs="楷体_GB2312"/>
          <w:color w:val="auto"/>
          <w:kern w:val="2"/>
          <w:sz w:val="32"/>
          <w:szCs w:val="32"/>
          <w:lang w:val="en-US" w:eastAsia="zh-CN" w:bidi="ar-SA"/>
        </w:rPr>
        <w:t>产业发展：</w:t>
      </w:r>
      <w:r>
        <w:rPr>
          <w:rFonts w:hint="eastAsia" w:ascii="仿宋_GB2312" w:hAnsi="宋体" w:eastAsia="仿宋_GB2312"/>
          <w:sz w:val="32"/>
          <w:szCs w:val="32"/>
          <w:lang w:val="en-US" w:eastAsia="zh-CN"/>
        </w:rPr>
        <w:t>该项目是市委市政府支持重点项目</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w:t>
      </w:r>
      <w:r>
        <w:rPr>
          <w:rFonts w:hint="eastAsia" w:ascii="仿宋_GB2312" w:hAnsi="宋体" w:eastAsia="仿宋_GB2312"/>
          <w:sz w:val="32"/>
          <w:szCs w:val="32"/>
          <w:lang w:val="en-US" w:eastAsia="zh-CN"/>
        </w:rPr>
        <w:t>通过卫片自主监测，更及时精准发现违法用地行为和耕地、矿产和林地等变化情况，做到及时精准制止和整改，提升政府部门执行力和公信力。</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rPr>
          <w:rFonts w:hint="eastAsia"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行政运转。</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本</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单位财务管理制度健全，严格执行财务管理制度，账务处理及时，会计核算规范。</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我单位不适用。</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en-US" w:bidi="ar-SA"/>
        </w:rPr>
      </w:pPr>
      <w:r>
        <w:rPr>
          <w:rFonts w:hint="eastAsia" w:ascii="黑体" w:hAnsi="宋体" w:eastAsia="黑体" w:cs="Times New Roman"/>
          <w:color w:val="auto"/>
          <w:kern w:val="0"/>
          <w:position w:val="3"/>
          <w:sz w:val="32"/>
          <w:szCs w:val="32"/>
          <w:highlight w:val="none"/>
          <w:u w:val="none"/>
          <w:lang w:val="en-US" w:eastAsia="zh-CN" w:bidi="ar-SA"/>
        </w:rPr>
        <w:t>四</w:t>
      </w:r>
      <w:r>
        <w:rPr>
          <w:rFonts w:hint="eastAsia" w:ascii="黑体" w:hAnsi="宋体" w:eastAsia="黑体" w:cs="Times New Roman"/>
          <w:color w:val="auto"/>
          <w:kern w:val="0"/>
          <w:position w:val="3"/>
          <w:sz w:val="32"/>
          <w:szCs w:val="32"/>
          <w:highlight w:val="none"/>
          <w:u w:val="none"/>
          <w:lang w:val="en-US" w:eastAsia="en-US" w:bidi="ar-SA"/>
        </w:rPr>
        <w:t>、评价结论</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w:t>
      </w:r>
      <w:r>
        <w:rPr>
          <w:rFonts w:hint="eastAsia" w:ascii="仿宋_GB2312" w:hAnsi="仿宋_GB2312" w:eastAsia="仿宋_GB2312" w:cs="仿宋_GB2312"/>
          <w:b w:val="0"/>
          <w:bCs/>
          <w:sz w:val="32"/>
          <w:szCs w:val="32"/>
          <w:lang w:val="en-US" w:eastAsia="zh-CN"/>
        </w:rPr>
        <w:t>专项预算项目</w:t>
      </w:r>
      <w:r>
        <w:rPr>
          <w:rFonts w:hint="eastAsia" w:ascii="仿宋_GB2312" w:hAnsi="仿宋_GB2312" w:eastAsia="仿宋_GB2312" w:cs="仿宋_GB2312"/>
          <w:b w:val="0"/>
          <w:bCs/>
          <w:sz w:val="32"/>
          <w:szCs w:val="32"/>
        </w:rPr>
        <w:t>绩效评价指标体系》，</w:t>
      </w:r>
      <w:r>
        <w:rPr>
          <w:rFonts w:hint="eastAsia" w:ascii="仿宋_GB2312" w:hAnsi="仿宋_GB2312" w:eastAsia="仿宋_GB2312" w:cs="仿宋_GB2312"/>
          <w:b w:val="0"/>
          <w:bCs/>
          <w:sz w:val="32"/>
          <w:szCs w:val="32"/>
          <w:lang w:val="en-US" w:eastAsia="zh-CN"/>
        </w:rPr>
        <w:t>剔除不适用因素，</w:t>
      </w:r>
      <w:r>
        <w:rPr>
          <w:rFonts w:hint="eastAsia" w:ascii="仿宋_GB2312" w:hAnsi="仿宋_GB2312" w:eastAsia="仿宋_GB2312" w:cs="仿宋_GB2312"/>
          <w:b w:val="0"/>
          <w:bCs/>
          <w:sz w:val="32"/>
          <w:szCs w:val="32"/>
        </w:rPr>
        <w:t>自评得分</w:t>
      </w:r>
      <w:r>
        <w:rPr>
          <w:rFonts w:hint="eastAsia" w:ascii="仿宋_GB2312" w:hAnsi="仿宋_GB2312" w:eastAsia="仿宋_GB2312" w:cs="仿宋_GB2312"/>
          <w:b w:val="0"/>
          <w:bCs/>
          <w:sz w:val="32"/>
          <w:szCs w:val="32"/>
          <w:lang w:val="en-US" w:eastAsia="zh-CN"/>
        </w:rPr>
        <w:t>100</w:t>
      </w:r>
      <w:r>
        <w:rPr>
          <w:rFonts w:hint="eastAsia" w:ascii="仿宋_GB2312" w:hAnsi="仿宋_GB2312" w:eastAsia="仿宋_GB2312" w:cs="仿宋_GB2312"/>
          <w:b w:val="0"/>
          <w:bCs/>
          <w:sz w:val="32"/>
          <w:szCs w:val="32"/>
        </w:rPr>
        <w:t>分。</w:t>
      </w:r>
      <w:r>
        <w:rPr>
          <w:rFonts w:hint="eastAsia" w:ascii="仿宋_GB2312" w:hAnsi="仿宋_GB2312" w:eastAsia="仿宋_GB2312" w:cs="仿宋_GB2312"/>
          <w:b w:val="0"/>
          <w:bCs/>
          <w:sz w:val="32"/>
          <w:szCs w:val="32"/>
          <w:lang w:val="en-US" w:eastAsia="zh-CN"/>
        </w:rPr>
        <w:t>我</w:t>
      </w:r>
      <w:r>
        <w:rPr>
          <w:rFonts w:hint="eastAsia" w:ascii="仿宋_GB2312" w:hAnsi="仿宋_GB2312" w:eastAsia="仿宋_GB2312" w:cs="仿宋_GB2312"/>
          <w:b w:val="0"/>
          <w:bCs/>
          <w:sz w:val="32"/>
          <w:szCs w:val="32"/>
        </w:rPr>
        <w:t>局严格执行财经纪律、法规和各项规章制度，加强财务管理，规范会计核算，资金高效运行。项目决策科学，依据充分，项目管理规范；绩效执行进度达到预期；项目完成效果好，实施后达到了预期目的。</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zh-CN" w:bidi="ar-SA"/>
        </w:rPr>
      </w:pPr>
      <w:r>
        <w:rPr>
          <w:rFonts w:hint="eastAsia" w:ascii="黑体" w:hAnsi="宋体" w:eastAsia="黑体" w:cs="Times New Roman"/>
          <w:color w:val="auto"/>
          <w:kern w:val="0"/>
          <w:position w:val="3"/>
          <w:sz w:val="32"/>
          <w:szCs w:val="32"/>
          <w:highlight w:val="none"/>
          <w:u w:val="none"/>
          <w:lang w:val="en-US" w:eastAsia="zh-CN" w:bidi="ar-SA"/>
        </w:rPr>
        <w:t>五、存在主要问题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color w:val="auto"/>
          <w:kern w:val="0"/>
          <w:sz w:val="32"/>
          <w:szCs w:val="32"/>
          <w:highlight w:val="none"/>
          <w:u w:val="none"/>
          <w:shd w:val="clear" w:color="auto" w:fill="FFFFFF"/>
          <w:lang w:val="en-US" w:eastAsia="zh-CN"/>
        </w:rPr>
        <w:t>无</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bookmarkStart w:id="82" w:name="_Hlk110546638"/>
      <w:r>
        <w:rPr>
          <w:rFonts w:hint="eastAsia" w:ascii="仿宋_GB2312" w:hAnsi="仿宋_GB2312" w:eastAsia="仿宋_GB2312" w:cs="仿宋_GB2312"/>
          <w:color w:val="auto"/>
          <w:kern w:val="0"/>
          <w:sz w:val="32"/>
          <w:szCs w:val="32"/>
          <w:highlight w:val="none"/>
          <w:u w:val="none"/>
          <w:shd w:val="clear" w:color="auto" w:fill="FFFFFF"/>
          <w:lang w:val="en-US" w:eastAsia="zh-CN"/>
        </w:rPr>
        <w:t>无</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bookmarkEnd w:id="82"/>
    <w:p>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rPr>
      </w:pPr>
      <w:r>
        <w:rPr>
          <w:rFonts w:hint="eastAsia" w:ascii="Times New Roman" w:hAnsi="Times New Roman" w:eastAsia="仿宋_GB2312" w:cs="Times New Roman"/>
          <w:color w:val="000000"/>
          <w:kern w:val="0"/>
          <w:sz w:val="32"/>
          <w:szCs w:val="32"/>
          <w:highlight w:val="none"/>
          <w:shd w:val="clear" w:color="auto" w:fill="FFFFFF"/>
          <w:lang w:val="en-US" w:eastAsia="zh-CN"/>
        </w:rPr>
        <w:t>附表：1.项目资金分配涉及所有点位自评得分情况表</w:t>
      </w:r>
    </w:p>
    <w:p>
      <w:pPr>
        <w:keepNext w:val="0"/>
        <w:keepLines w:val="0"/>
        <w:pageBreakBefore w:val="0"/>
        <w:numPr>
          <w:ilvl w:val="0"/>
          <w:numId w:val="5"/>
        </w:numPr>
        <w:kinsoku/>
        <w:wordWrap/>
        <w:overflowPunct/>
        <w:topLinePunct w:val="0"/>
        <w:autoSpaceDE/>
        <w:autoSpaceDN/>
        <w:bidi w:val="0"/>
        <w:adjustRightInd/>
        <w:snapToGrid w:val="0"/>
        <w:spacing w:line="578" w:lineRule="exact"/>
        <w:ind w:left="0" w:leftChars="0" w:firstLine="1600" w:firstLineChars="5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rPr>
      </w:pPr>
      <w:r>
        <w:rPr>
          <w:rFonts w:hint="eastAsia" w:ascii="Times New Roman" w:hAnsi="Times New Roman" w:eastAsia="仿宋_GB2312" w:cs="Times New Roman"/>
          <w:color w:val="000000"/>
          <w:kern w:val="0"/>
          <w:sz w:val="32"/>
          <w:szCs w:val="32"/>
          <w:highlight w:val="none"/>
          <w:shd w:val="clear" w:color="auto" w:fill="FFFFFF"/>
          <w:lang w:val="en-US" w:eastAsia="zh-CN"/>
        </w:rPr>
        <w:t>专项预算项目绩效目标完成情况自评表</w:t>
      </w:r>
    </w:p>
    <w:p>
      <w:pPr>
        <w:keepNext/>
        <w:keepLines/>
        <w:widowControl w:val="0"/>
        <w:numPr>
          <w:ilvl w:val="0"/>
          <w:numId w:val="0"/>
        </w:numPr>
        <w:spacing w:before="280" w:after="156" w:line="377" w:lineRule="auto"/>
        <w:jc w:val="left"/>
        <w:outlineLvl w:val="4"/>
        <w:rPr>
          <w:rFonts w:hint="default" w:ascii="Arial" w:hAnsi="Arial" w:eastAsia="黑体" w:cs="Times New Roman"/>
          <w:b/>
          <w:kern w:val="2"/>
          <w:sz w:val="24"/>
          <w:szCs w:val="28"/>
          <w:lang w:val="en-US" w:eastAsia="zh-CN" w:bidi="ar-SA"/>
        </w:rPr>
      </w:pPr>
    </w:p>
    <w:p>
      <w:pPr>
        <w:rPr>
          <w:rFonts w:hint="eastAsia" w:eastAsia="仿宋_GB2312"/>
          <w:sz w:val="32"/>
          <w:szCs w:val="32"/>
          <w:lang w:val="en-US" w:eastAsia="zh-CN"/>
        </w:rPr>
      </w:pPr>
      <w:r>
        <w:rPr>
          <w:rFonts w:hint="eastAsia" w:eastAsia="仿宋_GB2312"/>
          <w:sz w:val="32"/>
          <w:szCs w:val="32"/>
          <w:lang w:val="en-US" w:eastAsia="zh-CN"/>
        </w:rPr>
        <w:t xml:space="preserve">                   广元市自然资源局</w:t>
      </w:r>
    </w:p>
    <w:p>
      <w:pPr>
        <w:keepNext/>
        <w:keepLines/>
        <w:widowControl w:val="0"/>
        <w:spacing w:before="280" w:after="156" w:line="377" w:lineRule="auto"/>
        <w:jc w:val="left"/>
        <w:outlineLvl w:val="4"/>
        <w:rPr>
          <w:rFonts w:hint="default" w:ascii="Times New Roman" w:hAnsi="Times New Roman" w:eastAsia="仿宋_GB2312" w:cs="Times New Roman"/>
          <w:b w:val="0"/>
          <w:kern w:val="2"/>
          <w:sz w:val="32"/>
          <w:szCs w:val="32"/>
          <w:lang w:val="en-US" w:eastAsia="zh-CN" w:bidi="ar-SA"/>
        </w:rPr>
      </w:pPr>
      <w:r>
        <w:rPr>
          <w:rFonts w:hint="eastAsia" w:ascii="Arial" w:hAnsi="Arial" w:eastAsia="黑体" w:cs="Times New Roman"/>
          <w:b/>
          <w:kern w:val="2"/>
          <w:sz w:val="24"/>
          <w:szCs w:val="28"/>
          <w:lang w:val="en-US" w:eastAsia="zh-CN" w:bidi="ar-SA"/>
        </w:rPr>
        <w:t xml:space="preserve">                             </w:t>
      </w:r>
      <w:r>
        <w:rPr>
          <w:rFonts w:hint="eastAsia" w:ascii="Times New Roman" w:hAnsi="Times New Roman" w:eastAsia="仿宋_GB2312" w:cs="Times New Roman"/>
          <w:b w:val="0"/>
          <w:kern w:val="2"/>
          <w:sz w:val="32"/>
          <w:szCs w:val="32"/>
          <w:lang w:val="en-US" w:eastAsia="zh-CN" w:bidi="ar-SA"/>
        </w:rPr>
        <w:t xml:space="preserve"> 2025年4月16日</w:t>
      </w:r>
    </w:p>
    <w:p>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zh-CN" w:eastAsia="zh-CN"/>
        </w:rPr>
      </w:pPr>
      <w:r>
        <w:rPr>
          <w:rFonts w:hint="eastAsia" w:ascii="Times New Roman" w:hAnsi="Times New Roman" w:eastAsia="仿宋_GB2312" w:cs="Times New Roman"/>
          <w:color w:val="000000"/>
          <w:kern w:val="0"/>
          <w:sz w:val="32"/>
          <w:szCs w:val="32"/>
          <w:highlight w:val="none"/>
          <w:shd w:val="clear" w:color="auto" w:fill="FFFFFF"/>
          <w:lang w:val="zh-CN" w:eastAsia="zh-CN"/>
        </w:rPr>
        <w:br w:type="page"/>
      </w:r>
    </w:p>
    <w:p>
      <w:pPr>
        <w:keepNext/>
        <w:keepLines/>
        <w:widowControl w:val="0"/>
        <w:spacing w:before="280" w:after="156" w:line="377" w:lineRule="auto"/>
        <w:jc w:val="left"/>
        <w:outlineLvl w:val="4"/>
        <w:rPr>
          <w:rFonts w:hint="eastAsia" w:ascii="Arial" w:hAnsi="Arial" w:eastAsia="黑体" w:cs="Times New Roman"/>
          <w:b/>
          <w:kern w:val="2"/>
          <w:sz w:val="24"/>
          <w:szCs w:val="28"/>
          <w:lang w:val="zh-CN" w:eastAsia="zh-CN" w:bidi="ar-SA"/>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left"/>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r>
        <w:rPr>
          <w:rFonts w:hint="eastAsia" w:ascii="黑体" w:hAnsi="黑体" w:eastAsia="黑体" w:cs="黑体"/>
          <w:b w:val="0"/>
          <w:bCs w:val="0"/>
          <w:color w:val="auto"/>
          <w:kern w:val="0"/>
          <w:sz w:val="32"/>
          <w:szCs w:val="32"/>
          <w:highlight w:val="none"/>
          <w:u w:val="none"/>
          <w:shd w:val="clear" w:color="auto" w:fill="FFFFFF"/>
          <w:lang w:val="en-US" w:eastAsia="zh-CN"/>
        </w:rPr>
        <w:t>1</w:t>
      </w:r>
    </w:p>
    <w:p>
      <w:pPr>
        <w:keepNext w:val="0"/>
        <w:keepLines w:val="0"/>
        <w:pageBreakBefore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b w:val="0"/>
          <w:bCs w:val="0"/>
          <w:color w:val="auto"/>
          <w:sz w:val="40"/>
          <w:szCs w:val="40"/>
          <w:highlight w:val="none"/>
          <w:u w:val="none"/>
          <w:lang w:val="en-US" w:eastAsia="zh-CN"/>
        </w:rPr>
      </w:pPr>
      <w:r>
        <w:rPr>
          <w:rFonts w:hint="eastAsia" w:ascii="方正小标宋_GBK" w:hAnsi="方正小标宋_GBK" w:eastAsia="方正小标宋_GBK" w:cs="方正小标宋_GBK"/>
          <w:b w:val="0"/>
          <w:bCs w:val="0"/>
          <w:color w:val="auto"/>
          <w:sz w:val="40"/>
          <w:szCs w:val="40"/>
          <w:highlight w:val="none"/>
          <w:u w:val="none"/>
          <w:lang w:val="en-US" w:eastAsia="zh-CN"/>
        </w:rPr>
        <w:t>项目资金分配涉及所有点位自评得分情况表</w:t>
      </w:r>
    </w:p>
    <w:tbl>
      <w:tblPr>
        <w:tblStyle w:val="18"/>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020"/>
        <w:gridCol w:w="210"/>
        <w:gridCol w:w="147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序号</w:t>
            </w:r>
          </w:p>
        </w:tc>
        <w:tc>
          <w:tcPr>
            <w:tcW w:w="5230"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 w:eastAsia="zh-CN"/>
              </w:rPr>
            </w:pPr>
            <w:r>
              <w:rPr>
                <w:rFonts w:hint="eastAsia" w:ascii="黑体" w:hAnsi="黑体" w:eastAsia="黑体" w:cs="黑体"/>
                <w:b w:val="0"/>
                <w:bCs w:val="0"/>
                <w:color w:val="auto"/>
                <w:sz w:val="24"/>
                <w:szCs w:val="24"/>
                <w:highlight w:val="none"/>
                <w:u w:val="none"/>
                <w:vertAlign w:val="baseline"/>
                <w:lang w:val="en-US" w:eastAsia="zh-CN"/>
              </w:rPr>
              <w:t>项目资金末端分配点位</w:t>
            </w:r>
          </w:p>
        </w:tc>
        <w:tc>
          <w:tcPr>
            <w:tcW w:w="14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 w:eastAsia="zh-CN"/>
              </w:rPr>
              <w:t>自评得分（百分制）</w:t>
            </w: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仿宋_GB2312" w:hAnsi="仿宋_GB2312" w:eastAsia="仿宋_GB2312" w:cs="仿宋_GB2312"/>
                <w:color w:val="auto"/>
                <w:sz w:val="24"/>
                <w:szCs w:val="24"/>
                <w:highlight w:val="none"/>
                <w:u w:val="none"/>
                <w:vertAlign w:val="baseline"/>
                <w:lang w:val="en-US" w:eastAsia="zh-CN"/>
              </w:rPr>
            </w:pPr>
            <w:r>
              <w:rPr>
                <w:rFonts w:hint="eastAsia" w:ascii="仿宋_GB2312" w:hAnsi="仿宋_GB2312" w:eastAsia="仿宋_GB2312" w:cs="仿宋_GB2312"/>
                <w:color w:val="auto"/>
                <w:sz w:val="24"/>
                <w:szCs w:val="24"/>
                <w:highlight w:val="none"/>
                <w:u w:val="none"/>
                <w:vertAlign w:val="baseline"/>
                <w:lang w:val="en-US" w:eastAsia="zh-CN"/>
              </w:rPr>
              <w:t>无</w:t>
            </w: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仿宋_GB2312" w:hAnsi="仿宋_GB2312" w:eastAsia="仿宋_GB2312" w:cs="仿宋_GB2312"/>
                <w:color w:val="auto"/>
                <w:sz w:val="24"/>
                <w:szCs w:val="24"/>
                <w:highlight w:val="none"/>
                <w:u w:val="none"/>
                <w:vertAlign w:val="baseline"/>
                <w:lang w:val="en-US"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宋体" w:hAnsi="宋体" w:eastAsia="仿宋_GB2312" w:cs="宋体"/>
                <w:color w:val="auto"/>
                <w:sz w:val="24"/>
                <w:szCs w:val="24"/>
                <w:highlight w:val="none"/>
                <w:u w:val="none"/>
                <w:vertAlign w:val="baseline"/>
                <w:lang w:val="en-US"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宋体" w:hAnsi="宋体" w:eastAsia="仿宋_GB2312" w:cs="宋体"/>
                <w:color w:val="auto"/>
                <w:sz w:val="24"/>
                <w:szCs w:val="24"/>
                <w:highlight w:val="none"/>
                <w:u w:val="none"/>
                <w:vertAlign w:val="baseline"/>
                <w:lang w:val="en-US"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3</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4</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5</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6</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7</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8</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备注：1.项目资金末端分配点位包括市本级、县（区）、市级部门下属单位及一次性单位等。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630" w:firstLineChars="30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2.自评得分（百分制）从高到低划分为优、良、中、差四个档次，各个档次数量占比分别为20%、20%、55%、5%，且不同档次间得分分值应体现差异化，同档次得分分值相同的比例不超过该档次总数量的10%。</w:t>
      </w:r>
    </w:p>
    <w:p>
      <w:pPr>
        <w:rPr>
          <w:rFonts w:hint="eastAsia" w:ascii="Times New Roman" w:hAnsi="Times New Roman" w:eastAsia="仿宋_GB2312" w:cs="Times New Roman"/>
          <w:kern w:val="2"/>
          <w:sz w:val="32"/>
          <w:szCs w:val="24"/>
          <w:highlight w:val="none"/>
          <w:lang w:val="en-US" w:eastAsia="zh-CN" w:bidi="ar-SA"/>
        </w:rPr>
      </w:pPr>
      <w:r>
        <w:rPr>
          <w:rFonts w:hint="eastAsia" w:ascii="Times New Roman" w:hAnsi="Times New Roman" w:eastAsia="仿宋_GB2312" w:cs="Times New Roman"/>
          <w:kern w:val="2"/>
          <w:sz w:val="32"/>
          <w:szCs w:val="24"/>
          <w:highlight w:val="none"/>
          <w:lang w:val="en-US" w:eastAsia="zh-CN" w:bidi="ar-SA"/>
        </w:rPr>
        <w:br w:type="page"/>
      </w:r>
    </w:p>
    <w:p>
      <w:pPr>
        <w:keepNext w:val="0"/>
        <w:keepLines w:val="0"/>
        <w:pageBreakBefore w:val="0"/>
        <w:widowControl w:val="0"/>
        <w:kinsoku/>
        <w:wordWrap/>
        <w:overflowPunct/>
        <w:topLinePunct w:val="0"/>
        <w:autoSpaceDE/>
        <w:autoSpaceDN/>
        <w:bidi w:val="0"/>
        <w:spacing w:after="0" w:line="578" w:lineRule="exact"/>
        <w:ind w:left="0" w:leftChars="0" w:firstLine="0" w:firstLineChars="0"/>
        <w:jc w:val="both"/>
        <w:rPr>
          <w:rFonts w:hint="default" w:ascii="Times New Roman" w:hAnsi="Times New Roman" w:eastAsia="黑体" w:cs="Times New Roman"/>
          <w:kern w:val="2"/>
          <w:sz w:val="32"/>
          <w:szCs w:val="24"/>
          <w:highlight w:val="none"/>
          <w:lang w:val="en-US" w:eastAsia="zh-CN" w:bidi="ar-SA"/>
        </w:rPr>
      </w:pPr>
      <w:r>
        <w:rPr>
          <w:rFonts w:hint="default" w:ascii="Times New Roman" w:hAnsi="Times New Roman" w:eastAsia="黑体" w:cs="Times New Roman"/>
          <w:kern w:val="2"/>
          <w:sz w:val="32"/>
          <w:szCs w:val="24"/>
          <w:highlight w:val="none"/>
          <w:lang w:val="en-US" w:eastAsia="zh-CN" w:bidi="ar-SA"/>
        </w:rPr>
        <w:t>附表2</w:t>
      </w:r>
    </w:p>
    <w:tbl>
      <w:tblPr>
        <w:tblStyle w:val="17"/>
        <w:tblW w:w="99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33"/>
        <w:gridCol w:w="1050"/>
        <w:gridCol w:w="1214"/>
        <w:gridCol w:w="1275"/>
        <w:gridCol w:w="1094"/>
        <w:gridCol w:w="943"/>
        <w:gridCol w:w="414"/>
        <w:gridCol w:w="616"/>
        <w:gridCol w:w="911"/>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2" w:hRule="atLeast"/>
          <w:jc w:val="center"/>
        </w:trPr>
        <w:tc>
          <w:tcPr>
            <w:tcW w:w="9940" w:type="dxa"/>
            <w:gridSpan w:val="10"/>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黑体" w:hAnsi="宋体" w:eastAsia="黑体" w:cs="黑体"/>
                <w:i w:val="0"/>
                <w:color w:val="000000"/>
                <w:sz w:val="28"/>
                <w:szCs w:val="28"/>
                <w:u w:val="none"/>
              </w:rPr>
            </w:pPr>
            <w:r>
              <w:rPr>
                <w:rFonts w:hint="eastAsia" w:ascii="方正小标宋简体" w:hAnsi="方正小标宋简体" w:eastAsia="方正小标宋简体" w:cs="方正小标宋简体"/>
                <w:i w:val="0"/>
                <w:color w:val="000000"/>
                <w:kern w:val="0"/>
                <w:sz w:val="36"/>
                <w:szCs w:val="36"/>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41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项目名称</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广元市卫片自主监测工作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41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预算单位</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rPr>
              <w:t>广元市自然资源</w:t>
            </w:r>
            <w:r>
              <w:rPr>
                <w:rFonts w:hint="eastAsia" w:ascii="宋体" w:hAnsi="宋体" w:eastAsia="宋体" w:cs="宋体"/>
                <w:i w:val="0"/>
                <w:color w:val="000000"/>
                <w:sz w:val="22"/>
                <w:szCs w:val="22"/>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41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项目类型</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专项预算项目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1" w:hRule="atLeast"/>
          <w:jc w:val="center"/>
        </w:trPr>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项目 概况</w:t>
            </w:r>
          </w:p>
        </w:tc>
        <w:tc>
          <w:tcPr>
            <w:tcW w:w="3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kern w:val="0"/>
                <w:sz w:val="22"/>
                <w:szCs w:val="22"/>
                <w:u w:val="none"/>
                <w:lang w:val="en-US" w:eastAsia="zh-CN" w:bidi="ar"/>
              </w:rPr>
            </w:pPr>
            <w:r>
              <w:rPr>
                <w:rFonts w:ascii="宋体" w:hAnsi="宋体" w:eastAsia="宋体" w:cs="宋体"/>
                <w:i w:val="0"/>
                <w:color w:val="000000"/>
                <w:kern w:val="0"/>
                <w:sz w:val="22"/>
                <w:szCs w:val="22"/>
                <w:u w:val="none"/>
                <w:lang w:val="en-US" w:eastAsia="zh-CN" w:bidi="ar"/>
              </w:rPr>
              <w:t>中长期规划（名称、文号，仅指</w:t>
            </w:r>
          </w:p>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常年项目）</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r>
              <w:rPr>
                <w:rFonts w:hint="eastAsia" w:ascii="仿宋_GB2312" w:hAnsi="仿宋_GB2312" w:eastAsia="仿宋_GB2312" w:cs="仿宋_GB2312"/>
                <w:i w:val="0"/>
                <w:color w:val="00000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资金管理办法（名称、文号）</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广元市自然资源局财务管理制度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3" w:hRule="atLeast"/>
          <w:jc w:val="center"/>
        </w:trPr>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绩效分配方式</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Wingdings 2" w:hAnsi="Wingdings 2" w:eastAsia="Wingdings 2" w:cs="Wingdings 2"/>
                <w:i w:val="0"/>
                <w:color w:val="000000"/>
                <w:sz w:val="22"/>
                <w:szCs w:val="22"/>
                <w:u w:val="none"/>
              </w:rPr>
            </w:pPr>
            <w:r>
              <w:rPr>
                <w:rFonts w:hint="default" w:ascii="Wingdings 2" w:hAnsi="Wingdings 2" w:eastAsia="Wingdings 2" w:cs="Wingdings 2"/>
                <w:i w:val="0"/>
                <w:color w:val="000000"/>
                <w:kern w:val="0"/>
                <w:sz w:val="22"/>
                <w:szCs w:val="22"/>
                <w:u w:val="none"/>
                <w:lang w:val="en-US" w:eastAsia="zh-CN" w:bidi="ar"/>
              </w:rPr>
              <w:sym w:font="Wingdings 2" w:char="00A3"/>
            </w:r>
            <w:r>
              <w:rPr>
                <w:rFonts w:ascii="宋体" w:hAnsi="宋体" w:eastAsia="宋体" w:cs="宋体"/>
                <w:i w:val="0"/>
                <w:color w:val="000000"/>
                <w:kern w:val="0"/>
                <w:sz w:val="22"/>
                <w:szCs w:val="22"/>
                <w:u w:val="none"/>
                <w:lang w:val="en-US" w:eastAsia="zh-CN" w:bidi="ar"/>
              </w:rPr>
              <w:t>因素法</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Wingdings 2" w:hAnsi="Wingdings 2" w:eastAsia="Wingdings 2" w:cs="Wingdings 2"/>
                <w:i w:val="0"/>
                <w:color w:val="000000"/>
                <w:sz w:val="22"/>
                <w:szCs w:val="22"/>
                <w:u w:val="none"/>
              </w:rPr>
            </w:pPr>
            <w:r>
              <w:rPr>
                <w:rFonts w:hint="default" w:ascii="Wingdings 2" w:hAnsi="Wingdings 2" w:eastAsia="Wingdings 2" w:cs="Wingdings 2"/>
                <w:i w:val="0"/>
                <w:color w:val="000000"/>
                <w:kern w:val="0"/>
                <w:sz w:val="22"/>
                <w:szCs w:val="22"/>
                <w:u w:val="none"/>
                <w:lang w:val="en-US" w:eastAsia="zh-CN" w:bidi="ar"/>
              </w:rPr>
              <w:sym w:font="Wingdings 2" w:char="0052"/>
            </w:r>
            <w:r>
              <w:rPr>
                <w:rFonts w:hint="default" w:ascii="Wingdings 2" w:hAnsi="Wingdings 2" w:eastAsia="Wingdings 2" w:cs="Wingdings 2"/>
                <w:i w:val="0"/>
                <w:color w:val="000000"/>
                <w:kern w:val="0"/>
                <w:sz w:val="22"/>
                <w:szCs w:val="22"/>
                <w:u w:val="none"/>
                <w:lang w:val="en-US" w:eastAsia="zh-CN" w:bidi="ar"/>
              </w:rPr>
              <w:t>项目法</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Wingdings 2" w:hAnsi="Wingdings 2" w:eastAsia="Wingdings 2" w:cs="Wingdings 2"/>
                <w:i w:val="0"/>
                <w:color w:val="000000"/>
                <w:sz w:val="22"/>
                <w:szCs w:val="22"/>
                <w:u w:val="none"/>
              </w:rPr>
            </w:pPr>
            <w:r>
              <w:rPr>
                <w:rFonts w:hint="default" w:ascii="Wingdings 2" w:hAnsi="Wingdings 2" w:eastAsia="Wingdings 2" w:cs="Wingdings 2"/>
                <w:i w:val="0"/>
                <w:color w:val="000000"/>
                <w:kern w:val="0"/>
                <w:sz w:val="22"/>
                <w:szCs w:val="22"/>
                <w:u w:val="none"/>
                <w:lang w:val="en-US" w:eastAsia="zh-CN" w:bidi="ar"/>
              </w:rPr>
              <w:sym w:font="Wingdings 2" w:char="00A3"/>
            </w:r>
            <w:r>
              <w:rPr>
                <w:rFonts w:ascii="宋体" w:hAnsi="宋体" w:eastAsia="宋体" w:cs="宋体"/>
                <w:i w:val="0"/>
                <w:color w:val="000000"/>
                <w:kern w:val="0"/>
                <w:sz w:val="22"/>
                <w:szCs w:val="22"/>
                <w:u w:val="none"/>
                <w:lang w:val="en-US" w:eastAsia="zh-CN" w:bidi="ar"/>
              </w:rPr>
              <w:t>据实据效</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Wingdings 2" w:hAnsi="Wingdings 2" w:eastAsia="Wingdings 2" w:cs="Wingdings 2"/>
                <w:i w:val="0"/>
                <w:color w:val="000000"/>
                <w:sz w:val="22"/>
                <w:szCs w:val="22"/>
                <w:u w:val="none"/>
              </w:rPr>
            </w:pPr>
            <w:r>
              <w:rPr>
                <w:rFonts w:hint="default" w:ascii="Wingdings 2" w:hAnsi="Wingdings 2" w:eastAsia="Wingdings 2" w:cs="Wingdings 2"/>
                <w:i w:val="0"/>
                <w:color w:val="000000"/>
                <w:kern w:val="0"/>
                <w:sz w:val="22"/>
                <w:szCs w:val="22"/>
                <w:u w:val="none"/>
                <w:lang w:val="en-US" w:eastAsia="zh-CN" w:bidi="ar"/>
              </w:rPr>
              <w:t>£</w:t>
            </w:r>
            <w:r>
              <w:rPr>
                <w:rFonts w:ascii="宋体" w:hAnsi="宋体" w:eastAsia="宋体" w:cs="宋体"/>
                <w:i w:val="0"/>
                <w:color w:val="000000"/>
                <w:kern w:val="0"/>
                <w:sz w:val="22"/>
                <w:szCs w:val="22"/>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27" w:hRule="atLeast"/>
          <w:jc w:val="center"/>
        </w:trPr>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立项依据</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为提升我市耕地、林地和矿产等自然资源监测主动性、靶向性，特别是对违法占用耕地和基本农田、耕地不合理流出、违法破坏森林资源和开采矿产等行为做到早发现、早制止，降低行政执法成本和整改恢复成本，全面提升我市自然资源保护管理水平，开展全市卫片自主监测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使用范围</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委托业务费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申报（补助）条件</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both"/>
              <w:rPr>
                <w:rFonts w:hint="eastAsia" w:ascii="宋体" w:hAnsi="宋体" w:eastAsia="宋体" w:cs="宋体"/>
                <w:i w:val="0"/>
                <w:color w:val="000000"/>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3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项目起止年限</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2024-2025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168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ascii="宋体" w:hAnsi="宋体" w:eastAsia="宋体" w:cs="宋体"/>
                <w:i w:val="0"/>
                <w:color w:val="000000"/>
                <w:kern w:val="0"/>
                <w:sz w:val="22"/>
                <w:szCs w:val="22"/>
                <w:u w:val="none"/>
                <w:lang w:val="en-US" w:eastAsia="zh-CN" w:bidi="ar"/>
              </w:rPr>
              <w:t>项目资金</w:t>
            </w:r>
          </w:p>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（万元）</w:t>
            </w:r>
          </w:p>
        </w:tc>
        <w:tc>
          <w:tcPr>
            <w:tcW w:w="2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 xml:space="preserve">  年度资金总额：</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341.58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16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2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 xml:space="preserve"> </w:t>
            </w:r>
            <w:r>
              <w:rPr>
                <w:rFonts w:ascii="宋体" w:hAnsi="宋体" w:eastAsia="宋体" w:cs="宋体"/>
                <w:i w:val="0"/>
                <w:color w:val="000000"/>
                <w:kern w:val="0"/>
                <w:sz w:val="22"/>
                <w:szCs w:val="22"/>
                <w:u w:val="none"/>
                <w:lang w:val="en-US" w:eastAsia="zh-CN" w:bidi="ar"/>
              </w:rPr>
              <w:t>其中：财政拨款</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341.58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16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24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 xml:space="preserve">            其他资金</w:t>
            </w:r>
          </w:p>
        </w:tc>
        <w:tc>
          <w:tcPr>
            <w:tcW w:w="5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9" w:hRule="atLeast"/>
          <w:jc w:val="center"/>
        </w:trPr>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总体 目标</w:t>
            </w:r>
          </w:p>
        </w:tc>
        <w:tc>
          <w:tcPr>
            <w:tcW w:w="93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4" w:hRule="atLeast"/>
          <w:jc w:val="center"/>
        </w:trPr>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930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获取和制作亚米级高分辨率卫星遥感影像、提取地类变化图斑、监测数据分析评价报告，针对违法用地、用矿和占用林草湿地等资源情况进行专项提前预警，对全市全年自然资源变化情况再次进行全面梳理，摸清底数，进一步夯实了全市自然资源管理数据摸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1" w:hRule="atLeast"/>
          <w:jc w:val="center"/>
        </w:trPr>
        <w:tc>
          <w:tcPr>
            <w:tcW w:w="633" w:type="dxa"/>
            <w:vMerge w:val="restart"/>
            <w:tcBorders>
              <w:top w:val="single" w:color="000000" w:sz="4" w:space="0"/>
              <w:left w:val="single" w:color="000000" w:sz="4" w:space="0"/>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绩效 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一级指标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二级指标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三级指标</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指标性质</w:t>
            </w:r>
          </w:p>
        </w:tc>
        <w:tc>
          <w:tcPr>
            <w:tcW w:w="1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指标值</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度量单位</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权重</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9" w:hRule="atLeast"/>
          <w:jc w:val="center"/>
        </w:trPr>
        <w:tc>
          <w:tcPr>
            <w:tcW w:w="633"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产出指标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影响成果、监测图斑成果、图件成果、文字报告</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val="en-US" w:eastAsia="zh-CN"/>
              </w:rPr>
              <w:t>≥</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15</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份</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0" w:hRule="atLeast"/>
          <w:jc w:val="center"/>
        </w:trPr>
        <w:tc>
          <w:tcPr>
            <w:tcW w:w="633"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产出指标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质量指标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成果验收率</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0" w:hRule="atLeast"/>
          <w:jc w:val="center"/>
        </w:trPr>
        <w:tc>
          <w:tcPr>
            <w:tcW w:w="633"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产出指标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时效指标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完成时间</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年</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43" w:hRule="atLeast"/>
          <w:jc w:val="center"/>
        </w:trPr>
        <w:tc>
          <w:tcPr>
            <w:tcW w:w="633"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效益指标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ascii="宋体" w:hAnsi="宋体" w:eastAsia="宋体" w:cs="宋体"/>
                <w:i w:val="0"/>
                <w:color w:val="000000"/>
                <w:kern w:val="0"/>
                <w:sz w:val="22"/>
                <w:szCs w:val="22"/>
                <w:u w:val="none"/>
                <w:lang w:val="en-US" w:eastAsia="zh-CN" w:bidi="ar"/>
              </w:rPr>
              <w:t>社会效益</w:t>
            </w:r>
          </w:p>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进一步夯实我市自然资源管理数据基底</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定性</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优</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级</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1" w:hRule="atLeast"/>
          <w:jc w:val="center"/>
        </w:trPr>
        <w:tc>
          <w:tcPr>
            <w:tcW w:w="633" w:type="dxa"/>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满意度指标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满意度指标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both"/>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服务对象满意度</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22"/>
                <w:szCs w:val="22"/>
                <w:u w:val="none"/>
                <w:lang w:val="en-US" w:eastAsia="zh-CN"/>
              </w:rPr>
            </w:pPr>
            <w:r>
              <w:rPr>
                <w:rFonts w:ascii="宋体" w:hAnsi="宋体" w:eastAsia="宋体" w:cs="宋体"/>
                <w:i w:val="0"/>
                <w:iCs w:val="0"/>
                <w:color w:val="000000"/>
                <w:kern w:val="0"/>
                <w:sz w:val="22"/>
                <w:szCs w:val="22"/>
                <w:u w:val="none"/>
                <w:lang w:val="en-US" w:eastAsia="zh-CN" w:bidi="ar"/>
              </w:rPr>
              <w:t>95</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7" w:hRule="atLeast"/>
          <w:jc w:val="center"/>
        </w:trPr>
        <w:tc>
          <w:tcPr>
            <w:tcW w:w="633" w:type="dxa"/>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成本指标</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经济成本指标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预算控制数</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341.58</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万元</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239.97</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广元市自然资源局</w:t>
      </w:r>
    </w:p>
    <w:p>
      <w:pPr>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关于2024年地图审核项目专项预算绩效</w:t>
      </w:r>
    </w:p>
    <w:p>
      <w:pPr>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评价报告</w:t>
      </w:r>
    </w:p>
    <w:p>
      <w:pPr>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eastAsia="宋体"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numPr>
          <w:ilvl w:val="0"/>
          <w:numId w:val="0"/>
        </w:numPr>
        <w:spacing w:line="580" w:lineRule="exact"/>
        <w:ind w:firstLine="642" w:firstLineChars="200"/>
        <w:rPr>
          <w:rFonts w:hint="default" w:ascii="仿宋_GB2312" w:hAnsi="宋体" w:eastAsia="仿宋_GB2312"/>
          <w:sz w:val="32"/>
          <w:szCs w:val="32"/>
          <w:lang w:val="en-US" w:eastAsia="zh-CN"/>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hAnsi="宋体" w:eastAsia="仿宋_GB2312"/>
          <w:sz w:val="32"/>
          <w:szCs w:val="32"/>
          <w:lang w:val="en-US" w:eastAsia="zh-CN"/>
        </w:rPr>
        <w:t>按照《四川省地图审核管理办法》，我局具有地图审核工作相关职能，为履行测绘地理信息行政管理职能，做好地图审核工作，我局于2023年10月与自然资源部第三地理信息制图院签订了广元市2023年地图审核技术服务合同，完成包含18开、8开、对等不同刊幅的《广元市国土空间总体规划2021-2035图集》、《青川县国土空间总体规划（2021-2035）图集》、《旺苍县国土总体空间规划（2021-2035）图集》等地图审核工作，为全市政治经济高质量发展提供了有力支撑。</w:t>
      </w:r>
    </w:p>
    <w:p>
      <w:pPr>
        <w:numPr>
          <w:ilvl w:val="0"/>
          <w:numId w:val="0"/>
        </w:numPr>
        <w:spacing w:line="58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cs="Times New Roman"/>
          <w:sz w:val="32"/>
          <w:szCs w:val="32"/>
          <w:lang w:val="en-US" w:eastAsia="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宋体" w:eastAsia="仿宋_GB2312"/>
          <w:sz w:val="32"/>
          <w:szCs w:val="32"/>
          <w:lang w:val="en-US" w:eastAsia="zh-CN"/>
        </w:rPr>
        <w:t>完成地图审核工作，为全市政治经济高质量发展提供了有力支撑。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2" w:firstLineChars="200"/>
        <w:contextualSpacing/>
        <w:jc w:val="both"/>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adjustRightInd w:val="0"/>
        <w:snapToGrid w:val="0"/>
        <w:spacing w:line="520" w:lineRule="exact"/>
        <w:ind w:firstLine="640" w:firstLineChars="200"/>
        <w:rPr>
          <w:rFonts w:hint="default" w:ascii="仿宋_GB2312" w:hAnsi="宋体" w:eastAsia="仿宋_GB2312"/>
          <w:sz w:val="32"/>
          <w:szCs w:val="32"/>
          <w:lang w:val="en-US" w:eastAsia="zh-CN"/>
        </w:rPr>
      </w:pPr>
      <w:r>
        <w:rPr>
          <w:rFonts w:hint="eastAsia" w:ascii="宋体" w:hAnsi="宋体" w:eastAsia="仿宋_GB2312" w:cs="Times New Roman"/>
          <w:color w:val="333333"/>
          <w:sz w:val="32"/>
          <w:szCs w:val="32"/>
          <w:shd w:val="clear" w:color="auto" w:fill="FFFFFF"/>
          <w:lang w:val="en-US" w:eastAsia="zh-CN"/>
        </w:rPr>
        <w:t>根据我局的资金申请，</w:t>
      </w:r>
      <w:r>
        <w:rPr>
          <w:rFonts w:hint="eastAsia" w:ascii="仿宋_GB2312" w:hAnsi="宋体" w:eastAsia="仿宋_GB2312"/>
          <w:sz w:val="32"/>
          <w:szCs w:val="32"/>
        </w:rPr>
        <w:t>财政于202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12</w:t>
      </w:r>
      <w:r>
        <w:rPr>
          <w:rFonts w:hint="eastAsia" w:ascii="仿宋_GB2312" w:hAnsi="宋体" w:eastAsia="仿宋_GB2312"/>
          <w:sz w:val="32"/>
          <w:szCs w:val="32"/>
        </w:rPr>
        <w:t>月</w:t>
      </w:r>
      <w:r>
        <w:rPr>
          <w:rFonts w:hint="eastAsia" w:ascii="仿宋_GB2312" w:hAnsi="宋体" w:eastAsia="仿宋_GB2312"/>
          <w:sz w:val="32"/>
          <w:szCs w:val="32"/>
          <w:lang w:val="en-US" w:eastAsia="zh-CN"/>
        </w:rPr>
        <w:t>31</w:t>
      </w:r>
      <w:r>
        <w:rPr>
          <w:rFonts w:hint="eastAsia" w:ascii="仿宋_GB2312" w:hAnsi="宋体" w:eastAsia="仿宋_GB2312"/>
          <w:sz w:val="32"/>
          <w:szCs w:val="32"/>
        </w:rPr>
        <w:t>日下达该项目费用</w:t>
      </w:r>
      <w:r>
        <w:rPr>
          <w:rFonts w:hint="eastAsia" w:ascii="仿宋_GB2312" w:hAnsi="宋体" w:eastAsia="仿宋_GB2312"/>
          <w:sz w:val="32"/>
          <w:szCs w:val="32"/>
          <w:lang w:val="en-US" w:eastAsia="zh-CN"/>
        </w:rPr>
        <w:t>7.6</w:t>
      </w:r>
      <w:r>
        <w:rPr>
          <w:rFonts w:hint="eastAsia" w:ascii="仿宋_GB2312" w:hAnsi="宋体" w:eastAsia="仿宋_GB2312"/>
          <w:sz w:val="32"/>
          <w:szCs w:val="32"/>
        </w:rPr>
        <w:t>万元（广财</w:t>
      </w:r>
      <w:r>
        <w:rPr>
          <w:rFonts w:hint="eastAsia" w:ascii="仿宋_GB2312" w:hAnsi="宋体" w:eastAsia="仿宋_GB2312"/>
          <w:sz w:val="32"/>
          <w:szCs w:val="32"/>
          <w:lang w:val="en-US" w:eastAsia="zh-CN"/>
        </w:rPr>
        <w:t>投</w:t>
      </w: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w:t>
      </w:r>
      <w:r>
        <w:rPr>
          <w:rFonts w:hint="eastAsia" w:ascii="仿宋_GB2312" w:hAnsi="宋体" w:eastAsia="仿宋_GB2312"/>
          <w:sz w:val="32"/>
          <w:szCs w:val="32"/>
          <w:lang w:val="en-US" w:eastAsia="zh-CN"/>
        </w:rPr>
        <w:t>167</w:t>
      </w:r>
      <w:r>
        <w:rPr>
          <w:rFonts w:hint="eastAsia" w:ascii="仿宋_GB2312" w:hAnsi="宋体" w:eastAsia="仿宋_GB2312"/>
          <w:sz w:val="32"/>
          <w:szCs w:val="32"/>
        </w:rPr>
        <w:t>号</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专项用于该项目经费。</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宋体" w:hAnsi="宋体" w:eastAsia="仿宋_GB2312" w:cs="Times New Roman"/>
          <w:color w:val="333333"/>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default" w:ascii="仿宋_GB2312" w:hAnsi="宋体" w:eastAsia="仿宋_GB2312"/>
          <w:sz w:val="32"/>
          <w:szCs w:val="32"/>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宋体" w:eastAsia="仿宋_GB2312"/>
          <w:sz w:val="32"/>
          <w:szCs w:val="32"/>
        </w:rPr>
        <w:t>绩效目标和绩效指标可量化考核</w:t>
      </w:r>
      <w:r>
        <w:rPr>
          <w:rFonts w:hint="eastAsia" w:ascii="仿宋_GB2312" w:hAnsi="宋体" w:eastAsia="仿宋_GB2312"/>
          <w:sz w:val="32"/>
          <w:szCs w:val="32"/>
          <w:lang w:eastAsia="zh-CN"/>
        </w:rPr>
        <w:t>，与年度工作目标相一致。绩效指标细化、量化，绩效目标和绩效指标契合政策或项目实质，产出和效果相关联。可对满意度指标进行量化预测，绩效目标具有一定的前瞻性和挑战性。</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hint="eastAsia" w:ascii="仿宋_GB2312" w:hAnsi="Times New Roman" w:eastAsia="仿宋_GB2312" w:cs="Times New Roman"/>
          <w:kern w:val="2"/>
          <w:sz w:val="32"/>
          <w:szCs w:val="32"/>
          <w:highlight w:val="none"/>
          <w:lang w:val="en-US" w:eastAsia="zh-CN" w:bidi="ar-SA"/>
        </w:rPr>
        <w:t>通过绩效评价，一是对项目预算及资金使用方案的合理性和有效性进行优化，去除不合理的预算项目。二是详细掌握资金使用情况，提高预算执行力。三是促进预算管理的公开化透明化</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default" w:ascii="宋体" w:hAnsi="宋体" w:eastAsia="仿宋_GB2312" w:cs="Times New Roman"/>
          <w:b w:val="0"/>
          <w:bCs/>
          <w:color w:val="333333"/>
          <w:sz w:val="32"/>
          <w:szCs w:val="32"/>
          <w:highlight w:val="none"/>
          <w:u w:val="none"/>
          <w:shd w:val="clear" w:color="auto" w:fill="FFFFFF"/>
          <w:lang w:val="en-US"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楷体_GB2312" w:hAnsi="宋体" w:eastAsia="楷体_GB2312"/>
          <w:b w:val="0"/>
          <w:bCs/>
          <w:color w:val="auto"/>
          <w:sz w:val="32"/>
          <w:szCs w:val="32"/>
          <w:highlight w:val="none"/>
          <w:u w:val="none"/>
          <w:lang w:val="en-US" w:eastAsia="zh-CN"/>
        </w:rPr>
        <w:t>按照绩效评价指标体系体系</w:t>
      </w:r>
      <w:r>
        <w:rPr>
          <w:rFonts w:hint="eastAsia" w:ascii="楷体_GB2312" w:hAnsi="宋体" w:eastAsia="楷体_GB2312"/>
          <w:b w:val="0"/>
          <w:bCs/>
          <w:color w:val="auto"/>
          <w:sz w:val="32"/>
          <w:szCs w:val="32"/>
          <w:highlight w:val="none"/>
          <w:u w:val="none"/>
          <w:lang w:val="zh-CN"/>
        </w:rPr>
        <w:t>，</w:t>
      </w:r>
      <w:r>
        <w:rPr>
          <w:rFonts w:hint="eastAsia" w:ascii="楷体_GB2312" w:hAnsi="宋体" w:eastAsia="楷体_GB2312"/>
          <w:b w:val="0"/>
          <w:bCs/>
          <w:color w:val="auto"/>
          <w:sz w:val="32"/>
          <w:szCs w:val="32"/>
          <w:highlight w:val="none"/>
          <w:u w:val="none"/>
          <w:lang w:val="en-US" w:eastAsia="zh-CN"/>
        </w:rPr>
        <w:t>该项目</w:t>
      </w:r>
      <w:r>
        <w:rPr>
          <w:rFonts w:hint="eastAsia" w:eastAsia="仿宋_GB2312" w:cs="Times New Roman"/>
          <w:b w:val="0"/>
          <w:bCs/>
          <w:sz w:val="32"/>
          <w:szCs w:val="32"/>
          <w:lang w:eastAsia="zh-CN"/>
        </w:rPr>
        <w:t>经费使用应符合相关财务法规和政策</w:t>
      </w:r>
      <w:r>
        <w:rPr>
          <w:rFonts w:hint="eastAsia" w:eastAsia="仿宋_GB2312" w:cs="Times New Roman"/>
          <w:sz w:val="32"/>
          <w:szCs w:val="32"/>
          <w:lang w:eastAsia="zh-CN"/>
        </w:rPr>
        <w:t>，</w:t>
      </w:r>
      <w:r>
        <w:rPr>
          <w:rFonts w:hint="eastAsia" w:eastAsia="仿宋_GB2312" w:cs="Times New Roman"/>
          <w:sz w:val="32"/>
          <w:szCs w:val="32"/>
          <w:lang w:val="en-US" w:eastAsia="zh-CN"/>
        </w:rPr>
        <w:t>按照合同约定和项目进度进行支付，做到专款专用，</w:t>
      </w:r>
      <w:r>
        <w:rPr>
          <w:rFonts w:hint="eastAsia" w:eastAsia="仿宋_GB2312" w:cs="Times New Roman"/>
          <w:sz w:val="32"/>
          <w:szCs w:val="32"/>
          <w:lang w:eastAsia="zh-CN"/>
        </w:rPr>
        <w:t>确保资金使用的合法合规，避免违规行为发生。</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default" w:eastAsia="楷体_GB2312" w:cs="Times New Roman"/>
          <w:sz w:val="32"/>
          <w:szCs w:val="32"/>
          <w:lang w:val="en-US" w:eastAsia="zh-CN"/>
        </w:rPr>
      </w:pPr>
      <w:r>
        <w:rPr>
          <w:rFonts w:hint="eastAsia" w:ascii="楷体_GB2312" w:hAnsi="宋体" w:eastAsia="楷体_GB2312"/>
          <w:b/>
          <w:color w:val="auto"/>
          <w:sz w:val="32"/>
          <w:szCs w:val="32"/>
          <w:highlight w:val="none"/>
          <w:u w:val="none"/>
          <w:lang w:val="zh-CN"/>
        </w:rPr>
        <w:t>（三）评价选点。</w:t>
      </w:r>
      <w:r>
        <w:rPr>
          <w:rFonts w:hint="eastAsia" w:ascii="宋体" w:hAnsi="宋体" w:eastAsia="仿宋_GB2312" w:cs="Times New Roman"/>
          <w:color w:val="333333"/>
          <w:sz w:val="32"/>
          <w:szCs w:val="32"/>
          <w:shd w:val="clear" w:color="auto" w:fill="FFFFFF"/>
          <w:lang w:val="en-US" w:eastAsia="zh-CN"/>
        </w:rPr>
        <w:t>我单位不适用。</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val="en-US"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采用单位自评法</w:t>
      </w:r>
      <w:r>
        <w:rPr>
          <w:rFonts w:hint="eastAsia" w:eastAsia="仿宋_GB2312"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2" w:firstLineChars="200"/>
        <w:contextualSpacing/>
        <w:jc w:val="both"/>
        <w:textAlignment w:val="auto"/>
        <w:rPr>
          <w:rFonts w:hint="eastAsia" w:ascii="仿宋_GB2312" w:eastAsia="仿宋_GB2312"/>
          <w:b w:val="0"/>
          <w:bCs w:val="0"/>
          <w:sz w:val="32"/>
          <w:szCs w:val="32"/>
          <w:highlight w:val="none"/>
          <w:lang w:val="en-US"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eastAsia="仿宋_GB2312"/>
          <w:b w:val="0"/>
          <w:bCs w:val="0"/>
          <w:sz w:val="32"/>
          <w:szCs w:val="32"/>
          <w:highlight w:val="none"/>
          <w:lang w:val="en-US" w:eastAsia="zh-CN"/>
        </w:rPr>
        <w:t>按照财政资金“谁使用，谁自评”的原则，</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我单位在收到</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自评工作通知后，立即</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落实专人负责</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，及时</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与相关业务科实协调对接</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，对项目概况、评价实施、绩效分析、评价结论、存在主要问题、改进建议等进行综合自评，形成自评结果。</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eastAsia" w:eastAsia="仿宋_GB2312" w:cs="Times New Roman"/>
          <w:sz w:val="32"/>
          <w:szCs w:val="32"/>
          <w:lang w:val="en-US" w:eastAsia="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eastAsia="仿宋_GB2312"/>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hAnsi="仿宋_GB2312" w:eastAsia="仿宋_GB2312" w:cs="仿宋_GB2312"/>
          <w:b w:val="0"/>
          <w:bCs/>
          <w:sz w:val="32"/>
          <w:szCs w:val="32"/>
          <w:lang w:val="zh-CN"/>
        </w:rPr>
        <w:t>一是贯彻落实中央关于自然资源工作的方针政策和省委、市委决策部署，并按照单位的职能职责，资金预算合规、科学、合理的同时，把预算、绩效和自然资源改革发展工作深度融合。二是履行预算绩效设立审核程序，经集体研究决策后纳入预算。三是细化量化项目绩效目标，编制预算时对科室申报的预算项目进行全面梳理，严把审核关，所有项目必须有明细的资金测算，对审核后的所有项目全部进行入库管理。</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pP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楷体_GB2312" w:hAnsi="楷体_GB2312" w:eastAsia="楷体_GB2312" w:cs="楷体_GB2312"/>
          <w:color w:val="auto"/>
          <w:sz w:val="32"/>
          <w:szCs w:val="32"/>
          <w:lang w:val="en-US" w:eastAsia="zh-CN"/>
        </w:rPr>
        <w:t>一是</w:t>
      </w:r>
      <w:r>
        <w:rPr>
          <w:rFonts w:hint="eastAsia" w:ascii="仿宋_GB2312" w:hAnsi="仿宋_GB2312" w:eastAsia="仿宋_GB2312" w:cs="仿宋_GB2312"/>
          <w:b w:val="0"/>
          <w:bCs/>
          <w:sz w:val="32"/>
          <w:szCs w:val="32"/>
          <w:lang w:val="zh-CN"/>
        </w:rPr>
        <w:t>履行</w:t>
      </w:r>
      <w:r>
        <w:rPr>
          <w:rFonts w:hint="eastAsia" w:ascii="仿宋_GB2312" w:hAnsi="仿宋_GB2312" w:eastAsia="仿宋_GB2312" w:cs="仿宋_GB2312"/>
          <w:b w:val="0"/>
          <w:bCs/>
          <w:sz w:val="32"/>
          <w:szCs w:val="32"/>
          <w:lang w:val="en-US" w:eastAsia="zh-CN"/>
        </w:rPr>
        <w:t>项目</w:t>
      </w:r>
      <w:r>
        <w:rPr>
          <w:rFonts w:hint="eastAsia" w:ascii="仿宋_GB2312" w:hAnsi="仿宋_GB2312" w:eastAsia="仿宋_GB2312" w:cs="仿宋_GB2312"/>
          <w:b w:val="0"/>
          <w:bCs/>
          <w:sz w:val="32"/>
          <w:szCs w:val="32"/>
          <w:lang w:val="zh-CN"/>
        </w:rPr>
        <w:t>预算绩效设立审核程序，经集体研究决策后纳入</w:t>
      </w:r>
      <w:r>
        <w:rPr>
          <w:rFonts w:hint="eastAsia" w:ascii="仿宋_GB2312" w:hAnsi="仿宋_GB2312" w:eastAsia="仿宋_GB2312" w:cs="仿宋_GB2312"/>
          <w:b w:val="0"/>
          <w:bCs/>
          <w:sz w:val="32"/>
          <w:szCs w:val="32"/>
          <w:lang w:val="en-US" w:eastAsia="zh-CN"/>
        </w:rPr>
        <w:t>基建</w:t>
      </w:r>
      <w:r>
        <w:rPr>
          <w:rFonts w:hint="eastAsia" w:ascii="仿宋_GB2312" w:hAnsi="仿宋_GB2312" w:eastAsia="仿宋_GB2312" w:cs="仿宋_GB2312"/>
          <w:b w:val="0"/>
          <w:bCs/>
          <w:sz w:val="32"/>
          <w:szCs w:val="32"/>
          <w:lang w:val="zh-CN"/>
        </w:rPr>
        <w:t>预算。</w:t>
      </w: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sz w:val="32"/>
          <w:szCs w:val="32"/>
          <w:lang w:val="zh-CN"/>
        </w:rPr>
        <w:t>是细化量化项目绩效目标，编制预算时对科室申报的预算项目进行全面梳理，严把审核关，所有项目必须有明细的资金测算，对审核后进行入库管理。</w:t>
      </w:r>
      <w:r>
        <w:rPr>
          <w:rFonts w:hint="eastAsia" w:ascii="仿宋_GB2312" w:hAnsi="仿宋_GB2312" w:eastAsia="仿宋_GB2312" w:cs="仿宋_GB2312"/>
          <w:b w:val="0"/>
          <w:bCs/>
          <w:sz w:val="32"/>
          <w:szCs w:val="32"/>
          <w:lang w:val="en-US" w:eastAsia="zh-CN"/>
        </w:rPr>
        <w:t>财政下达资金后，我局严格按照《预算法》《项目资金管理办法》及时支付，确保项目按时按质完成。</w:t>
      </w:r>
    </w:p>
    <w:p>
      <w:pPr>
        <w:adjustRightInd w:val="0"/>
        <w:snapToGrid w:val="0"/>
        <w:spacing w:line="580" w:lineRule="exact"/>
        <w:ind w:firstLine="640" w:firstLineChars="200"/>
        <w:rPr>
          <w:rFonts w:ascii="楷体_GB2312" w:hAnsi="宋体" w:eastAsia="仿宋_GB2312"/>
          <w:bCs/>
          <w:sz w:val="32"/>
          <w:szCs w:val="32"/>
        </w:rPr>
      </w:pPr>
      <w:r>
        <w:rPr>
          <w:rFonts w:hint="eastAsia" w:ascii="楷体_GB2312" w:hAnsi="楷体_GB2312" w:eastAsia="楷体_GB2312" w:cs="楷体_GB2312"/>
          <w:color w:val="auto"/>
          <w:sz w:val="32"/>
          <w:szCs w:val="32"/>
          <w:lang w:val="en-US" w:eastAsia="zh-CN"/>
        </w:rPr>
        <w:t>3.项目实施。</w:t>
      </w:r>
      <w:r>
        <w:rPr>
          <w:rFonts w:hint="eastAsia" w:ascii="仿宋_GB2312" w:hAnsi="宋体" w:eastAsia="仿宋_GB2312"/>
          <w:sz w:val="32"/>
          <w:szCs w:val="32"/>
          <w:lang w:val="en-US" w:eastAsia="zh-CN"/>
        </w:rPr>
        <w:t>完成审核《广元市国土空间总体规划2021-2035图集》、《青川县国土空间总体规划（2021-2035）图集》、《旺苍县国土总体空间规划（2021-2035）图集》等地图审核工作，为全市政治经济高质量发展提供了有力支撑。资金使用过程中严格按照</w:t>
      </w:r>
      <w:r>
        <w:rPr>
          <w:rFonts w:ascii="楷体_GB2312" w:hAnsi="楷体_GB2312" w:eastAsia="仿宋_GB2312"/>
          <w:bCs/>
          <w:sz w:val="32"/>
          <w:szCs w:val="32"/>
        </w:rPr>
        <w:t>我局制</w:t>
      </w:r>
      <w:r>
        <w:rPr>
          <w:rFonts w:hint="eastAsia" w:ascii="楷体_GB2312" w:hAnsi="楷体_GB2312" w:eastAsia="仿宋_GB2312"/>
          <w:bCs/>
          <w:sz w:val="32"/>
          <w:szCs w:val="32"/>
          <w:lang w:val="en-US" w:eastAsia="zh-CN"/>
        </w:rPr>
        <w:t>定的</w:t>
      </w:r>
      <w:r>
        <w:rPr>
          <w:rFonts w:ascii="楷体_GB2312" w:hAnsi="楷体_GB2312" w:eastAsia="仿宋_GB2312"/>
          <w:bCs/>
          <w:sz w:val="32"/>
          <w:szCs w:val="32"/>
        </w:rPr>
        <w:t>《财务管理制度》《专项资金管理制度》《三重一大制度》，</w:t>
      </w:r>
      <w:r>
        <w:rPr>
          <w:rFonts w:hint="eastAsia" w:ascii="楷体_GB2312" w:hAnsi="楷体_GB2312" w:eastAsia="仿宋_GB2312"/>
          <w:bCs/>
          <w:sz w:val="32"/>
          <w:szCs w:val="32"/>
        </w:rPr>
        <w:t>确保</w:t>
      </w:r>
      <w:r>
        <w:rPr>
          <w:rFonts w:ascii="楷体_GB2312" w:hAnsi="楷体_GB2312" w:eastAsia="仿宋_GB2312"/>
          <w:bCs/>
          <w:sz w:val="32"/>
          <w:szCs w:val="32"/>
        </w:rPr>
        <w:t>项目</w:t>
      </w:r>
      <w:r>
        <w:rPr>
          <w:rFonts w:hint="eastAsia" w:ascii="楷体_GB2312" w:hAnsi="楷体_GB2312" w:eastAsia="仿宋_GB2312"/>
          <w:bCs/>
          <w:sz w:val="32"/>
          <w:szCs w:val="32"/>
          <w:lang w:val="en-US" w:eastAsia="zh-CN"/>
        </w:rPr>
        <w:t>资金</w:t>
      </w:r>
      <w:r>
        <w:rPr>
          <w:rFonts w:hint="eastAsia" w:ascii="楷体_GB2312" w:hAnsi="楷体_GB2312" w:eastAsia="仿宋_GB2312"/>
          <w:bCs/>
          <w:sz w:val="32"/>
          <w:szCs w:val="32"/>
        </w:rPr>
        <w:t>高效率使用</w:t>
      </w:r>
      <w:r>
        <w:rPr>
          <w:rFonts w:hint="eastAsia" w:ascii="楷体_GB2312" w:hAnsi="楷体_GB2312" w:eastAsia="仿宋_GB2312"/>
          <w:bCs/>
          <w:sz w:val="32"/>
          <w:szCs w:val="32"/>
          <w:lang w:eastAsia="zh-CN"/>
        </w:rPr>
        <w:t>，</w:t>
      </w:r>
      <w:r>
        <w:rPr>
          <w:rFonts w:hint="eastAsia" w:ascii="楷体_GB2312" w:hAnsi="楷体_GB2312" w:eastAsia="仿宋_GB2312"/>
          <w:bCs/>
          <w:sz w:val="32"/>
          <w:szCs w:val="32"/>
          <w:lang w:val="en-US" w:eastAsia="zh-CN"/>
        </w:rPr>
        <w:t>做到</w:t>
      </w:r>
      <w:r>
        <w:rPr>
          <w:rFonts w:ascii="楷体_GB2312" w:hAnsi="楷体_GB2312" w:eastAsia="仿宋_GB2312"/>
          <w:bCs/>
          <w:sz w:val="32"/>
          <w:szCs w:val="32"/>
        </w:rPr>
        <w:t>专款专用，无截留，无挪用。</w:t>
      </w:r>
    </w:p>
    <w:p>
      <w:pPr>
        <w:numPr>
          <w:ilvl w:val="0"/>
          <w:numId w:val="0"/>
        </w:numPr>
        <w:spacing w:line="580" w:lineRule="exact"/>
        <w:ind w:firstLine="640" w:firstLineChars="200"/>
        <w:rPr>
          <w:rFonts w:hint="default" w:ascii="仿宋_GB2312" w:hAnsi="宋体" w:eastAsia="仿宋_GB2312"/>
          <w:sz w:val="32"/>
          <w:szCs w:val="32"/>
          <w:lang w:val="en-US" w:eastAsia="zh-CN"/>
        </w:rPr>
      </w:pPr>
    </w:p>
    <w:p>
      <w:pPr>
        <w:numPr>
          <w:ilvl w:val="0"/>
          <w:numId w:val="0"/>
        </w:numPr>
        <w:adjustRightInd w:val="0"/>
        <w:snapToGrid w:val="0"/>
        <w:spacing w:line="520" w:lineRule="exact"/>
        <w:ind w:firstLine="960" w:firstLineChars="300"/>
        <w:rPr>
          <w:rFonts w:hint="default" w:ascii="仿宋_GB2312" w:hAnsi="宋体" w:eastAsia="仿宋_GB2312"/>
          <w:sz w:val="32"/>
          <w:szCs w:val="32"/>
          <w:lang w:val="en-US" w:eastAsia="zh-CN"/>
        </w:rPr>
      </w:pPr>
      <w:r>
        <w:rPr>
          <w:rFonts w:hint="eastAsia" w:ascii="楷体_GB2312" w:hAnsi="楷体_GB2312" w:eastAsia="楷体_GB2312" w:cs="楷体_GB2312"/>
          <w:color w:val="auto"/>
          <w:kern w:val="2"/>
          <w:position w:val="0"/>
          <w:sz w:val="32"/>
          <w:szCs w:val="32"/>
          <w:lang w:val="en-US" w:eastAsia="zh-CN" w:bidi="ar-SA"/>
        </w:rPr>
        <w:t>4.项目结果。已</w:t>
      </w:r>
      <w:r>
        <w:rPr>
          <w:rFonts w:hint="eastAsia" w:ascii="仿宋_GB2312" w:hAnsi="宋体" w:eastAsia="仿宋_GB2312"/>
          <w:sz w:val="32"/>
          <w:szCs w:val="32"/>
          <w:lang w:val="en-US" w:eastAsia="zh-CN"/>
        </w:rPr>
        <w:t>完成地图审核工作，为全市政治经济高质量发展提供了有力支撑。</w:t>
      </w:r>
    </w:p>
    <w:p>
      <w:pPr>
        <w:keepNext w:val="0"/>
        <w:keepLines w:val="0"/>
        <w:pageBreakBefore w:val="0"/>
        <w:widowControl w:val="0"/>
        <w:kinsoku/>
        <w:wordWrap/>
        <w:overflowPunct/>
        <w:topLinePunct w:val="0"/>
        <w:autoSpaceDE/>
        <w:autoSpaceDN/>
        <w:bidi w:val="0"/>
        <w:adjustRightInd/>
        <w:snapToGrid/>
        <w:spacing w:line="578" w:lineRule="exact"/>
        <w:ind w:firstLine="642" w:firstLineChars="200"/>
        <w:textAlignment w:val="auto"/>
        <w:outlineLvl w:val="9"/>
        <w:rPr>
          <w:rFonts w:hint="eastAsia" w:ascii="Times New Roman" w:hAnsi="Times New Roman" w:eastAsia="仿宋_GB2312" w:cs="Times New Roman"/>
          <w:color w:val="auto"/>
          <w:sz w:val="32"/>
          <w:szCs w:val="32"/>
          <w:lang w:val="zh-CN"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eastAsia" w:ascii="Times New Roman" w:hAnsi="Times New Roman" w:eastAsia="仿宋_GB2312" w:cs="Times New Roman"/>
          <w:color w:val="auto"/>
          <w:sz w:val="32"/>
          <w:szCs w:val="32"/>
          <w:lang w:val="zh-CN"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rPr>
          <w:rFonts w:hint="eastAsia"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val="zh-CN" w:eastAsia="zh-CN"/>
        </w:rPr>
        <w:t>行政运转。</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本</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单位财务管理制度健全，严格执行财务管理制度，账务处理及时，会计核算规范。</w:t>
      </w: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numPr>
          <w:ilvl w:val="0"/>
          <w:numId w:val="0"/>
        </w:numPr>
        <w:adjustRightInd w:val="0"/>
        <w:snapToGrid w:val="0"/>
        <w:spacing w:line="520" w:lineRule="exact"/>
        <w:ind w:firstLine="640" w:firstLineChars="200"/>
        <w:rPr>
          <w:rFonts w:hint="default" w:eastAsia="仿宋_GB2312" w:cs="Times New Roman"/>
          <w:color w:val="auto"/>
          <w:sz w:val="32"/>
          <w:szCs w:val="32"/>
          <w:lang w:val="en-US" w:eastAsia="zh-CN"/>
        </w:rPr>
      </w:pPr>
      <w:r>
        <w:rPr>
          <w:rFonts w:hint="eastAsia" w:eastAsia="仿宋_GB2312" w:cs="Times New Roman"/>
          <w:color w:val="auto"/>
          <w:sz w:val="32"/>
          <w:szCs w:val="32"/>
          <w:lang w:val="en-US" w:eastAsia="zh-CN"/>
        </w:rPr>
        <w:t>我单不适用。</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en-US" w:bidi="ar-SA"/>
        </w:rPr>
      </w:pPr>
      <w:r>
        <w:rPr>
          <w:rFonts w:hint="eastAsia" w:ascii="黑体" w:hAnsi="宋体" w:eastAsia="黑体" w:cs="Times New Roman"/>
          <w:color w:val="auto"/>
          <w:kern w:val="0"/>
          <w:position w:val="3"/>
          <w:sz w:val="32"/>
          <w:szCs w:val="32"/>
          <w:highlight w:val="none"/>
          <w:u w:val="none"/>
          <w:lang w:val="en-US" w:eastAsia="zh-CN" w:bidi="ar-SA"/>
        </w:rPr>
        <w:t>四</w:t>
      </w:r>
      <w:r>
        <w:rPr>
          <w:rFonts w:hint="eastAsia" w:ascii="黑体" w:hAnsi="宋体" w:eastAsia="黑体" w:cs="Times New Roman"/>
          <w:color w:val="auto"/>
          <w:kern w:val="0"/>
          <w:position w:val="3"/>
          <w:sz w:val="32"/>
          <w:szCs w:val="32"/>
          <w:highlight w:val="none"/>
          <w:u w:val="none"/>
          <w:lang w:val="en-US" w:eastAsia="en-US" w:bidi="ar-SA"/>
        </w:rPr>
        <w:t>、评价结论</w:t>
      </w:r>
    </w:p>
    <w:p>
      <w:pPr>
        <w:pageBreakBefore w:val="0"/>
        <w:widowControl w:val="0"/>
        <w:kinsoku/>
        <w:wordWrap/>
        <w:overflowPunct/>
        <w:topLinePunct w:val="0"/>
        <w:autoSpaceDE/>
        <w:autoSpaceDN/>
        <w:bidi w:val="0"/>
        <w:adjustRightInd w:val="0"/>
        <w:snapToGrid w:val="0"/>
        <w:spacing w:line="520" w:lineRule="exact"/>
        <w:ind w:firstLine="640" w:firstLineChars="200"/>
        <w:contextualSpacing/>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w:t>
      </w:r>
      <w:r>
        <w:rPr>
          <w:rFonts w:hint="eastAsia" w:ascii="仿宋_GB2312" w:hAnsi="仿宋_GB2312" w:eastAsia="仿宋_GB2312" w:cs="仿宋_GB2312"/>
          <w:b w:val="0"/>
          <w:bCs/>
          <w:sz w:val="32"/>
          <w:szCs w:val="32"/>
          <w:lang w:val="en-US" w:eastAsia="zh-CN"/>
        </w:rPr>
        <w:t>专项预算项目</w:t>
      </w:r>
      <w:r>
        <w:rPr>
          <w:rFonts w:hint="eastAsia" w:ascii="仿宋_GB2312" w:hAnsi="仿宋_GB2312" w:eastAsia="仿宋_GB2312" w:cs="仿宋_GB2312"/>
          <w:b w:val="0"/>
          <w:bCs/>
          <w:sz w:val="32"/>
          <w:szCs w:val="32"/>
        </w:rPr>
        <w:t>绩效评价指标体系》，</w:t>
      </w:r>
      <w:r>
        <w:rPr>
          <w:rFonts w:hint="eastAsia" w:ascii="仿宋_GB2312" w:hAnsi="仿宋_GB2312" w:eastAsia="仿宋_GB2312" w:cs="仿宋_GB2312"/>
          <w:b w:val="0"/>
          <w:bCs/>
          <w:sz w:val="32"/>
          <w:szCs w:val="32"/>
          <w:lang w:val="en-US" w:eastAsia="zh-CN"/>
        </w:rPr>
        <w:t>剔除不适用因素，</w:t>
      </w:r>
      <w:r>
        <w:rPr>
          <w:rFonts w:hint="eastAsia" w:ascii="仿宋_GB2312" w:hAnsi="仿宋_GB2312" w:eastAsia="仿宋_GB2312" w:cs="仿宋_GB2312"/>
          <w:b w:val="0"/>
          <w:bCs/>
          <w:sz w:val="32"/>
          <w:szCs w:val="32"/>
        </w:rPr>
        <w:t>自评得分</w:t>
      </w:r>
      <w:r>
        <w:rPr>
          <w:rFonts w:hint="eastAsia" w:ascii="仿宋_GB2312" w:hAnsi="仿宋_GB2312" w:eastAsia="仿宋_GB2312" w:cs="仿宋_GB2312"/>
          <w:b w:val="0"/>
          <w:bCs/>
          <w:sz w:val="32"/>
          <w:szCs w:val="32"/>
          <w:lang w:val="en-US" w:eastAsia="zh-CN"/>
        </w:rPr>
        <w:t>100</w:t>
      </w:r>
      <w:r>
        <w:rPr>
          <w:rFonts w:hint="eastAsia" w:ascii="仿宋_GB2312" w:hAnsi="仿宋_GB2312" w:eastAsia="仿宋_GB2312" w:cs="仿宋_GB2312"/>
          <w:b w:val="0"/>
          <w:bCs/>
          <w:sz w:val="32"/>
          <w:szCs w:val="32"/>
        </w:rPr>
        <w:t>分。</w:t>
      </w:r>
      <w:r>
        <w:rPr>
          <w:rFonts w:hint="eastAsia" w:ascii="仿宋_GB2312" w:hAnsi="仿宋_GB2312" w:eastAsia="仿宋_GB2312" w:cs="仿宋_GB2312"/>
          <w:b w:val="0"/>
          <w:bCs/>
          <w:sz w:val="32"/>
          <w:szCs w:val="32"/>
          <w:lang w:val="en-US" w:eastAsia="zh-CN"/>
        </w:rPr>
        <w:t>我</w:t>
      </w:r>
      <w:r>
        <w:rPr>
          <w:rFonts w:hint="eastAsia" w:ascii="仿宋_GB2312" w:hAnsi="仿宋_GB2312" w:eastAsia="仿宋_GB2312" w:cs="仿宋_GB2312"/>
          <w:b w:val="0"/>
          <w:bCs/>
          <w:sz w:val="32"/>
          <w:szCs w:val="32"/>
        </w:rPr>
        <w:t>局严格执行财经纪律、法规和各项规章制度，加强财务管理，规范会计核算，资金高效运行。项目决策科学，依据充分，项目管理规范；绩效执行进度达到预期；项目完成效果好，实施后达到了预期目的。</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en-US" w:eastAsia="zh-CN" w:bidi="ar-SA"/>
        </w:rPr>
      </w:pPr>
      <w:r>
        <w:rPr>
          <w:rFonts w:hint="eastAsia" w:ascii="黑体" w:hAnsi="宋体" w:eastAsia="黑体" w:cs="Times New Roman"/>
          <w:color w:val="auto"/>
          <w:kern w:val="0"/>
          <w:position w:val="3"/>
          <w:sz w:val="32"/>
          <w:szCs w:val="32"/>
          <w:highlight w:val="none"/>
          <w:u w:val="none"/>
          <w:lang w:val="en-US" w:eastAsia="zh-CN" w:bidi="ar-SA"/>
        </w:rPr>
        <w:t>五、存在主要问题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color w:val="auto"/>
          <w:kern w:val="0"/>
          <w:sz w:val="32"/>
          <w:szCs w:val="32"/>
          <w:highlight w:val="none"/>
          <w:u w:val="none"/>
          <w:shd w:val="clear" w:color="auto" w:fill="FFFFFF"/>
          <w:lang w:val="en-US" w:eastAsia="zh-CN"/>
        </w:rPr>
        <w:t>无</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p>
      <w:pPr>
        <w:pageBreakBefore w:val="0"/>
        <w:widowControl/>
        <w:numPr>
          <w:ilvl w:val="0"/>
          <w:numId w:val="0"/>
        </w:numPr>
        <w:tabs>
          <w:tab w:val="left" w:pos="2160"/>
        </w:tabs>
        <w:kinsoku/>
        <w:wordWrap/>
        <w:overflowPunct/>
        <w:topLinePunct w:val="0"/>
        <w:autoSpaceDE/>
        <w:autoSpaceDN/>
        <w:bidi w:val="0"/>
        <w:adjustRightInd/>
        <w:spacing w:line="600" w:lineRule="exact"/>
        <w:ind w:firstLine="640" w:firstLineChars="200"/>
        <w:jc w:val="left"/>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eastAsia="仿宋_GB2312" w:cs="仿宋_GB2312"/>
          <w:color w:val="auto"/>
          <w:kern w:val="0"/>
          <w:sz w:val="32"/>
          <w:szCs w:val="32"/>
          <w:highlight w:val="none"/>
          <w:u w:val="none"/>
          <w:shd w:val="clear" w:color="auto" w:fill="FFFFFF"/>
          <w:lang w:val="en-US" w:eastAsia="zh-CN"/>
        </w:rPr>
        <w:t>无</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p>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rPr>
      </w:pPr>
      <w:r>
        <w:rPr>
          <w:rFonts w:hint="eastAsia" w:ascii="Times New Roman" w:hAnsi="Times New Roman" w:eastAsia="仿宋_GB2312" w:cs="Times New Roman"/>
          <w:color w:val="000000"/>
          <w:kern w:val="0"/>
          <w:sz w:val="32"/>
          <w:szCs w:val="32"/>
          <w:highlight w:val="none"/>
          <w:shd w:val="clear" w:color="auto" w:fill="FFFFFF"/>
          <w:lang w:val="en-US" w:eastAsia="zh-CN"/>
        </w:rPr>
        <w:t>附表：1.项目资金分配涉及所有点位自评得分情况表</w:t>
      </w:r>
    </w:p>
    <w:p>
      <w:pPr>
        <w:keepNext w:val="0"/>
        <w:keepLines w:val="0"/>
        <w:pageBreakBefore w:val="0"/>
        <w:numPr>
          <w:ilvl w:val="0"/>
          <w:numId w:val="5"/>
        </w:numPr>
        <w:kinsoku/>
        <w:wordWrap/>
        <w:overflowPunct/>
        <w:topLinePunct w:val="0"/>
        <w:autoSpaceDE/>
        <w:autoSpaceDN/>
        <w:bidi w:val="0"/>
        <w:adjustRightInd/>
        <w:snapToGrid w:val="0"/>
        <w:spacing w:line="578" w:lineRule="exact"/>
        <w:ind w:left="0" w:leftChars="0" w:firstLine="1600" w:firstLineChars="5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en-US" w:eastAsia="zh-CN"/>
        </w:rPr>
      </w:pPr>
      <w:r>
        <w:rPr>
          <w:rFonts w:hint="eastAsia" w:ascii="Times New Roman" w:hAnsi="Times New Roman" w:eastAsia="仿宋_GB2312" w:cs="Times New Roman"/>
          <w:color w:val="000000"/>
          <w:kern w:val="0"/>
          <w:sz w:val="32"/>
          <w:szCs w:val="32"/>
          <w:highlight w:val="none"/>
          <w:shd w:val="clear" w:color="auto" w:fill="FFFFFF"/>
          <w:lang w:val="en-US" w:eastAsia="zh-CN"/>
        </w:rPr>
        <w:t>专项预算项目绩效目标完成情况自评表</w:t>
      </w:r>
    </w:p>
    <w:p>
      <w:pPr>
        <w:keepNext/>
        <w:keepLines/>
        <w:widowControl w:val="0"/>
        <w:numPr>
          <w:ilvl w:val="0"/>
          <w:numId w:val="0"/>
        </w:numPr>
        <w:spacing w:before="280" w:after="156" w:line="377" w:lineRule="auto"/>
        <w:jc w:val="left"/>
        <w:outlineLvl w:val="4"/>
        <w:rPr>
          <w:rFonts w:hint="default" w:ascii="Arial" w:hAnsi="Arial" w:eastAsia="黑体" w:cs="Times New Roman"/>
          <w:b/>
          <w:kern w:val="2"/>
          <w:sz w:val="24"/>
          <w:szCs w:val="28"/>
          <w:lang w:val="en-US" w:eastAsia="zh-CN" w:bidi="ar-SA"/>
        </w:rPr>
      </w:pPr>
    </w:p>
    <w:p>
      <w:pPr>
        <w:rPr>
          <w:rFonts w:hint="eastAsia" w:eastAsia="仿宋_GB2312"/>
          <w:sz w:val="32"/>
          <w:szCs w:val="32"/>
          <w:lang w:val="en-US" w:eastAsia="zh-CN"/>
        </w:rPr>
      </w:pPr>
      <w:r>
        <w:rPr>
          <w:rFonts w:hint="eastAsia" w:eastAsia="仿宋_GB2312"/>
          <w:sz w:val="32"/>
          <w:szCs w:val="32"/>
          <w:lang w:val="en-US" w:eastAsia="zh-CN"/>
        </w:rPr>
        <w:t xml:space="preserve">                   广元市自然资源局</w:t>
      </w:r>
    </w:p>
    <w:p>
      <w:pPr>
        <w:keepNext/>
        <w:keepLines/>
        <w:widowControl w:val="0"/>
        <w:spacing w:before="280" w:after="156" w:line="377" w:lineRule="auto"/>
        <w:jc w:val="left"/>
        <w:outlineLvl w:val="4"/>
        <w:rPr>
          <w:rFonts w:hint="default" w:ascii="Times New Roman" w:hAnsi="Times New Roman" w:eastAsia="仿宋_GB2312" w:cs="Times New Roman"/>
          <w:b w:val="0"/>
          <w:kern w:val="2"/>
          <w:sz w:val="32"/>
          <w:szCs w:val="32"/>
          <w:lang w:val="en-US" w:eastAsia="zh-CN" w:bidi="ar-SA"/>
        </w:rPr>
      </w:pPr>
      <w:r>
        <w:rPr>
          <w:rFonts w:hint="eastAsia" w:ascii="Arial" w:hAnsi="Arial" w:eastAsia="黑体" w:cs="Times New Roman"/>
          <w:b/>
          <w:kern w:val="2"/>
          <w:sz w:val="24"/>
          <w:szCs w:val="28"/>
          <w:lang w:val="en-US" w:eastAsia="zh-CN" w:bidi="ar-SA"/>
        </w:rPr>
        <w:t xml:space="preserve">                             </w:t>
      </w:r>
      <w:r>
        <w:rPr>
          <w:rFonts w:hint="eastAsia" w:ascii="Times New Roman" w:hAnsi="Times New Roman" w:eastAsia="仿宋_GB2312" w:cs="Times New Roman"/>
          <w:b w:val="0"/>
          <w:kern w:val="2"/>
          <w:sz w:val="32"/>
          <w:szCs w:val="32"/>
          <w:lang w:val="en-US" w:eastAsia="zh-CN" w:bidi="ar-SA"/>
        </w:rPr>
        <w:t xml:space="preserve"> 2025年4月23日</w:t>
      </w:r>
    </w:p>
    <w:p>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eastAsia="仿宋_GB2312" w:cs="Times New Roman"/>
          <w:color w:val="000000"/>
          <w:kern w:val="0"/>
          <w:sz w:val="32"/>
          <w:szCs w:val="32"/>
          <w:highlight w:val="none"/>
          <w:shd w:val="clear" w:color="auto" w:fill="FFFFFF"/>
          <w:lang w:val="zh-CN" w:eastAsia="zh-CN"/>
        </w:rPr>
      </w:pPr>
      <w:r>
        <w:rPr>
          <w:rFonts w:hint="eastAsia" w:ascii="Times New Roman" w:hAnsi="Times New Roman" w:eastAsia="仿宋_GB2312" w:cs="Times New Roman"/>
          <w:color w:val="000000"/>
          <w:kern w:val="0"/>
          <w:sz w:val="32"/>
          <w:szCs w:val="32"/>
          <w:highlight w:val="none"/>
          <w:shd w:val="clear" w:color="auto" w:fill="FFFFFF"/>
          <w:lang w:val="zh-CN" w:eastAsia="zh-CN"/>
        </w:rPr>
        <w:br w:type="page"/>
      </w:r>
    </w:p>
    <w:p>
      <w:pPr>
        <w:keepNext/>
        <w:keepLines/>
        <w:widowControl w:val="0"/>
        <w:spacing w:before="280" w:after="156" w:line="377" w:lineRule="auto"/>
        <w:jc w:val="left"/>
        <w:outlineLvl w:val="4"/>
        <w:rPr>
          <w:rFonts w:hint="eastAsia" w:ascii="Arial" w:hAnsi="Arial" w:eastAsia="黑体" w:cs="Times New Roman"/>
          <w:b/>
          <w:kern w:val="2"/>
          <w:sz w:val="24"/>
          <w:szCs w:val="28"/>
          <w:lang w:val="zh-CN" w:eastAsia="zh-CN" w:bidi="ar-SA"/>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left"/>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r>
        <w:rPr>
          <w:rFonts w:hint="eastAsia" w:ascii="黑体" w:hAnsi="黑体" w:eastAsia="黑体" w:cs="黑体"/>
          <w:b w:val="0"/>
          <w:bCs w:val="0"/>
          <w:color w:val="auto"/>
          <w:kern w:val="0"/>
          <w:sz w:val="32"/>
          <w:szCs w:val="32"/>
          <w:highlight w:val="none"/>
          <w:u w:val="none"/>
          <w:shd w:val="clear" w:color="auto" w:fill="FFFFFF"/>
          <w:lang w:val="en-US" w:eastAsia="zh-CN"/>
        </w:rPr>
        <w:t>1</w:t>
      </w:r>
    </w:p>
    <w:p>
      <w:pPr>
        <w:keepNext w:val="0"/>
        <w:keepLines w:val="0"/>
        <w:pageBreakBefore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b w:val="0"/>
          <w:bCs w:val="0"/>
          <w:color w:val="auto"/>
          <w:sz w:val="40"/>
          <w:szCs w:val="40"/>
          <w:highlight w:val="none"/>
          <w:u w:val="none"/>
          <w:lang w:val="en-US" w:eastAsia="zh-CN"/>
        </w:rPr>
      </w:pPr>
      <w:r>
        <w:rPr>
          <w:rFonts w:hint="eastAsia" w:ascii="方正小标宋_GBK" w:hAnsi="方正小标宋_GBK" w:eastAsia="方正小标宋_GBK" w:cs="方正小标宋_GBK"/>
          <w:b w:val="0"/>
          <w:bCs w:val="0"/>
          <w:color w:val="auto"/>
          <w:sz w:val="40"/>
          <w:szCs w:val="40"/>
          <w:highlight w:val="none"/>
          <w:u w:val="none"/>
          <w:lang w:val="en-US" w:eastAsia="zh-CN"/>
        </w:rPr>
        <w:t>项目资金分配涉及所有点位自评得分情况表</w:t>
      </w:r>
    </w:p>
    <w:tbl>
      <w:tblPr>
        <w:tblStyle w:val="18"/>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020"/>
        <w:gridCol w:w="210"/>
        <w:gridCol w:w="147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序号</w:t>
            </w:r>
          </w:p>
        </w:tc>
        <w:tc>
          <w:tcPr>
            <w:tcW w:w="5230"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 w:eastAsia="zh-CN"/>
              </w:rPr>
            </w:pPr>
            <w:r>
              <w:rPr>
                <w:rFonts w:hint="eastAsia" w:ascii="黑体" w:hAnsi="黑体" w:eastAsia="黑体" w:cs="黑体"/>
                <w:b w:val="0"/>
                <w:bCs w:val="0"/>
                <w:color w:val="auto"/>
                <w:sz w:val="24"/>
                <w:szCs w:val="24"/>
                <w:highlight w:val="none"/>
                <w:u w:val="none"/>
                <w:vertAlign w:val="baseline"/>
                <w:lang w:val="en-US" w:eastAsia="zh-CN"/>
              </w:rPr>
              <w:t>项目资金末端分配点位</w:t>
            </w:r>
          </w:p>
        </w:tc>
        <w:tc>
          <w:tcPr>
            <w:tcW w:w="14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 w:eastAsia="zh-CN"/>
              </w:rPr>
              <w:t>自评得分（百分制）</w:t>
            </w: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仿宋_GB2312" w:hAnsi="仿宋_GB2312" w:eastAsia="仿宋_GB2312" w:cs="仿宋_GB2312"/>
                <w:color w:val="auto"/>
                <w:sz w:val="24"/>
                <w:szCs w:val="24"/>
                <w:highlight w:val="none"/>
                <w:u w:val="none"/>
                <w:vertAlign w:val="baseline"/>
                <w:lang w:val="en-US" w:eastAsia="zh-CN"/>
              </w:rPr>
            </w:pPr>
            <w:r>
              <w:rPr>
                <w:rFonts w:hint="eastAsia" w:ascii="仿宋_GB2312" w:hAnsi="仿宋_GB2312" w:eastAsia="仿宋_GB2312" w:cs="仿宋_GB2312"/>
                <w:color w:val="auto"/>
                <w:sz w:val="24"/>
                <w:szCs w:val="24"/>
                <w:highlight w:val="none"/>
                <w:u w:val="none"/>
                <w:vertAlign w:val="baseline"/>
                <w:lang w:val="en-US" w:eastAsia="zh-CN"/>
              </w:rPr>
              <w:t>无</w:t>
            </w: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仿宋_GB2312" w:hAnsi="仿宋_GB2312" w:eastAsia="仿宋_GB2312" w:cs="仿宋_GB2312"/>
                <w:color w:val="auto"/>
                <w:sz w:val="24"/>
                <w:szCs w:val="24"/>
                <w:highlight w:val="none"/>
                <w:u w:val="none"/>
                <w:vertAlign w:val="baseline"/>
                <w:lang w:val="en-US"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宋体" w:hAnsi="宋体" w:eastAsia="仿宋_GB2312" w:cs="宋体"/>
                <w:color w:val="auto"/>
                <w:sz w:val="24"/>
                <w:szCs w:val="24"/>
                <w:highlight w:val="none"/>
                <w:u w:val="none"/>
                <w:vertAlign w:val="baseline"/>
                <w:lang w:val="en-US"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宋体" w:hAnsi="宋体" w:eastAsia="仿宋_GB2312" w:cs="宋体"/>
                <w:color w:val="auto"/>
                <w:sz w:val="24"/>
                <w:szCs w:val="24"/>
                <w:highlight w:val="none"/>
                <w:u w:val="none"/>
                <w:vertAlign w:val="baseline"/>
                <w:lang w:val="en-US"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3</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4</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5</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6</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7</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8</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w:t>
            </w:r>
          </w:p>
        </w:tc>
        <w:tc>
          <w:tcPr>
            <w:tcW w:w="502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1684" w:type="dxa"/>
            <w:gridSpan w:val="2"/>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93"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备注：1.项目资金末端分配点位包括市本级、县（区）、市级部门下属单位及一次性单位等。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630" w:firstLineChars="30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2.自评得分（百分制）从高到低划分为优、良、中、差四个档次，各个档次数量占比分别为20%、20%、55%、5%，且不同档次间得分分值应体现差异化，同档次得分分值相同的比例不超过该档次总数量的10%。</w:t>
      </w:r>
    </w:p>
    <w:p>
      <w:pPr>
        <w:rPr>
          <w:rFonts w:hint="eastAsia" w:ascii="Times New Roman" w:hAnsi="Times New Roman" w:eastAsia="仿宋_GB2312" w:cs="Times New Roman"/>
          <w:kern w:val="2"/>
          <w:sz w:val="32"/>
          <w:szCs w:val="24"/>
          <w:highlight w:val="none"/>
          <w:lang w:val="en-US" w:eastAsia="zh-CN" w:bidi="ar-SA"/>
        </w:rPr>
      </w:pPr>
      <w:r>
        <w:rPr>
          <w:rFonts w:hint="eastAsia" w:ascii="Times New Roman" w:hAnsi="Times New Roman" w:eastAsia="仿宋_GB2312" w:cs="Times New Roman"/>
          <w:kern w:val="2"/>
          <w:sz w:val="32"/>
          <w:szCs w:val="24"/>
          <w:highlight w:val="none"/>
          <w:lang w:val="en-US" w:eastAsia="zh-CN" w:bidi="ar-SA"/>
        </w:rPr>
        <w:br w:type="page"/>
      </w:r>
    </w:p>
    <w:p>
      <w:pPr>
        <w:keepNext w:val="0"/>
        <w:keepLines w:val="0"/>
        <w:pageBreakBefore w:val="0"/>
        <w:widowControl w:val="0"/>
        <w:kinsoku/>
        <w:wordWrap/>
        <w:overflowPunct/>
        <w:topLinePunct w:val="0"/>
        <w:autoSpaceDE/>
        <w:autoSpaceDN/>
        <w:bidi w:val="0"/>
        <w:spacing w:after="0" w:line="578" w:lineRule="exact"/>
        <w:ind w:left="0" w:leftChars="0" w:firstLine="0" w:firstLineChars="0"/>
        <w:jc w:val="both"/>
        <w:rPr>
          <w:rFonts w:hint="default" w:ascii="Times New Roman" w:hAnsi="Times New Roman" w:eastAsia="黑体" w:cs="Times New Roman"/>
          <w:kern w:val="2"/>
          <w:sz w:val="32"/>
          <w:szCs w:val="24"/>
          <w:highlight w:val="none"/>
          <w:lang w:val="en-US" w:eastAsia="zh-CN" w:bidi="ar-SA"/>
        </w:rPr>
      </w:pPr>
      <w:r>
        <w:rPr>
          <w:rFonts w:hint="default" w:ascii="Times New Roman" w:hAnsi="Times New Roman" w:eastAsia="黑体" w:cs="Times New Roman"/>
          <w:kern w:val="2"/>
          <w:sz w:val="32"/>
          <w:szCs w:val="24"/>
          <w:highlight w:val="none"/>
          <w:lang w:val="en-US" w:eastAsia="zh-CN" w:bidi="ar-SA"/>
        </w:rPr>
        <w:t>附表2</w:t>
      </w:r>
    </w:p>
    <w:tbl>
      <w:tblPr>
        <w:tblStyle w:val="17"/>
        <w:tblW w:w="102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52"/>
        <w:gridCol w:w="1081"/>
        <w:gridCol w:w="1250"/>
        <w:gridCol w:w="1312"/>
        <w:gridCol w:w="1127"/>
        <w:gridCol w:w="971"/>
        <w:gridCol w:w="427"/>
        <w:gridCol w:w="634"/>
        <w:gridCol w:w="938"/>
        <w:gridCol w:w="1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6" w:hRule="atLeast"/>
          <w:jc w:val="center"/>
        </w:trPr>
        <w:tc>
          <w:tcPr>
            <w:tcW w:w="10233" w:type="dxa"/>
            <w:gridSpan w:val="10"/>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ascii="黑体" w:hAnsi="宋体" w:eastAsia="黑体" w:cs="黑体"/>
                <w:i w:val="0"/>
                <w:color w:val="000000"/>
                <w:sz w:val="30"/>
                <w:szCs w:val="30"/>
                <w:u w:val="none"/>
              </w:rPr>
            </w:pPr>
            <w:r>
              <w:rPr>
                <w:rFonts w:hint="eastAsia" w:ascii="方正小标宋简体" w:hAnsi="方正小标宋简体" w:eastAsia="方正小标宋简体" w:cs="方正小标宋简体"/>
                <w:i w:val="0"/>
                <w:color w:val="000000"/>
                <w:kern w:val="0"/>
                <w:sz w:val="40"/>
                <w:szCs w:val="40"/>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项目名称</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地图审核项目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预算单位</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rPr>
              <w:t>广元市自然资源</w:t>
            </w:r>
            <w:r>
              <w:rPr>
                <w:rFonts w:hint="eastAsia" w:ascii="宋体" w:hAnsi="宋体" w:eastAsia="宋体" w:cs="宋体"/>
                <w:i w:val="0"/>
                <w:color w:val="000000"/>
                <w:sz w:val="24"/>
                <w:szCs w:val="24"/>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项目类型</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专项预算项目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kern w:val="0"/>
                <w:sz w:val="24"/>
                <w:szCs w:val="24"/>
                <w:u w:val="none"/>
                <w:lang w:val="en-US" w:eastAsia="zh-CN" w:bidi="ar"/>
              </w:rPr>
            </w:pPr>
            <w:r>
              <w:rPr>
                <w:rFonts w:ascii="宋体" w:hAnsi="宋体" w:eastAsia="宋体" w:cs="宋体"/>
                <w:i w:val="0"/>
                <w:color w:val="000000"/>
                <w:kern w:val="0"/>
                <w:sz w:val="24"/>
                <w:szCs w:val="24"/>
                <w:u w:val="none"/>
                <w:lang w:val="en-US" w:eastAsia="zh-CN" w:bidi="ar"/>
              </w:rPr>
              <w:t>中长期规划（名称、文号，仅指</w:t>
            </w:r>
          </w:p>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常年项目）</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rPr>
            </w:pPr>
            <w:r>
              <w:rPr>
                <w:rFonts w:hint="eastAsia" w:ascii="仿宋_GB2312" w:hAnsi="仿宋_GB2312" w:eastAsia="仿宋_GB2312" w:cs="仿宋_GB2312"/>
                <w:i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资金管理办法（名称、文号）</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广元市自然资源局财务管理制度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5"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Wingdings 2" w:hAnsi="Wingdings 2" w:eastAsia="Wingdings 2" w:cs="Wingdings 2"/>
                <w:i w:val="0"/>
                <w:color w:val="000000"/>
                <w:sz w:val="24"/>
                <w:szCs w:val="24"/>
                <w:u w:val="none"/>
              </w:rPr>
            </w:pPr>
            <w:r>
              <w:rPr>
                <w:rFonts w:hint="default" w:ascii="Wingdings 2" w:hAnsi="Wingdings 2" w:eastAsia="Wingdings 2" w:cs="Wingdings 2"/>
                <w:i w:val="0"/>
                <w:color w:val="000000"/>
                <w:kern w:val="0"/>
                <w:sz w:val="24"/>
                <w:szCs w:val="24"/>
                <w:u w:val="none"/>
                <w:lang w:val="en-US" w:eastAsia="zh-CN" w:bidi="ar"/>
              </w:rPr>
              <w:sym w:font="Wingdings 2" w:char="00A3"/>
            </w:r>
            <w:r>
              <w:rPr>
                <w:rFonts w:ascii="宋体" w:hAnsi="宋体" w:eastAsia="宋体" w:cs="宋体"/>
                <w:i w:val="0"/>
                <w:color w:val="000000"/>
                <w:kern w:val="0"/>
                <w:sz w:val="24"/>
                <w:szCs w:val="24"/>
                <w:u w:val="none"/>
                <w:lang w:val="en-US" w:eastAsia="zh-CN" w:bidi="ar"/>
              </w:rPr>
              <w:t>因素法</w:t>
            </w:r>
          </w:p>
        </w:tc>
        <w:tc>
          <w:tcPr>
            <w:tcW w:w="20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Wingdings 2" w:hAnsi="Wingdings 2" w:eastAsia="Wingdings 2" w:cs="Wingdings 2"/>
                <w:i w:val="0"/>
                <w:color w:val="000000"/>
                <w:sz w:val="24"/>
                <w:szCs w:val="24"/>
                <w:u w:val="none"/>
              </w:rPr>
            </w:pPr>
            <w:r>
              <w:rPr>
                <w:rFonts w:hint="default" w:ascii="Wingdings 2" w:hAnsi="Wingdings 2" w:eastAsia="Wingdings 2" w:cs="Wingdings 2"/>
                <w:i w:val="0"/>
                <w:color w:val="000000"/>
                <w:kern w:val="0"/>
                <w:sz w:val="24"/>
                <w:szCs w:val="24"/>
                <w:u w:val="none"/>
                <w:lang w:val="en-US" w:eastAsia="zh-CN" w:bidi="ar"/>
              </w:rPr>
              <w:sym w:font="Wingdings 2" w:char="0052"/>
            </w:r>
            <w:r>
              <w:rPr>
                <w:rFonts w:hint="default" w:ascii="Wingdings 2" w:hAnsi="Wingdings 2" w:eastAsia="Wingdings 2" w:cs="Wingdings 2"/>
                <w:i w:val="0"/>
                <w:color w:val="000000"/>
                <w:kern w:val="0"/>
                <w:sz w:val="24"/>
                <w:szCs w:val="24"/>
                <w:u w:val="none"/>
                <w:lang w:val="en-US" w:eastAsia="zh-CN" w:bidi="ar"/>
              </w:rPr>
              <w:t>项目法</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Wingdings 2" w:hAnsi="Wingdings 2" w:eastAsia="Wingdings 2" w:cs="Wingdings 2"/>
                <w:i w:val="0"/>
                <w:color w:val="000000"/>
                <w:sz w:val="24"/>
                <w:szCs w:val="24"/>
                <w:u w:val="none"/>
              </w:rPr>
            </w:pPr>
            <w:r>
              <w:rPr>
                <w:rFonts w:hint="default" w:ascii="Wingdings 2" w:hAnsi="Wingdings 2" w:eastAsia="Wingdings 2" w:cs="Wingdings 2"/>
                <w:i w:val="0"/>
                <w:color w:val="000000"/>
                <w:kern w:val="0"/>
                <w:sz w:val="24"/>
                <w:szCs w:val="24"/>
                <w:u w:val="none"/>
                <w:lang w:val="en-US" w:eastAsia="zh-CN" w:bidi="ar"/>
              </w:rPr>
              <w:sym w:font="Wingdings 2" w:char="00A3"/>
            </w:r>
            <w:r>
              <w:rPr>
                <w:rFonts w:ascii="宋体" w:hAnsi="宋体" w:eastAsia="宋体" w:cs="宋体"/>
                <w:i w:val="0"/>
                <w:color w:val="000000"/>
                <w:kern w:val="0"/>
                <w:sz w:val="24"/>
                <w:szCs w:val="24"/>
                <w:u w:val="none"/>
                <w:lang w:val="en-US" w:eastAsia="zh-CN" w:bidi="ar"/>
              </w:rPr>
              <w:t>据实据效</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Wingdings 2" w:hAnsi="Wingdings 2" w:eastAsia="Wingdings 2" w:cs="Wingdings 2"/>
                <w:i w:val="0"/>
                <w:color w:val="000000"/>
                <w:sz w:val="24"/>
                <w:szCs w:val="24"/>
                <w:u w:val="none"/>
              </w:rPr>
            </w:pPr>
            <w:r>
              <w:rPr>
                <w:rFonts w:hint="default" w:ascii="Wingdings 2" w:hAnsi="Wingdings 2" w:eastAsia="Wingdings 2" w:cs="Wingdings 2"/>
                <w:i w:val="0"/>
                <w:color w:val="000000"/>
                <w:kern w:val="0"/>
                <w:sz w:val="24"/>
                <w:szCs w:val="24"/>
                <w:u w:val="none"/>
                <w:lang w:val="en-US" w:eastAsia="zh-CN" w:bidi="ar"/>
              </w:rPr>
              <w:t>£</w:t>
            </w:r>
            <w:r>
              <w:rPr>
                <w:rFonts w:ascii="宋体" w:hAnsi="宋体" w:eastAsia="宋体" w:cs="宋体"/>
                <w:i w:val="0"/>
                <w:color w:val="000000"/>
                <w:kern w:val="0"/>
                <w:sz w:val="24"/>
                <w:szCs w:val="24"/>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立项依据</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按照《四川省地图审核管理办法》，我局具有地图审核工作相关职能，为履行测绘地理信息行政管理职能，做好地图审核工作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使用范围</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委托业务费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申报（补助）条件</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both"/>
              <w:rPr>
                <w:rFonts w:hint="eastAsia" w:ascii="宋体" w:hAnsi="宋体" w:eastAsia="宋体" w:cs="宋体"/>
                <w:i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项目起止年限</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2024-2025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ascii="宋体" w:hAnsi="宋体" w:eastAsia="宋体" w:cs="宋体"/>
                <w:i w:val="0"/>
                <w:color w:val="000000"/>
                <w:kern w:val="0"/>
                <w:sz w:val="24"/>
                <w:szCs w:val="24"/>
                <w:u w:val="none"/>
                <w:lang w:val="en-US" w:eastAsia="zh-CN" w:bidi="ar"/>
              </w:rPr>
              <w:t>项目资金</w:t>
            </w:r>
          </w:p>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 xml:space="preserve">  年度资金总额：</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 xml:space="preserve"> </w:t>
            </w:r>
            <w:r>
              <w:rPr>
                <w:rFonts w:ascii="宋体" w:hAnsi="宋体" w:eastAsia="宋体" w:cs="宋体"/>
                <w:i w:val="0"/>
                <w:color w:val="000000"/>
                <w:kern w:val="0"/>
                <w:sz w:val="24"/>
                <w:szCs w:val="24"/>
                <w:u w:val="none"/>
                <w:lang w:val="en-US" w:eastAsia="zh-CN" w:bidi="ar"/>
              </w:rPr>
              <w:t>其中：财政拨款</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both"/>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 xml:space="preserve">            其他资金</w:t>
            </w:r>
          </w:p>
        </w:tc>
        <w:tc>
          <w:tcPr>
            <w:tcW w:w="59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总体 目标</w:t>
            </w:r>
          </w:p>
        </w:tc>
        <w:tc>
          <w:tcPr>
            <w:tcW w:w="95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c>
          <w:tcPr>
            <w:tcW w:w="95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已完成地图审核工作，为全市政治经济高质量发展提供了有力支撑。</w:t>
            </w:r>
          </w:p>
          <w:p>
            <w:pPr>
              <w:keepNext w:val="0"/>
              <w:keepLines w:val="0"/>
              <w:pageBreakBefore w:val="0"/>
              <w:kinsoku/>
              <w:wordWrap/>
              <w:overflowPunct/>
              <w:topLinePunct w:val="0"/>
              <w:autoSpaceDE/>
              <w:autoSpaceDN/>
              <w:bidi w:val="0"/>
              <w:adjustRightInd/>
              <w:snapToGrid/>
              <w:spacing w:line="300" w:lineRule="exact"/>
              <w:ind w:left="0" w:leftChars="0"/>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指标性质</w:t>
            </w:r>
          </w:p>
        </w:tc>
        <w:tc>
          <w:tcPr>
            <w:tcW w:w="13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指标值</w:t>
            </w:r>
          </w:p>
        </w:tc>
        <w:tc>
          <w:tcPr>
            <w:tcW w:w="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度量单位</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权重</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产出指标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审核个数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6</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个</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产出指标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验收合格率</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产出指标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完成时间</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年</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效益指标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ascii="宋体" w:hAnsi="宋体" w:eastAsia="宋体" w:cs="宋体"/>
                <w:i w:val="0"/>
                <w:color w:val="000000"/>
                <w:kern w:val="0"/>
                <w:sz w:val="24"/>
                <w:szCs w:val="24"/>
                <w:u w:val="none"/>
                <w:lang w:val="en-US" w:eastAsia="zh-CN" w:bidi="ar"/>
              </w:rPr>
              <w:t>社会效益</w:t>
            </w:r>
          </w:p>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为全市政治经济高质量发展提供了有力支撑。</w:t>
            </w:r>
          </w:p>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定性</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优</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级</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满意度指标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18"/>
                <w:szCs w:val="18"/>
                <w:u w:val="none"/>
                <w:lang w:val="en-US" w:eastAsia="zh-CN" w:bidi="ar-SA"/>
              </w:rPr>
              <w:t>服务对象满意度</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lang w:val="en-US" w:eastAsia="zh-CN"/>
              </w:rPr>
            </w:pPr>
            <w:r>
              <w:rPr>
                <w:rFonts w:ascii="宋体" w:hAnsi="宋体" w:eastAsia="宋体" w:cs="宋体"/>
                <w:i w:val="0"/>
                <w:iCs w:val="0"/>
                <w:color w:val="000000"/>
                <w:kern w:val="0"/>
                <w:sz w:val="24"/>
                <w:szCs w:val="24"/>
                <w:u w:val="none"/>
                <w:lang w:val="en-US" w:eastAsia="zh-CN"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经济成本指标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预算控制数</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7.6</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万元</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w:t>
            </w:r>
          </w:p>
        </w:tc>
        <w:tc>
          <w:tcPr>
            <w:tcW w:w="18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ind w:left="0" w:leftChars="0"/>
              <w:jc w:val="both"/>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7.6</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pStyle w:val="37"/>
        <w:keepNext w:val="0"/>
        <w:keepLines w:val="0"/>
        <w:pageBreakBefore w:val="0"/>
        <w:widowControl w:val="0"/>
        <w:kinsoku/>
        <w:wordWrap/>
        <w:overflowPunct/>
        <w:topLinePunct w:val="0"/>
        <w:autoSpaceDE/>
        <w:autoSpaceDN/>
        <w:bidi w:val="0"/>
        <w:spacing w:line="600" w:lineRule="exact"/>
        <w:ind w:left="0" w:leftChars="0" w:firstLine="0" w:firstLineChars="0"/>
        <w:jc w:val="center"/>
        <w:textAlignment w:val="auto"/>
        <w:rPr>
          <w:rFonts w:hint="default"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广元市自然资源局</w:t>
      </w:r>
    </w:p>
    <w:p>
      <w:pPr>
        <w:pStyle w:val="37"/>
        <w:keepNext w:val="0"/>
        <w:keepLines w:val="0"/>
        <w:pageBreakBefore w:val="0"/>
        <w:widowControl w:val="0"/>
        <w:kinsoku/>
        <w:wordWrap/>
        <w:overflowPunct/>
        <w:topLinePunct w:val="0"/>
        <w:autoSpaceDE/>
        <w:autoSpaceDN/>
        <w:bidi w:val="0"/>
        <w:spacing w:line="600" w:lineRule="exact"/>
        <w:ind w:left="0" w:leftChars="0" w:firstLine="0" w:firstLine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关于全市硅基新材料产业发展专题培训费</w:t>
      </w:r>
    </w:p>
    <w:p>
      <w:pPr>
        <w:pStyle w:val="37"/>
        <w:keepNext w:val="0"/>
        <w:keepLines w:val="0"/>
        <w:pageBreakBefore w:val="0"/>
        <w:widowControl w:val="0"/>
        <w:kinsoku/>
        <w:wordWrap/>
        <w:overflowPunct/>
        <w:topLinePunct w:val="0"/>
        <w:autoSpaceDE/>
        <w:autoSpaceDN/>
        <w:bidi w:val="0"/>
        <w:spacing w:line="600" w:lineRule="exact"/>
        <w:ind w:left="0" w:leftChars="0" w:firstLine="0" w:firstLine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w:t>
      </w:r>
    </w:p>
    <w:p>
      <w:pPr>
        <w:pStyle w:val="37"/>
        <w:keepNext w:val="0"/>
        <w:keepLines w:val="0"/>
        <w:pageBreakBefore w:val="0"/>
        <w:widowControl w:val="0"/>
        <w:kinsoku/>
        <w:wordWrap/>
        <w:overflowPunct/>
        <w:topLinePunct w:val="0"/>
        <w:autoSpaceDE/>
        <w:autoSpaceDN/>
        <w:bidi w:val="0"/>
        <w:spacing w:line="600" w:lineRule="exact"/>
        <w:ind w:left="0" w:leftChars="0" w:firstLine="0" w:firstLineChars="0"/>
        <w:jc w:val="both"/>
        <w:textAlignment w:val="auto"/>
        <w:rPr>
          <w:rFonts w:ascii="宋体" w:hAnsi="宋体"/>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黑体" w:hAnsi="黑体" w:eastAsia="黑体" w:cs="黑体"/>
          <w:sz w:val="32"/>
          <w:szCs w:val="32"/>
          <w:highlight w:val="none"/>
          <w:lang w:val="zh-CN"/>
        </w:rPr>
      </w:pPr>
      <w:r>
        <w:rPr>
          <w:rFonts w:hint="eastAsia" w:ascii="黑体" w:hAnsi="黑体" w:eastAsia="黑体" w:cs="黑体"/>
          <w:sz w:val="32"/>
          <w:szCs w:val="32"/>
          <w:highlight w:val="none"/>
        </w:rPr>
        <w:t>一、</w:t>
      </w:r>
      <w:r>
        <w:rPr>
          <w:rFonts w:hint="eastAsia" w:ascii="黑体" w:hAnsi="黑体" w:eastAsia="黑体" w:cs="黑体"/>
          <w:sz w:val="32"/>
          <w:szCs w:val="32"/>
          <w:highlight w:val="none"/>
          <w:lang w:val="zh-CN"/>
        </w:rPr>
        <w:t>项目概况</w:t>
      </w:r>
    </w:p>
    <w:p>
      <w:pPr>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rPr>
      </w:pPr>
      <w:r>
        <w:rPr>
          <w:rFonts w:hint="eastAsia" w:ascii="楷体_GB2312" w:hAnsi="楷体_GB2312" w:eastAsia="楷体_GB2312" w:cs="楷体_GB2312"/>
          <w:b w:val="0"/>
          <w:bCs/>
          <w:color w:val="auto"/>
          <w:sz w:val="32"/>
          <w:szCs w:val="32"/>
          <w:highlight w:val="none"/>
          <w:u w:val="none"/>
          <w:lang w:val="zh-CN"/>
        </w:rPr>
        <w:t>（一）设立背景及基本情况。</w:t>
      </w:r>
    </w:p>
    <w:p>
      <w:pPr>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按照市委市</w:t>
      </w:r>
      <w:r>
        <w:rPr>
          <w:rFonts w:hint="eastAsia" w:ascii="仿宋_GB2312" w:hAnsi="仿宋_GB2312" w:eastAsia="仿宋_GB2312" w:cs="仿宋_GB2312"/>
          <w:sz w:val="32"/>
          <w:szCs w:val="32"/>
          <w:lang w:val="en-US" w:eastAsia="zh-CN"/>
        </w:rPr>
        <w:t>组织部《关于印发2023年市级重点专题培训计划的通知》（广组训[2023]10号）文件要求，我局联合市委组织部于2023年7月9日-15日在安徽蚌埠举办“全市硅基新材料产业发展专题培训”，全市共60人参加培训，经费14.58万元。</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color w:val="auto"/>
          <w:sz w:val="32"/>
          <w:szCs w:val="32"/>
          <w:highlight w:val="none"/>
          <w:u w:val="none"/>
          <w:lang w:val="en-US" w:eastAsia="zh-CN"/>
        </w:rPr>
        <w:t>（二）实施目的及支持方向。</w:t>
      </w:r>
      <w:r>
        <w:rPr>
          <w:rFonts w:hint="eastAsia" w:ascii="仿宋_GB2312" w:hAnsi="仿宋_GB2312" w:eastAsia="仿宋_GB2312" w:cs="仿宋_GB2312"/>
          <w:b w:val="0"/>
          <w:bCs w:val="0"/>
          <w:sz w:val="32"/>
          <w:szCs w:val="32"/>
          <w:lang w:val="en-US" w:eastAsia="zh-CN"/>
        </w:rPr>
        <w:t>我局制度了《财务管理制度》、《专项资金管理制度》、《三重一大制度》《政府采购内控管理制度》等相关制度。</w:t>
      </w: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本项目资金实行单独核算，确保专款专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按时组织完成全市硅基新材料产业专题培训，全力推进全市硅基新材料产业高质量发展。</w:t>
      </w:r>
    </w:p>
    <w:p>
      <w:pPr>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eastAsia="zh-CN"/>
        </w:rPr>
      </w:pPr>
      <w:r>
        <w:rPr>
          <w:rFonts w:hint="eastAsia" w:ascii="楷体_GB2312" w:hAnsi="楷体_GB2312" w:eastAsia="楷体_GB2312" w:cs="楷体_GB2312"/>
          <w:b w:val="0"/>
          <w:bCs/>
          <w:color w:val="auto"/>
          <w:sz w:val="32"/>
          <w:szCs w:val="32"/>
          <w:highlight w:val="none"/>
          <w:u w:val="none"/>
          <w:lang w:val="zh-CN" w:eastAsia="zh-CN"/>
        </w:rPr>
        <w:t>（三）</w:t>
      </w:r>
      <w:r>
        <w:rPr>
          <w:rFonts w:hint="eastAsia" w:ascii="楷体_GB2312" w:hAnsi="楷体_GB2312" w:eastAsia="楷体_GB2312" w:cs="楷体_GB2312"/>
          <w:b w:val="0"/>
          <w:bCs/>
          <w:color w:val="auto"/>
          <w:sz w:val="32"/>
          <w:szCs w:val="32"/>
          <w:highlight w:val="none"/>
          <w:u w:val="none"/>
          <w:lang w:val="en-US" w:eastAsia="zh-CN"/>
        </w:rPr>
        <w:t>预算安排及分配管理</w:t>
      </w:r>
      <w:r>
        <w:rPr>
          <w:rFonts w:hint="eastAsia" w:ascii="楷体_GB2312" w:hAnsi="楷体_GB2312" w:eastAsia="楷体_GB2312" w:cs="楷体_GB2312"/>
          <w:b w:val="0"/>
          <w:bCs/>
          <w:color w:val="auto"/>
          <w:sz w:val="32"/>
          <w:szCs w:val="32"/>
          <w:highlight w:val="none"/>
          <w:u w:val="none"/>
          <w:lang w:val="zh-CN" w:eastAsia="zh-CN"/>
        </w:rPr>
        <w:t>。</w:t>
      </w:r>
    </w:p>
    <w:p>
      <w:pPr>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根据我局的资金申请，</w:t>
      </w:r>
      <w:r>
        <w:rPr>
          <w:rFonts w:hint="eastAsia" w:ascii="仿宋_GB2312" w:hAnsi="仿宋_GB2312" w:eastAsia="仿宋_GB2312" w:cs="仿宋_GB2312"/>
          <w:sz w:val="32"/>
          <w:szCs w:val="32"/>
        </w:rPr>
        <w:t>市财政于2023年9月5日下达主题培训费14.58万元，我局按照合同约定支付培训经费14.58万元。</w:t>
      </w:r>
      <w:r>
        <w:rPr>
          <w:rFonts w:hint="eastAsia" w:ascii="仿宋_GB2312" w:hAnsi="仿宋_GB2312" w:eastAsia="仿宋_GB2312" w:cs="仿宋_GB2312"/>
          <w:bCs/>
          <w:sz w:val="32"/>
          <w:szCs w:val="32"/>
        </w:rPr>
        <w:t>我局制度了《财务管理制度》和《专项资金管理制度》和《三重一大制度》，确保项目高效率使用和支付过程中严格执行相关制度，专款专用，无截留，无挪用。</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val="0"/>
          <w:bCs/>
          <w:color w:val="auto"/>
          <w:sz w:val="32"/>
          <w:szCs w:val="32"/>
          <w:highlight w:val="none"/>
          <w:u w:val="none"/>
          <w:lang w:val="zh-CN" w:eastAsia="zh-CN"/>
        </w:rPr>
        <w:t>（四）项目绩效目标设置。</w:t>
      </w:r>
      <w:r>
        <w:rPr>
          <w:rFonts w:hint="eastAsia" w:ascii="仿宋_GB2312" w:hAnsi="仿宋_GB2312" w:eastAsia="仿宋_GB2312" w:cs="仿宋_GB2312"/>
          <w:sz w:val="32"/>
          <w:szCs w:val="32"/>
        </w:rPr>
        <w:t>绩效目标和绩效指标可量化考核</w:t>
      </w:r>
      <w:r>
        <w:rPr>
          <w:rFonts w:hint="eastAsia" w:ascii="仿宋_GB2312" w:hAnsi="仿宋_GB2312" w:eastAsia="仿宋_GB2312" w:cs="仿宋_GB2312"/>
          <w:sz w:val="32"/>
          <w:szCs w:val="32"/>
          <w:lang w:eastAsia="zh-CN"/>
        </w:rPr>
        <w:t>，与规划部门的长期规划目标、年度工作目标相一致。绩效指标细化、量化，绩效目标和绩效指标契合政策或项目实质，产出和效果相关联。可对满意度指标进行量化预测，绩效目标具有一定的前瞻性和挑战性，绩效目标和绩效指标相匹配，</w:t>
      </w:r>
      <w:r>
        <w:rPr>
          <w:rFonts w:hint="eastAsia" w:ascii="仿宋_GB2312" w:hAnsi="仿宋_GB2312" w:eastAsia="仿宋_GB2312" w:cs="仿宋_GB2312"/>
          <w:sz w:val="32"/>
          <w:szCs w:val="32"/>
        </w:rPr>
        <w:t>全面完整，契合项目实质</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rPr>
        <w:t>二、</w:t>
      </w:r>
      <w:r>
        <w:rPr>
          <w:rFonts w:hint="eastAsia" w:ascii="黑体" w:hAnsi="黑体" w:eastAsia="黑体" w:cs="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val="0"/>
          <w:bCs/>
          <w:color w:val="auto"/>
          <w:sz w:val="32"/>
          <w:szCs w:val="32"/>
          <w:highlight w:val="none"/>
          <w:u w:val="none"/>
          <w:lang w:val="zh-CN"/>
        </w:rPr>
        <w:t>（一）评价目的。</w:t>
      </w:r>
      <w:r>
        <w:rPr>
          <w:rFonts w:hint="eastAsia" w:ascii="仿宋_GB2312" w:hAnsi="仿宋_GB2312" w:eastAsia="仿宋_GB2312" w:cs="仿宋_GB2312"/>
          <w:kern w:val="2"/>
          <w:sz w:val="32"/>
          <w:szCs w:val="32"/>
          <w:highlight w:val="none"/>
          <w:lang w:val="en-US" w:eastAsia="zh-CN" w:bidi="ar-SA"/>
        </w:rPr>
        <w:t>通过绩效评价，一是对项目预算及资金使用方案的合理性和有效性进行优化，去除不合理的预算项目。二是详细掌握资金使用情况，提高预算执行力。三是促进预算管理的公开化透明化</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color w:val="auto"/>
          <w:sz w:val="32"/>
          <w:szCs w:val="32"/>
          <w:highlight w:val="none"/>
          <w:u w:val="none"/>
          <w:lang w:val="zh-CN"/>
        </w:rPr>
        <w:t>（二）预设问题及评价重点。</w:t>
      </w:r>
      <w:r>
        <w:rPr>
          <w:rFonts w:hint="eastAsia" w:ascii="仿宋_GB2312" w:hAnsi="仿宋_GB2312" w:eastAsia="仿宋_GB2312" w:cs="仿宋_GB2312"/>
          <w:b w:val="0"/>
          <w:bCs/>
          <w:color w:val="auto"/>
          <w:sz w:val="32"/>
          <w:szCs w:val="32"/>
          <w:highlight w:val="none"/>
          <w:u w:val="none"/>
          <w:lang w:val="en-US" w:eastAsia="zh-CN"/>
        </w:rPr>
        <w:t>按照绩效评价指标体系体系</w:t>
      </w:r>
      <w:r>
        <w:rPr>
          <w:rFonts w:hint="eastAsia" w:ascii="仿宋_GB2312" w:hAnsi="仿宋_GB2312" w:eastAsia="仿宋_GB2312" w:cs="仿宋_GB2312"/>
          <w:b w:val="0"/>
          <w:bCs/>
          <w:color w:val="auto"/>
          <w:sz w:val="32"/>
          <w:szCs w:val="32"/>
          <w:highlight w:val="none"/>
          <w:u w:val="none"/>
          <w:lang w:val="zh-CN"/>
        </w:rPr>
        <w:t>，</w:t>
      </w:r>
      <w:r>
        <w:rPr>
          <w:rFonts w:hint="eastAsia" w:ascii="仿宋_GB2312" w:hAnsi="仿宋_GB2312" w:eastAsia="仿宋_GB2312" w:cs="仿宋_GB2312"/>
          <w:b w:val="0"/>
          <w:bCs/>
          <w:color w:val="auto"/>
          <w:sz w:val="32"/>
          <w:szCs w:val="32"/>
          <w:highlight w:val="none"/>
          <w:u w:val="none"/>
          <w:lang w:val="en-US" w:eastAsia="zh-CN"/>
        </w:rPr>
        <w:t>该项目</w:t>
      </w:r>
      <w:r>
        <w:rPr>
          <w:rFonts w:hint="eastAsia" w:ascii="仿宋_GB2312" w:hAnsi="仿宋_GB2312" w:eastAsia="仿宋_GB2312" w:cs="仿宋_GB2312"/>
          <w:b w:val="0"/>
          <w:bCs/>
          <w:sz w:val="32"/>
          <w:szCs w:val="32"/>
          <w:lang w:eastAsia="zh-CN"/>
        </w:rPr>
        <w:t>经费使用应符合相关财务法规和政策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按照合同约定和项目进度进行支付，做到专款专用，</w:t>
      </w:r>
      <w:r>
        <w:rPr>
          <w:rFonts w:hint="eastAsia" w:ascii="仿宋_GB2312" w:hAnsi="仿宋_GB2312" w:eastAsia="仿宋_GB2312" w:cs="仿宋_GB2312"/>
          <w:sz w:val="32"/>
          <w:szCs w:val="32"/>
          <w:lang w:eastAsia="zh-CN"/>
        </w:rPr>
        <w:t>确保资金使用的合法合规，避免违规行为发生。</w:t>
      </w:r>
      <w:r>
        <w:rPr>
          <w:rFonts w:hint="eastAsia" w:ascii="仿宋_GB2312" w:hAnsi="仿宋_GB2312" w:eastAsia="仿宋_GB2312" w:cs="仿宋_GB2312"/>
          <w:sz w:val="32"/>
          <w:szCs w:val="32"/>
          <w:lang w:val="en-US" w:eastAsia="zh-CN"/>
        </w:rPr>
        <w:t>按时组织完成全市硅基新材料产业专题培训，全力推进全市硅基新材料产业高质量发展。</w:t>
      </w:r>
    </w:p>
    <w:p>
      <w:pPr>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sz w:val="32"/>
          <w:szCs w:val="32"/>
          <w:highlight w:val="none"/>
          <w:u w:val="none"/>
          <w:lang w:val="zh-CN"/>
        </w:rPr>
        <w:t>（三）评价选点。</w:t>
      </w:r>
      <w:r>
        <w:rPr>
          <w:rFonts w:hint="eastAsia" w:ascii="仿宋_GB2312" w:hAnsi="仿宋_GB2312" w:eastAsia="仿宋_GB2312" w:cs="仿宋_GB2312"/>
          <w:sz w:val="32"/>
          <w:szCs w:val="32"/>
        </w:rPr>
        <w:t>年末通过数量指标、质量指标及产生的社会效益和政府满意度来自评项目绩效完成情况。</w:t>
      </w: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sz w:val="32"/>
          <w:szCs w:val="32"/>
          <w:highlight w:val="none"/>
          <w:u w:val="none"/>
          <w:lang w:val="zh-CN"/>
        </w:rPr>
        <w:t>（四）评价方法。</w:t>
      </w:r>
      <w:r>
        <w:rPr>
          <w:rFonts w:hint="eastAsia" w:ascii="仿宋_GB2312" w:hAnsi="仿宋_GB2312" w:eastAsia="仿宋_GB2312" w:cs="仿宋_GB2312"/>
          <w:sz w:val="32"/>
          <w:szCs w:val="32"/>
        </w:rPr>
        <w:t>采用单位自评法</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楷体_GB2312" w:hAnsi="楷体_GB2312" w:eastAsia="楷体_GB2312" w:cs="楷体_GB2312"/>
          <w:b w:val="0"/>
          <w:bCs/>
          <w:color w:val="auto"/>
          <w:sz w:val="32"/>
          <w:szCs w:val="32"/>
          <w:highlight w:val="none"/>
          <w:u w:val="none"/>
          <w:lang w:val="zh-CN"/>
        </w:rPr>
        <w:t>（五）评价组织。</w:t>
      </w:r>
      <w:r>
        <w:rPr>
          <w:rFonts w:hint="eastAsia" w:ascii="仿宋_GB2312" w:hAnsi="仿宋_GB2312" w:eastAsia="仿宋_GB2312" w:cs="仿宋_GB2312"/>
          <w:b w:val="0"/>
          <w:bCs w:val="0"/>
          <w:sz w:val="32"/>
          <w:szCs w:val="32"/>
          <w:highlight w:val="none"/>
          <w:lang w:val="en-US" w:eastAsia="zh-CN"/>
        </w:rPr>
        <w:t>按照财政资金“谁使用，谁自评”的原则，</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我单位在收到</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自评工作通知后，立即</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落实专人负责</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，及时</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与相关业务科实协调对接</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，对项目概况、评价实施、绩效分析、评价结论、存在主要问题、改进建议等进行综合自评，形成自评结果。</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三、</w:t>
      </w:r>
      <w:r>
        <w:rPr>
          <w:rFonts w:hint="eastAsia" w:ascii="黑体" w:hAnsi="黑体" w:eastAsia="黑体" w:cs="黑体"/>
          <w:sz w:val="32"/>
          <w:szCs w:val="32"/>
          <w:highlight w:val="none"/>
          <w:lang w:eastAsia="zh-CN"/>
        </w:rPr>
        <w:t>绩效分析</w:t>
      </w:r>
    </w:p>
    <w:p>
      <w:pPr>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color w:val="auto"/>
          <w:sz w:val="32"/>
          <w:szCs w:val="32"/>
          <w:highlight w:val="none"/>
          <w:u w:val="none"/>
          <w:lang w:val="en-US" w:eastAsia="zh-CN"/>
        </w:rPr>
      </w:pPr>
      <w:r>
        <w:rPr>
          <w:rFonts w:hint="eastAsia" w:ascii="楷体_GB2312" w:hAnsi="楷体_GB2312" w:eastAsia="楷体_GB2312" w:cs="楷体_GB2312"/>
          <w:b w:val="0"/>
          <w:bCs/>
          <w:color w:val="auto"/>
          <w:sz w:val="32"/>
          <w:szCs w:val="32"/>
          <w:highlight w:val="none"/>
          <w:u w:val="none"/>
          <w:lang w:val="zh-CN"/>
        </w:rPr>
        <w:t>（一）</w:t>
      </w:r>
      <w:r>
        <w:rPr>
          <w:rFonts w:hint="eastAsia" w:ascii="楷体_GB2312" w:hAnsi="楷体_GB2312" w:eastAsia="楷体_GB2312" w:cs="楷体_GB2312"/>
          <w:b w:val="0"/>
          <w:bCs/>
          <w:color w:val="auto"/>
          <w:sz w:val="32"/>
          <w:szCs w:val="32"/>
          <w:highlight w:val="none"/>
          <w:u w:val="none"/>
          <w:lang w:val="en-US" w:eastAsia="zh-CN"/>
        </w:rPr>
        <w:t>通用指标</w:t>
      </w:r>
      <w:r>
        <w:rPr>
          <w:rFonts w:hint="eastAsia" w:ascii="楷体_GB2312" w:hAnsi="楷体_GB2312" w:eastAsia="楷体_GB2312" w:cs="楷体_GB2312"/>
          <w:b w:val="0"/>
          <w:bCs/>
          <w:color w:val="auto"/>
          <w:sz w:val="32"/>
          <w:szCs w:val="32"/>
          <w:highlight w:val="none"/>
          <w:u w:val="none"/>
          <w:lang w:val="zh-CN"/>
        </w:rPr>
        <w:t>绩效分析。</w:t>
      </w:r>
    </w:p>
    <w:p>
      <w:pPr>
        <w:pageBreakBefore w:val="0"/>
        <w:widowControl w:val="0"/>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w:t>
      </w:r>
      <w:r>
        <w:rPr>
          <w:rFonts w:hint="eastAsia" w:ascii="仿宋_GB2312" w:hAnsi="仿宋_GB2312" w:eastAsia="仿宋_GB2312" w:cs="仿宋_GB2312"/>
          <w:b w:val="0"/>
          <w:bCs/>
          <w:sz w:val="32"/>
          <w:szCs w:val="32"/>
          <w:lang w:val="zh-CN"/>
        </w:rPr>
        <w:t>一是贯彻落实中央关于自然资源工作的方针政策和省委、市委决策部署，并按照单位的职能职责，资金预算合规、科学、合理的同时，把预算、绩效和自然资源改革发展工作深度融合。二是履行预算绩效设立审核程序，经集体研究决策后纳入预算。三是细化量化项目绩效目标，编制预算时对科室申报的预算项目进行全面梳理，严把审核关，所有项目必须有明细的资金测算，对审核后的所有项目全部进行入库管理。</w:t>
      </w:r>
    </w:p>
    <w:p>
      <w:pPr>
        <w:pageBreakBefore w:val="0"/>
        <w:widowControl w:val="0"/>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color w:val="auto"/>
          <w:sz w:val="32"/>
          <w:szCs w:val="32"/>
          <w:lang w:val="en-US" w:eastAsia="zh-CN"/>
        </w:rPr>
        <w:t>一是</w:t>
      </w:r>
      <w:r>
        <w:rPr>
          <w:rFonts w:hint="eastAsia" w:ascii="仿宋_GB2312" w:hAnsi="仿宋_GB2312" w:eastAsia="仿宋_GB2312" w:cs="仿宋_GB2312"/>
          <w:b w:val="0"/>
          <w:bCs/>
          <w:sz w:val="32"/>
          <w:szCs w:val="32"/>
          <w:lang w:val="zh-CN"/>
        </w:rPr>
        <w:t>履行</w:t>
      </w:r>
      <w:r>
        <w:rPr>
          <w:rFonts w:hint="eastAsia" w:ascii="仿宋_GB2312" w:hAnsi="仿宋_GB2312" w:eastAsia="仿宋_GB2312" w:cs="仿宋_GB2312"/>
          <w:b w:val="0"/>
          <w:bCs/>
          <w:sz w:val="32"/>
          <w:szCs w:val="32"/>
          <w:lang w:val="en-US" w:eastAsia="zh-CN"/>
        </w:rPr>
        <w:t>项目</w:t>
      </w:r>
      <w:r>
        <w:rPr>
          <w:rFonts w:hint="eastAsia" w:ascii="仿宋_GB2312" w:hAnsi="仿宋_GB2312" w:eastAsia="仿宋_GB2312" w:cs="仿宋_GB2312"/>
          <w:b w:val="0"/>
          <w:bCs/>
          <w:sz w:val="32"/>
          <w:szCs w:val="32"/>
          <w:lang w:val="zh-CN"/>
        </w:rPr>
        <w:t>预算绩效设立审核程序，经集体研究决策后纳入</w:t>
      </w:r>
      <w:r>
        <w:rPr>
          <w:rFonts w:hint="eastAsia" w:ascii="仿宋_GB2312" w:hAnsi="仿宋_GB2312" w:eastAsia="仿宋_GB2312" w:cs="仿宋_GB2312"/>
          <w:b w:val="0"/>
          <w:bCs/>
          <w:sz w:val="32"/>
          <w:szCs w:val="32"/>
          <w:lang w:val="en-US" w:eastAsia="zh-CN"/>
        </w:rPr>
        <w:t>基建</w:t>
      </w:r>
      <w:r>
        <w:rPr>
          <w:rFonts w:hint="eastAsia" w:ascii="仿宋_GB2312" w:hAnsi="仿宋_GB2312" w:eastAsia="仿宋_GB2312" w:cs="仿宋_GB2312"/>
          <w:b w:val="0"/>
          <w:bCs/>
          <w:sz w:val="32"/>
          <w:szCs w:val="32"/>
          <w:lang w:val="zh-CN"/>
        </w:rPr>
        <w:t>预算。</w:t>
      </w: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sz w:val="32"/>
          <w:szCs w:val="32"/>
          <w:lang w:val="zh-CN"/>
        </w:rPr>
        <w:t>是细化量化项目绩效目标，编制预算时对科室申报的预算项目进行全面梳理，严把审核关，项目必须有明细的资金测算，对审核后进行入库管理。</w:t>
      </w:r>
      <w:r>
        <w:rPr>
          <w:rFonts w:hint="eastAsia" w:ascii="仿宋_GB2312" w:hAnsi="仿宋_GB2312" w:eastAsia="仿宋_GB2312" w:cs="仿宋_GB2312"/>
          <w:b w:val="0"/>
          <w:bCs/>
          <w:sz w:val="32"/>
          <w:szCs w:val="32"/>
          <w:lang w:val="en-US" w:eastAsia="zh-CN"/>
        </w:rPr>
        <w:t>财政下达资金后，我局严格按照《预算法》《项目资金管理办法》及时支付，确保项目按时按质完成。</w:t>
      </w:r>
    </w:p>
    <w:p>
      <w:pPr>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color w:val="auto"/>
          <w:sz w:val="32"/>
          <w:szCs w:val="32"/>
          <w:lang w:val="en-US" w:eastAsia="zh-CN"/>
        </w:rPr>
        <w:t>3.项目实施。</w:t>
      </w:r>
      <w:r>
        <w:rPr>
          <w:rFonts w:hint="eastAsia" w:ascii="仿宋_GB2312" w:hAnsi="仿宋_GB2312" w:eastAsia="仿宋_GB2312" w:cs="仿宋_GB2312"/>
          <w:color w:val="333333"/>
          <w:sz w:val="32"/>
          <w:szCs w:val="32"/>
          <w:shd w:val="clear" w:color="auto" w:fill="FFFFFF"/>
          <w:lang w:val="en-US" w:eastAsia="zh-CN"/>
        </w:rPr>
        <w:t>根据我局的资金申请，</w:t>
      </w:r>
      <w:r>
        <w:rPr>
          <w:rFonts w:hint="eastAsia" w:ascii="仿宋_GB2312" w:hAnsi="仿宋_GB2312" w:eastAsia="仿宋_GB2312" w:cs="仿宋_GB2312"/>
          <w:sz w:val="32"/>
          <w:szCs w:val="32"/>
        </w:rPr>
        <w:t>市财政于2023年9月5日下达主题培训费14.58万元，我局按照合同约定支付培训经费14.58万元</w:t>
      </w:r>
      <w:r>
        <w:rPr>
          <w:rFonts w:hint="eastAsia" w:ascii="仿宋_GB2312" w:hAnsi="仿宋_GB2312" w:eastAsia="仿宋_GB2312" w:cs="仿宋_GB2312"/>
          <w:sz w:val="32"/>
          <w:szCs w:val="32"/>
          <w:lang w:val="en-US" w:eastAsia="zh-CN"/>
        </w:rPr>
        <w:t>。预算执行率100%。</w:t>
      </w:r>
      <w:r>
        <w:rPr>
          <w:rFonts w:hint="eastAsia" w:ascii="仿宋_GB2312" w:hAnsi="仿宋_GB2312" w:eastAsia="仿宋_GB2312" w:cs="仿宋_GB2312"/>
          <w:bCs/>
          <w:sz w:val="32"/>
          <w:szCs w:val="32"/>
        </w:rPr>
        <w:t>我局制度了《财务管理制度》和《专项资金管理制度》和《三重一大制度》，确保项目高效率使用和支付过程中严格执行相关制度，专款专用，无截留，无挪用。</w:t>
      </w:r>
    </w:p>
    <w:p>
      <w:pPr>
        <w:pStyle w:val="7"/>
        <w:pageBreakBefore w:val="0"/>
        <w:widowControl w:val="0"/>
        <w:numPr>
          <w:ilvl w:val="0"/>
          <w:numId w:val="0"/>
        </w:numPr>
        <w:tabs>
          <w:tab w:val="left" w:pos="2160"/>
        </w:tabs>
        <w:kinsoku/>
        <w:wordWrap/>
        <w:overflowPunct/>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auto"/>
          <w:kern w:val="2"/>
          <w:position w:val="0"/>
          <w:sz w:val="32"/>
          <w:szCs w:val="32"/>
          <w:lang w:val="en-US" w:eastAsia="zh-CN" w:bidi="ar-SA"/>
        </w:rPr>
      </w:pPr>
      <w:r>
        <w:rPr>
          <w:rFonts w:hint="eastAsia" w:ascii="仿宋_GB2312" w:hAnsi="仿宋_GB2312" w:eastAsia="仿宋_GB2312" w:cs="仿宋_GB2312"/>
          <w:color w:val="auto"/>
          <w:kern w:val="2"/>
          <w:position w:val="0"/>
          <w:sz w:val="32"/>
          <w:szCs w:val="32"/>
          <w:lang w:val="en-US" w:eastAsia="zh-CN" w:bidi="ar-SA"/>
        </w:rPr>
        <w:t>4.项目结果。完成全市60人按时参加培训，全力推进全市硅基新材料产业高质量发展。</w:t>
      </w:r>
    </w:p>
    <w:p>
      <w:pPr>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eastAsia="zh-CN"/>
        </w:rPr>
      </w:pPr>
      <w:r>
        <w:rPr>
          <w:rFonts w:hint="eastAsia" w:ascii="楷体_GB2312" w:hAnsi="楷体_GB2312" w:eastAsia="楷体_GB2312" w:cs="楷体_GB2312"/>
          <w:b w:val="0"/>
          <w:bCs/>
          <w:color w:val="auto"/>
          <w:sz w:val="32"/>
          <w:szCs w:val="32"/>
          <w:highlight w:val="none"/>
          <w:u w:val="none"/>
          <w:lang w:val="zh-CN"/>
        </w:rPr>
        <w:t>（二）</w:t>
      </w:r>
      <w:r>
        <w:rPr>
          <w:rFonts w:hint="eastAsia" w:ascii="楷体_GB2312" w:hAnsi="楷体_GB2312" w:eastAsia="楷体_GB2312" w:cs="楷体_GB2312"/>
          <w:b w:val="0"/>
          <w:bCs/>
          <w:color w:val="auto"/>
          <w:sz w:val="32"/>
          <w:szCs w:val="32"/>
          <w:highlight w:val="none"/>
          <w:u w:val="none"/>
          <w:lang w:val="en-US" w:eastAsia="zh-CN"/>
        </w:rPr>
        <w:t>专用指标</w:t>
      </w:r>
      <w:r>
        <w:rPr>
          <w:rFonts w:hint="eastAsia" w:ascii="楷体_GB2312" w:hAnsi="楷体_GB2312" w:eastAsia="楷体_GB2312" w:cs="楷体_GB2312"/>
          <w:b w:val="0"/>
          <w:bCs/>
          <w:color w:val="auto"/>
          <w:sz w:val="32"/>
          <w:szCs w:val="32"/>
          <w:highlight w:val="none"/>
          <w:u w:val="none"/>
          <w:lang w:val="zh-CN"/>
        </w:rPr>
        <w:t>绩效分析</w:t>
      </w:r>
      <w:r>
        <w:rPr>
          <w:rFonts w:hint="eastAsia" w:ascii="楷体_GB2312" w:hAnsi="楷体_GB2312" w:eastAsia="楷体_GB2312" w:cs="楷体_GB2312"/>
          <w:b w:val="0"/>
          <w:bCs/>
          <w:color w:val="auto"/>
          <w:sz w:val="32"/>
          <w:szCs w:val="32"/>
          <w:highlight w:val="none"/>
          <w:u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auto"/>
          <w:sz w:val="32"/>
          <w:szCs w:val="32"/>
          <w:lang w:val="en-US" w:eastAsia="zh-CN"/>
        </w:rPr>
        <w:t>1.产业发展。</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该项目是市委市政府支持重点项目。</w:t>
      </w:r>
      <w:r>
        <w:rPr>
          <w:rFonts w:hint="eastAsia" w:ascii="仿宋_GB2312" w:hAnsi="仿宋_GB2312" w:eastAsia="仿宋_GB2312" w:cs="仿宋_GB2312"/>
          <w:sz w:val="32"/>
          <w:szCs w:val="32"/>
          <w:lang w:val="en-US" w:eastAsia="zh-CN"/>
        </w:rPr>
        <w:t>组织完成全市硅基新材料产业专题培训，全力推进全市硅基新材料产业高质量发展。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行政运转。</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本</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单位财务管理制度健全，严格执行财务管理制度，账务处理及时，会计核算规范。</w:t>
      </w:r>
    </w:p>
    <w:p>
      <w:pPr>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rPr>
      </w:pPr>
      <w:r>
        <w:rPr>
          <w:rFonts w:hint="eastAsia" w:ascii="楷体_GB2312" w:hAnsi="楷体_GB2312" w:eastAsia="楷体_GB2312" w:cs="楷体_GB2312"/>
          <w:b w:val="0"/>
          <w:bCs/>
          <w:color w:val="auto"/>
          <w:sz w:val="32"/>
          <w:szCs w:val="32"/>
          <w:highlight w:val="none"/>
          <w:u w:val="none"/>
          <w:lang w:val="zh-CN"/>
        </w:rPr>
        <w:t>（三）</w:t>
      </w:r>
      <w:r>
        <w:rPr>
          <w:rFonts w:hint="eastAsia" w:ascii="楷体_GB2312" w:hAnsi="楷体_GB2312" w:eastAsia="楷体_GB2312" w:cs="楷体_GB2312"/>
          <w:b w:val="0"/>
          <w:bCs/>
          <w:color w:val="auto"/>
          <w:sz w:val="32"/>
          <w:szCs w:val="32"/>
          <w:highlight w:val="none"/>
          <w:u w:val="none"/>
          <w:lang w:val="en-US" w:eastAsia="zh-CN"/>
        </w:rPr>
        <w:t>个性指标</w:t>
      </w:r>
      <w:r>
        <w:rPr>
          <w:rFonts w:hint="eastAsia" w:ascii="楷体_GB2312" w:hAnsi="楷体_GB2312" w:eastAsia="楷体_GB2312" w:cs="楷体_GB2312"/>
          <w:b w:val="0"/>
          <w:bCs/>
          <w:color w:val="auto"/>
          <w:sz w:val="32"/>
          <w:szCs w:val="32"/>
          <w:highlight w:val="none"/>
          <w:u w:val="none"/>
          <w:lang w:val="zh-CN"/>
        </w:rPr>
        <w:t>绩效分析。</w:t>
      </w:r>
    </w:p>
    <w:p>
      <w:pPr>
        <w:pStyle w:val="7"/>
        <w:pageBreakBefore w:val="0"/>
        <w:widowControl w:val="0"/>
        <w:numPr>
          <w:ilvl w:val="0"/>
          <w:numId w:val="0"/>
        </w:numPr>
        <w:tabs>
          <w:tab w:val="left" w:pos="2160"/>
        </w:tabs>
        <w:kinsoku/>
        <w:wordWrap/>
        <w:overflowPunct/>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auto"/>
          <w:kern w:val="2"/>
          <w:position w:val="0"/>
          <w:sz w:val="32"/>
          <w:szCs w:val="32"/>
          <w:lang w:val="en-US" w:eastAsia="zh-CN" w:bidi="ar-SA"/>
        </w:rPr>
      </w:pPr>
      <w:r>
        <w:rPr>
          <w:rFonts w:hint="eastAsia" w:ascii="仿宋_GB2312" w:hAnsi="仿宋_GB2312" w:eastAsia="仿宋_GB2312" w:cs="仿宋_GB2312"/>
          <w:color w:val="auto"/>
          <w:kern w:val="2"/>
          <w:position w:val="0"/>
          <w:sz w:val="32"/>
          <w:szCs w:val="32"/>
          <w:lang w:val="en-US" w:eastAsia="zh-CN" w:bidi="ar-SA"/>
        </w:rPr>
        <w:t>完成全市60人按时参加培训，全力推进全市硅基新材料产业高质量发展。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四</w:t>
      </w:r>
      <w:r>
        <w:rPr>
          <w:rFonts w:hint="eastAsia" w:ascii="黑体" w:hAnsi="黑体" w:eastAsia="黑体" w:cs="黑体"/>
          <w:sz w:val="32"/>
          <w:szCs w:val="32"/>
          <w:highlight w:val="none"/>
        </w:rPr>
        <w:t>、评价结论</w:t>
      </w:r>
    </w:p>
    <w:p>
      <w:pPr>
        <w:pageBreakBefore w:val="0"/>
        <w:widowControl w:val="0"/>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按照《</w:t>
      </w:r>
      <w:r>
        <w:rPr>
          <w:rFonts w:hint="eastAsia" w:ascii="仿宋_GB2312" w:hAnsi="仿宋_GB2312" w:eastAsia="仿宋_GB2312" w:cs="仿宋_GB2312"/>
          <w:b w:val="0"/>
          <w:bCs/>
          <w:sz w:val="32"/>
          <w:szCs w:val="32"/>
          <w:lang w:val="en-US" w:eastAsia="zh-CN"/>
        </w:rPr>
        <w:t>专项预算项目</w:t>
      </w:r>
      <w:r>
        <w:rPr>
          <w:rFonts w:hint="eastAsia" w:ascii="仿宋_GB2312" w:hAnsi="仿宋_GB2312" w:eastAsia="仿宋_GB2312" w:cs="仿宋_GB2312"/>
          <w:b w:val="0"/>
          <w:bCs/>
          <w:sz w:val="32"/>
          <w:szCs w:val="32"/>
        </w:rPr>
        <w:t>绩效评价指标体系》，自评得分</w:t>
      </w:r>
      <w:r>
        <w:rPr>
          <w:rFonts w:hint="eastAsia" w:ascii="仿宋_GB2312" w:hAnsi="仿宋_GB2312" w:eastAsia="仿宋_GB2312" w:cs="仿宋_GB2312"/>
          <w:b w:val="0"/>
          <w:bCs/>
          <w:sz w:val="32"/>
          <w:szCs w:val="32"/>
          <w:lang w:val="en-US" w:eastAsia="zh-CN"/>
        </w:rPr>
        <w:t>100</w:t>
      </w:r>
      <w:r>
        <w:rPr>
          <w:rFonts w:hint="eastAsia" w:ascii="仿宋_GB2312" w:hAnsi="仿宋_GB2312" w:eastAsia="仿宋_GB2312" w:cs="仿宋_GB2312"/>
          <w:b w:val="0"/>
          <w:bCs/>
          <w:sz w:val="32"/>
          <w:szCs w:val="32"/>
        </w:rPr>
        <w:t>分。</w:t>
      </w:r>
      <w:r>
        <w:rPr>
          <w:rFonts w:hint="eastAsia" w:ascii="仿宋_GB2312" w:hAnsi="仿宋_GB2312" w:eastAsia="仿宋_GB2312" w:cs="仿宋_GB2312"/>
          <w:b w:val="0"/>
          <w:bCs/>
          <w:sz w:val="32"/>
          <w:szCs w:val="32"/>
          <w:lang w:val="en-US" w:eastAsia="zh-CN"/>
        </w:rPr>
        <w:t>我</w:t>
      </w:r>
      <w:r>
        <w:rPr>
          <w:rFonts w:hint="eastAsia" w:ascii="仿宋_GB2312" w:hAnsi="仿宋_GB2312" w:eastAsia="仿宋_GB2312" w:cs="仿宋_GB2312"/>
          <w:b w:val="0"/>
          <w:bCs/>
          <w:sz w:val="32"/>
          <w:szCs w:val="32"/>
        </w:rPr>
        <w:t>局严格执行财经纪律、法规和各项规章制度，加强财务管理，规范会计核算，资金高效运行。项目决策科学，依据充分，项目管理规范；绩效执行进度达到预期；项目完成效果好，实施后达到了预期目的。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五、存在主要问题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无</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黑体" w:hAnsi="黑体" w:eastAsia="黑体" w:cs="黑体"/>
          <w:sz w:val="32"/>
          <w:szCs w:val="32"/>
          <w:highlight w:val="none"/>
          <w:lang w:val="zh-CN" w:eastAsia="zh-CN"/>
        </w:rPr>
      </w:pPr>
      <w:r>
        <w:rPr>
          <w:rFonts w:hint="eastAsia" w:ascii="黑体" w:hAnsi="黑体" w:eastAsia="黑体" w:cs="黑体"/>
          <w:sz w:val="32"/>
          <w:szCs w:val="32"/>
          <w:highlight w:val="none"/>
          <w:lang w:val="zh-CN" w:eastAsia="zh-CN"/>
        </w:rPr>
        <w:t>六、改进建议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无</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outlineLvl w:val="9"/>
        <w:rPr>
          <w:rFonts w:hint="eastAsia" w:ascii="仿宋_GB2312" w:hAnsi="仿宋_GB2312" w:eastAsia="仿宋_GB2312" w:cs="仿宋_GB2312"/>
          <w:color w:val="000000"/>
          <w:kern w:val="0"/>
          <w:sz w:val="32"/>
          <w:szCs w:val="32"/>
          <w:highlight w:val="none"/>
          <w:shd w:val="clear" w:color="auto" w:fill="FFFFFF"/>
          <w:lang w:val="en-US" w:eastAsia="zh-CN"/>
        </w:rPr>
      </w:pPr>
      <w:r>
        <w:rPr>
          <w:rFonts w:hint="eastAsia" w:ascii="仿宋_GB2312" w:hAnsi="仿宋_GB2312" w:eastAsia="仿宋_GB2312" w:cs="仿宋_GB2312"/>
          <w:color w:val="000000"/>
          <w:kern w:val="0"/>
          <w:sz w:val="32"/>
          <w:szCs w:val="32"/>
          <w:highlight w:val="none"/>
          <w:shd w:val="clear" w:color="auto" w:fill="FFFFFF"/>
          <w:lang w:val="en-US" w:eastAsia="zh-CN"/>
        </w:rPr>
        <w:t>附表：1.项目资金分配涉及所有点位自评得分情况表</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leftChars="0" w:firstLine="1600" w:firstLineChars="500"/>
        <w:jc w:val="both"/>
        <w:textAlignment w:val="auto"/>
        <w:outlineLvl w:val="9"/>
        <w:rPr>
          <w:rFonts w:hint="eastAsia" w:ascii="仿宋_GB2312" w:hAnsi="仿宋_GB2312" w:eastAsia="仿宋_GB2312" w:cs="仿宋_GB2312"/>
          <w:color w:val="000000"/>
          <w:kern w:val="0"/>
          <w:sz w:val="32"/>
          <w:szCs w:val="32"/>
          <w:highlight w:val="none"/>
          <w:shd w:val="clear" w:color="auto" w:fill="FFFFFF"/>
          <w:lang w:val="en-US" w:eastAsia="zh-CN"/>
        </w:rPr>
      </w:pPr>
      <w:r>
        <w:rPr>
          <w:rFonts w:hint="eastAsia" w:ascii="仿宋_GB2312" w:hAnsi="仿宋_GB2312" w:eastAsia="仿宋_GB2312" w:cs="仿宋_GB2312"/>
          <w:color w:val="000000"/>
          <w:kern w:val="0"/>
          <w:sz w:val="32"/>
          <w:szCs w:val="32"/>
          <w:shd w:val="clear" w:fill="FFFFFF"/>
          <w:lang w:val="en-US" w:eastAsia="zh-CN" w:bidi="ar-SA"/>
        </w:rPr>
        <w:t>2.</w:t>
      </w:r>
      <w:r>
        <w:rPr>
          <w:rFonts w:hint="eastAsia" w:ascii="仿宋_GB2312" w:hAnsi="仿宋_GB2312" w:eastAsia="仿宋_GB2312" w:cs="仿宋_GB2312"/>
          <w:color w:val="000000"/>
          <w:kern w:val="0"/>
          <w:sz w:val="32"/>
          <w:szCs w:val="32"/>
          <w:highlight w:val="none"/>
          <w:shd w:val="clear" w:color="auto" w:fill="FFFFFF"/>
          <w:lang w:val="en-US" w:eastAsia="zh-CN"/>
        </w:rPr>
        <w:t>专项预算项目绩效目标完成情况自评表</w:t>
      </w:r>
    </w:p>
    <w:p>
      <w:pPr>
        <w:pStyle w:val="25"/>
        <w:pageBreakBefore w:val="0"/>
        <w:widowControl w:val="0"/>
        <w:numPr>
          <w:ilvl w:val="0"/>
          <w:numId w:val="0"/>
        </w:numPr>
        <w:kinsoku/>
        <w:wordWrap/>
        <w:overflowPunct/>
        <w:topLinePunct w:val="0"/>
        <w:autoSpaceDE/>
        <w:autoSpaceDN/>
        <w:bidi w:val="0"/>
        <w:spacing w:before="0" w:after="0" w:line="600" w:lineRule="exact"/>
        <w:ind w:firstLine="642" w:firstLineChars="200"/>
        <w:jc w:val="both"/>
        <w:textAlignment w:val="auto"/>
        <w:rPr>
          <w:rFonts w:hint="eastAsia" w:ascii="仿宋_GB2312" w:hAnsi="仿宋_GB2312" w:eastAsia="仿宋_GB2312" w:cs="仿宋_GB2312"/>
          <w:sz w:val="32"/>
          <w:szCs w:val="32"/>
          <w:lang w:val="en-US" w:eastAsia="zh-CN"/>
        </w:rPr>
      </w:pPr>
    </w:p>
    <w:p>
      <w:pPr>
        <w:pageBreakBefore w:val="0"/>
        <w:widowControl w:val="0"/>
        <w:kinsoku/>
        <w:overflowPunct/>
        <w:topLinePunct w:val="0"/>
        <w:autoSpaceDE/>
        <w:autoSpaceDN/>
        <w:bidi w:val="0"/>
        <w:spacing w:line="600" w:lineRule="exact"/>
        <w:textAlignment w:val="auto"/>
        <w:rPr>
          <w:rFonts w:hint="eastAsia"/>
          <w:lang w:val="en-US" w:eastAsia="zh-CN"/>
        </w:rPr>
      </w:pPr>
    </w:p>
    <w:p>
      <w:pPr>
        <w:pageBreakBefore w:val="0"/>
        <w:widowControl w:val="0"/>
        <w:kinsoku/>
        <w:wordWrap w:val="0"/>
        <w:overflowPunct/>
        <w:topLinePunct w:val="0"/>
        <w:autoSpaceDE/>
        <w:autoSpaceDN/>
        <w:bidi w:val="0"/>
        <w:spacing w:line="600"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r>
        <w:rPr>
          <w:rFonts w:hint="eastAsia" w:ascii="仿宋_GB2312" w:hAnsi="仿宋_GB2312" w:cs="仿宋_GB2312"/>
          <w:sz w:val="32"/>
          <w:szCs w:val="32"/>
          <w:lang w:val="en-US" w:eastAsia="zh-CN"/>
        </w:rPr>
        <w:t xml:space="preserve">        </w:t>
      </w:r>
    </w:p>
    <w:p>
      <w:pPr>
        <w:pStyle w:val="25"/>
        <w:pageBreakBefore w:val="0"/>
        <w:widowControl w:val="0"/>
        <w:kinsoku/>
        <w:wordWrap w:val="0"/>
        <w:overflowPunct/>
        <w:topLinePunct w:val="0"/>
        <w:autoSpaceDE/>
        <w:autoSpaceDN/>
        <w:bidi w:val="0"/>
        <w:spacing w:before="0" w:after="0" w:line="600" w:lineRule="exact"/>
        <w:ind w:firstLine="640" w:firstLineChars="200"/>
        <w:jc w:val="right"/>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xml:space="preserve">2024年8月4日        </w:t>
      </w:r>
    </w:p>
    <w:p>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r>
        <w:rPr>
          <w:rFonts w:hint="eastAsia" w:ascii="Times New Roman" w:hAnsi="Times New Roman" w:cs="Times New Roman"/>
          <w:color w:val="000000"/>
          <w:kern w:val="0"/>
          <w:szCs w:val="32"/>
          <w:highlight w:val="none"/>
          <w:shd w:val="clear" w:color="auto" w:fill="FFFFFF"/>
          <w:lang w:val="zh-CN" w:eastAsia="zh-CN"/>
        </w:rPr>
        <w:br w:type="page"/>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left"/>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r>
        <w:rPr>
          <w:rFonts w:hint="eastAsia" w:ascii="黑体" w:hAnsi="黑体" w:eastAsia="黑体" w:cs="黑体"/>
          <w:b w:val="0"/>
          <w:bCs w:val="0"/>
          <w:color w:val="auto"/>
          <w:kern w:val="0"/>
          <w:sz w:val="32"/>
          <w:szCs w:val="32"/>
          <w:highlight w:val="none"/>
          <w:u w:val="none"/>
          <w:shd w:val="clear" w:color="auto" w:fill="FFFFFF"/>
          <w:lang w:val="en-US" w:eastAsia="zh-CN"/>
        </w:rPr>
        <w:t>1</w:t>
      </w:r>
    </w:p>
    <w:p>
      <w:pPr>
        <w:keepNext w:val="0"/>
        <w:keepLines w:val="0"/>
        <w:pageBreakBefore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b w:val="0"/>
          <w:bCs w:val="0"/>
          <w:color w:val="auto"/>
          <w:sz w:val="40"/>
          <w:szCs w:val="40"/>
          <w:highlight w:val="none"/>
          <w:u w:val="none"/>
          <w:lang w:val="en-US" w:eastAsia="zh-CN"/>
        </w:rPr>
      </w:pPr>
      <w:r>
        <w:rPr>
          <w:rFonts w:hint="eastAsia" w:ascii="方正小标宋_GBK" w:hAnsi="方正小标宋_GBK" w:eastAsia="方正小标宋_GBK" w:cs="方正小标宋_GBK"/>
          <w:b w:val="0"/>
          <w:bCs w:val="0"/>
          <w:color w:val="auto"/>
          <w:sz w:val="40"/>
          <w:szCs w:val="40"/>
          <w:highlight w:val="none"/>
          <w:u w:val="none"/>
          <w:lang w:val="en-US" w:eastAsia="zh-CN"/>
        </w:rPr>
        <w:t>项目资金分配涉及所有点位自评得分情况表</w:t>
      </w:r>
    </w:p>
    <w:tbl>
      <w:tblPr>
        <w:tblStyle w:val="18"/>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5065"/>
        <w:gridCol w:w="1699"/>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序号</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 w:eastAsia="zh-CN"/>
              </w:rPr>
            </w:pPr>
            <w:r>
              <w:rPr>
                <w:rFonts w:hint="eastAsia" w:ascii="黑体" w:hAnsi="黑体" w:eastAsia="黑体" w:cs="黑体"/>
                <w:b w:val="0"/>
                <w:bCs w:val="0"/>
                <w:color w:val="auto"/>
                <w:sz w:val="24"/>
                <w:szCs w:val="24"/>
                <w:highlight w:val="none"/>
                <w:u w:val="none"/>
                <w:vertAlign w:val="baseline"/>
                <w:lang w:val="en-US" w:eastAsia="zh-CN"/>
              </w:rPr>
              <w:t>项目资金末端分配点位</w:t>
            </w: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 w:eastAsia="zh-CN"/>
              </w:rPr>
            </w:pPr>
            <w:r>
              <w:rPr>
                <w:rFonts w:hint="eastAsia" w:ascii="黑体" w:hAnsi="黑体" w:eastAsia="黑体" w:cs="黑体"/>
                <w:b w:val="0"/>
                <w:bCs w:val="0"/>
                <w:color w:val="auto"/>
                <w:sz w:val="24"/>
                <w:szCs w:val="24"/>
                <w:highlight w:val="none"/>
                <w:u w:val="none"/>
                <w:vertAlign w:val="baseline"/>
                <w:lang w:val="en" w:eastAsia="zh-CN"/>
              </w:rPr>
              <w:t>自评得分</w:t>
            </w:r>
          </w:p>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 w:eastAsia="zh-CN"/>
              </w:rPr>
              <w:t>（百分制）</w:t>
            </w: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仿宋_GB2312" w:hAnsi="仿宋_GB2312" w:eastAsia="仿宋_GB2312" w:cs="仿宋_GB2312"/>
                <w:color w:val="auto"/>
                <w:sz w:val="24"/>
                <w:szCs w:val="24"/>
                <w:highlight w:val="none"/>
                <w:u w:val="none"/>
                <w:vertAlign w:val="baseline"/>
                <w:lang w:val="en-US" w:eastAsia="zh-CN"/>
              </w:rPr>
            </w:pPr>
            <w:r>
              <w:rPr>
                <w:rFonts w:hint="eastAsia" w:ascii="仿宋_GB2312" w:hAnsi="仿宋_GB2312" w:cs="仿宋_GB2312"/>
                <w:color w:val="auto"/>
                <w:sz w:val="24"/>
                <w:szCs w:val="24"/>
                <w:highlight w:val="none"/>
                <w:u w:val="none"/>
                <w:vertAlign w:val="baseline"/>
                <w:lang w:val="en-US" w:eastAsia="zh-CN"/>
              </w:rPr>
              <w:t>安徽财经大学</w:t>
            </w: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仿宋_GB2312" w:hAnsi="仿宋_GB2312" w:eastAsia="仿宋_GB2312" w:cs="仿宋_GB2312"/>
                <w:color w:val="auto"/>
                <w:sz w:val="24"/>
                <w:szCs w:val="24"/>
                <w:highlight w:val="none"/>
                <w:u w:val="none"/>
                <w:vertAlign w:val="baseline"/>
                <w:lang w:val="en-US" w:eastAsia="zh-CN"/>
              </w:rPr>
            </w:pPr>
            <w:r>
              <w:rPr>
                <w:rFonts w:hint="eastAsia" w:ascii="仿宋_GB2312" w:hAnsi="仿宋_GB2312" w:eastAsia="仿宋_GB2312" w:cs="仿宋_GB2312"/>
                <w:color w:val="auto"/>
                <w:sz w:val="24"/>
                <w:szCs w:val="24"/>
                <w:highlight w:val="none"/>
                <w:u w:val="none"/>
                <w:vertAlign w:val="baseline"/>
                <w:lang w:val="en-US" w:eastAsia="zh-CN"/>
              </w:rPr>
              <w:t>100</w:t>
            </w: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宋体" w:hAnsi="宋体" w:cs="宋体"/>
                <w:color w:val="auto"/>
                <w:sz w:val="24"/>
                <w:szCs w:val="24"/>
                <w:highlight w:val="none"/>
                <w:u w:val="none"/>
                <w:vertAlign w:val="baseline"/>
                <w:lang w:val="en-US" w:eastAsia="zh-CN"/>
              </w:rPr>
            </w:pP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宋体" w:hAnsi="宋体" w:cs="宋体"/>
                <w:color w:val="auto"/>
                <w:sz w:val="24"/>
                <w:szCs w:val="24"/>
                <w:highlight w:val="none"/>
                <w:u w:val="none"/>
                <w:vertAlign w:val="baseline"/>
                <w:lang w:val="en-US" w:eastAsia="zh-CN"/>
              </w:rPr>
            </w:pP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3</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4</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5</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6</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7</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8</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1133"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w:t>
            </w:r>
          </w:p>
        </w:tc>
        <w:tc>
          <w:tcPr>
            <w:tcW w:w="5065"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699"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 w:eastAsia="zh-CN"/>
              </w:rPr>
            </w:pPr>
          </w:p>
        </w:tc>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cs="宋体"/>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备注：1.项目资金末端分配点位包括市本级、县（区）、市级部门下属单位及一次性单位等。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619" w:leftChars="195" w:hanging="210" w:hangingChars="10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2.自评得分（百分制）从高到低划分为优、良、中、差四个档次，各个档次数量占比分别为20%、20%、55%、5%，且不同档次间得分分值应体现差异化，同档次得分分值相同的比例不超过该档次总数量的10%。</w:t>
      </w:r>
    </w:p>
    <w:p>
      <w:pPr>
        <w:rPr>
          <w:rFonts w:hint="eastAsia" w:ascii="Times New Roman" w:hAnsi="Times New Roman" w:eastAsia="仿宋_GB2312" w:cs="Times New Roman"/>
          <w:kern w:val="2"/>
          <w:sz w:val="32"/>
          <w:szCs w:val="24"/>
          <w:highlight w:val="none"/>
          <w:lang w:val="en-US" w:eastAsia="zh-CN" w:bidi="ar-SA"/>
        </w:rPr>
      </w:pPr>
      <w:r>
        <w:rPr>
          <w:rFonts w:hint="eastAsia" w:ascii="Times New Roman" w:hAnsi="Times New Roman" w:eastAsia="仿宋_GB2312" w:cs="Times New Roman"/>
          <w:kern w:val="2"/>
          <w:sz w:val="32"/>
          <w:szCs w:val="24"/>
          <w:highlight w:val="none"/>
          <w:lang w:val="en-US" w:eastAsia="zh-CN" w:bidi="ar-SA"/>
        </w:rPr>
        <w:br w:type="page"/>
      </w:r>
    </w:p>
    <w:p>
      <w:pPr>
        <w:pStyle w:val="16"/>
        <w:keepNext w:val="0"/>
        <w:keepLines w:val="0"/>
        <w:pageBreakBefore w:val="0"/>
        <w:kinsoku/>
        <w:wordWrap/>
        <w:overflowPunct/>
        <w:topLinePunct w:val="0"/>
        <w:autoSpaceDE/>
        <w:autoSpaceDN/>
        <w:bidi w:val="0"/>
        <w:spacing w:after="0" w:line="578" w:lineRule="exact"/>
        <w:ind w:left="0" w:leftChars="0" w:firstLine="0" w:firstLineChars="0"/>
        <w:rPr>
          <w:rFonts w:hint="eastAsia" w:ascii="黑体" w:hAnsi="黑体" w:eastAsia="黑体" w:cs="黑体"/>
          <w:kern w:val="2"/>
          <w:sz w:val="32"/>
          <w:szCs w:val="24"/>
          <w:highlight w:val="none"/>
          <w:lang w:val="en-US" w:eastAsia="zh-CN" w:bidi="ar-SA"/>
        </w:rPr>
      </w:pPr>
      <w:r>
        <w:rPr>
          <w:rFonts w:hint="eastAsia" w:ascii="黑体" w:hAnsi="黑体" w:eastAsia="黑体" w:cs="黑体"/>
          <w:kern w:val="2"/>
          <w:sz w:val="32"/>
          <w:szCs w:val="24"/>
          <w:highlight w:val="none"/>
          <w:lang w:val="en-US" w:eastAsia="zh-CN" w:bidi="ar-SA"/>
        </w:rPr>
        <w:t>附表2</w:t>
      </w:r>
    </w:p>
    <w:tbl>
      <w:tblPr>
        <w:tblStyle w:val="17"/>
        <w:tblW w:w="10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41"/>
        <w:gridCol w:w="1065"/>
        <w:gridCol w:w="1231"/>
        <w:gridCol w:w="1293"/>
        <w:gridCol w:w="1109"/>
        <w:gridCol w:w="956"/>
        <w:gridCol w:w="693"/>
        <w:gridCol w:w="1274"/>
        <w:gridCol w:w="1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6" w:hRule="atLeast"/>
          <w:jc w:val="center"/>
        </w:trPr>
        <w:tc>
          <w:tcPr>
            <w:tcW w:w="1008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ascii="黑体" w:hAnsi="宋体" w:eastAsia="黑体" w:cs="黑体"/>
                <w:i w:val="0"/>
                <w:color w:val="000000"/>
                <w:sz w:val="30"/>
                <w:szCs w:val="30"/>
                <w:u w:val="none"/>
              </w:rPr>
            </w:pPr>
            <w:r>
              <w:rPr>
                <w:rFonts w:hint="eastAsia" w:ascii="方正小标宋简体" w:hAnsi="方正小标宋简体" w:eastAsia="方正小标宋简体" w:cs="方正小标宋简体"/>
                <w:i w:val="0"/>
                <w:color w:val="000000"/>
                <w:kern w:val="0"/>
                <w:sz w:val="40"/>
                <w:szCs w:val="40"/>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42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项目名称</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default" w:ascii="宋体" w:hAnsi="宋体" w:eastAsia="宋体" w:cs="宋体"/>
                <w:i w:val="0"/>
                <w:color w:val="000000"/>
                <w:sz w:val="22"/>
                <w:szCs w:val="22"/>
                <w:u w:val="none"/>
                <w:lang w:val="en-US" w:eastAsia="zh-CN"/>
              </w:rPr>
            </w:pPr>
            <w:r>
              <w:rPr>
                <w:rFonts w:hint="eastAsia" w:ascii="仿宋_GB2312" w:hAnsi="仿宋_GB2312" w:eastAsia="仿宋_GB2312" w:cs="仿宋_GB2312"/>
                <w:i w:val="0"/>
                <w:color w:val="000000"/>
                <w:sz w:val="22"/>
                <w:szCs w:val="22"/>
                <w:u w:val="none"/>
                <w:lang w:val="en-US" w:eastAsia="zh-CN"/>
              </w:rPr>
              <w:t>全市硅基新材料产业发展专题培训费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42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预算单位</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rPr>
              <w:t>广元市自然资源</w:t>
            </w:r>
            <w:r>
              <w:rPr>
                <w:rFonts w:hint="eastAsia" w:ascii="宋体" w:hAnsi="宋体" w:eastAsia="宋体" w:cs="宋体"/>
                <w:i w:val="0"/>
                <w:color w:val="000000"/>
                <w:sz w:val="22"/>
                <w:szCs w:val="22"/>
                <w:u w:val="none"/>
                <w:lang w:val="en-US"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42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项目类型</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r>
              <w:rPr>
                <w:rFonts w:hint="eastAsia" w:ascii="仿宋_GB2312" w:hAnsi="仿宋_GB2312" w:eastAsia="仿宋_GB2312" w:cs="仿宋_GB2312"/>
                <w:i w:val="0"/>
                <w:color w:val="000000"/>
                <w:sz w:val="22"/>
                <w:szCs w:val="22"/>
                <w:u w:val="none"/>
                <w:lang w:eastAsia="zh-CN"/>
              </w:rPr>
              <w:t>专项预算项目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2" w:hRule="atLeast"/>
          <w:jc w:val="center"/>
        </w:trPr>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项目 概况</w:t>
            </w:r>
          </w:p>
        </w:tc>
        <w:tc>
          <w:tcPr>
            <w:tcW w:w="35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kern w:val="0"/>
                <w:sz w:val="22"/>
                <w:szCs w:val="22"/>
                <w:u w:val="none"/>
                <w:lang w:val="en-US" w:eastAsia="zh-CN" w:bidi="ar"/>
              </w:rPr>
            </w:pPr>
            <w:r>
              <w:rPr>
                <w:rFonts w:ascii="宋体" w:hAnsi="宋体" w:eastAsia="宋体" w:cs="宋体"/>
                <w:i w:val="0"/>
                <w:color w:val="000000"/>
                <w:kern w:val="0"/>
                <w:sz w:val="22"/>
                <w:szCs w:val="22"/>
                <w:u w:val="none"/>
                <w:lang w:val="en-US" w:eastAsia="zh-CN" w:bidi="ar"/>
              </w:rPr>
              <w:t>中长期规划（名称、文号，仅指</w:t>
            </w:r>
          </w:p>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常年项目）</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r>
              <w:rPr>
                <w:rFonts w:hint="eastAsia" w:ascii="仿宋_GB2312" w:hAnsi="仿宋_GB2312" w:eastAsia="仿宋_GB2312" w:cs="仿宋_GB2312"/>
                <w:i w:val="0"/>
                <w:color w:val="000000"/>
                <w:sz w:val="22"/>
                <w:szCs w:val="22"/>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资金管理办法（名称、文号）</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r>
              <w:rPr>
                <w:rFonts w:hint="eastAsia" w:ascii="仿宋_GB2312" w:hAnsi="仿宋_GB2312" w:eastAsia="仿宋_GB2312" w:cs="仿宋_GB2312"/>
                <w:i w:val="0"/>
                <w:color w:val="000000"/>
                <w:sz w:val="22"/>
                <w:szCs w:val="22"/>
                <w:u w:val="none"/>
                <w:lang w:val="en-US" w:eastAsia="zh-CN"/>
              </w:rPr>
              <w:t>广元市自然资源局财务管理制度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92" w:hRule="atLeast"/>
          <w:jc w:val="center"/>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绩效分配方式</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Wingdings 2" w:hAnsi="Wingdings 2" w:eastAsia="Wingdings 2" w:cs="Wingdings 2"/>
                <w:i w:val="0"/>
                <w:color w:val="000000"/>
                <w:sz w:val="22"/>
                <w:szCs w:val="22"/>
                <w:u w:val="none"/>
              </w:rPr>
            </w:pPr>
            <w:r>
              <w:rPr>
                <w:rFonts w:hint="default" w:ascii="Wingdings 2" w:hAnsi="Wingdings 2" w:eastAsia="Wingdings 2" w:cs="Wingdings 2"/>
                <w:i w:val="0"/>
                <w:color w:val="000000"/>
                <w:kern w:val="0"/>
                <w:sz w:val="22"/>
                <w:szCs w:val="22"/>
                <w:u w:val="none"/>
                <w:lang w:val="en-US" w:eastAsia="zh-CN" w:bidi="ar"/>
              </w:rPr>
              <w:sym w:font="Wingdings 2" w:char="00A3"/>
            </w:r>
            <w:r>
              <w:rPr>
                <w:rFonts w:ascii="宋体" w:hAnsi="宋体" w:eastAsia="宋体" w:cs="宋体"/>
                <w:i w:val="0"/>
                <w:color w:val="000000"/>
                <w:kern w:val="0"/>
                <w:sz w:val="22"/>
                <w:szCs w:val="22"/>
                <w:u w:val="none"/>
                <w:lang w:val="en-US" w:eastAsia="zh-CN" w:bidi="ar"/>
              </w:rPr>
              <w:t>因素法</w:t>
            </w:r>
          </w:p>
        </w:tc>
        <w:tc>
          <w:tcPr>
            <w:tcW w:w="1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Wingdings 2" w:hAnsi="Wingdings 2" w:eastAsia="Wingdings 2" w:cs="Wingdings 2"/>
                <w:i w:val="0"/>
                <w:color w:val="000000"/>
                <w:sz w:val="22"/>
                <w:szCs w:val="22"/>
                <w:u w:val="none"/>
              </w:rPr>
            </w:pPr>
            <w:r>
              <w:rPr>
                <w:rFonts w:hint="default" w:ascii="Wingdings 2" w:hAnsi="Wingdings 2" w:eastAsia="Wingdings 2" w:cs="Wingdings 2"/>
                <w:i w:val="0"/>
                <w:color w:val="000000"/>
                <w:kern w:val="0"/>
                <w:sz w:val="22"/>
                <w:szCs w:val="22"/>
                <w:u w:val="none"/>
                <w:lang w:val="en-US" w:eastAsia="zh-CN" w:bidi="ar"/>
              </w:rPr>
              <w:sym w:font="Wingdings 2" w:char="0052"/>
            </w:r>
            <w:r>
              <w:rPr>
                <w:rFonts w:hint="default" w:ascii="Wingdings 2" w:hAnsi="Wingdings 2" w:eastAsia="Wingdings 2" w:cs="Wingdings 2"/>
                <w:i w:val="0"/>
                <w:color w:val="000000"/>
                <w:kern w:val="0"/>
                <w:sz w:val="22"/>
                <w:szCs w:val="22"/>
                <w:u w:val="none"/>
                <w:lang w:val="en-US" w:eastAsia="zh-CN" w:bidi="ar"/>
              </w:rPr>
              <w:t>项目法</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Wingdings 2" w:hAnsi="Wingdings 2" w:eastAsia="Wingdings 2" w:cs="Wingdings 2"/>
                <w:i w:val="0"/>
                <w:color w:val="000000"/>
                <w:sz w:val="22"/>
                <w:szCs w:val="22"/>
                <w:u w:val="none"/>
              </w:rPr>
            </w:pPr>
            <w:r>
              <w:rPr>
                <w:rFonts w:hint="default" w:ascii="Wingdings 2" w:hAnsi="Wingdings 2" w:eastAsia="Wingdings 2" w:cs="Wingdings 2"/>
                <w:i w:val="0"/>
                <w:color w:val="000000"/>
                <w:kern w:val="0"/>
                <w:sz w:val="22"/>
                <w:szCs w:val="22"/>
                <w:u w:val="none"/>
                <w:lang w:val="en-US" w:eastAsia="zh-CN" w:bidi="ar"/>
              </w:rPr>
              <w:sym w:font="Wingdings 2" w:char="00A3"/>
            </w:r>
            <w:r>
              <w:rPr>
                <w:rFonts w:ascii="宋体" w:hAnsi="宋体" w:eastAsia="宋体" w:cs="宋体"/>
                <w:i w:val="0"/>
                <w:color w:val="000000"/>
                <w:kern w:val="0"/>
                <w:sz w:val="22"/>
                <w:szCs w:val="22"/>
                <w:u w:val="none"/>
                <w:lang w:val="en-US" w:eastAsia="zh-CN" w:bidi="ar"/>
              </w:rPr>
              <w:t>据实据效</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Wingdings 2" w:hAnsi="Wingdings 2" w:eastAsia="Wingdings 2" w:cs="Wingdings 2"/>
                <w:i w:val="0"/>
                <w:color w:val="000000"/>
                <w:sz w:val="22"/>
                <w:szCs w:val="22"/>
                <w:u w:val="none"/>
              </w:rPr>
            </w:pPr>
            <w:r>
              <w:rPr>
                <w:rFonts w:hint="default" w:ascii="Wingdings 2" w:hAnsi="Wingdings 2" w:eastAsia="Wingdings 2" w:cs="Wingdings 2"/>
                <w:i w:val="0"/>
                <w:color w:val="000000"/>
                <w:kern w:val="0"/>
                <w:sz w:val="22"/>
                <w:szCs w:val="22"/>
                <w:u w:val="none"/>
                <w:lang w:val="en-US" w:eastAsia="zh-CN" w:bidi="ar"/>
              </w:rPr>
              <w:t>£</w:t>
            </w:r>
            <w:r>
              <w:rPr>
                <w:rFonts w:ascii="宋体" w:hAnsi="宋体" w:eastAsia="宋体" w:cs="宋体"/>
                <w:i w:val="0"/>
                <w:color w:val="000000"/>
                <w:kern w:val="0"/>
                <w:sz w:val="22"/>
                <w:szCs w:val="22"/>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2" w:hRule="atLeast"/>
          <w:jc w:val="center"/>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立项依据</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both"/>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根据市委组织部《关于印发2023年市级重点专题培训项目计划的通知》（广组训【2023】10号）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使用范围</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both"/>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培训费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申报（补助）条件</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both"/>
              <w:rPr>
                <w:rFonts w:hint="eastAsia" w:ascii="宋体" w:hAnsi="宋体" w:eastAsia="宋体" w:cs="宋体"/>
                <w:i w:val="0"/>
                <w:color w:val="000000"/>
                <w:sz w:val="22"/>
                <w:szCs w:val="22"/>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35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项目起止年限</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r>
              <w:rPr>
                <w:rFonts w:hint="eastAsia" w:ascii="仿宋_GB2312" w:hAnsi="仿宋_GB2312" w:eastAsia="仿宋_GB2312" w:cs="仿宋_GB2312"/>
                <w:i w:val="0"/>
                <w:color w:val="000000"/>
                <w:sz w:val="22"/>
                <w:szCs w:val="22"/>
                <w:u w:val="none"/>
                <w:lang w:val="en-US" w:eastAsia="zh-CN"/>
              </w:rPr>
              <w:t>2023-2023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17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ascii="宋体" w:hAnsi="宋体" w:eastAsia="宋体" w:cs="宋体"/>
                <w:i w:val="0"/>
                <w:color w:val="000000"/>
                <w:kern w:val="0"/>
                <w:sz w:val="22"/>
                <w:szCs w:val="22"/>
                <w:u w:val="none"/>
                <w:lang w:val="en-US" w:eastAsia="zh-CN" w:bidi="ar"/>
              </w:rPr>
              <w:t>项目资金</w:t>
            </w:r>
          </w:p>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（万元）</w:t>
            </w:r>
          </w:p>
        </w:tc>
        <w:tc>
          <w:tcPr>
            <w:tcW w:w="2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 xml:space="preserve">  年度资金总额：</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2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 xml:space="preserve">     </w:t>
            </w:r>
            <w:r>
              <w:rPr>
                <w:rFonts w:hint="eastAsia" w:ascii="宋体" w:hAnsi="宋体" w:eastAsia="宋体" w:cs="宋体"/>
                <w:i w:val="0"/>
                <w:color w:val="000000"/>
                <w:kern w:val="0"/>
                <w:sz w:val="22"/>
                <w:szCs w:val="22"/>
                <w:u w:val="none"/>
                <w:lang w:val="en-US" w:eastAsia="zh-CN" w:bidi="ar"/>
              </w:rPr>
              <w:t xml:space="preserve"> </w:t>
            </w:r>
            <w:r>
              <w:rPr>
                <w:rFonts w:ascii="宋体" w:hAnsi="宋体" w:eastAsia="宋体" w:cs="宋体"/>
                <w:i w:val="0"/>
                <w:color w:val="000000"/>
                <w:kern w:val="0"/>
                <w:sz w:val="22"/>
                <w:szCs w:val="22"/>
                <w:u w:val="none"/>
                <w:lang w:val="en-US" w:eastAsia="zh-CN" w:bidi="ar"/>
              </w:rPr>
              <w:t>其中：财政拨款</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17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25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left"/>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 xml:space="preserve">            其他资金</w:t>
            </w:r>
          </w:p>
        </w:tc>
        <w:tc>
          <w:tcPr>
            <w:tcW w:w="58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总体 目标</w:t>
            </w:r>
          </w:p>
        </w:tc>
        <w:tc>
          <w:tcPr>
            <w:tcW w:w="9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4" w:hRule="atLeast"/>
          <w:jc w:val="center"/>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p>
        </w:tc>
        <w:tc>
          <w:tcPr>
            <w:tcW w:w="94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完成全市60人按时参加培训，全力推进全市硅基新材料产业高质量发展。</w:t>
            </w:r>
            <w:r>
              <w:rPr>
                <w:rFonts w:hint="eastAsia" w:ascii="仿宋_GB2312" w:hAnsi="仿宋" w:eastAsia="仿宋_GB2312" w:cs="Times New Roman"/>
                <w:sz w:val="22"/>
                <w:szCs w:val="22"/>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2" w:hRule="atLeast"/>
          <w:jc w:val="center"/>
        </w:trPr>
        <w:tc>
          <w:tcPr>
            <w:tcW w:w="641" w:type="dxa"/>
            <w:vMerge w:val="restart"/>
            <w:tcBorders>
              <w:top w:val="single" w:color="000000" w:sz="4" w:space="0"/>
              <w:lef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绩效 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一级指标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二级指标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三级指标</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指标性质</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指标值</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度量单位</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权重</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4" w:hRule="atLeast"/>
          <w:jc w:val="center"/>
        </w:trPr>
        <w:tc>
          <w:tcPr>
            <w:tcW w:w="641" w:type="dxa"/>
            <w:vMerge w:val="continue"/>
            <w:tcBorders>
              <w:lef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产出指标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数量指标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培训天数</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天</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4" w:hRule="atLeast"/>
          <w:jc w:val="center"/>
        </w:trPr>
        <w:tc>
          <w:tcPr>
            <w:tcW w:w="641" w:type="dxa"/>
            <w:vMerge w:val="continue"/>
            <w:tcBorders>
              <w:lef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产出指标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数量指标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ascii="宋体" w:hAnsi="宋体" w:eastAsia="宋体" w:cs="宋体"/>
                <w:i w:val="0"/>
                <w:iCs w:val="0"/>
                <w:color w:val="000000"/>
                <w:kern w:val="0"/>
                <w:sz w:val="22"/>
                <w:szCs w:val="22"/>
                <w:u w:val="none"/>
                <w:lang w:val="en-US" w:eastAsia="zh-CN" w:bidi="ar"/>
              </w:rPr>
              <w:t>培训人数</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val="en-US" w:eastAsia="zh-CN"/>
              </w:rPr>
              <w:t>≥</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60</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人</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1" w:hRule="atLeast"/>
          <w:jc w:val="center"/>
        </w:trPr>
        <w:tc>
          <w:tcPr>
            <w:tcW w:w="641" w:type="dxa"/>
            <w:vMerge w:val="continue"/>
            <w:tcBorders>
              <w:lef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产出指标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质量指标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kern w:val="2"/>
                <w:sz w:val="22"/>
                <w:szCs w:val="22"/>
                <w:u w:val="none"/>
                <w:lang w:val="en-US" w:eastAsia="zh-CN" w:bidi="ar-SA"/>
              </w:rPr>
            </w:pPr>
            <w:r>
              <w:rPr>
                <w:rFonts w:ascii="宋体" w:hAnsi="宋体" w:eastAsia="宋体" w:cs="宋体"/>
                <w:i w:val="0"/>
                <w:iCs w:val="0"/>
                <w:color w:val="000000"/>
                <w:kern w:val="0"/>
                <w:sz w:val="22"/>
                <w:szCs w:val="22"/>
                <w:u w:val="none"/>
                <w:lang w:val="en-US" w:eastAsia="zh-CN" w:bidi="ar"/>
              </w:rPr>
              <w:t>培训任务完成率</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4" w:hRule="atLeast"/>
          <w:jc w:val="center"/>
        </w:trPr>
        <w:tc>
          <w:tcPr>
            <w:tcW w:w="641" w:type="dxa"/>
            <w:vMerge w:val="continue"/>
            <w:tcBorders>
              <w:lef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产出指标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时效指标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完成时间</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天</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39" w:hRule="atLeast"/>
          <w:jc w:val="center"/>
        </w:trPr>
        <w:tc>
          <w:tcPr>
            <w:tcW w:w="641" w:type="dxa"/>
            <w:vMerge w:val="continue"/>
            <w:tcBorders>
              <w:lef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效益指标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ascii="宋体" w:hAnsi="宋体" w:eastAsia="宋体" w:cs="宋体"/>
                <w:i w:val="0"/>
                <w:color w:val="000000"/>
                <w:kern w:val="0"/>
                <w:sz w:val="22"/>
                <w:szCs w:val="22"/>
                <w:u w:val="none"/>
                <w:lang w:val="en-US" w:eastAsia="zh-CN" w:bidi="ar"/>
              </w:rPr>
              <w:t>社会效益</w:t>
            </w:r>
          </w:p>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sz w:val="22"/>
                <w:szCs w:val="22"/>
                <w:u w:val="none"/>
              </w:rPr>
            </w:pPr>
            <w:r>
              <w:rPr>
                <w:rFonts w:ascii="宋体" w:hAnsi="宋体" w:eastAsia="宋体" w:cs="宋体"/>
                <w:i w:val="0"/>
                <w:color w:val="000000"/>
                <w:kern w:val="0"/>
                <w:sz w:val="22"/>
                <w:szCs w:val="22"/>
                <w:u w:val="none"/>
                <w:lang w:val="en-US" w:eastAsia="zh-CN" w:bidi="ar"/>
              </w:rPr>
              <w:t>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推动硅基新材料产业高质量发展，提高政府收益</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定性</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color w:val="000000"/>
                <w:sz w:val="22"/>
                <w:szCs w:val="22"/>
                <w:u w:val="none"/>
                <w:lang w:val="en-US" w:eastAsia="zh-CN"/>
              </w:rPr>
            </w:pPr>
            <w:r>
              <w:rPr>
                <w:rFonts w:ascii="宋体" w:hAnsi="宋体" w:eastAsia="宋体" w:cs="宋体"/>
                <w:i w:val="0"/>
                <w:iCs w:val="0"/>
                <w:color w:val="000000"/>
                <w:kern w:val="0"/>
                <w:sz w:val="22"/>
                <w:szCs w:val="22"/>
                <w:u w:val="none"/>
                <w:lang w:val="en-US" w:eastAsia="zh-CN" w:bidi="ar"/>
              </w:rPr>
              <w:t>良好</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级</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2" w:hRule="atLeast"/>
          <w:jc w:val="center"/>
        </w:trPr>
        <w:tc>
          <w:tcPr>
            <w:tcW w:w="641" w:type="dxa"/>
            <w:vMerge w:val="continue"/>
            <w:tcBorders>
              <w:lef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满意度指标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满意度指标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学员满意度</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color w:val="000000"/>
                <w:sz w:val="22"/>
                <w:szCs w:val="22"/>
                <w:u w:val="none"/>
                <w:lang w:val="en-US" w:eastAsia="zh-CN"/>
              </w:rPr>
            </w:pPr>
            <w:r>
              <w:rPr>
                <w:rFonts w:ascii="宋体" w:hAnsi="宋体" w:eastAsia="宋体" w:cs="宋体"/>
                <w:i w:val="0"/>
                <w:iCs w:val="0"/>
                <w:color w:val="000000"/>
                <w:kern w:val="0"/>
                <w:sz w:val="22"/>
                <w:szCs w:val="22"/>
                <w:u w:val="none"/>
                <w:lang w:val="en-US" w:eastAsia="zh-CN" w:bidi="ar"/>
              </w:rPr>
              <w:t>95</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10</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8" w:hRule="atLeast"/>
          <w:jc w:val="center"/>
        </w:trPr>
        <w:tc>
          <w:tcPr>
            <w:tcW w:w="641" w:type="dxa"/>
            <w:vMerge w:val="continue"/>
            <w:tcBorders>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成本指标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ind w:left="0" w:leftChars="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经济成本指标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预算控制数</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color w:val="000000"/>
                <w:sz w:val="22"/>
                <w:szCs w:val="22"/>
                <w:u w:val="none"/>
                <w:lang w:val="en-US" w:eastAsia="zh-CN"/>
              </w:rPr>
              <w:t>14.58</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万元</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20</w:t>
            </w:r>
          </w:p>
        </w:tc>
        <w:tc>
          <w:tcPr>
            <w:tcW w:w="18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20" w:lineRule="exact"/>
              <w:ind w:left="0" w:leftChars="0"/>
              <w:jc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14.58</w:t>
            </w:r>
          </w:p>
        </w:tc>
      </w:tr>
    </w:tbl>
    <w:p>
      <w:pPr>
        <w:pStyle w:val="16"/>
        <w:keepNext w:val="0"/>
        <w:keepLines w:val="0"/>
        <w:pageBreakBefore w:val="0"/>
        <w:widowControl w:val="0"/>
        <w:kinsoku/>
        <w:wordWrap/>
        <w:overflowPunct/>
        <w:topLinePunct w:val="0"/>
        <w:autoSpaceDE/>
        <w:autoSpaceDN/>
        <w:bidi w:val="0"/>
        <w:adjustRightInd/>
        <w:snapToGrid/>
        <w:spacing w:after="0" w:line="40" w:lineRule="exact"/>
        <w:ind w:left="0" w:leftChars="0"/>
        <w:textAlignment w:val="auto"/>
        <w:rPr>
          <w:rFonts w:hint="default" w:ascii="黑体" w:hAnsi="黑体" w:eastAsia="黑体" w:cs="黑体"/>
          <w:sz w:val="24"/>
          <w:szCs w:val="24"/>
          <w:highlight w:val="none"/>
          <w:lang w:val="en-US" w:eastAsia="zh-CN"/>
        </w:rPr>
      </w:pPr>
    </w:p>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pStyle w:val="37"/>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广元市不动产登记中心</w:t>
      </w:r>
    </w:p>
    <w:p>
      <w:pPr>
        <w:pStyle w:val="37"/>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eastAsia"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关于四川省广元市不动产登记平台功能升级</w:t>
      </w:r>
    </w:p>
    <w:p>
      <w:pPr>
        <w:pStyle w:val="37"/>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eastAsia"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国产化适配和网络安全建设项目</w:t>
      </w:r>
    </w:p>
    <w:p>
      <w:pPr>
        <w:pStyle w:val="37"/>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pStyle w:val="37"/>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b w:val="0"/>
          <w:bCs w:val="0"/>
          <w:color w:val="auto"/>
          <w:sz w:val="32"/>
          <w:szCs w:val="32"/>
          <w:highlight w:val="none"/>
          <w:lang w:val="zh-CN"/>
        </w:rPr>
      </w:pPr>
      <w:r>
        <w:rPr>
          <w:rFonts w:hint="default" w:ascii="Times New Roman" w:hAnsi="Times New Roman" w:eastAsia="黑体" w:cs="Times New Roman"/>
          <w:b w:val="0"/>
          <w:bCs w:val="0"/>
          <w:color w:val="auto"/>
          <w:sz w:val="32"/>
          <w:szCs w:val="32"/>
          <w:highlight w:val="none"/>
        </w:rPr>
        <w:t>一、</w:t>
      </w:r>
      <w:r>
        <w:rPr>
          <w:rFonts w:hint="default" w:ascii="Times New Roman" w:hAnsi="Times New Roman" w:eastAsia="黑体" w:cs="Times New Roman"/>
          <w:b w:val="0"/>
          <w:bCs w:val="0"/>
          <w:color w:val="auto"/>
          <w:sz w:val="32"/>
          <w:szCs w:val="32"/>
          <w:highlight w:val="none"/>
          <w:lang w:val="zh-CN"/>
        </w:rPr>
        <w:t>项目概况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rPr>
        <w:t>（一）设立背景及基本情况。</w:t>
      </w: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为进一步深化“放管服”改革、提升政府治理能力和安全管理水平，大力推进不动产登记服务能力提升、不动产国产化改造和数据迁移、信息安全防护等工作，我局结合本地实际，以提高信创安全管理、优化营商环境为导向，根据国家、省、市关于信创安全管理和优化营商环境决策部署要求，在现有建设成果的基础上，拟开展不动产登记平台功能升级国产化适配和网络安全建设项目建设工作</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eastAsia="楷体_GB2312" w:cs="Times New Roman"/>
          <w:b w:val="0"/>
          <w:bCs w:val="0"/>
          <w:color w:val="auto"/>
          <w:sz w:val="32"/>
          <w:szCs w:val="32"/>
          <w:highlight w:val="none"/>
          <w:u w:val="none"/>
          <w:lang w:val="zh-CN"/>
        </w:rPr>
      </w:pPr>
      <w:r>
        <w:rPr>
          <w:rFonts w:hint="default" w:ascii="Times New Roman" w:hAnsi="Times New Roman" w:eastAsia="楷体_GB2312" w:cs="Times New Roman"/>
          <w:b w:val="0"/>
          <w:bCs w:val="0"/>
          <w:color w:val="auto"/>
          <w:sz w:val="32"/>
          <w:szCs w:val="32"/>
          <w:highlight w:val="none"/>
          <w:u w:val="none"/>
          <w:lang w:val="zh-CN"/>
        </w:rPr>
        <w:t>（二）</w:t>
      </w:r>
      <w:r>
        <w:rPr>
          <w:rFonts w:hint="default" w:ascii="Times New Roman" w:hAnsi="Times New Roman" w:eastAsia="楷体_GB2312" w:cs="Times New Roman"/>
          <w:b w:val="0"/>
          <w:bCs w:val="0"/>
          <w:color w:val="auto"/>
          <w:sz w:val="32"/>
          <w:szCs w:val="32"/>
          <w:highlight w:val="none"/>
          <w:u w:val="none"/>
          <w:lang w:val="en-US" w:eastAsia="zh-CN"/>
        </w:rPr>
        <w:t>实施目的及支持方向。</w:t>
      </w:r>
      <w:r>
        <w:rPr>
          <w:rFonts w:hint="default" w:ascii="Times New Roman" w:hAnsi="Times New Roman" w:eastAsia="仿宋_GB2312" w:cs="Times New Roman"/>
          <w:b w:val="0"/>
          <w:bCs w:val="0"/>
          <w:color w:val="auto"/>
          <w:kern w:val="0"/>
          <w:sz w:val="32"/>
          <w:szCs w:val="32"/>
          <w:highlight w:val="none"/>
          <w:u w:val="none"/>
          <w:shd w:val="clear" w:color="auto" w:fill="FFFFFF"/>
          <w:lang w:val="en-US" w:eastAsia="zh-CN"/>
        </w:rPr>
        <w:t>本项目的主要建设内容分为国产化适配、“互联网+”应用扩展升级、信息安全防护工作三部分。其中国产化适配包括不动产登记业务系统、不动产登记权籍系统、不动产登记上报系统、“一窗受理”平台、金融和司法延伸系统、不动产移动审批 APP 进行国产化软硬件适配，将数据迁移转换至国产化环境；“互联网+”应用扩展升级包 括不动产登记业务系统改造、登记质量监测系统、不动产廉防信息系统、地籍图可视化查询系统、不动产数据统计分析可视化系统、电子证照及数据互认共享提升、不动产登记服务向乡镇农村延伸、不动产共享交互系统建设、网上“一窗办事”平台升级改造、数据库标准改造及业务系统对接等内容；信息安全防护工作包括网络安 全设备采购，商用密码建设及测评等</w:t>
      </w:r>
      <w:r>
        <w:rPr>
          <w:rFonts w:hint="default" w:ascii="Times New Roman" w:hAnsi="Times New Roman" w:eastAsia="仿宋_GB2312" w:cs="Times New Roman"/>
          <w:b w:val="0"/>
          <w:bCs w:val="0"/>
          <w:color w:val="auto"/>
          <w:kern w:val="0"/>
          <w:sz w:val="32"/>
          <w:szCs w:val="32"/>
          <w:highlight w:val="none"/>
          <w:u w:val="none"/>
          <w:shd w:val="clear" w:color="auto" w:fill="FFFFFF"/>
          <w:lang w:val="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zh-CN"/>
        </w:rPr>
      </w:pPr>
      <w:r>
        <w:rPr>
          <w:rFonts w:hint="default" w:ascii="Times New Roman" w:hAnsi="Times New Roman" w:eastAsia="楷体_GB2312" w:cs="Times New Roman"/>
          <w:b w:val="0"/>
          <w:bCs w:val="0"/>
          <w:color w:val="auto"/>
          <w:sz w:val="32"/>
          <w:szCs w:val="32"/>
          <w:highlight w:val="none"/>
          <w:u w:val="none"/>
          <w:lang w:val="zh-CN" w:eastAsia="zh-CN"/>
        </w:rPr>
        <w:t>（三）</w:t>
      </w:r>
      <w:r>
        <w:rPr>
          <w:rFonts w:hint="default" w:ascii="Times New Roman" w:hAnsi="Times New Roman" w:eastAsia="楷体_GB2312" w:cs="Times New Roman"/>
          <w:b w:val="0"/>
          <w:bCs w:val="0"/>
          <w:color w:val="auto"/>
          <w:sz w:val="32"/>
          <w:szCs w:val="32"/>
          <w:highlight w:val="none"/>
          <w:u w:val="none"/>
          <w:lang w:val="en-US" w:eastAsia="zh-CN"/>
        </w:rPr>
        <w:t>预算安排及分配管理</w:t>
      </w:r>
      <w:r>
        <w:rPr>
          <w:rFonts w:hint="default" w:ascii="Times New Roman" w:hAnsi="Times New Roman" w:eastAsia="楷体_GB2312" w:cs="Times New Roman"/>
          <w:b w:val="0"/>
          <w:bCs w:val="0"/>
          <w:color w:val="auto"/>
          <w:sz w:val="32"/>
          <w:szCs w:val="32"/>
          <w:highlight w:val="none"/>
          <w:u w:val="none"/>
          <w:lang w:val="zh-CN" w:eastAsia="zh-CN"/>
        </w:rPr>
        <w:t>。</w:t>
      </w: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该项目申报预算201.145万元，本次申报金额为201.145万元，资金来源为市级财政资金。</w:t>
      </w:r>
    </w:p>
    <w:p>
      <w:pPr>
        <w:keepNext w:val="0"/>
        <w:keepLines w:val="0"/>
        <w:pageBreakBefore w:val="0"/>
        <w:kinsoku/>
        <w:wordWrap/>
        <w:overflowPunct/>
        <w:topLinePunct w:val="0"/>
        <w:autoSpaceDE/>
        <w:autoSpaceDN/>
        <w:bidi w:val="0"/>
        <w:adjustRightInd w:val="0"/>
        <w:snapToGrid w:val="0"/>
        <w:spacing w:line="576" w:lineRule="exact"/>
        <w:ind w:left="0" w:leftChars="0" w:firstLine="640" w:firstLineChars="200"/>
        <w:textAlignment w:val="auto"/>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pPr>
      <w:r>
        <w:rPr>
          <w:rFonts w:hint="default" w:ascii="Times New Roman" w:hAnsi="Times New Roman" w:eastAsia="楷体_GB2312" w:cs="Times New Roman"/>
          <w:b w:val="0"/>
          <w:bCs w:val="0"/>
          <w:color w:val="auto"/>
          <w:sz w:val="32"/>
          <w:szCs w:val="32"/>
          <w:highlight w:val="none"/>
          <w:u w:val="none"/>
          <w:lang w:val="zh-CN" w:eastAsia="zh-CN"/>
        </w:rPr>
        <w:t>（四）项目绩效目标设置。</w:t>
      </w: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该项目的目标设置较合理，部分绩效指标可量可考核，考核内容与当前政策相契合，与上级部门的年度工作目标相一致。</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黑体" w:cs="Times New Roman"/>
          <w:b w:val="0"/>
          <w:bCs w:val="0"/>
          <w:color w:val="auto"/>
          <w:sz w:val="32"/>
          <w:szCs w:val="32"/>
          <w:highlight w:val="none"/>
          <w:lang w:eastAsia="zh-CN"/>
        </w:rPr>
      </w:pPr>
      <w:r>
        <w:rPr>
          <w:rFonts w:hint="default" w:ascii="Times New Roman" w:hAnsi="Times New Roman" w:eastAsia="黑体" w:cs="Times New Roman"/>
          <w:b w:val="0"/>
          <w:bCs w:val="0"/>
          <w:color w:val="auto"/>
          <w:sz w:val="32"/>
          <w:szCs w:val="32"/>
          <w:highlight w:val="none"/>
        </w:rPr>
        <w:t>二、</w:t>
      </w:r>
      <w:r>
        <w:rPr>
          <w:rFonts w:hint="default" w:ascii="Times New Roman" w:hAnsi="Times New Roman" w:eastAsia="黑体" w:cs="Times New Roman"/>
          <w:b w:val="0"/>
          <w:bCs w:val="0"/>
          <w:color w:val="auto"/>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sz w:val="32"/>
          <w:szCs w:val="32"/>
        </w:rPr>
      </w:pPr>
      <w:r>
        <w:rPr>
          <w:rFonts w:hint="default" w:ascii="Times New Roman" w:hAnsi="Times New Roman" w:eastAsia="楷体_GB2312" w:cs="Times New Roman"/>
          <w:b w:val="0"/>
          <w:bCs w:val="0"/>
          <w:color w:val="auto"/>
          <w:sz w:val="32"/>
          <w:szCs w:val="32"/>
          <w:highlight w:val="none"/>
          <w:u w:val="none"/>
          <w:lang w:val="zh-CN"/>
        </w:rPr>
        <w:t>（一）评价目的。</w:t>
      </w:r>
      <w:r>
        <w:rPr>
          <w:rFonts w:hint="default" w:ascii="Times New Roman" w:hAnsi="Times New Roman" w:eastAsia="仿宋_GB2312" w:cs="Times New Roman"/>
          <w:b w:val="0"/>
          <w:bCs w:val="0"/>
          <w:color w:val="auto"/>
          <w:sz w:val="32"/>
          <w:szCs w:val="32"/>
        </w:rPr>
        <w:t>通过绩效评价，一是对项目预算及资金使用方案的合理性和有效性进行优化，去除不合理的预算项目。二是详细掌握资金使用情况，提高预算执行力。三是促进预算管理的公开化透明化。</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eastAsia="楷体_GB2312" w:cs="Times New Roman"/>
          <w:b w:val="0"/>
          <w:bCs w:val="0"/>
          <w:color w:val="auto"/>
          <w:sz w:val="32"/>
          <w:szCs w:val="32"/>
          <w:highlight w:val="none"/>
          <w:u w:val="none"/>
          <w:lang w:val="zh-CN"/>
        </w:rPr>
      </w:pPr>
      <w:r>
        <w:rPr>
          <w:rFonts w:hint="default" w:ascii="Times New Roman" w:hAnsi="Times New Roman" w:eastAsia="楷体_GB2312" w:cs="Times New Roman"/>
          <w:b w:val="0"/>
          <w:bCs w:val="0"/>
          <w:color w:val="auto"/>
          <w:sz w:val="32"/>
          <w:szCs w:val="32"/>
          <w:highlight w:val="none"/>
          <w:u w:val="none"/>
          <w:lang w:val="zh-CN"/>
        </w:rPr>
        <w:t>（二）预设问题及评价重点。</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sz w:val="32"/>
          <w:szCs w:val="32"/>
        </w:rPr>
      </w:pPr>
      <w:r>
        <w:rPr>
          <w:rFonts w:hint="default" w:ascii="Times New Roman" w:hAnsi="Times New Roman" w:eastAsia="仿宋_GB2312" w:cs="Times New Roman"/>
          <w:b w:val="0"/>
          <w:bCs w:val="0"/>
          <w:color w:val="auto"/>
          <w:sz w:val="32"/>
          <w:szCs w:val="32"/>
        </w:rPr>
        <w:t>1.预设问题。是否符合财务管理制度要求，经费使用应符合相关财务法规和政策，确保资金使用的合法合规，避免违规行为发生。</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rPr>
        <w:t>2.评价重点。按照时间节点和实际情况开支，做到专款专用。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default" w:ascii="Times New Roman" w:hAnsi="Times New Roman" w:eastAsia="仿宋_GB2312" w:cs="Times New Roman"/>
          <w:b w:val="0"/>
          <w:bCs w:val="0"/>
          <w:color w:val="auto"/>
          <w:sz w:val="32"/>
          <w:szCs w:val="32"/>
          <w:lang w:val="zh-CN" w:eastAsia="zh-CN"/>
        </w:rPr>
      </w:pPr>
      <w:r>
        <w:rPr>
          <w:rFonts w:hint="default" w:ascii="Times New Roman" w:hAnsi="Times New Roman" w:eastAsia="楷体_GB2312" w:cs="Times New Roman"/>
          <w:b w:val="0"/>
          <w:bCs w:val="0"/>
          <w:color w:val="auto"/>
          <w:sz w:val="32"/>
          <w:szCs w:val="32"/>
          <w:highlight w:val="none"/>
          <w:u w:val="none"/>
          <w:lang w:val="zh-CN"/>
        </w:rPr>
        <w:t>（三）评价选点。</w:t>
      </w:r>
      <w:r>
        <w:rPr>
          <w:rFonts w:hint="eastAsia" w:eastAsia="仿宋_GB2312" w:cs="Times New Roman"/>
          <w:b w:val="0"/>
          <w:bCs w:val="0"/>
          <w:color w:val="auto"/>
          <w:sz w:val="32"/>
          <w:szCs w:val="32"/>
          <w:lang w:val="en-US" w:eastAsia="zh-CN"/>
        </w:rPr>
        <w:t>该项目不涉及评价选点</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楷体_GB2312" w:cs="Times New Roman"/>
          <w:b w:val="0"/>
          <w:bCs w:val="0"/>
          <w:color w:val="auto"/>
          <w:sz w:val="32"/>
          <w:szCs w:val="32"/>
          <w:highlight w:val="none"/>
          <w:u w:val="none"/>
          <w:lang w:val="zh-CN"/>
        </w:rPr>
        <w:t>（四）评价方法。</w:t>
      </w:r>
      <w:r>
        <w:rPr>
          <w:rFonts w:hint="default" w:ascii="Times New Roman" w:hAnsi="Times New Roman" w:eastAsia="仿宋_GB2312" w:cs="Times New Roman"/>
          <w:b w:val="0"/>
          <w:bCs w:val="0"/>
          <w:color w:val="auto"/>
          <w:sz w:val="32"/>
          <w:szCs w:val="32"/>
        </w:rPr>
        <w:t>采用单位自评法</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widowControl w:val="0"/>
        <w:kinsoku/>
        <w:wordWrap/>
        <w:overflowPunct/>
        <w:topLinePunct w:val="0"/>
        <w:autoSpaceDE/>
        <w:autoSpaceDN/>
        <w:bidi w:val="0"/>
        <w:spacing w:line="576" w:lineRule="exact"/>
        <w:ind w:firstLine="640"/>
        <w:textAlignment w:val="auto"/>
        <w:outlineLvl w:val="9"/>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楷体_GB2312" w:cs="Times New Roman"/>
          <w:b w:val="0"/>
          <w:bCs w:val="0"/>
          <w:color w:val="auto"/>
          <w:sz w:val="32"/>
          <w:szCs w:val="32"/>
          <w:highlight w:val="none"/>
          <w:u w:val="none"/>
          <w:lang w:val="zh-CN"/>
        </w:rPr>
        <w:t>（五）评价组织。</w:t>
      </w:r>
      <w:r>
        <w:rPr>
          <w:rFonts w:hint="default" w:ascii="Times New Roman" w:hAnsi="Times New Roman" w:eastAsia="仿宋_GB2312" w:cs="Times New Roman"/>
          <w:b w:val="0"/>
          <w:bCs w:val="0"/>
          <w:color w:val="auto"/>
          <w:sz w:val="32"/>
          <w:szCs w:val="32"/>
        </w:rPr>
        <w:t>按照财政资金“谁使用，谁自评”的原则，我单位在收到自评工作通知后，立即落实专人负责，及时与我局财务科协调对接，对项目概况、评价实施、绩效分析、评价结论、存在主要问题、改进建议等进行综合自评，形成自评结果</w:t>
      </w:r>
      <w:r>
        <w:rPr>
          <w:rFonts w:hint="default" w:ascii="Times New Roman" w:hAnsi="Times New Roman" w:eastAsia="仿宋_GB2312" w:cs="Times New Roman"/>
          <w:b w:val="0"/>
          <w:bCs w:val="0"/>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仿宋_GB2312" w:cs="Times New Roman"/>
          <w:b w:val="0"/>
          <w:bCs w:val="0"/>
          <w:color w:val="auto"/>
          <w:sz w:val="32"/>
          <w:szCs w:val="32"/>
          <w:highlight w:val="none"/>
          <w:u w:val="none"/>
          <w:lang w:val="zh-CN"/>
        </w:rPr>
      </w:pPr>
      <w:r>
        <w:rPr>
          <w:rFonts w:hint="default" w:ascii="Times New Roman" w:hAnsi="Times New Roman" w:eastAsia="黑体" w:cs="Times New Roman"/>
          <w:b w:val="0"/>
          <w:bCs w:val="0"/>
          <w:color w:val="auto"/>
          <w:sz w:val="32"/>
          <w:szCs w:val="32"/>
          <w:highlight w:val="none"/>
          <w:u w:val="none"/>
        </w:rPr>
        <w:t>三、</w:t>
      </w:r>
      <w:r>
        <w:rPr>
          <w:rFonts w:hint="default" w:ascii="Times New Roman" w:hAnsi="Times New Roman" w:eastAsia="黑体" w:cs="Times New Roman"/>
          <w:b w:val="0"/>
          <w:bCs w:val="0"/>
          <w:color w:val="auto"/>
          <w:sz w:val="32"/>
          <w:szCs w:val="32"/>
          <w:highlight w:val="none"/>
          <w:u w:val="none"/>
          <w:lang w:eastAsia="zh-CN"/>
        </w:rPr>
        <w:t>绩效分析</w:t>
      </w:r>
      <w:r>
        <w:rPr>
          <w:rFonts w:hint="default" w:ascii="Times New Roman" w:hAnsi="Times New Roman" w:eastAsia="仿宋_GB2312" w:cs="Times New Roman"/>
          <w:b w:val="0"/>
          <w:bCs w:val="0"/>
          <w:color w:val="auto"/>
          <w:sz w:val="32"/>
          <w:szCs w:val="32"/>
          <w:highlight w:val="none"/>
          <w:u w:val="none"/>
          <w:lang w:val="zh-CN"/>
        </w:rPr>
        <w:tab/>
      </w:r>
    </w:p>
    <w:p>
      <w:pPr>
        <w:keepNext w:val="0"/>
        <w:keepLines w:val="0"/>
        <w:pageBreakBefore w:val="0"/>
        <w:numPr>
          <w:ilvl w:val="0"/>
          <w:numId w:val="0"/>
        </w:numPr>
        <w:kinsoku/>
        <w:wordWrap/>
        <w:overflowPunct/>
        <w:topLinePunct w:val="0"/>
        <w:autoSpaceDE/>
        <w:autoSpaceDN/>
        <w:bidi w:val="0"/>
        <w:spacing w:line="620" w:lineRule="exact"/>
        <w:ind w:leftChars="0" w:firstLine="640" w:firstLineChars="200"/>
        <w:jc w:val="both"/>
        <w:textAlignment w:val="auto"/>
        <w:rPr>
          <w:rFonts w:hint="eastAsia" w:ascii="楷体_GB2312" w:hAnsi="楷体_GB2312" w:eastAsia="楷体_GB2312" w:cs="楷体_GB2312"/>
          <w:b w:val="0"/>
          <w:bCs/>
          <w:color w:val="auto"/>
          <w:sz w:val="32"/>
          <w:szCs w:val="32"/>
          <w:highlight w:val="none"/>
          <w:u w:val="none"/>
          <w:lang w:val="en-US" w:eastAsia="zh-CN"/>
        </w:rPr>
      </w:pPr>
      <w:r>
        <w:rPr>
          <w:rFonts w:hint="eastAsia" w:ascii="楷体_GB2312" w:hAnsi="楷体_GB2312" w:eastAsia="楷体_GB2312" w:cs="楷体_GB2312"/>
          <w:b w:val="0"/>
          <w:bCs/>
          <w:color w:val="auto"/>
          <w:sz w:val="32"/>
          <w:szCs w:val="32"/>
          <w:highlight w:val="none"/>
          <w:u w:val="none"/>
          <w:lang w:val="zh-CN"/>
        </w:rPr>
        <w:t>（一）</w:t>
      </w:r>
      <w:r>
        <w:rPr>
          <w:rFonts w:hint="eastAsia" w:ascii="楷体_GB2312" w:hAnsi="楷体_GB2312" w:eastAsia="楷体_GB2312" w:cs="楷体_GB2312"/>
          <w:b w:val="0"/>
          <w:bCs/>
          <w:color w:val="auto"/>
          <w:sz w:val="32"/>
          <w:szCs w:val="32"/>
          <w:highlight w:val="none"/>
          <w:u w:val="none"/>
          <w:lang w:val="en-US" w:eastAsia="zh-CN"/>
        </w:rPr>
        <w:t>通用指标</w:t>
      </w:r>
      <w:r>
        <w:rPr>
          <w:rFonts w:hint="eastAsia" w:ascii="楷体_GB2312" w:hAnsi="楷体_GB2312" w:eastAsia="楷体_GB2312" w:cs="楷体_GB2312"/>
          <w:b w:val="0"/>
          <w:bCs/>
          <w:color w:val="auto"/>
          <w:sz w:val="32"/>
          <w:szCs w:val="32"/>
          <w:highlight w:val="none"/>
          <w:u w:val="none"/>
          <w:lang w:val="zh-CN"/>
        </w:rPr>
        <w:t>绩效分析。</w:t>
      </w:r>
    </w:p>
    <w:p>
      <w:pPr>
        <w:keepNext w:val="0"/>
        <w:keepLines w:val="0"/>
        <w:pageBreakBefore w:val="0"/>
        <w:widowControl w:val="0"/>
        <w:kinsoku/>
        <w:wordWrap/>
        <w:overflowPunct/>
        <w:topLinePunct w:val="0"/>
        <w:autoSpaceDE/>
        <w:autoSpaceDN/>
        <w:bidi w:val="0"/>
        <w:adjustRightInd/>
        <w:snapToGrid/>
        <w:spacing w:line="620" w:lineRule="exact"/>
        <w:ind w:leftChars="0"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市不动产登记中心对下一年度计划开展的相关工作进行梳理，确定</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项目</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所需费用，由市局财务科审核后，报市财政局审核。资金下达后，市不动产登记中心具体组织相关工作开展实施。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620" w:lineRule="exact"/>
        <w:ind w:leftChars="0" w:firstLine="640" w:firstLineChars="200"/>
        <w:contextualSpacing/>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有关规定根据部门预算批复情况，市财政下达</w:t>
      </w:r>
      <w:r>
        <w:rPr>
          <w:rFonts w:hint="eastAsia" w:ascii="仿宋_GB2312" w:hAnsi="仿宋_GB2312" w:eastAsia="仿宋_GB2312" w:cs="仿宋_GB2312"/>
          <w:color w:val="auto"/>
          <w:kern w:val="0"/>
          <w:sz w:val="32"/>
          <w:szCs w:val="32"/>
          <w:highlight w:val="none"/>
          <w:u w:val="none"/>
          <w:shd w:val="clear" w:color="auto" w:fill="FFFFFF"/>
          <w:lang w:val="en-US" w:eastAsia="zh-CN"/>
        </w:rPr>
        <w:t>我单位</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项目资金</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201.45万元</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w:t>
      </w:r>
    </w:p>
    <w:p>
      <w:pPr>
        <w:keepNext w:val="0"/>
        <w:keepLines w:val="0"/>
        <w:pageBreakBefore w:val="0"/>
        <w:numPr>
          <w:ilvl w:val="0"/>
          <w:numId w:val="0"/>
        </w:numPr>
        <w:kinsoku/>
        <w:wordWrap/>
        <w:overflowPunct/>
        <w:topLinePunct w:val="0"/>
        <w:autoSpaceDE/>
        <w:autoSpaceDN/>
        <w:bidi w:val="0"/>
        <w:spacing w:line="600" w:lineRule="exact"/>
        <w:ind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仿宋_GB2312" w:hAnsi="仿宋_GB2312" w:eastAsia="仿宋_GB2312" w:cs="仿宋_GB2312"/>
          <w:color w:val="auto"/>
          <w:sz w:val="32"/>
          <w:szCs w:val="32"/>
          <w:lang w:val="en-US" w:eastAsia="zh-CN"/>
        </w:rPr>
        <w:t>3.项目实施。该项目下达时间为2024年12月10日，2024年尚未实施</w:t>
      </w:r>
      <w:r>
        <w:rPr>
          <w:rFonts w:hint="eastAsia" w:ascii="仿宋_GB2312" w:hAnsi="仿宋_GB2312" w:eastAsia="仿宋_GB2312" w:cs="仿宋_GB2312"/>
          <w:color w:val="333333"/>
          <w:sz w:val="32"/>
          <w:szCs w:val="32"/>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0" w:firstLineChars="200"/>
        <w:contextualSpacing/>
        <w:jc w:val="both"/>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auto"/>
          <w:sz w:val="32"/>
          <w:szCs w:val="32"/>
          <w:lang w:val="en-US" w:eastAsia="zh-CN"/>
        </w:rPr>
        <w:t>4.项目结果。</w:t>
      </w:r>
      <w:r>
        <w:rPr>
          <w:rFonts w:hint="eastAsia" w:ascii="仿宋_GB2312" w:hAnsi="仿宋_GB2312" w:eastAsia="仿宋_GB2312" w:cs="仿宋_GB2312"/>
          <w:color w:val="333333"/>
          <w:sz w:val="32"/>
          <w:szCs w:val="32"/>
          <w:shd w:val="clear" w:color="auto" w:fill="FFFFFF"/>
          <w:lang w:val="en-US" w:eastAsia="zh-CN"/>
        </w:rPr>
        <w:t>预算执行率0%。</w:t>
      </w:r>
    </w:p>
    <w:p>
      <w:pPr>
        <w:keepNext w:val="0"/>
        <w:keepLines w:val="0"/>
        <w:pageBreakBefore w:val="0"/>
        <w:numPr>
          <w:ilvl w:val="0"/>
          <w:numId w:val="0"/>
        </w:numPr>
        <w:kinsoku/>
        <w:wordWrap/>
        <w:overflowPunct/>
        <w:topLinePunct w:val="0"/>
        <w:autoSpaceDE/>
        <w:autoSpaceDN/>
        <w:bidi w:val="0"/>
        <w:spacing w:line="600" w:lineRule="exact"/>
        <w:ind w:leftChars="0"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eastAsia="zh-CN"/>
        </w:rPr>
      </w:pPr>
      <w:r>
        <w:rPr>
          <w:rFonts w:hint="eastAsia" w:ascii="楷体_GB2312" w:hAnsi="楷体_GB2312" w:eastAsia="楷体_GB2312" w:cs="楷体_GB2312"/>
          <w:b w:val="0"/>
          <w:bCs/>
          <w:color w:val="auto"/>
          <w:sz w:val="32"/>
          <w:szCs w:val="32"/>
          <w:highlight w:val="none"/>
          <w:u w:val="none"/>
          <w:lang w:val="zh-CN"/>
        </w:rPr>
        <w:t>（二）</w:t>
      </w:r>
      <w:r>
        <w:rPr>
          <w:rFonts w:hint="eastAsia" w:ascii="楷体_GB2312" w:hAnsi="楷体_GB2312" w:eastAsia="楷体_GB2312" w:cs="楷体_GB2312"/>
          <w:b w:val="0"/>
          <w:bCs/>
          <w:color w:val="auto"/>
          <w:sz w:val="32"/>
          <w:szCs w:val="32"/>
          <w:highlight w:val="none"/>
          <w:u w:val="none"/>
          <w:lang w:val="en-US" w:eastAsia="zh-CN"/>
        </w:rPr>
        <w:t>专用指标</w:t>
      </w:r>
      <w:r>
        <w:rPr>
          <w:rFonts w:hint="eastAsia" w:ascii="楷体_GB2312" w:hAnsi="楷体_GB2312" w:eastAsia="楷体_GB2312" w:cs="楷体_GB2312"/>
          <w:b w:val="0"/>
          <w:bCs/>
          <w:color w:val="auto"/>
          <w:sz w:val="32"/>
          <w:szCs w:val="32"/>
          <w:highlight w:val="none"/>
          <w:u w:val="none"/>
          <w:lang w:val="zh-CN"/>
        </w:rPr>
        <w:t>绩效分析</w:t>
      </w:r>
      <w:r>
        <w:rPr>
          <w:rFonts w:hint="eastAsia" w:ascii="楷体_GB2312" w:hAnsi="楷体_GB2312" w:eastAsia="楷体_GB2312" w:cs="楷体_GB2312"/>
          <w:b w:val="0"/>
          <w:bCs/>
          <w:color w:val="auto"/>
          <w:sz w:val="32"/>
          <w:szCs w:val="32"/>
          <w:highlight w:val="none"/>
          <w:u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sz w:val="32"/>
          <w:szCs w:val="32"/>
          <w:lang w:val="en-US" w:eastAsia="zh-CN"/>
        </w:rPr>
        <w:t>1.产业发展。</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该项目是支撑公共服务的重要项目。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0" w:firstLineChars="200"/>
        <w:contextualSpacing/>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保障</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了</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社会经济发展,对于规范我国的用地制度,有效遏制土地需求的盲目扩张,保证国民经济的可持续发展,起到积极作用。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0" w:firstLineChars="200"/>
        <w:contextualSpacing/>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市财政下达</w:t>
      </w:r>
      <w:r>
        <w:rPr>
          <w:rFonts w:hint="eastAsia" w:ascii="仿宋_GB2312" w:hAnsi="仿宋_GB2312" w:eastAsia="仿宋_GB2312" w:cs="仿宋_GB2312"/>
          <w:color w:val="auto"/>
          <w:kern w:val="0"/>
          <w:sz w:val="32"/>
          <w:szCs w:val="32"/>
          <w:highlight w:val="none"/>
          <w:u w:val="none"/>
          <w:shd w:val="clear" w:color="auto" w:fill="FFFFFF"/>
          <w:lang w:val="en-US" w:eastAsia="zh-CN"/>
        </w:rPr>
        <w:t>我单位</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项目资金201.45万元，截止2024年底，已使用专项资金0万元，使用率0%</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0" w:firstLine="640" w:firstLineChars="200"/>
        <w:contextualSpacing/>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本</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单位财务管理制度健全，严格执行财务管理制度，账务处理及时，会计核算规范。</w:t>
      </w:r>
    </w:p>
    <w:p>
      <w:pPr>
        <w:keepNext w:val="0"/>
        <w:keepLines w:val="0"/>
        <w:pageBreakBefore w:val="0"/>
        <w:numPr>
          <w:ilvl w:val="0"/>
          <w:numId w:val="0"/>
        </w:numPr>
        <w:kinsoku/>
        <w:wordWrap/>
        <w:overflowPunct/>
        <w:topLinePunct w:val="0"/>
        <w:autoSpaceDE/>
        <w:autoSpaceDN/>
        <w:bidi w:val="0"/>
        <w:spacing w:line="600" w:lineRule="exact"/>
        <w:ind w:leftChars="0"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rPr>
      </w:pPr>
      <w:r>
        <w:rPr>
          <w:rFonts w:hint="eastAsia" w:ascii="楷体_GB2312" w:hAnsi="楷体_GB2312" w:eastAsia="楷体_GB2312" w:cs="楷体_GB2312"/>
          <w:b w:val="0"/>
          <w:bCs/>
          <w:color w:val="auto"/>
          <w:sz w:val="32"/>
          <w:szCs w:val="32"/>
          <w:highlight w:val="none"/>
          <w:u w:val="none"/>
          <w:lang w:val="zh-CN"/>
        </w:rPr>
        <w:t>（三）</w:t>
      </w:r>
      <w:r>
        <w:rPr>
          <w:rFonts w:hint="eastAsia" w:ascii="楷体_GB2312" w:hAnsi="楷体_GB2312" w:eastAsia="楷体_GB2312" w:cs="楷体_GB2312"/>
          <w:b w:val="0"/>
          <w:bCs/>
          <w:color w:val="auto"/>
          <w:sz w:val="32"/>
          <w:szCs w:val="32"/>
          <w:highlight w:val="none"/>
          <w:u w:val="none"/>
          <w:lang w:val="en-US" w:eastAsia="zh-CN"/>
        </w:rPr>
        <w:t>个性指标</w:t>
      </w:r>
      <w:r>
        <w:rPr>
          <w:rFonts w:hint="eastAsia" w:ascii="楷体_GB2312" w:hAnsi="楷体_GB2312" w:eastAsia="楷体_GB2312" w:cs="楷体_GB2312"/>
          <w:b w:val="0"/>
          <w:bCs/>
          <w:color w:val="auto"/>
          <w:sz w:val="32"/>
          <w:szCs w:val="32"/>
          <w:highlight w:val="none"/>
          <w:u w:val="none"/>
          <w:lang w:val="zh-CN"/>
        </w:rPr>
        <w:t>绩效分析。</w:t>
      </w:r>
    </w:p>
    <w:p>
      <w:pPr>
        <w:keepNext w:val="0"/>
        <w:keepLines w:val="0"/>
        <w:pageBreakBefore w:val="0"/>
        <w:widowControl/>
        <w:numPr>
          <w:ilvl w:val="0"/>
          <w:numId w:val="0"/>
        </w:numPr>
        <w:kinsoku/>
        <w:wordWrap/>
        <w:overflowPunct/>
        <w:topLinePunct w:val="0"/>
        <w:autoSpaceDE/>
        <w:autoSpaceDN/>
        <w:bidi w:val="0"/>
        <w:adjustRightInd/>
        <w:spacing w:line="600" w:lineRule="exact"/>
        <w:ind w:leftChars="0" w:firstLine="640" w:firstLineChars="200"/>
        <w:jc w:val="both"/>
        <w:textAlignment w:val="auto"/>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pPr>
      <w:r>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t>无。</w:t>
      </w:r>
    </w:p>
    <w:p>
      <w:pPr>
        <w:keepNext w:val="0"/>
        <w:keepLines w:val="0"/>
        <w:pageBreakBefore w:val="0"/>
        <w:widowControl/>
        <w:numPr>
          <w:ilvl w:val="0"/>
          <w:numId w:val="0"/>
        </w:numPr>
        <w:kinsoku/>
        <w:wordWrap/>
        <w:overflowPunct/>
        <w:topLinePunct w:val="0"/>
        <w:autoSpaceDE/>
        <w:autoSpaceDN/>
        <w:bidi w:val="0"/>
        <w:adjustRightInd/>
        <w:spacing w:line="576" w:lineRule="exact"/>
        <w:ind w:firstLine="640" w:firstLineChars="200"/>
        <w:jc w:val="left"/>
        <w:textAlignment w:val="auto"/>
        <w:rPr>
          <w:rFonts w:hint="default" w:ascii="Times New Roman" w:hAnsi="Times New Roman" w:eastAsia="黑体" w:cs="Times New Roman"/>
          <w:b w:val="0"/>
          <w:bCs w:val="0"/>
          <w:color w:val="auto"/>
          <w:kern w:val="0"/>
          <w:position w:val="3"/>
          <w:sz w:val="32"/>
          <w:szCs w:val="32"/>
          <w:highlight w:val="none"/>
          <w:u w:val="none"/>
          <w:lang w:val="en-US" w:eastAsia="en-US" w:bidi="ar-SA"/>
        </w:rPr>
      </w:pPr>
      <w:r>
        <w:rPr>
          <w:rFonts w:hint="default" w:ascii="Times New Roman" w:hAnsi="Times New Roman" w:eastAsia="黑体" w:cs="Times New Roman"/>
          <w:b w:val="0"/>
          <w:bCs w:val="0"/>
          <w:color w:val="auto"/>
          <w:kern w:val="0"/>
          <w:position w:val="3"/>
          <w:sz w:val="32"/>
          <w:szCs w:val="32"/>
          <w:highlight w:val="none"/>
          <w:u w:val="none"/>
          <w:lang w:val="en-US" w:eastAsia="zh-CN" w:bidi="ar-SA"/>
        </w:rPr>
        <w:t>四</w:t>
      </w:r>
      <w:r>
        <w:rPr>
          <w:rFonts w:hint="default" w:ascii="Times New Roman" w:hAnsi="Times New Roman" w:eastAsia="黑体" w:cs="Times New Roman"/>
          <w:b w:val="0"/>
          <w:bCs w:val="0"/>
          <w:color w:val="auto"/>
          <w:kern w:val="0"/>
          <w:position w:val="3"/>
          <w:sz w:val="32"/>
          <w:szCs w:val="32"/>
          <w:highlight w:val="none"/>
          <w:u w:val="none"/>
          <w:lang w:val="en-US" w:eastAsia="en-US" w:bidi="ar-SA"/>
        </w:rPr>
        <w:t>、评价结论</w:t>
      </w:r>
    </w:p>
    <w:p>
      <w:pPr>
        <w:keepNext w:val="0"/>
        <w:keepLines w:val="0"/>
        <w:pageBreakBefore w:val="0"/>
        <w:numPr>
          <w:ilvl w:val="0"/>
          <w:numId w:val="0"/>
        </w:numPr>
        <w:kinsoku/>
        <w:wordWrap/>
        <w:overflowPunct/>
        <w:topLinePunct w:val="0"/>
        <w:autoSpaceDE/>
        <w:autoSpaceDN/>
        <w:bidi w:val="0"/>
        <w:spacing w:line="600" w:lineRule="exact"/>
        <w:ind w:leftChars="0" w:firstLine="640" w:firstLineChars="200"/>
        <w:jc w:val="both"/>
        <w:textAlignment w:val="auto"/>
        <w:rPr>
          <w:rFonts w:hint="default" w:ascii="Times New Roman" w:hAnsi="Times New Roman" w:eastAsia="仿宋_GB2312" w:cs="Times New Roman"/>
          <w:b w:val="0"/>
          <w:bCs w:val="0"/>
          <w:color w:val="auto"/>
          <w:kern w:val="2"/>
          <w:positio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u w:val="none"/>
          <w:shd w:val="clear" w:color="auto" w:fill="FFFFFF"/>
          <w:lang w:val="en-US" w:eastAsia="zh-CN"/>
        </w:rPr>
        <w:t>我单位年度目标明确、突出重点、具有可操作性，符合本地工作实际，及时完成各个项目支出，我单位2024年市级专项资金预算项目绩效自评结果为优秀，自评得分0分</w:t>
      </w:r>
      <w:r>
        <w:rPr>
          <w:rFonts w:hint="default" w:ascii="Times New Roman" w:hAnsi="Times New Roman" w:eastAsia="仿宋_GB2312" w:cs="Times New Roman"/>
          <w:b w:val="0"/>
          <w:bCs w:val="0"/>
          <w:color w:val="auto"/>
          <w:sz w:val="32"/>
          <w:szCs w:val="32"/>
          <w:highlight w:val="none"/>
          <w:lang w:val="zh-CN"/>
        </w:rPr>
        <w:t>。</w:t>
      </w:r>
      <w:r>
        <w:rPr>
          <w:rFonts w:hint="eastAsia" w:ascii="仿宋_GB2312" w:hAnsi="仿宋_GB2312" w:eastAsia="仿宋_GB2312" w:cs="仿宋_GB2312"/>
          <w:color w:val="auto"/>
          <w:sz w:val="32"/>
          <w:szCs w:val="32"/>
          <w:lang w:val="en-US" w:eastAsia="zh-CN"/>
        </w:rPr>
        <w:t>该项目下达时间为2024年12月10日，2024年尚未实施</w:t>
      </w:r>
      <w:r>
        <w:rPr>
          <w:rFonts w:hint="eastAsia" w:ascii="仿宋_GB2312" w:hAnsi="仿宋_GB2312" w:eastAsia="仿宋_GB2312" w:cs="仿宋_GB2312"/>
          <w:color w:val="333333"/>
          <w:sz w:val="32"/>
          <w:szCs w:val="32"/>
          <w:shd w:val="clear" w:color="auto" w:fill="FFFFFF"/>
          <w:lang w:val="en-US" w:eastAsia="zh-CN"/>
        </w:rPr>
        <w:t>。</w:t>
      </w:r>
    </w:p>
    <w:p>
      <w:pPr>
        <w:keepNext w:val="0"/>
        <w:keepLines w:val="0"/>
        <w:pageBreakBefore w:val="0"/>
        <w:widowControl/>
        <w:numPr>
          <w:ilvl w:val="0"/>
          <w:numId w:val="0"/>
        </w:numPr>
        <w:kinsoku/>
        <w:wordWrap/>
        <w:overflowPunct/>
        <w:topLinePunct w:val="0"/>
        <w:autoSpaceDE/>
        <w:autoSpaceDN/>
        <w:bidi w:val="0"/>
        <w:adjustRightInd/>
        <w:spacing w:line="576" w:lineRule="exact"/>
        <w:ind w:firstLine="640" w:firstLineChars="200"/>
        <w:jc w:val="left"/>
        <w:textAlignment w:val="auto"/>
        <w:rPr>
          <w:rFonts w:hint="default" w:ascii="Times New Roman" w:hAnsi="Times New Roman" w:eastAsia="黑体" w:cs="Times New Roman"/>
          <w:b w:val="0"/>
          <w:bCs w:val="0"/>
          <w:color w:val="auto"/>
          <w:kern w:val="0"/>
          <w:position w:val="3"/>
          <w:sz w:val="32"/>
          <w:szCs w:val="32"/>
          <w:highlight w:val="none"/>
          <w:u w:val="none"/>
          <w:lang w:val="en-US" w:eastAsia="zh-CN" w:bidi="ar-SA"/>
        </w:rPr>
      </w:pPr>
      <w:r>
        <w:rPr>
          <w:rFonts w:hint="default" w:ascii="Times New Roman" w:hAnsi="Times New Roman" w:eastAsia="黑体" w:cs="Times New Roman"/>
          <w:b w:val="0"/>
          <w:bCs w:val="0"/>
          <w:color w:val="auto"/>
          <w:kern w:val="0"/>
          <w:position w:val="3"/>
          <w:sz w:val="32"/>
          <w:szCs w:val="32"/>
          <w:highlight w:val="none"/>
          <w:u w:val="none"/>
          <w:lang w:val="en-US" w:eastAsia="zh-CN" w:bidi="ar-SA"/>
        </w:rPr>
        <w:t>五、存在主要问题</w:t>
      </w:r>
    </w:p>
    <w:p>
      <w:pPr>
        <w:keepNext w:val="0"/>
        <w:keepLines w:val="0"/>
        <w:pageBreakBefore w:val="0"/>
        <w:widowControl/>
        <w:numPr>
          <w:ilvl w:val="0"/>
          <w:numId w:val="0"/>
        </w:numPr>
        <w:kinsoku/>
        <w:wordWrap/>
        <w:overflowPunct/>
        <w:topLinePunct w:val="0"/>
        <w:autoSpaceDE/>
        <w:autoSpaceDN/>
        <w:bidi w:val="0"/>
        <w:adjustRightInd/>
        <w:spacing w:line="576" w:lineRule="exact"/>
        <w:ind w:firstLine="640" w:firstLineChars="200"/>
        <w:jc w:val="left"/>
        <w:textAlignment w:val="auto"/>
        <w:rPr>
          <w:rFonts w:hint="default" w:ascii="Times New Roman" w:hAnsi="Times New Roman" w:eastAsia="黑体" w:cs="Times New Roman"/>
          <w:b w:val="0"/>
          <w:bCs w:val="0"/>
          <w:color w:val="auto"/>
          <w:kern w:val="2"/>
          <w:position w:val="0"/>
          <w:sz w:val="32"/>
          <w:szCs w:val="32"/>
          <w:highlight w:val="none"/>
          <w:lang w:val="en-US" w:eastAsia="zh-CN" w:bidi="ar-SA"/>
        </w:rPr>
      </w:pPr>
      <w:r>
        <w:rPr>
          <w:rFonts w:hint="eastAsia" w:ascii="Times New Roman" w:hAnsi="Times New Roman" w:eastAsia="仿宋_GB2312" w:cs="Times New Roman"/>
          <w:b w:val="0"/>
          <w:bCs w:val="0"/>
          <w:color w:val="auto"/>
          <w:kern w:val="0"/>
          <w:position w:val="0"/>
          <w:sz w:val="32"/>
          <w:szCs w:val="32"/>
          <w:highlight w:val="none"/>
          <w:lang w:val="en-US" w:eastAsia="zh-CN" w:bidi="ar-SA"/>
        </w:rPr>
        <w:t>无</w:t>
      </w:r>
      <w:r>
        <w:rPr>
          <w:rFonts w:hint="default" w:ascii="Times New Roman" w:hAnsi="Times New Roman" w:eastAsia="仿宋_GB2312" w:cs="Times New Roman"/>
          <w:b w:val="0"/>
          <w:bCs w:val="0"/>
          <w:color w:val="auto"/>
          <w:kern w:val="0"/>
          <w:position w:val="0"/>
          <w:sz w:val="32"/>
          <w:szCs w:val="32"/>
          <w:highlight w:val="none"/>
          <w:lang w:val="en-US" w:eastAsia="zh-CN" w:bidi="ar-SA"/>
        </w:rPr>
        <w:t>。</w:t>
      </w:r>
    </w:p>
    <w:p>
      <w:pPr>
        <w:keepNext w:val="0"/>
        <w:keepLines w:val="0"/>
        <w:pageBreakBefore w:val="0"/>
        <w:widowControl/>
        <w:numPr>
          <w:ilvl w:val="0"/>
          <w:numId w:val="0"/>
        </w:numPr>
        <w:kinsoku/>
        <w:wordWrap/>
        <w:overflowPunct/>
        <w:topLinePunct w:val="0"/>
        <w:autoSpaceDE/>
        <w:autoSpaceDN/>
        <w:bidi w:val="0"/>
        <w:adjustRightInd/>
        <w:spacing w:line="576" w:lineRule="exact"/>
        <w:ind w:firstLine="640" w:firstLineChars="200"/>
        <w:jc w:val="left"/>
        <w:textAlignment w:val="auto"/>
        <w:rPr>
          <w:rFonts w:hint="default" w:ascii="Times New Roman" w:hAnsi="Times New Roman" w:eastAsia="黑体" w:cs="Times New Roman"/>
          <w:b w:val="0"/>
          <w:bCs w:val="0"/>
          <w:color w:val="auto"/>
          <w:kern w:val="0"/>
          <w:position w:val="3"/>
          <w:sz w:val="32"/>
          <w:szCs w:val="32"/>
          <w:highlight w:val="none"/>
          <w:u w:val="none"/>
          <w:lang w:val="zh-CN" w:eastAsia="zh-CN" w:bidi="ar-SA"/>
        </w:rPr>
      </w:pPr>
      <w:r>
        <w:rPr>
          <w:rFonts w:hint="default" w:ascii="Times New Roman" w:hAnsi="Times New Roman" w:eastAsia="黑体" w:cs="Times New Roman"/>
          <w:b w:val="0"/>
          <w:bCs w:val="0"/>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76" w:lineRule="exact"/>
        <w:jc w:val="left"/>
        <w:rPr>
          <w:rFonts w:hint="default" w:ascii="Times New Roman" w:hAnsi="Times New Roman" w:eastAsia="仿宋_GB2312" w:cs="Times New Roman"/>
          <w:b w:val="0"/>
          <w:bCs w:val="0"/>
          <w:color w:val="auto"/>
          <w:kern w:val="0"/>
          <w:position w:val="0"/>
          <w:sz w:val="32"/>
          <w:szCs w:val="32"/>
          <w:highlight w:val="none"/>
          <w:lang w:val="en" w:eastAsia="zh-CN" w:bidi="ar-SA"/>
        </w:rPr>
      </w:pP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 xml:space="preserve"> </w:t>
      </w:r>
      <w:r>
        <w:rPr>
          <w:rFonts w:hint="default" w:ascii="Times New Roman" w:hAnsi="Times New Roman" w:eastAsia="仿宋_GB2312" w:cs="Times New Roman"/>
          <w:b w:val="0"/>
          <w:bCs w:val="0"/>
          <w:color w:val="auto"/>
          <w:kern w:val="0"/>
          <w:position w:val="0"/>
          <w:sz w:val="32"/>
          <w:szCs w:val="32"/>
          <w:highlight w:val="none"/>
          <w:lang w:val="en-US" w:eastAsia="zh-CN" w:bidi="ar-SA"/>
        </w:rPr>
        <w:t xml:space="preserve">  </w:t>
      </w:r>
      <w:r>
        <w:rPr>
          <w:rFonts w:hint="eastAsia" w:eastAsia="仿宋_GB2312" w:cs="Times New Roman"/>
          <w:b w:val="0"/>
          <w:bCs w:val="0"/>
          <w:color w:val="auto"/>
          <w:kern w:val="0"/>
          <w:position w:val="0"/>
          <w:sz w:val="32"/>
          <w:szCs w:val="32"/>
          <w:highlight w:val="none"/>
          <w:lang w:val="en-US" w:eastAsia="zh-CN" w:bidi="ar-SA"/>
        </w:rPr>
        <w:t xml:space="preserve"> 无</w:t>
      </w:r>
      <w:r>
        <w:rPr>
          <w:rFonts w:hint="default" w:ascii="Times New Roman" w:hAnsi="Times New Roman" w:eastAsia="仿宋_GB2312" w:cs="Times New Roman"/>
          <w:b w:val="0"/>
          <w:bCs w:val="0"/>
          <w:color w:val="auto"/>
          <w:kern w:val="0"/>
          <w:position w:val="0"/>
          <w:sz w:val="32"/>
          <w:szCs w:val="32"/>
          <w:highlight w:val="none"/>
          <w:lang w:val="en-US" w:eastAsia="zh-CN" w:bidi="ar-SA"/>
        </w:rPr>
        <w:t>。</w:t>
      </w:r>
    </w:p>
    <w:p>
      <w:pPr>
        <w:keepNext w:val="0"/>
        <w:keepLines w:val="0"/>
        <w:pageBreakBefore w:val="0"/>
        <w:kinsoku/>
        <w:wordWrap/>
        <w:overflowPunct/>
        <w:topLinePunct w:val="0"/>
        <w:autoSpaceDE/>
        <w:autoSpaceDN/>
        <w:bidi w:val="0"/>
        <w:adjustRightInd/>
        <w:snapToGrid w:val="0"/>
        <w:spacing w:line="576" w:lineRule="exact"/>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p>
    <w:p>
      <w:pPr>
        <w:keepNext w:val="0"/>
        <w:keepLines w:val="0"/>
        <w:pageBreakBefore w:val="0"/>
        <w:kinsoku/>
        <w:wordWrap/>
        <w:overflowPunct/>
        <w:topLinePunct w:val="0"/>
        <w:autoSpaceDE/>
        <w:autoSpaceDN/>
        <w:bidi w:val="0"/>
        <w:adjustRightInd/>
        <w:snapToGrid w:val="0"/>
        <w:spacing w:line="576" w:lineRule="exact"/>
        <w:ind w:firstLine="640" w:firstLineChars="200"/>
        <w:textAlignment w:val="auto"/>
        <w:outlineLvl w:val="9"/>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附表：专项预算项目绩效目标完成情况自评表</w:t>
      </w:r>
    </w:p>
    <w:p>
      <w:pPr>
        <w:widowControl w:val="0"/>
        <w:ind w:firstLine="680"/>
        <w:jc w:val="right"/>
        <w:rPr>
          <w:rFonts w:hint="eastAsia" w:ascii="仿宋_GB2312" w:hAnsi="仿宋_GB2312" w:eastAsia="仿宋_GB2312" w:cs="仿宋_GB2312"/>
          <w:color w:val="auto"/>
          <w:kern w:val="0"/>
          <w:sz w:val="32"/>
          <w:szCs w:val="32"/>
          <w:highlight w:val="none"/>
          <w:shd w:val="clear" w:color="auto" w:fill="FFFFFF"/>
          <w:lang w:val="en-US" w:eastAsia="zh-CN" w:bidi="ar-SA"/>
        </w:rPr>
      </w:pPr>
    </w:p>
    <w:p>
      <w:pPr>
        <w:ind w:firstLine="4800" w:firstLineChars="1500"/>
        <w:jc w:val="both"/>
        <w:rPr>
          <w:rFonts w:hint="eastAsia" w:ascii="仿宋_GB2312" w:hAnsi="仿宋_GB2312" w:eastAsia="仿宋_GB2312" w:cs="仿宋_GB2312"/>
          <w:color w:val="auto"/>
          <w:kern w:val="0"/>
          <w:sz w:val="32"/>
          <w:szCs w:val="32"/>
          <w:highlight w:val="none"/>
          <w:shd w:val="clear" w:color="auto" w:fill="FFFFFF"/>
          <w:lang w:val="en-US" w:eastAsia="zh-CN"/>
        </w:rPr>
      </w:pPr>
    </w:p>
    <w:p>
      <w:pPr>
        <w:ind w:firstLine="4800" w:firstLineChars="1500"/>
        <w:jc w:val="both"/>
        <w:rPr>
          <w:rFonts w:hint="eastAsia" w:ascii="仿宋_GB2312" w:hAnsi="仿宋_GB2312" w:eastAsia="仿宋_GB2312" w:cs="仿宋_GB2312"/>
          <w:color w:val="auto"/>
          <w:kern w:val="0"/>
          <w:sz w:val="32"/>
          <w:szCs w:val="32"/>
          <w:highlight w:val="none"/>
          <w:shd w:val="clear" w:color="auto" w:fill="FFFFFF"/>
          <w:lang w:val="en-US" w:eastAsia="zh-CN"/>
        </w:rPr>
      </w:pPr>
      <w:r>
        <w:rPr>
          <w:rFonts w:hint="eastAsia" w:ascii="仿宋_GB2312" w:hAnsi="仿宋_GB2312" w:eastAsia="仿宋_GB2312" w:cs="仿宋_GB2312"/>
          <w:color w:val="auto"/>
          <w:kern w:val="0"/>
          <w:sz w:val="32"/>
          <w:szCs w:val="32"/>
          <w:highlight w:val="none"/>
          <w:shd w:val="clear" w:color="auto" w:fill="FFFFFF"/>
          <w:lang w:val="en-US" w:eastAsia="zh-CN"/>
        </w:rPr>
        <w:t>广元市不动产登记中心</w:t>
      </w:r>
    </w:p>
    <w:p>
      <w:pPr>
        <w:ind w:firstLine="5120" w:firstLineChars="16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kern w:val="0"/>
          <w:sz w:val="32"/>
          <w:szCs w:val="32"/>
          <w:highlight w:val="none"/>
          <w:shd w:val="clear" w:color="auto" w:fill="FFFFFF"/>
          <w:lang w:val="en-US" w:eastAsia="zh-CN" w:bidi="ar-SA"/>
        </w:rPr>
        <w:t>2025年4月15日</w:t>
      </w:r>
    </w:p>
    <w:p>
      <w:pPr>
        <w:keepNext w:val="0"/>
        <w:keepLines w:val="0"/>
        <w:pageBreakBefore w:val="0"/>
        <w:widowControl w:val="0"/>
        <w:kinsoku/>
        <w:wordWrap/>
        <w:overflowPunct/>
        <w:topLinePunct w:val="0"/>
        <w:autoSpaceDE/>
        <w:autoSpaceDN/>
        <w:bidi w:val="0"/>
        <w:adjustRightInd/>
        <w:snapToGrid/>
        <w:spacing w:after="0" w:line="576" w:lineRule="exact"/>
        <w:ind w:left="0" w:leftChars="0" w:firstLine="480" w:firstLineChars="200"/>
        <w:jc w:val="both"/>
        <w:textAlignment w:val="auto"/>
        <w:rPr>
          <w:rFonts w:hint="default" w:ascii="Times New Roman" w:hAnsi="Times New Roman" w:eastAsia="黑体" w:cs="Times New Roman"/>
          <w:color w:val="auto"/>
          <w:kern w:val="2"/>
          <w:sz w:val="24"/>
          <w:szCs w:val="24"/>
          <w:highlight w:val="none"/>
          <w:lang w:val="en-US" w:eastAsia="zh-CN" w:bidi="ar-SA"/>
        </w:rPr>
      </w:pPr>
    </w:p>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keepNext w:val="0"/>
        <w:keepLines w:val="0"/>
        <w:pageBreakBefore w:val="0"/>
        <w:widowControl w:val="0"/>
        <w:kinsoku/>
        <w:wordWrap/>
        <w:overflowPunct/>
        <w:topLinePunct w:val="0"/>
        <w:autoSpaceDE/>
        <w:autoSpaceDN/>
        <w:bidi w:val="0"/>
        <w:spacing w:line="540"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广元市自然资源储备交易中心</w:t>
      </w:r>
    </w:p>
    <w:p>
      <w:pPr>
        <w:keepNext w:val="0"/>
        <w:keepLines w:val="0"/>
        <w:pageBreakBefore w:val="0"/>
        <w:widowControl w:val="0"/>
        <w:kinsoku/>
        <w:wordWrap/>
        <w:overflowPunct/>
        <w:topLinePunct w:val="0"/>
        <w:autoSpaceDE/>
        <w:autoSpaceDN/>
        <w:bidi w:val="0"/>
        <w:spacing w:line="540"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bidi="ar-SA"/>
        </w:rPr>
      </w:pPr>
      <w:r>
        <w:rPr>
          <w:rFonts w:hint="eastAsia" w:ascii="方正小标宋简体" w:hAnsi="方正小标宋简体" w:eastAsia="方正小标宋简体" w:cs="方正小标宋简体"/>
          <w:color w:val="auto"/>
          <w:kern w:val="2"/>
          <w:sz w:val="44"/>
          <w:szCs w:val="44"/>
          <w:highlight w:val="none"/>
          <w:lang w:val="en-US" w:eastAsia="zh-CN" w:bidi="ar-SA"/>
        </w:rPr>
        <w:t>关于征拆补偿资金项目绩效评价报告</w:t>
      </w:r>
    </w:p>
    <w:p>
      <w:pPr>
        <w:keepNext w:val="0"/>
        <w:keepLines w:val="0"/>
        <w:pageBreakBefore w:val="0"/>
        <w:widowControl w:val="0"/>
        <w:kinsoku/>
        <w:wordWrap/>
        <w:overflowPunct/>
        <w:topLinePunct w:val="0"/>
        <w:autoSpaceDE/>
        <w:autoSpaceDN/>
        <w:bidi w:val="0"/>
        <w:spacing w:line="540" w:lineRule="exact"/>
        <w:ind w:left="0" w:leftChars="0" w:firstLine="640"/>
        <w:jc w:val="center"/>
        <w:textAlignment w:val="auto"/>
        <w:rPr>
          <w:rFonts w:ascii="宋体" w:hAnsi="宋体" w:eastAsia="宋体" w:cs="Times New Roman"/>
          <w:color w:val="auto"/>
          <w:kern w:val="2"/>
          <w:sz w:val="32"/>
          <w:szCs w:val="32"/>
          <w:highlight w:val="none"/>
          <w:lang w:val="zh-CN" w:eastAsia="zh-CN" w:bidi="ar-SA"/>
        </w:rPr>
      </w:pP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40" w:lineRule="exact"/>
        <w:ind w:leftChars="0" w:firstLine="640" w:firstLineChars="200"/>
        <w:jc w:val="both"/>
        <w:textAlignment w:val="auto"/>
        <w:rPr>
          <w:rFonts w:hint="eastAsia" w:ascii="黑体" w:hAnsi="黑体" w:eastAsia="黑体" w:cs="黑体"/>
          <w:color w:val="auto"/>
          <w:kern w:val="0"/>
          <w:position w:val="3"/>
          <w:sz w:val="32"/>
          <w:szCs w:val="32"/>
          <w:highlight w:val="none"/>
          <w:u w:val="none"/>
          <w:lang w:val="zh-CN" w:eastAsia="zh-CN" w:bidi="ar-SA"/>
        </w:rPr>
      </w:pPr>
      <w:r>
        <w:rPr>
          <w:rFonts w:hint="eastAsia" w:ascii="黑体" w:hAnsi="黑体" w:eastAsia="黑体" w:cs="黑体"/>
          <w:color w:val="auto"/>
          <w:kern w:val="0"/>
          <w:position w:val="3"/>
          <w:sz w:val="32"/>
          <w:szCs w:val="32"/>
          <w:highlight w:val="none"/>
          <w:u w:val="none"/>
          <w:lang w:val="zh-CN" w:eastAsia="zh-CN" w:bidi="ar-SA"/>
        </w:rPr>
        <w:t>一、项目概况</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楷体_GB2312" w:hAnsi="楷体_GB2312" w:eastAsia="楷体_GB2312" w:cs="楷体_GB2312"/>
          <w:b w:val="0"/>
          <w:bCs/>
          <w:color w:val="auto"/>
          <w:sz w:val="32"/>
          <w:szCs w:val="32"/>
          <w:highlight w:val="none"/>
          <w:u w:val="none"/>
          <w:lang w:val="zh-CN"/>
        </w:rPr>
        <w:t>（一）设立背景及基本情况。</w:t>
      </w:r>
      <w:r>
        <w:rPr>
          <w:rFonts w:hint="eastAsia" w:ascii="仿宋_GB2312" w:hAnsi="仿宋_GB2312" w:eastAsia="仿宋_GB2312" w:cs="仿宋_GB2312"/>
          <w:color w:val="333333"/>
          <w:sz w:val="32"/>
          <w:szCs w:val="32"/>
          <w:shd w:val="clear" w:color="auto" w:fill="FFFFFF"/>
          <w:lang w:val="zh-CN" w:eastAsia="zh-CN"/>
        </w:rPr>
        <w:t>市自然资源储备交易中心</w:t>
      </w:r>
      <w:r>
        <w:rPr>
          <w:rFonts w:hint="eastAsia" w:ascii="仿宋_GB2312" w:hAnsi="仿宋_GB2312" w:eastAsia="仿宋_GB2312" w:cs="仿宋_GB2312"/>
          <w:color w:val="333333"/>
          <w:sz w:val="32"/>
          <w:szCs w:val="32"/>
          <w:shd w:val="clear" w:color="auto" w:fill="FFFFFF"/>
          <w:lang w:val="en-US" w:eastAsia="zh-CN"/>
        </w:rPr>
        <w:t>负责编制市本级土地储备计划并实施；负责储备土地实施前期开发和管护；配合土地储备专项债券发行工作；承担国有建设用地供应事务性工作；负责国有建设用地二级市场相关工作</w:t>
      </w:r>
      <w:r>
        <w:rPr>
          <w:rFonts w:hint="eastAsia" w:ascii="仿宋_GB2312" w:hAnsi="仿宋_GB2312" w:eastAsia="仿宋_GB2312" w:cs="仿宋_GB2312"/>
          <w:spacing w:val="0"/>
          <w:sz w:val="32"/>
          <w:szCs w:val="32"/>
          <w:lang w:val="en-US" w:eastAsia="zh-CN"/>
        </w:rPr>
        <w:t>。</w:t>
      </w:r>
    </w:p>
    <w:p>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both"/>
        <w:textAlignment w:val="auto"/>
        <w:rPr>
          <w:rFonts w:hint="eastAsia" w:ascii="仿宋_GB2312" w:hAnsi="仿宋_GB2312" w:eastAsia="仿宋_GB2312" w:cs="仿宋_GB2312"/>
          <w:b w:val="0"/>
          <w:bCs/>
          <w:color w:val="auto"/>
          <w:sz w:val="32"/>
          <w:szCs w:val="32"/>
          <w:highlight w:val="none"/>
          <w:u w:val="none"/>
          <w:lang w:val="zh-CN"/>
        </w:rPr>
      </w:pPr>
      <w:r>
        <w:rPr>
          <w:rFonts w:hint="eastAsia" w:ascii="楷体_GB2312" w:hAnsi="楷体_GB2312" w:eastAsia="楷体_GB2312" w:cs="楷体_GB2312"/>
          <w:b w:val="0"/>
          <w:bCs/>
          <w:color w:val="auto"/>
          <w:sz w:val="32"/>
          <w:szCs w:val="32"/>
          <w:highlight w:val="none"/>
          <w:u w:val="none"/>
          <w:lang w:val="zh-CN"/>
        </w:rPr>
        <w:t>（二）</w:t>
      </w:r>
      <w:r>
        <w:rPr>
          <w:rFonts w:hint="eastAsia" w:ascii="楷体_GB2312" w:hAnsi="楷体_GB2312" w:eastAsia="楷体_GB2312" w:cs="楷体_GB2312"/>
          <w:b w:val="0"/>
          <w:bCs/>
          <w:color w:val="auto"/>
          <w:sz w:val="32"/>
          <w:szCs w:val="32"/>
          <w:highlight w:val="none"/>
          <w:u w:val="none"/>
          <w:lang w:val="en-US" w:eastAsia="zh-CN"/>
        </w:rPr>
        <w:t>实施目的及支持方向。一是</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中华人民共和国土地管理法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有关规定，</w:t>
      </w:r>
      <w:r>
        <w:rPr>
          <w:rFonts w:hint="eastAsia" w:ascii="仿宋_GB2312" w:hAnsi="仿宋_GB2312" w:eastAsia="仿宋_GB2312" w:cs="仿宋_GB2312"/>
          <w:sz w:val="32"/>
          <w:szCs w:val="32"/>
          <w:lang w:eastAsia="zh-CN"/>
        </w:rPr>
        <w:t>收回土地予以适当补偿。二是支付对拟供地块（拟储备地块）开展地价评估、地灾评估等前期工作所需地价、地灾评估费，和城市价值推介所需费用。</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eastAsia="zh-CN"/>
        </w:rPr>
      </w:pPr>
      <w:r>
        <w:rPr>
          <w:rFonts w:hint="eastAsia" w:ascii="楷体_GB2312" w:hAnsi="楷体_GB2312" w:eastAsia="楷体_GB2312" w:cs="楷体_GB2312"/>
          <w:b w:val="0"/>
          <w:bCs/>
          <w:color w:val="auto"/>
          <w:sz w:val="32"/>
          <w:szCs w:val="32"/>
          <w:highlight w:val="none"/>
          <w:u w:val="none"/>
          <w:lang w:val="zh-CN" w:eastAsia="zh-CN"/>
        </w:rPr>
        <w:t>（三）</w:t>
      </w:r>
      <w:r>
        <w:rPr>
          <w:rFonts w:hint="eastAsia" w:ascii="楷体_GB2312" w:hAnsi="楷体_GB2312" w:eastAsia="楷体_GB2312" w:cs="楷体_GB2312"/>
          <w:b w:val="0"/>
          <w:bCs/>
          <w:color w:val="auto"/>
          <w:sz w:val="32"/>
          <w:szCs w:val="32"/>
          <w:highlight w:val="none"/>
          <w:u w:val="none"/>
          <w:lang w:val="en-US" w:eastAsia="zh-CN"/>
        </w:rPr>
        <w:t>预算安排及分配管理</w:t>
      </w:r>
      <w:r>
        <w:rPr>
          <w:rFonts w:hint="eastAsia" w:ascii="楷体_GB2312" w:hAnsi="楷体_GB2312" w:eastAsia="楷体_GB2312" w:cs="楷体_GB2312"/>
          <w:b w:val="0"/>
          <w:bCs/>
          <w:color w:val="auto"/>
          <w:sz w:val="32"/>
          <w:szCs w:val="32"/>
          <w:highlight w:val="none"/>
          <w:u w:val="none"/>
          <w:lang w:val="zh-CN" w:eastAsia="zh-CN"/>
        </w:rPr>
        <w:t>。</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1.邦泰挪威森林经营性用地征拆补偿资金6199.97万元。</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2.代建武警广元支队新机关营区基础设施建设项目工程费396.95万元。</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3.收回矿业公司土地补偿费12.93万元。</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4.城北片区枣树湾征拆补偿费用6000万元。</w:t>
      </w:r>
    </w:p>
    <w:p>
      <w:pPr>
        <w:keepNext w:val="0"/>
        <w:keepLines w:val="0"/>
        <w:pageBreakBefore w:val="0"/>
        <w:widowControl w:val="0"/>
        <w:kinsoku/>
        <w:overflowPunct/>
        <w:topLinePunct w:val="0"/>
        <w:autoSpaceDE/>
        <w:autoSpaceDN/>
        <w:bidi w:val="0"/>
        <w:spacing w:line="540" w:lineRule="exact"/>
        <w:ind w:firstLine="680"/>
        <w:jc w:val="both"/>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5.大石前进村项目征拆补偿费用6000万元。</w:t>
      </w:r>
    </w:p>
    <w:p>
      <w:pPr>
        <w:keepNext w:val="0"/>
        <w:keepLines w:val="0"/>
        <w:pageBreakBefore w:val="0"/>
        <w:kinsoku/>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6.利州西路棚户区东风坪社区清真寺经营性土地征拆费用3000万元。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楷体_GB2312" w:hAnsi="楷体_GB2312" w:eastAsia="楷体_GB2312" w:cs="楷体_GB2312"/>
          <w:b w:val="0"/>
          <w:bCs/>
          <w:color w:val="auto"/>
          <w:sz w:val="32"/>
          <w:szCs w:val="32"/>
          <w:highlight w:val="none"/>
          <w:u w:val="none"/>
          <w:lang w:val="zh-CN" w:eastAsia="zh-CN"/>
        </w:rPr>
      </w:pPr>
    </w:p>
    <w:p>
      <w:pPr>
        <w:keepNext w:val="0"/>
        <w:keepLines w:val="0"/>
        <w:pageBreakBefore w:val="0"/>
        <w:widowControl w:val="0"/>
        <w:kinsoku/>
        <w:overflowPunct/>
        <w:topLinePunct w:val="0"/>
        <w:autoSpaceDE/>
        <w:autoSpaceDN/>
        <w:bidi w:val="0"/>
        <w:spacing w:line="540" w:lineRule="exact"/>
        <w:ind w:firstLine="680"/>
        <w:jc w:val="both"/>
        <w:textAlignment w:val="auto"/>
        <w:rPr>
          <w:rFonts w:hint="default"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7.</w:t>
      </w:r>
      <w:r>
        <w:rPr>
          <w:rFonts w:hint="default" w:ascii="仿宋_GB2312" w:hAnsi="仿宋_GB2312" w:eastAsia="仿宋_GB2312" w:cs="仿宋_GB2312"/>
          <w:color w:val="333333"/>
          <w:kern w:val="2"/>
          <w:sz w:val="32"/>
          <w:szCs w:val="32"/>
          <w:shd w:val="clear" w:color="auto" w:fill="FFFFFF"/>
          <w:lang w:val="en-US" w:eastAsia="zh-CN" w:bidi="ar-SA"/>
        </w:rPr>
        <w:t>南河郑州路535号8.96亩土地征拆费用</w:t>
      </w:r>
      <w:r>
        <w:rPr>
          <w:rFonts w:hint="eastAsia" w:ascii="仿宋_GB2312" w:hAnsi="仿宋_GB2312" w:eastAsia="仿宋_GB2312" w:cs="仿宋_GB2312"/>
          <w:color w:val="333333"/>
          <w:kern w:val="2"/>
          <w:sz w:val="32"/>
          <w:szCs w:val="32"/>
          <w:shd w:val="clear" w:color="auto" w:fill="FFFFFF"/>
          <w:lang w:val="en-US" w:eastAsia="zh-CN" w:bidi="ar-SA"/>
        </w:rPr>
        <w:t>300万元。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8.市司法局南侧地块经营性用地征拆费用203.29万元</w:t>
      </w:r>
    </w:p>
    <w:p>
      <w:pPr>
        <w:keepNext w:val="0"/>
        <w:keepLines w:val="0"/>
        <w:pageBreakBefore w:val="0"/>
        <w:widowControl w:val="0"/>
        <w:kinsoku/>
        <w:overflowPunct/>
        <w:topLinePunct w:val="0"/>
        <w:autoSpaceDE/>
        <w:autoSpaceDN/>
        <w:bidi w:val="0"/>
        <w:spacing w:line="540" w:lineRule="exact"/>
        <w:ind w:firstLine="680"/>
        <w:jc w:val="both"/>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9.百草园东侧水柜路西侧地块征拆费用489.39万元。</w:t>
      </w:r>
    </w:p>
    <w:p>
      <w:pPr>
        <w:keepNext w:val="0"/>
        <w:keepLines w:val="0"/>
        <w:pageBreakBefore w:val="0"/>
        <w:kinsoku/>
        <w:overflowPunct/>
        <w:topLinePunct w:val="0"/>
        <w:autoSpaceDE/>
        <w:autoSpaceDN/>
        <w:bidi w:val="0"/>
        <w:spacing w:line="540" w:lineRule="exact"/>
        <w:ind w:firstLine="640" w:firstLineChars="200"/>
        <w:textAlignment w:val="auto"/>
        <w:rPr>
          <w:rFonts w:hint="eastAsia" w:ascii="仿宋_GB2312" w:hAnsi="仿宋_GB2312" w:eastAsia="仿宋_GB2312" w:cs="仿宋_GB2312"/>
          <w:color w:val="333333"/>
          <w:kern w:val="2"/>
          <w:sz w:val="32"/>
          <w:szCs w:val="32"/>
          <w:shd w:val="clear" w:color="auto" w:fill="FFFFFF"/>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10.拨付广元市利州区雪峰泡石弃土场及配套工程费用110万元。</w:t>
      </w:r>
    </w:p>
    <w:p>
      <w:pPr>
        <w:keepNext w:val="0"/>
        <w:keepLines w:val="0"/>
        <w:pageBreakBefore w:val="0"/>
        <w:widowControl w:val="0"/>
        <w:kinsoku/>
        <w:overflowPunct/>
        <w:topLinePunct w:val="0"/>
        <w:autoSpaceDE/>
        <w:autoSpaceDN/>
        <w:bidi w:val="0"/>
        <w:spacing w:line="540" w:lineRule="exact"/>
        <w:ind w:firstLine="680"/>
        <w:jc w:val="both"/>
        <w:textAlignment w:val="auto"/>
        <w:rPr>
          <w:rFonts w:hint="default" w:ascii="Times New Roman" w:hAnsi="Times New Roman" w:eastAsia="宋体" w:cs="Times New Roman"/>
          <w:kern w:val="2"/>
          <w:sz w:val="32"/>
          <w:szCs w:val="32"/>
          <w:lang w:val="en-US" w:eastAsia="zh-CN" w:bidi="ar-SA"/>
        </w:rPr>
      </w:pPr>
      <w:r>
        <w:rPr>
          <w:rFonts w:hint="eastAsia" w:ascii="仿宋_GB2312" w:hAnsi="仿宋_GB2312" w:eastAsia="仿宋_GB2312" w:cs="仿宋_GB2312"/>
          <w:color w:val="333333"/>
          <w:kern w:val="2"/>
          <w:sz w:val="32"/>
          <w:szCs w:val="32"/>
          <w:shd w:val="clear" w:color="auto" w:fill="FFFFFF"/>
          <w:lang w:val="en-US" w:eastAsia="zh-CN" w:bidi="ar-SA"/>
        </w:rPr>
        <w:t>11.土地营销及中介费用121.8万元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sz w:val="32"/>
          <w:szCs w:val="32"/>
          <w:lang w:val="zh-CN" w:eastAsia="zh-CN"/>
        </w:rPr>
      </w:pPr>
      <w:r>
        <w:rPr>
          <w:rFonts w:hint="eastAsia" w:ascii="楷体_GB2312" w:hAnsi="楷体_GB2312" w:eastAsia="楷体_GB2312" w:cs="楷体_GB2312"/>
          <w:b w:val="0"/>
          <w:bCs/>
          <w:color w:val="auto"/>
          <w:sz w:val="32"/>
          <w:szCs w:val="32"/>
          <w:highlight w:val="none"/>
          <w:u w:val="none"/>
          <w:lang w:val="zh-CN" w:eastAsia="zh-CN"/>
        </w:rPr>
        <w:t>（四）项目绩效目标设置。</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按照绩效考核要求，2024年12月底之前需完成完成征拆面积完成率100%，群众满意度大于95%，征地补偿费用及时支出，支付率达到100%。</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40" w:lineRule="exact"/>
        <w:ind w:leftChars="0" w:firstLine="640" w:firstLineChars="200"/>
        <w:jc w:val="both"/>
        <w:textAlignment w:val="auto"/>
        <w:rPr>
          <w:rFonts w:hint="eastAsia" w:ascii="黑体" w:hAnsi="黑体" w:eastAsia="黑体" w:cs="黑体"/>
          <w:color w:val="auto"/>
          <w:kern w:val="0"/>
          <w:position w:val="3"/>
          <w:sz w:val="32"/>
          <w:szCs w:val="32"/>
          <w:highlight w:val="none"/>
          <w:u w:val="none"/>
          <w:lang w:val="zh-CN" w:eastAsia="zh-CN" w:bidi="ar-SA"/>
        </w:rPr>
      </w:pPr>
      <w:r>
        <w:rPr>
          <w:rFonts w:hint="eastAsia" w:ascii="黑体" w:hAnsi="黑体" w:eastAsia="黑体" w:cs="黑体"/>
          <w:color w:val="auto"/>
          <w:kern w:val="0"/>
          <w:position w:val="3"/>
          <w:sz w:val="32"/>
          <w:szCs w:val="32"/>
          <w:highlight w:val="none"/>
          <w:u w:val="none"/>
          <w:lang w:val="zh-CN" w:eastAsia="zh-CN" w:bidi="ar-SA"/>
        </w:rPr>
        <w:t>二、评价实施</w:t>
      </w:r>
    </w:p>
    <w:p>
      <w:pPr>
        <w:keepNext w:val="0"/>
        <w:keepLines w:val="0"/>
        <w:pageBreakBefore w:val="0"/>
        <w:widowControl w:val="0"/>
        <w:kinsoku/>
        <w:wordWrap/>
        <w:overflowPunct/>
        <w:topLinePunct w:val="0"/>
        <w:autoSpaceDE/>
        <w:autoSpaceDN/>
        <w:bidi w:val="0"/>
        <w:spacing w:line="540" w:lineRule="exact"/>
        <w:ind w:leftChars="0" w:firstLine="64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val="0"/>
          <w:bCs/>
          <w:color w:val="auto"/>
          <w:sz w:val="32"/>
          <w:szCs w:val="32"/>
          <w:highlight w:val="none"/>
          <w:u w:val="none"/>
          <w:lang w:val="zh-CN"/>
        </w:rPr>
        <w:t>（一）评价目的。</w:t>
      </w:r>
      <w:r>
        <w:rPr>
          <w:rFonts w:hint="eastAsia" w:ascii="仿宋_GB2312" w:hAnsi="仿宋_GB2312" w:eastAsia="仿宋_GB2312" w:cs="仿宋_GB2312"/>
          <w:kern w:val="2"/>
          <w:sz w:val="32"/>
          <w:szCs w:val="32"/>
          <w:highlight w:val="none"/>
          <w:lang w:val="en-US" w:eastAsia="zh-CN" w:bidi="ar-SA"/>
        </w:rPr>
        <w:t>通过绩效评价，一是对项目预算及资金使用方案的合理性和有效性进行优化，去除不合理的预算项目。二是详细掌握资金使用情况，提高预算执行力。三是促进预算管理的公开化透明化</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rPr>
      </w:pPr>
      <w:r>
        <w:rPr>
          <w:rFonts w:hint="eastAsia" w:ascii="楷体_GB2312" w:hAnsi="楷体_GB2312" w:eastAsia="楷体_GB2312" w:cs="楷体_GB2312"/>
          <w:b w:val="0"/>
          <w:bCs/>
          <w:color w:val="auto"/>
          <w:sz w:val="32"/>
          <w:szCs w:val="32"/>
          <w:highlight w:val="none"/>
          <w:u w:val="none"/>
          <w:lang w:val="zh-CN"/>
        </w:rPr>
        <w:t>（二）预设问题及评价重点。</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color w:val="auto"/>
          <w:sz w:val="32"/>
          <w:szCs w:val="32"/>
          <w:highlight w:val="none"/>
          <w:u w:val="none"/>
          <w:lang w:val="en-US" w:eastAsia="zh-CN"/>
        </w:rPr>
        <w:t>1.预设问题。</w:t>
      </w:r>
      <w:r>
        <w:rPr>
          <w:rFonts w:hint="eastAsia" w:ascii="仿宋_GB2312" w:hAnsi="仿宋_GB2312" w:eastAsia="仿宋_GB2312" w:cs="仿宋_GB2312"/>
          <w:sz w:val="32"/>
          <w:szCs w:val="32"/>
          <w:lang w:val="zh-CN" w:eastAsia="zh-CN"/>
        </w:rPr>
        <w:t>是否符合财务管理制度要求，</w:t>
      </w:r>
      <w:r>
        <w:rPr>
          <w:rFonts w:hint="eastAsia" w:ascii="仿宋_GB2312" w:hAnsi="仿宋_GB2312" w:eastAsia="仿宋_GB2312" w:cs="仿宋_GB2312"/>
          <w:b w:val="0"/>
          <w:bCs/>
          <w:sz w:val="32"/>
          <w:szCs w:val="32"/>
          <w:lang w:eastAsia="zh-CN"/>
        </w:rPr>
        <w:t>经费使用应符合相关财务法规和政策</w:t>
      </w:r>
      <w:r>
        <w:rPr>
          <w:rFonts w:hint="eastAsia" w:ascii="仿宋_GB2312" w:hAnsi="仿宋_GB2312" w:eastAsia="仿宋_GB2312" w:cs="仿宋_GB2312"/>
          <w:sz w:val="32"/>
          <w:szCs w:val="32"/>
          <w:lang w:eastAsia="zh-CN"/>
        </w:rPr>
        <w:t>，确保资金使用的合法合规，避免违规行为发生。</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评价重点。按照时间节点和实际情况开支，做到专款专用。</w:t>
      </w:r>
    </w:p>
    <w:p>
      <w:pPr>
        <w:keepNext w:val="0"/>
        <w:keepLines w:val="0"/>
        <w:pageBreakBefore w:val="0"/>
        <w:widowControl w:val="0"/>
        <w:kinsoku/>
        <w:wordWrap/>
        <w:overflowPunct/>
        <w:topLinePunct w:val="0"/>
        <w:autoSpaceDE/>
        <w:autoSpaceDN/>
        <w:bidi w:val="0"/>
        <w:spacing w:line="540" w:lineRule="exact"/>
        <w:ind w:leftChars="0" w:firstLine="640" w:firstLineChars="200"/>
        <w:jc w:val="both"/>
        <w:textAlignment w:val="auto"/>
        <w:outlineLvl w:val="9"/>
        <w:rPr>
          <w:rFonts w:hint="eastAsia" w:ascii="楷体_GB2312" w:hAnsi="楷体_GB2312" w:eastAsia="楷体_GB2312" w:cs="楷体_GB2312"/>
          <w:b w:val="0"/>
          <w:bCs/>
          <w:color w:val="auto"/>
          <w:sz w:val="32"/>
          <w:szCs w:val="32"/>
          <w:highlight w:val="none"/>
          <w:u w:val="none"/>
          <w:lang w:val="zh-CN"/>
        </w:rPr>
      </w:pPr>
      <w:r>
        <w:rPr>
          <w:rFonts w:hint="eastAsia" w:ascii="楷体_GB2312" w:hAnsi="楷体_GB2312" w:eastAsia="楷体_GB2312" w:cs="楷体_GB2312"/>
          <w:b w:val="0"/>
          <w:bCs/>
          <w:color w:val="auto"/>
          <w:sz w:val="32"/>
          <w:szCs w:val="32"/>
          <w:highlight w:val="none"/>
          <w:u w:val="none"/>
          <w:lang w:val="zh-CN"/>
        </w:rPr>
        <w:t>（三）评价选点。无</w:t>
      </w:r>
    </w:p>
    <w:p>
      <w:pPr>
        <w:keepNext w:val="0"/>
        <w:keepLines w:val="0"/>
        <w:pageBreakBefore w:val="0"/>
        <w:widowControl w:val="0"/>
        <w:kinsoku/>
        <w:wordWrap/>
        <w:overflowPunct/>
        <w:topLinePunct w:val="0"/>
        <w:autoSpaceDE/>
        <w:autoSpaceDN/>
        <w:bidi w:val="0"/>
        <w:spacing w:line="540" w:lineRule="exact"/>
        <w:ind w:lef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sz w:val="32"/>
          <w:szCs w:val="32"/>
          <w:highlight w:val="none"/>
          <w:u w:val="none"/>
          <w:lang w:val="zh-CN"/>
        </w:rPr>
        <w:t>（四）评价方法。</w:t>
      </w:r>
      <w:r>
        <w:rPr>
          <w:rFonts w:hint="eastAsia" w:ascii="仿宋_GB2312" w:hAnsi="仿宋_GB2312" w:eastAsia="仿宋_GB2312" w:cs="仿宋_GB2312"/>
          <w:sz w:val="32"/>
          <w:szCs w:val="32"/>
        </w:rPr>
        <w:t>采用单位自评法</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楷体_GB2312" w:hAnsi="楷体_GB2312" w:eastAsia="楷体_GB2312" w:cs="楷体_GB2312"/>
          <w:b w:val="0"/>
          <w:bCs/>
          <w:color w:val="auto"/>
          <w:sz w:val="32"/>
          <w:szCs w:val="32"/>
          <w:highlight w:val="none"/>
          <w:u w:val="none"/>
          <w:lang w:val="zh-CN"/>
        </w:rPr>
        <w:t>（五）评价组织。</w:t>
      </w:r>
      <w:r>
        <w:rPr>
          <w:rFonts w:hint="eastAsia" w:ascii="仿宋_GB2312" w:hAnsi="仿宋_GB2312" w:eastAsia="仿宋_GB2312" w:cs="仿宋_GB2312"/>
          <w:b w:val="0"/>
          <w:bCs w:val="0"/>
          <w:sz w:val="32"/>
          <w:szCs w:val="32"/>
          <w:highlight w:val="none"/>
          <w:lang w:val="en-US" w:eastAsia="zh-CN"/>
        </w:rPr>
        <w:t>按照财政资金“谁使用，谁自评”的原则，</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我单位在收到</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自评工作通知后，立即</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落实专人负责</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，及时</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与我局财务科协调对接</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，对项目概况、评价实施、绩效分析、评价结论、存在主要问题、改进建议等进行综合自评，形成自评结果。</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40" w:lineRule="exact"/>
        <w:ind w:leftChars="0" w:firstLine="640" w:firstLineChars="200"/>
        <w:jc w:val="both"/>
        <w:textAlignment w:val="auto"/>
        <w:rPr>
          <w:rFonts w:hint="eastAsia" w:ascii="黑体" w:hAnsi="黑体" w:eastAsia="黑体" w:cs="黑体"/>
          <w:color w:val="auto"/>
          <w:kern w:val="0"/>
          <w:position w:val="3"/>
          <w:sz w:val="32"/>
          <w:szCs w:val="32"/>
          <w:highlight w:val="none"/>
          <w:u w:val="none"/>
          <w:lang w:val="en-US" w:eastAsia="zh-CN" w:bidi="ar-SA"/>
        </w:rPr>
      </w:pPr>
      <w:r>
        <w:rPr>
          <w:rFonts w:hint="eastAsia" w:ascii="黑体" w:hAnsi="黑体" w:eastAsia="黑体" w:cs="黑体"/>
          <w:color w:val="auto"/>
          <w:kern w:val="0"/>
          <w:position w:val="3"/>
          <w:sz w:val="32"/>
          <w:szCs w:val="32"/>
          <w:highlight w:val="none"/>
          <w:u w:val="none"/>
          <w:lang w:val="zh-CN" w:eastAsia="zh-CN" w:bidi="ar-SA"/>
        </w:rPr>
        <w:t>三、绩效分析</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楷体_GB2312" w:hAnsi="楷体_GB2312" w:eastAsia="楷体_GB2312" w:cs="楷体_GB2312"/>
          <w:b w:val="0"/>
          <w:bCs/>
          <w:color w:val="auto"/>
          <w:sz w:val="32"/>
          <w:szCs w:val="32"/>
          <w:highlight w:val="none"/>
          <w:u w:val="none"/>
          <w:lang w:val="en-US" w:eastAsia="zh-CN"/>
        </w:rPr>
      </w:pPr>
      <w:r>
        <w:rPr>
          <w:rFonts w:hint="eastAsia" w:ascii="楷体_GB2312" w:hAnsi="楷体_GB2312" w:eastAsia="楷体_GB2312" w:cs="楷体_GB2312"/>
          <w:b w:val="0"/>
          <w:bCs/>
          <w:color w:val="auto"/>
          <w:sz w:val="32"/>
          <w:szCs w:val="32"/>
          <w:highlight w:val="none"/>
          <w:u w:val="none"/>
          <w:lang w:val="zh-CN"/>
        </w:rPr>
        <w:t>（一）</w:t>
      </w:r>
      <w:r>
        <w:rPr>
          <w:rFonts w:hint="eastAsia" w:ascii="楷体_GB2312" w:hAnsi="楷体_GB2312" w:eastAsia="楷体_GB2312" w:cs="楷体_GB2312"/>
          <w:b w:val="0"/>
          <w:bCs/>
          <w:color w:val="auto"/>
          <w:sz w:val="32"/>
          <w:szCs w:val="32"/>
          <w:highlight w:val="none"/>
          <w:u w:val="none"/>
          <w:lang w:val="en-US" w:eastAsia="zh-CN"/>
        </w:rPr>
        <w:t>通用指标</w:t>
      </w:r>
      <w:r>
        <w:rPr>
          <w:rFonts w:hint="eastAsia" w:ascii="楷体_GB2312" w:hAnsi="楷体_GB2312" w:eastAsia="楷体_GB2312" w:cs="楷体_GB2312"/>
          <w:b w:val="0"/>
          <w:bCs/>
          <w:color w:val="auto"/>
          <w:sz w:val="32"/>
          <w:szCs w:val="32"/>
          <w:highlight w:val="none"/>
          <w:u w:val="none"/>
          <w:lang w:val="zh-CN"/>
        </w:rPr>
        <w:t>绩效分析。</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项目决策。</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市自然资源储备交易中心对下一年度计划开展的相关工作进行梳理，确定</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项目</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所需费用，由市局财务科审核后，报市财政局审核。资金下达后，市自然资源储备交易中心具体组织相关工作开展实施。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项目管理。</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中华人民共和国土地管理法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有关规定，</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有关规定根据部门预算批复情况，市财政下达</w:t>
      </w:r>
      <w:r>
        <w:rPr>
          <w:rFonts w:hint="eastAsia" w:ascii="仿宋_GB2312" w:hAnsi="仿宋_GB2312" w:eastAsia="仿宋_GB2312" w:cs="仿宋_GB2312"/>
          <w:color w:val="auto"/>
          <w:kern w:val="0"/>
          <w:sz w:val="32"/>
          <w:szCs w:val="32"/>
          <w:highlight w:val="none"/>
          <w:u w:val="none"/>
          <w:shd w:val="clear" w:color="auto" w:fill="FFFFFF"/>
          <w:lang w:val="en-US" w:eastAsia="zh-CN"/>
        </w:rPr>
        <w:t>我单位</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项目资金</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22834.33万元</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仿宋_GB2312" w:hAnsi="仿宋_GB2312" w:eastAsia="仿宋_GB2312" w:cs="仿宋_GB2312"/>
          <w:color w:val="auto"/>
          <w:sz w:val="32"/>
          <w:szCs w:val="32"/>
          <w:lang w:val="en-US" w:eastAsia="zh-CN"/>
        </w:rPr>
        <w:t>3.项目实施。</w:t>
      </w:r>
      <w:r>
        <w:rPr>
          <w:rFonts w:hint="eastAsia" w:ascii="仿宋_GB2312" w:hAnsi="仿宋_GB2312" w:eastAsia="仿宋_GB2312" w:cs="仿宋_GB2312"/>
          <w:sz w:val="32"/>
          <w:szCs w:val="32"/>
          <w:lang w:val="en-US" w:eastAsia="zh-CN"/>
        </w:rPr>
        <w:t>完成了</w:t>
      </w:r>
      <w:r>
        <w:rPr>
          <w:rFonts w:hint="eastAsia" w:ascii="仿宋_GB2312" w:hAnsi="仿宋_GB2312" w:eastAsia="仿宋_GB2312" w:cs="仿宋_GB2312"/>
          <w:color w:val="333333"/>
          <w:sz w:val="32"/>
          <w:szCs w:val="32"/>
          <w:shd w:val="clear" w:color="auto" w:fill="FFFFFF"/>
          <w:lang w:val="en-US" w:eastAsia="zh-CN"/>
        </w:rPr>
        <w:t>市心血管医院征地补偿费、经营性用地项目征拆补偿费用、何文广征地补偿费用和邦泰挪威森林经营性用地征拆补偿资金等征地补偿资金的支付。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auto"/>
          <w:sz w:val="32"/>
          <w:szCs w:val="32"/>
          <w:lang w:val="en-US" w:eastAsia="zh-CN"/>
        </w:rPr>
        <w:t>4.项目结果。</w:t>
      </w:r>
      <w:r>
        <w:rPr>
          <w:rFonts w:hint="eastAsia" w:ascii="仿宋_GB2312" w:hAnsi="仿宋_GB2312" w:eastAsia="仿宋_GB2312" w:cs="仿宋_GB2312"/>
          <w:color w:val="333333"/>
          <w:sz w:val="32"/>
          <w:szCs w:val="32"/>
          <w:shd w:val="clear" w:color="auto" w:fill="FFFFFF"/>
          <w:lang w:val="en-US" w:eastAsia="zh-CN"/>
        </w:rPr>
        <w:t>共计支付</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22834.33</w:t>
      </w:r>
      <w:r>
        <w:rPr>
          <w:rFonts w:hint="eastAsia" w:ascii="仿宋_GB2312" w:hAnsi="仿宋_GB2312" w:eastAsia="仿宋_GB2312" w:cs="仿宋_GB2312"/>
          <w:color w:val="333333"/>
          <w:sz w:val="32"/>
          <w:szCs w:val="32"/>
          <w:shd w:val="clear" w:color="auto" w:fill="FFFFFF"/>
          <w:lang w:val="en-US" w:eastAsia="zh-CN"/>
        </w:rPr>
        <w:t>万元，预算执行率100%。</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eastAsia="zh-CN"/>
        </w:rPr>
      </w:pPr>
      <w:r>
        <w:rPr>
          <w:rFonts w:hint="eastAsia" w:ascii="楷体_GB2312" w:hAnsi="楷体_GB2312" w:eastAsia="楷体_GB2312" w:cs="楷体_GB2312"/>
          <w:b w:val="0"/>
          <w:bCs/>
          <w:color w:val="auto"/>
          <w:sz w:val="32"/>
          <w:szCs w:val="32"/>
          <w:highlight w:val="none"/>
          <w:u w:val="none"/>
          <w:lang w:val="zh-CN"/>
        </w:rPr>
        <w:t>（二）</w:t>
      </w:r>
      <w:r>
        <w:rPr>
          <w:rFonts w:hint="eastAsia" w:ascii="楷体_GB2312" w:hAnsi="楷体_GB2312" w:eastAsia="楷体_GB2312" w:cs="楷体_GB2312"/>
          <w:b w:val="0"/>
          <w:bCs/>
          <w:color w:val="auto"/>
          <w:sz w:val="32"/>
          <w:szCs w:val="32"/>
          <w:highlight w:val="none"/>
          <w:u w:val="none"/>
          <w:lang w:val="en-US" w:eastAsia="zh-CN"/>
        </w:rPr>
        <w:t>专用指标</w:t>
      </w:r>
      <w:r>
        <w:rPr>
          <w:rFonts w:hint="eastAsia" w:ascii="楷体_GB2312" w:hAnsi="楷体_GB2312" w:eastAsia="楷体_GB2312" w:cs="楷体_GB2312"/>
          <w:b w:val="0"/>
          <w:bCs/>
          <w:color w:val="auto"/>
          <w:sz w:val="32"/>
          <w:szCs w:val="32"/>
          <w:highlight w:val="none"/>
          <w:u w:val="none"/>
          <w:lang w:val="zh-CN"/>
        </w:rPr>
        <w:t>绩效分析</w:t>
      </w:r>
      <w:r>
        <w:rPr>
          <w:rFonts w:hint="eastAsia" w:ascii="楷体_GB2312" w:hAnsi="楷体_GB2312" w:eastAsia="楷体_GB2312" w:cs="楷体_GB2312"/>
          <w:b w:val="0"/>
          <w:bCs/>
          <w:color w:val="auto"/>
          <w:sz w:val="32"/>
          <w:szCs w:val="32"/>
          <w:highlight w:val="none"/>
          <w:u w:val="none"/>
          <w:lang w:val="zh-CN" w:eastAsia="zh-CN"/>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pPr>
      <w:r>
        <w:rPr>
          <w:rFonts w:hint="eastAsia" w:ascii="仿宋_GB2312" w:hAnsi="仿宋_GB2312" w:eastAsia="仿宋_GB2312" w:cs="仿宋_GB2312"/>
          <w:color w:val="auto"/>
          <w:sz w:val="32"/>
          <w:szCs w:val="32"/>
          <w:lang w:val="en-US" w:eastAsia="zh-CN"/>
        </w:rPr>
        <w:t>1.产业发展。</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该项目是市委市政府支持重点项目。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zh-CN" w:eastAsia="zh-CN"/>
        </w:rPr>
        <w:t>民生保障。</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保障</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了</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t>社会经济发展,对于规范我国的用地制度,有效遏制土地需求的盲目扩张,保证国民经济的可持续发展,起到积极作用。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rPr>
      </w:pPr>
      <w:r>
        <w:rPr>
          <w:rFonts w:hint="eastAsia" w:ascii="仿宋_GB2312" w:hAnsi="仿宋_GB2312" w:eastAsia="仿宋_GB2312" w:cs="仿宋_GB2312"/>
          <w:color w:val="auto"/>
          <w:sz w:val="32"/>
          <w:szCs w:val="32"/>
          <w:lang w:val="en-US" w:eastAsia="zh-CN"/>
        </w:rPr>
        <w:t>3.基础设施。</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市财政下达</w:t>
      </w:r>
      <w:r>
        <w:rPr>
          <w:rFonts w:hint="eastAsia" w:ascii="仿宋_GB2312" w:hAnsi="仿宋_GB2312" w:eastAsia="仿宋_GB2312" w:cs="仿宋_GB2312"/>
          <w:color w:val="auto"/>
          <w:kern w:val="0"/>
          <w:sz w:val="32"/>
          <w:szCs w:val="32"/>
          <w:highlight w:val="none"/>
          <w:u w:val="none"/>
          <w:shd w:val="clear" w:color="auto" w:fill="FFFFFF"/>
          <w:lang w:val="en-US" w:eastAsia="zh-CN"/>
        </w:rPr>
        <w:t>我单位</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项目资金22834.33万元，截止2024年底，已使用专项资金22834.33万元，使用率100%</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zh-CN" w:eastAsia="zh-CN"/>
        </w:rPr>
        <w:t>行政运转。</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本</w:t>
      </w:r>
      <w:r>
        <w:rPr>
          <w:rFonts w:hint="eastAsia" w:ascii="仿宋_GB2312" w:hAnsi="仿宋_GB2312" w:eastAsia="仿宋_GB2312" w:cs="仿宋_GB2312"/>
          <w:b w:val="0"/>
          <w:bCs w:val="0"/>
          <w:color w:val="auto"/>
          <w:kern w:val="0"/>
          <w:sz w:val="32"/>
          <w:szCs w:val="32"/>
          <w:highlight w:val="none"/>
          <w:u w:val="none"/>
          <w:shd w:val="clear" w:color="auto" w:fill="FFFFFF"/>
          <w:lang w:val="zh-CN"/>
        </w:rPr>
        <w:t>单位财务管理制度健全，严格执行财务管理制度，账务处理及时，会计核算规范。</w:t>
      </w:r>
    </w:p>
    <w:p>
      <w:pPr>
        <w:keepNext w:val="0"/>
        <w:keepLines w:val="0"/>
        <w:pageBreakBefore w:val="0"/>
        <w:numPr>
          <w:ilvl w:val="0"/>
          <w:numId w:val="0"/>
        </w:numPr>
        <w:kinsoku/>
        <w:wordWrap/>
        <w:overflowPunct/>
        <w:topLinePunct w:val="0"/>
        <w:autoSpaceDE/>
        <w:autoSpaceDN/>
        <w:bidi w:val="0"/>
        <w:spacing w:line="540" w:lineRule="exact"/>
        <w:ind w:leftChars="0" w:firstLine="640" w:firstLineChars="200"/>
        <w:jc w:val="both"/>
        <w:textAlignment w:val="auto"/>
        <w:rPr>
          <w:rFonts w:hint="eastAsia" w:ascii="楷体_GB2312" w:hAnsi="楷体_GB2312" w:eastAsia="楷体_GB2312" w:cs="楷体_GB2312"/>
          <w:b w:val="0"/>
          <w:bCs/>
          <w:color w:val="auto"/>
          <w:sz w:val="32"/>
          <w:szCs w:val="32"/>
          <w:highlight w:val="none"/>
          <w:u w:val="none"/>
          <w:lang w:val="zh-CN"/>
        </w:rPr>
      </w:pPr>
      <w:r>
        <w:rPr>
          <w:rFonts w:hint="eastAsia" w:ascii="楷体_GB2312" w:hAnsi="楷体_GB2312" w:eastAsia="楷体_GB2312" w:cs="楷体_GB2312"/>
          <w:b w:val="0"/>
          <w:bCs/>
          <w:color w:val="auto"/>
          <w:sz w:val="32"/>
          <w:szCs w:val="32"/>
          <w:highlight w:val="none"/>
          <w:u w:val="none"/>
          <w:lang w:val="zh-CN"/>
        </w:rPr>
        <w:t>（三）</w:t>
      </w:r>
      <w:r>
        <w:rPr>
          <w:rFonts w:hint="eastAsia" w:ascii="楷体_GB2312" w:hAnsi="楷体_GB2312" w:eastAsia="楷体_GB2312" w:cs="楷体_GB2312"/>
          <w:b w:val="0"/>
          <w:bCs/>
          <w:color w:val="auto"/>
          <w:sz w:val="32"/>
          <w:szCs w:val="32"/>
          <w:highlight w:val="none"/>
          <w:u w:val="none"/>
          <w:lang w:val="en-US" w:eastAsia="zh-CN"/>
        </w:rPr>
        <w:t>个性指标</w:t>
      </w:r>
      <w:r>
        <w:rPr>
          <w:rFonts w:hint="eastAsia" w:ascii="楷体_GB2312" w:hAnsi="楷体_GB2312" w:eastAsia="楷体_GB2312" w:cs="楷体_GB2312"/>
          <w:b w:val="0"/>
          <w:bCs/>
          <w:color w:val="auto"/>
          <w:sz w:val="32"/>
          <w:szCs w:val="32"/>
          <w:highlight w:val="none"/>
          <w:u w:val="none"/>
          <w:lang w:val="zh-CN"/>
        </w:rPr>
        <w:t>绩效分析。</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40" w:lineRule="exact"/>
        <w:ind w:leftChars="0" w:firstLine="640" w:firstLineChars="200"/>
        <w:jc w:val="both"/>
        <w:textAlignment w:val="auto"/>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pPr>
      <w:r>
        <w:rPr>
          <w:rFonts w:hint="eastAsia" w:ascii="仿宋_GB2312" w:hAnsi="仿宋_GB2312" w:eastAsia="仿宋_GB2312" w:cs="仿宋_GB2312"/>
          <w:color w:val="auto"/>
          <w:kern w:val="0"/>
          <w:position w:val="0"/>
          <w:sz w:val="32"/>
          <w:szCs w:val="32"/>
          <w:highlight w:val="none"/>
          <w:u w:val="none"/>
          <w:shd w:val="clear" w:color="auto" w:fill="FFFFFF"/>
          <w:lang w:val="en-US" w:eastAsia="zh-CN" w:bidi="ar-SA"/>
        </w:rPr>
        <w:t>无。</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40" w:lineRule="exact"/>
        <w:ind w:leftChars="0" w:firstLine="640" w:firstLineChars="200"/>
        <w:jc w:val="both"/>
        <w:textAlignment w:val="auto"/>
        <w:rPr>
          <w:rFonts w:hint="eastAsia" w:ascii="黑体" w:hAnsi="黑体" w:eastAsia="黑体" w:cs="黑体"/>
          <w:color w:val="auto"/>
          <w:kern w:val="0"/>
          <w:position w:val="3"/>
          <w:sz w:val="32"/>
          <w:szCs w:val="32"/>
          <w:highlight w:val="none"/>
          <w:u w:val="none"/>
          <w:lang w:val="zh-CN" w:eastAsia="zh-CN" w:bidi="ar-SA"/>
        </w:rPr>
      </w:pPr>
      <w:r>
        <w:rPr>
          <w:rFonts w:hint="eastAsia" w:ascii="黑体" w:hAnsi="黑体" w:eastAsia="黑体" w:cs="黑体"/>
          <w:color w:val="auto"/>
          <w:kern w:val="0"/>
          <w:position w:val="3"/>
          <w:sz w:val="32"/>
          <w:szCs w:val="32"/>
          <w:highlight w:val="none"/>
          <w:u w:val="none"/>
          <w:lang w:val="zh-CN" w:eastAsia="zh-CN" w:bidi="ar-SA"/>
        </w:rPr>
        <w:t>四、评价结论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我单位年度目标明确、突出重点、具有可操作性，符合本地工作实际，及时完成各个项目支出，我单位2024年市级专项资金预算项目绩效自评结果为优秀，自评得分100分。</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40" w:lineRule="exact"/>
        <w:ind w:leftChars="0" w:firstLine="640" w:firstLineChars="200"/>
        <w:jc w:val="both"/>
        <w:textAlignment w:val="auto"/>
        <w:rPr>
          <w:rFonts w:hint="eastAsia" w:ascii="黑体" w:hAnsi="黑体" w:eastAsia="黑体" w:cs="黑体"/>
          <w:color w:val="auto"/>
          <w:kern w:val="0"/>
          <w:position w:val="3"/>
          <w:sz w:val="32"/>
          <w:szCs w:val="32"/>
          <w:highlight w:val="none"/>
          <w:u w:val="none"/>
          <w:lang w:val="zh-CN" w:eastAsia="zh-CN" w:bidi="ar-SA"/>
        </w:rPr>
      </w:pPr>
      <w:r>
        <w:rPr>
          <w:rFonts w:hint="eastAsia" w:ascii="黑体" w:hAnsi="黑体" w:eastAsia="黑体" w:cs="黑体"/>
          <w:color w:val="auto"/>
          <w:kern w:val="0"/>
          <w:position w:val="3"/>
          <w:sz w:val="32"/>
          <w:szCs w:val="32"/>
          <w:highlight w:val="none"/>
          <w:u w:val="none"/>
          <w:lang w:val="zh-CN" w:eastAsia="zh-CN" w:bidi="ar-SA"/>
        </w:rPr>
        <w:t>五、存在主要问题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无</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p>
      <w:pPr>
        <w:keepNext w:val="0"/>
        <w:keepLines w:val="0"/>
        <w:pageBreakBefore w:val="0"/>
        <w:widowControl/>
        <w:numPr>
          <w:ilvl w:val="0"/>
          <w:numId w:val="0"/>
        </w:numPr>
        <w:tabs>
          <w:tab w:val="left" w:pos="2160"/>
        </w:tabs>
        <w:kinsoku/>
        <w:wordWrap/>
        <w:overflowPunct/>
        <w:topLinePunct w:val="0"/>
        <w:autoSpaceDE/>
        <w:autoSpaceDN/>
        <w:bidi w:val="0"/>
        <w:adjustRightInd/>
        <w:spacing w:line="540" w:lineRule="exact"/>
        <w:ind w:leftChars="0" w:firstLine="640" w:firstLineChars="200"/>
        <w:jc w:val="both"/>
        <w:textAlignment w:val="auto"/>
        <w:rPr>
          <w:rFonts w:hint="eastAsia" w:ascii="黑体" w:hAnsi="黑体" w:eastAsia="黑体" w:cs="黑体"/>
          <w:color w:val="auto"/>
          <w:kern w:val="0"/>
          <w:position w:val="3"/>
          <w:sz w:val="32"/>
          <w:szCs w:val="32"/>
          <w:highlight w:val="none"/>
          <w:u w:val="none"/>
          <w:lang w:val="zh-CN" w:eastAsia="zh-CN" w:bidi="ar-SA"/>
        </w:rPr>
      </w:pPr>
      <w:r>
        <w:rPr>
          <w:rFonts w:hint="eastAsia" w:ascii="黑体" w:hAnsi="黑体" w:eastAsia="黑体" w:cs="黑体"/>
          <w:color w:val="auto"/>
          <w:kern w:val="0"/>
          <w:position w:val="3"/>
          <w:sz w:val="32"/>
          <w:szCs w:val="32"/>
          <w:highlight w:val="none"/>
          <w:u w:val="none"/>
          <w:lang w:val="zh-CN" w:eastAsia="zh-CN" w:bidi="ar-SA"/>
        </w:rPr>
        <w:t>六、改进建议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color w:val="auto"/>
          <w:kern w:val="0"/>
          <w:sz w:val="32"/>
          <w:szCs w:val="32"/>
          <w:highlight w:val="none"/>
          <w:u w:val="none"/>
          <w:shd w:val="clear" w:color="auto" w:fill="FFFFFF"/>
          <w:lang w:val="zh-CN" w:eastAsia="zh-CN"/>
        </w:rPr>
      </w:pPr>
      <w:r>
        <w:rPr>
          <w:rFonts w:hint="eastAsia" w:ascii="仿宋_GB2312" w:hAnsi="仿宋_GB2312" w:eastAsia="仿宋_GB2312" w:cs="仿宋_GB2312"/>
          <w:color w:val="auto"/>
          <w:kern w:val="0"/>
          <w:sz w:val="32"/>
          <w:szCs w:val="32"/>
          <w:highlight w:val="none"/>
          <w:u w:val="none"/>
          <w:shd w:val="clear" w:color="auto" w:fill="FFFFFF"/>
          <w:lang w:val="en-US" w:eastAsia="zh-CN"/>
        </w:rPr>
        <w:t>无</w:t>
      </w:r>
      <w:r>
        <w:rPr>
          <w:rFonts w:hint="eastAsia" w:ascii="仿宋_GB2312" w:hAnsi="仿宋_GB2312" w:eastAsia="仿宋_GB2312" w:cs="仿宋_GB2312"/>
          <w:color w:val="auto"/>
          <w:kern w:val="0"/>
          <w:sz w:val="32"/>
          <w:szCs w:val="32"/>
          <w:highlight w:val="none"/>
          <w:u w:val="none"/>
          <w:shd w:val="clear" w:color="auto" w:fill="FFFFFF"/>
          <w:lang w:val="zh-CN" w:eastAsia="zh-CN"/>
        </w:rPr>
        <w:t>。</w:t>
      </w:r>
    </w:p>
    <w:p>
      <w:pPr>
        <w:keepNext w:val="0"/>
        <w:keepLines w:val="0"/>
        <w:pageBreakBefore w:val="0"/>
        <w:kinsoku/>
        <w:wordWrap/>
        <w:overflowPunct/>
        <w:topLinePunct w:val="0"/>
        <w:autoSpaceDE/>
        <w:autoSpaceDN/>
        <w:bidi w:val="0"/>
        <w:adjustRightInd/>
        <w:snapToGrid w:val="0"/>
        <w:spacing w:line="540" w:lineRule="exact"/>
        <w:ind w:left="0" w:leftChars="0" w:firstLine="640" w:firstLineChars="200"/>
        <w:jc w:val="both"/>
        <w:textAlignment w:val="auto"/>
        <w:outlineLvl w:val="9"/>
        <w:rPr>
          <w:rFonts w:hint="eastAsia" w:ascii="仿宋_GB2312" w:hAnsi="仿宋_GB2312" w:eastAsia="仿宋_GB2312" w:cs="仿宋_GB2312"/>
          <w:color w:val="000000"/>
          <w:kern w:val="0"/>
          <w:sz w:val="32"/>
          <w:szCs w:val="32"/>
          <w:highlight w:val="none"/>
          <w:shd w:val="clear" w:color="auto" w:fill="FFFFFF"/>
          <w:lang w:val="zh-CN" w:eastAsia="zh-CN"/>
        </w:rPr>
      </w:pPr>
    </w:p>
    <w:p>
      <w:pPr>
        <w:keepNext w:val="0"/>
        <w:keepLines w:val="0"/>
        <w:pageBreakBefore w:val="0"/>
        <w:kinsoku/>
        <w:wordWrap/>
        <w:overflowPunct/>
        <w:topLinePunct w:val="0"/>
        <w:autoSpaceDE/>
        <w:autoSpaceDN/>
        <w:bidi w:val="0"/>
        <w:adjustRightInd/>
        <w:snapToGrid w:val="0"/>
        <w:spacing w:line="540" w:lineRule="exact"/>
        <w:ind w:left="0" w:leftChars="0" w:firstLine="640" w:firstLineChars="200"/>
        <w:jc w:val="both"/>
        <w:textAlignment w:val="auto"/>
        <w:outlineLvl w:val="9"/>
        <w:rPr>
          <w:rFonts w:hint="eastAsia" w:ascii="仿宋_GB2312" w:hAnsi="仿宋_GB2312" w:eastAsia="仿宋_GB2312" w:cs="仿宋_GB2312"/>
          <w:color w:val="000000"/>
          <w:kern w:val="0"/>
          <w:sz w:val="32"/>
          <w:szCs w:val="32"/>
          <w:highlight w:val="none"/>
          <w:shd w:val="clear" w:color="auto" w:fill="FFFFFF"/>
          <w:lang w:val="en-US" w:eastAsia="zh-CN"/>
        </w:rPr>
      </w:pPr>
      <w:r>
        <w:rPr>
          <w:rFonts w:hint="eastAsia" w:ascii="仿宋_GB2312" w:hAnsi="仿宋_GB2312" w:eastAsia="仿宋_GB2312" w:cs="仿宋_GB2312"/>
          <w:color w:val="000000"/>
          <w:kern w:val="0"/>
          <w:sz w:val="32"/>
          <w:szCs w:val="32"/>
          <w:highlight w:val="none"/>
          <w:shd w:val="clear" w:color="auto" w:fill="FFFFFF"/>
          <w:lang w:val="en-US" w:eastAsia="zh-CN"/>
        </w:rPr>
        <w:t>附表：1.项目资金分配涉及所有点位自评得分情况表</w:t>
      </w:r>
    </w:p>
    <w:p>
      <w:pPr>
        <w:keepNext w:val="0"/>
        <w:keepLines w:val="0"/>
        <w:pageBreakBefore w:val="0"/>
        <w:numPr>
          <w:ilvl w:val="0"/>
          <w:numId w:val="0"/>
        </w:numPr>
        <w:kinsoku/>
        <w:wordWrap/>
        <w:overflowPunct/>
        <w:topLinePunct w:val="0"/>
        <w:autoSpaceDE/>
        <w:autoSpaceDN/>
        <w:bidi w:val="0"/>
        <w:adjustRightInd/>
        <w:snapToGrid w:val="0"/>
        <w:spacing w:line="540" w:lineRule="exact"/>
        <w:ind w:left="0" w:leftChars="0" w:firstLine="1600" w:firstLineChars="500"/>
        <w:jc w:val="both"/>
        <w:textAlignment w:val="auto"/>
        <w:outlineLvl w:val="9"/>
        <w:rPr>
          <w:rFonts w:hint="eastAsia" w:ascii="仿宋_GB2312" w:hAnsi="仿宋_GB2312" w:eastAsia="仿宋_GB2312" w:cs="仿宋_GB2312"/>
          <w:color w:val="000000"/>
          <w:kern w:val="0"/>
          <w:sz w:val="32"/>
          <w:szCs w:val="32"/>
          <w:highlight w:val="none"/>
          <w:shd w:val="clear" w:color="auto" w:fill="FFFFFF"/>
          <w:lang w:val="en-US" w:eastAsia="zh-CN"/>
        </w:rPr>
      </w:pPr>
      <w:r>
        <w:rPr>
          <w:rFonts w:hint="eastAsia" w:ascii="仿宋_GB2312" w:hAnsi="仿宋_GB2312" w:eastAsia="仿宋_GB2312" w:cs="仿宋_GB2312"/>
          <w:color w:val="000000"/>
          <w:kern w:val="0"/>
          <w:sz w:val="32"/>
          <w:szCs w:val="32"/>
          <w:shd w:val="clear" w:fill="FFFFFF"/>
          <w:lang w:val="en-US" w:eastAsia="zh-CN" w:bidi="ar-SA"/>
        </w:rPr>
        <w:t>2.</w:t>
      </w:r>
      <w:r>
        <w:rPr>
          <w:rFonts w:hint="eastAsia" w:ascii="仿宋_GB2312" w:hAnsi="仿宋_GB2312" w:eastAsia="仿宋_GB2312" w:cs="仿宋_GB2312"/>
          <w:color w:val="000000"/>
          <w:kern w:val="0"/>
          <w:sz w:val="32"/>
          <w:szCs w:val="32"/>
          <w:highlight w:val="none"/>
          <w:shd w:val="clear" w:color="auto" w:fill="FFFFFF"/>
          <w:lang w:val="en-US" w:eastAsia="zh-CN"/>
        </w:rPr>
        <w:t>专项预算项目绩效目标完成情况自评表</w:t>
      </w:r>
    </w:p>
    <w:p>
      <w:pPr>
        <w:keepNext w:val="0"/>
        <w:keepLines w:val="0"/>
        <w:pageBreakBefore w:val="0"/>
        <w:numPr>
          <w:ilvl w:val="0"/>
          <w:numId w:val="0"/>
        </w:numPr>
        <w:kinsoku/>
        <w:wordWrap/>
        <w:overflowPunct/>
        <w:topLinePunct w:val="0"/>
        <w:autoSpaceDE/>
        <w:autoSpaceDN/>
        <w:bidi w:val="0"/>
        <w:adjustRightInd/>
        <w:snapToGrid w:val="0"/>
        <w:spacing w:line="540" w:lineRule="exact"/>
        <w:ind w:leftChars="0" w:firstLine="640" w:firstLineChars="200"/>
        <w:jc w:val="both"/>
        <w:textAlignment w:val="auto"/>
        <w:outlineLvl w:val="9"/>
        <w:rPr>
          <w:rFonts w:hint="eastAsia" w:ascii="仿宋_GB2312" w:hAnsi="仿宋_GB2312" w:eastAsia="仿宋_GB2312" w:cs="仿宋_GB2312"/>
          <w:color w:val="000000"/>
          <w:kern w:val="0"/>
          <w:sz w:val="32"/>
          <w:szCs w:val="32"/>
          <w:highlight w:val="none"/>
          <w:shd w:val="clear" w:color="auto" w:fill="FFFFFF"/>
          <w:lang w:val="zh-CN" w:eastAsia="zh-CN"/>
        </w:rPr>
      </w:pPr>
    </w:p>
    <w:p>
      <w:pPr>
        <w:keepNext w:val="0"/>
        <w:keepLines w:val="0"/>
        <w:pageBreakBefore w:val="0"/>
        <w:numPr>
          <w:ilvl w:val="0"/>
          <w:numId w:val="0"/>
        </w:numPr>
        <w:kinsoku/>
        <w:wordWrap/>
        <w:overflowPunct/>
        <w:topLinePunct w:val="0"/>
        <w:autoSpaceDE/>
        <w:autoSpaceDN/>
        <w:bidi w:val="0"/>
        <w:adjustRightInd/>
        <w:snapToGrid w:val="0"/>
        <w:spacing w:line="540" w:lineRule="exact"/>
        <w:ind w:leftChars="0" w:firstLine="640" w:firstLineChars="200"/>
        <w:jc w:val="both"/>
        <w:textAlignment w:val="auto"/>
        <w:outlineLvl w:val="9"/>
        <w:rPr>
          <w:rFonts w:hint="eastAsia" w:ascii="仿宋_GB2312" w:hAnsi="仿宋_GB2312" w:eastAsia="仿宋_GB2312" w:cs="仿宋_GB2312"/>
          <w:color w:val="000000"/>
          <w:kern w:val="0"/>
          <w:sz w:val="32"/>
          <w:szCs w:val="32"/>
          <w:highlight w:val="none"/>
          <w:shd w:val="clear" w:color="auto" w:fill="FFFFFF"/>
          <w:lang w:val="zh-CN" w:eastAsia="zh-CN"/>
        </w:rPr>
      </w:pPr>
    </w:p>
    <w:p>
      <w:pPr>
        <w:keepNext w:val="0"/>
        <w:keepLines w:val="0"/>
        <w:pageBreakBefore w:val="0"/>
        <w:numPr>
          <w:ilvl w:val="0"/>
          <w:numId w:val="0"/>
        </w:numPr>
        <w:kinsoku/>
        <w:wordWrap w:val="0"/>
        <w:overflowPunct/>
        <w:topLinePunct w:val="0"/>
        <w:autoSpaceDE/>
        <w:autoSpaceDN/>
        <w:bidi w:val="0"/>
        <w:adjustRightInd/>
        <w:snapToGrid w:val="0"/>
        <w:spacing w:line="540" w:lineRule="exact"/>
        <w:ind w:leftChars="0" w:firstLine="640" w:firstLineChars="200"/>
        <w:jc w:val="right"/>
        <w:textAlignment w:val="auto"/>
        <w:outlineLvl w:val="9"/>
        <w:rPr>
          <w:rFonts w:hint="default" w:ascii="仿宋_GB2312" w:hAnsi="仿宋_GB2312" w:eastAsia="仿宋_GB2312" w:cs="仿宋_GB2312"/>
          <w:color w:val="000000"/>
          <w:kern w:val="0"/>
          <w:sz w:val="32"/>
          <w:szCs w:val="32"/>
          <w:highlight w:val="none"/>
          <w:shd w:val="clear" w:color="auto" w:fill="FFFFFF"/>
          <w:lang w:val="en-US" w:eastAsia="zh-CN"/>
        </w:rPr>
      </w:pPr>
      <w:r>
        <w:rPr>
          <w:rFonts w:hint="eastAsia" w:ascii="仿宋_GB2312" w:hAnsi="仿宋_GB2312" w:eastAsia="仿宋_GB2312" w:cs="仿宋_GB2312"/>
          <w:color w:val="000000"/>
          <w:kern w:val="0"/>
          <w:sz w:val="32"/>
          <w:szCs w:val="32"/>
          <w:highlight w:val="none"/>
          <w:shd w:val="clear" w:color="auto" w:fill="FFFFFF"/>
          <w:lang w:val="zh-CN" w:eastAsia="zh-CN"/>
        </w:rPr>
        <w:t>广元市自然资源储备交易中心</w:t>
      </w:r>
      <w:r>
        <w:rPr>
          <w:rFonts w:hint="eastAsia" w:ascii="仿宋_GB2312" w:hAnsi="仿宋_GB2312" w:eastAsia="仿宋_GB2312" w:cs="仿宋_GB2312"/>
          <w:color w:val="000000"/>
          <w:kern w:val="0"/>
          <w:sz w:val="32"/>
          <w:szCs w:val="32"/>
          <w:highlight w:val="none"/>
          <w:shd w:val="clear" w:color="auto" w:fill="FFFFFF"/>
          <w:lang w:val="en-US" w:eastAsia="zh-CN"/>
        </w:rPr>
        <w:t xml:space="preserve">   </w:t>
      </w:r>
    </w:p>
    <w:p>
      <w:pPr>
        <w:keepNext w:val="0"/>
        <w:keepLines w:val="0"/>
        <w:pageBreakBefore w:val="0"/>
        <w:widowControl/>
        <w:numPr>
          <w:ilvl w:val="0"/>
          <w:numId w:val="0"/>
        </w:numPr>
        <w:kinsoku/>
        <w:wordWrap w:val="0"/>
        <w:overflowPunct/>
        <w:topLinePunct w:val="0"/>
        <w:autoSpaceDE/>
        <w:autoSpaceDN/>
        <w:bidi w:val="0"/>
        <w:adjustRightInd w:val="0"/>
        <w:snapToGrid w:val="0"/>
        <w:spacing w:line="540" w:lineRule="exact"/>
        <w:ind w:leftChars="0" w:firstLine="640" w:firstLineChars="200"/>
        <w:contextualSpacing/>
        <w:jc w:val="right"/>
        <w:textAlignment w:val="auto"/>
        <w:rPr>
          <w:rFonts w:hint="default" w:ascii="仿宋_GB2312" w:hAnsi="仿宋_GB2312" w:eastAsia="仿宋_GB2312" w:cs="仿宋_GB2312"/>
          <w:b w:val="0"/>
          <w:bCs w:val="0"/>
          <w:color w:val="auto"/>
          <w:kern w:val="0"/>
          <w:sz w:val="32"/>
          <w:szCs w:val="32"/>
          <w:highlight w:val="none"/>
          <w:u w:val="none"/>
          <w:shd w:val="clear" w:color="auto" w:fill="FFFFFF"/>
          <w:lang w:val="en-US"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 xml:space="preserve">2025年4月15日        </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left"/>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p>
    <w:p>
      <w:pPr>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br w:type="page"/>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contextualSpacing/>
        <w:jc w:val="left"/>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r>
        <w:rPr>
          <w:rFonts w:hint="eastAsia" w:ascii="黑体" w:hAnsi="黑体" w:eastAsia="黑体" w:cs="黑体"/>
          <w:b w:val="0"/>
          <w:bCs w:val="0"/>
          <w:color w:val="auto"/>
          <w:kern w:val="0"/>
          <w:sz w:val="32"/>
          <w:szCs w:val="32"/>
          <w:highlight w:val="none"/>
          <w:u w:val="none"/>
          <w:shd w:val="clear" w:color="auto" w:fill="FFFFFF"/>
          <w:lang w:val="en-US" w:eastAsia="zh-CN"/>
        </w:rPr>
        <w:t>1</w:t>
      </w:r>
    </w:p>
    <w:p>
      <w:pPr>
        <w:keepNext w:val="0"/>
        <w:keepLines w:val="0"/>
        <w:pageBreakBefore w:val="0"/>
        <w:kinsoku/>
        <w:wordWrap/>
        <w:overflowPunct/>
        <w:topLinePunct w:val="0"/>
        <w:autoSpaceDE/>
        <w:autoSpaceDN/>
        <w:bidi w:val="0"/>
        <w:spacing w:line="578" w:lineRule="exact"/>
        <w:ind w:left="0" w:leftChars="0"/>
        <w:jc w:val="center"/>
        <w:textAlignment w:val="auto"/>
        <w:rPr>
          <w:rFonts w:hint="eastAsia" w:ascii="方正小标宋_GBK" w:hAnsi="方正小标宋_GBK" w:eastAsia="方正小标宋_GBK" w:cs="方正小标宋_GBK"/>
          <w:b w:val="0"/>
          <w:bCs w:val="0"/>
          <w:color w:val="auto"/>
          <w:sz w:val="40"/>
          <w:szCs w:val="40"/>
          <w:highlight w:val="none"/>
          <w:u w:val="none"/>
          <w:lang w:val="en-US" w:eastAsia="zh-CN"/>
        </w:rPr>
      </w:pPr>
      <w:r>
        <w:rPr>
          <w:rFonts w:hint="eastAsia" w:ascii="方正小标宋_GBK" w:hAnsi="方正小标宋_GBK" w:eastAsia="方正小标宋_GBK" w:cs="方正小标宋_GBK"/>
          <w:b w:val="0"/>
          <w:bCs w:val="0"/>
          <w:color w:val="auto"/>
          <w:sz w:val="40"/>
          <w:szCs w:val="40"/>
          <w:highlight w:val="none"/>
          <w:u w:val="none"/>
          <w:lang w:val="en-US" w:eastAsia="zh-CN"/>
        </w:rPr>
        <w:t>项目资金分配涉及所有点位自评得分情况表</w:t>
      </w:r>
    </w:p>
    <w:tbl>
      <w:tblPr>
        <w:tblStyle w:val="18"/>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3677"/>
        <w:gridCol w:w="2737"/>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序号</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 w:eastAsia="zh-CN"/>
              </w:rPr>
            </w:pPr>
            <w:r>
              <w:rPr>
                <w:rFonts w:hint="eastAsia" w:ascii="黑体" w:hAnsi="黑体" w:eastAsia="黑体" w:cs="黑体"/>
                <w:b w:val="0"/>
                <w:bCs w:val="0"/>
                <w:color w:val="auto"/>
                <w:sz w:val="24"/>
                <w:szCs w:val="24"/>
                <w:highlight w:val="none"/>
                <w:u w:val="none"/>
                <w:vertAlign w:val="baseline"/>
                <w:lang w:val="en-US" w:eastAsia="zh-CN"/>
              </w:rPr>
              <w:t>项目资金末端分配点位</w:t>
            </w: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 w:eastAsia="zh-CN"/>
              </w:rPr>
              <w:t>自评得分（百分制）</w:t>
            </w: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黑体" w:hAnsi="黑体" w:eastAsia="黑体" w:cs="黑体"/>
                <w:b w:val="0"/>
                <w:bCs w:val="0"/>
                <w:color w:val="auto"/>
                <w:sz w:val="24"/>
                <w:szCs w:val="24"/>
                <w:highlight w:val="none"/>
                <w:u w:val="none"/>
                <w:vertAlign w:val="baseline"/>
                <w:lang w:val="en-US" w:eastAsia="zh-CN"/>
              </w:rPr>
            </w:pPr>
            <w:r>
              <w:rPr>
                <w:rFonts w:hint="eastAsia" w:ascii="黑体" w:hAnsi="黑体" w:eastAsia="黑体" w:cs="黑体"/>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仿宋_GB2312" w:hAnsi="仿宋_GB2312" w:eastAsia="仿宋_GB2312" w:cs="仿宋_GB2312"/>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w:t>
            </w:r>
            <w:r>
              <w:rPr>
                <w:rFonts w:hint="eastAsia" w:ascii="仿宋_GB2312" w:hAnsi="仿宋_GB2312" w:eastAsia="仿宋_GB2312" w:cs="仿宋_GB2312"/>
                <w:color w:val="333333"/>
                <w:sz w:val="24"/>
                <w:szCs w:val="24"/>
                <w:shd w:val="clear" w:color="auto" w:fill="FFFFFF"/>
                <w:lang w:val="zh-CN" w:eastAsia="zh-CN"/>
              </w:rPr>
              <w:t>市自然资源储备交易中心</w:t>
            </w: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仿宋_GB2312" w:hAnsi="仿宋_GB2312" w:eastAsia="仿宋_GB2312" w:cs="仿宋_GB2312"/>
                <w:color w:val="auto"/>
                <w:sz w:val="24"/>
                <w:szCs w:val="24"/>
                <w:highlight w:val="none"/>
                <w:u w:val="none"/>
                <w:vertAlign w:val="baseline"/>
                <w:lang w:val="en-US" w:eastAsia="zh-CN"/>
              </w:rPr>
            </w:pPr>
            <w:r>
              <w:rPr>
                <w:rFonts w:hint="eastAsia" w:ascii="仿宋_GB2312" w:hAnsi="仿宋_GB2312" w:eastAsia="仿宋_GB2312" w:cs="仿宋_GB2312"/>
                <w:color w:val="auto"/>
                <w:sz w:val="24"/>
                <w:szCs w:val="24"/>
                <w:highlight w:val="none"/>
                <w:u w:val="none"/>
                <w:vertAlign w:val="baseline"/>
                <w:lang w:val="en-US" w:eastAsia="zh-CN"/>
              </w:rPr>
              <w:t>100</w:t>
            </w: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2</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3</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4</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5</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6</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7</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8</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jc w:val="center"/>
        </w:trPr>
        <w:tc>
          <w:tcPr>
            <w:tcW w:w="107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w:t>
            </w:r>
          </w:p>
        </w:tc>
        <w:tc>
          <w:tcPr>
            <w:tcW w:w="367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2737"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 w:eastAsia="zh-CN"/>
              </w:rPr>
            </w:pPr>
          </w:p>
        </w:tc>
        <w:tc>
          <w:tcPr>
            <w:tcW w:w="950"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eastAsia" w:ascii="宋体" w:hAnsi="宋体" w:eastAsia="仿宋_GB2312" w:cs="宋体"/>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备注：1.项目资金末端分配点位包括市本级、县（区）、市级部门下属单位及一次性单位等。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630" w:firstLineChars="300"/>
        <w:jc w:val="left"/>
        <w:textAlignment w:val="auto"/>
        <w:rPr>
          <w:rFonts w:hint="eastAsia" w:ascii="宋体" w:hAnsi="宋体" w:eastAsia="宋体" w:cs="宋体"/>
          <w:b w:val="0"/>
          <w:bCs w:val="0"/>
          <w:color w:val="auto"/>
          <w:sz w:val="21"/>
          <w:szCs w:val="21"/>
          <w:highlight w:val="none"/>
          <w:u w:val="none"/>
          <w:vertAlign w:val="baseline"/>
          <w:lang w:val="en-US" w:eastAsia="zh-CN"/>
        </w:rPr>
      </w:pPr>
      <w:r>
        <w:rPr>
          <w:rFonts w:hint="eastAsia" w:ascii="宋体" w:hAnsi="宋体" w:eastAsia="宋体" w:cs="宋体"/>
          <w:b w:val="0"/>
          <w:bCs w:val="0"/>
          <w:color w:val="auto"/>
          <w:sz w:val="21"/>
          <w:szCs w:val="21"/>
          <w:highlight w:val="none"/>
          <w:u w:val="none"/>
          <w:vertAlign w:val="baseline"/>
          <w:lang w:val="en-US" w:eastAsia="zh-CN"/>
        </w:rPr>
        <w:t>2.自评得分（百分制）从高到低划分为优、良、中、差四个档次，各个档次数量占比分别为20%、20%、55%、5%，且不同档次间得分分值应体现差异化，同档次得分分值相同的比例不超过该档次总数量的10%。</w:t>
      </w:r>
    </w:p>
    <w:p>
      <w:pPr>
        <w:rPr>
          <w:rFonts w:hint="eastAsia" w:ascii="Times New Roman" w:hAnsi="Times New Roman" w:eastAsia="仿宋_GB2312" w:cs="Times New Roman"/>
          <w:kern w:val="2"/>
          <w:sz w:val="32"/>
          <w:szCs w:val="24"/>
          <w:highlight w:val="none"/>
          <w:lang w:val="en-US" w:eastAsia="zh-CN" w:bidi="ar-SA"/>
        </w:rPr>
      </w:pPr>
      <w:r>
        <w:rPr>
          <w:rFonts w:hint="eastAsia" w:ascii="Times New Roman" w:hAnsi="Times New Roman" w:eastAsia="仿宋_GB2312" w:cs="Times New Roman"/>
          <w:kern w:val="2"/>
          <w:sz w:val="32"/>
          <w:szCs w:val="24"/>
          <w:highlight w:val="none"/>
          <w:lang w:val="en-US" w:eastAsia="zh-CN" w:bidi="ar-SA"/>
        </w:rPr>
        <w:br w:type="page"/>
      </w:r>
    </w:p>
    <w:p>
      <w:pPr>
        <w:keepNext w:val="0"/>
        <w:keepLines w:val="0"/>
        <w:pageBreakBefore w:val="0"/>
        <w:widowControl w:val="0"/>
        <w:kinsoku/>
        <w:wordWrap/>
        <w:overflowPunct/>
        <w:topLinePunct w:val="0"/>
        <w:autoSpaceDE/>
        <w:autoSpaceDN/>
        <w:bidi w:val="0"/>
        <w:spacing w:after="0" w:line="578" w:lineRule="exact"/>
        <w:ind w:left="0" w:leftChars="0" w:firstLine="0" w:firstLineChars="0"/>
        <w:jc w:val="both"/>
        <w:rPr>
          <w:rFonts w:hint="default" w:ascii="Times New Roman" w:hAnsi="Times New Roman" w:eastAsia="黑体" w:cs="Times New Roman"/>
          <w:kern w:val="2"/>
          <w:sz w:val="32"/>
          <w:szCs w:val="24"/>
          <w:highlight w:val="none"/>
          <w:lang w:val="en-US" w:eastAsia="zh-CN" w:bidi="ar-SA"/>
        </w:rPr>
      </w:pPr>
      <w:r>
        <w:rPr>
          <w:rFonts w:hint="default" w:ascii="Times New Roman" w:hAnsi="Times New Roman" w:eastAsia="黑体" w:cs="Times New Roman"/>
          <w:kern w:val="2"/>
          <w:sz w:val="32"/>
          <w:szCs w:val="24"/>
          <w:highlight w:val="none"/>
          <w:lang w:val="en-US" w:eastAsia="zh-CN" w:bidi="ar-SA"/>
        </w:rPr>
        <w:t>附表2</w:t>
      </w:r>
    </w:p>
    <w:tbl>
      <w:tblPr>
        <w:tblStyle w:val="17"/>
        <w:tblW w:w="9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25"/>
        <w:gridCol w:w="1037"/>
        <w:gridCol w:w="1199"/>
        <w:gridCol w:w="1260"/>
        <w:gridCol w:w="1075"/>
        <w:gridCol w:w="936"/>
        <w:gridCol w:w="1019"/>
        <w:gridCol w:w="899"/>
        <w:gridCol w:w="17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35" w:hRule="atLeast"/>
          <w:jc w:val="center"/>
        </w:trPr>
        <w:tc>
          <w:tcPr>
            <w:tcW w:w="9820" w:type="dxa"/>
            <w:gridSpan w:val="9"/>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ascii="黑体" w:hAnsi="宋体" w:eastAsia="黑体" w:cs="黑体"/>
                <w:i w:val="0"/>
                <w:color w:val="000000"/>
                <w:sz w:val="30"/>
                <w:szCs w:val="30"/>
                <w:u w:val="none"/>
              </w:rPr>
            </w:pPr>
            <w:r>
              <w:rPr>
                <w:rFonts w:hint="eastAsia" w:ascii="方正小标宋简体" w:hAnsi="方正小标宋简体" w:eastAsia="方正小标宋简体" w:cs="方正小标宋简体"/>
                <w:i w:val="0"/>
                <w:color w:val="000000"/>
                <w:kern w:val="0"/>
                <w:sz w:val="40"/>
                <w:szCs w:val="40"/>
                <w:u w:val="none"/>
                <w:lang w:val="en-US" w:eastAsia="zh-CN" w:bidi="ar"/>
              </w:rPr>
              <w:t>专项预算项目绩效目标完成情况自评表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41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项目名称</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rPr>
              <w:t>征地补偿费</w:t>
            </w:r>
            <w:r>
              <w:rPr>
                <w:rFonts w:hint="eastAsia" w:ascii="宋体" w:hAnsi="宋体" w:eastAsia="宋体" w:cs="宋体"/>
                <w:i w:val="0"/>
                <w:color w:val="000000"/>
                <w:sz w:val="24"/>
                <w:szCs w:val="24"/>
                <w:u w:val="none"/>
                <w:lang w:eastAsia="zh-CN"/>
              </w:rPr>
              <w:t>及土地营销及中介费用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41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预算单位</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广元市自然资源储备交易中心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41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项目类型</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r>
              <w:rPr>
                <w:rFonts w:hint="eastAsia" w:ascii="仿宋_GB2312" w:hAnsi="仿宋_GB2312" w:eastAsia="仿宋_GB2312" w:cs="仿宋_GB2312"/>
                <w:i w:val="0"/>
                <w:color w:val="000000"/>
                <w:sz w:val="24"/>
                <w:szCs w:val="24"/>
                <w:u w:val="none"/>
                <w:lang w:eastAsia="zh-CN"/>
              </w:rPr>
              <w:t>专项预算项目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57"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项目 概况</w:t>
            </w:r>
          </w:p>
        </w:tc>
        <w:tc>
          <w:tcPr>
            <w:tcW w:w="34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kern w:val="0"/>
                <w:sz w:val="24"/>
                <w:szCs w:val="24"/>
                <w:u w:val="none"/>
                <w:lang w:val="en-US" w:eastAsia="zh-CN" w:bidi="ar"/>
              </w:rPr>
            </w:pPr>
            <w:r>
              <w:rPr>
                <w:rFonts w:ascii="宋体" w:hAnsi="宋体" w:eastAsia="宋体" w:cs="宋体"/>
                <w:i w:val="0"/>
                <w:color w:val="000000"/>
                <w:kern w:val="0"/>
                <w:sz w:val="24"/>
                <w:szCs w:val="24"/>
                <w:u w:val="none"/>
                <w:lang w:val="en-US" w:eastAsia="zh-CN" w:bidi="ar"/>
              </w:rPr>
              <w:t>中长期规划（名称、文号，仅指</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常年项目）</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r>
              <w:rPr>
                <w:rFonts w:hint="eastAsia" w:ascii="仿宋_GB2312" w:hAnsi="仿宋_GB2312" w:eastAsia="仿宋_GB2312" w:cs="仿宋_GB2312"/>
                <w:i w:val="0"/>
                <w:color w:val="000000"/>
                <w:sz w:val="24"/>
                <w:szCs w:val="24"/>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34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资金管理办法（名称、文号）</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r>
              <w:rPr>
                <w:rFonts w:hint="eastAsia" w:ascii="仿宋_GB2312" w:hAnsi="仿宋_GB2312" w:eastAsia="仿宋_GB2312" w:cs="仿宋_GB2312"/>
                <w:i w:val="0"/>
                <w:color w:val="000000"/>
                <w:sz w:val="24"/>
                <w:szCs w:val="24"/>
                <w:u w:val="none"/>
                <w:lang w:val="en-US" w:eastAsia="zh-CN"/>
              </w:rPr>
              <w:t>广元市自然资源局财务管理制度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57"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34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绩效分配方式</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Wingdings 2" w:hAnsi="Wingdings 2" w:eastAsia="Wingdings 2" w:cs="Wingdings 2"/>
                <w:i w:val="0"/>
                <w:color w:val="000000"/>
                <w:sz w:val="24"/>
                <w:szCs w:val="24"/>
                <w:u w:val="none"/>
              </w:rPr>
            </w:pPr>
            <w:r>
              <w:rPr>
                <w:rFonts w:hint="default" w:ascii="Wingdings 2" w:hAnsi="Wingdings 2" w:eastAsia="Wingdings 2" w:cs="Wingdings 2"/>
                <w:i w:val="0"/>
                <w:color w:val="000000"/>
                <w:kern w:val="0"/>
                <w:sz w:val="24"/>
                <w:szCs w:val="24"/>
                <w:u w:val="none"/>
                <w:lang w:val="en-US" w:eastAsia="zh-CN" w:bidi="ar"/>
              </w:rPr>
              <w:sym w:font="Wingdings 2" w:char="0052"/>
            </w:r>
            <w:r>
              <w:rPr>
                <w:rFonts w:ascii="宋体" w:hAnsi="宋体" w:eastAsia="宋体" w:cs="宋体"/>
                <w:i w:val="0"/>
                <w:color w:val="000000"/>
                <w:kern w:val="0"/>
                <w:sz w:val="24"/>
                <w:szCs w:val="24"/>
                <w:u w:val="none"/>
                <w:lang w:val="en-US" w:eastAsia="zh-CN" w:bidi="ar"/>
              </w:rPr>
              <w:t>因素法</w:t>
            </w:r>
          </w:p>
        </w:tc>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Wingdings 2" w:hAnsi="Wingdings 2" w:eastAsia="Wingdings 2" w:cs="Wingdings 2"/>
                <w:i w:val="0"/>
                <w:color w:val="000000"/>
                <w:sz w:val="24"/>
                <w:szCs w:val="24"/>
                <w:u w:val="none"/>
              </w:rPr>
            </w:pPr>
            <w:r>
              <w:rPr>
                <w:rFonts w:hint="default" w:ascii="Wingdings 2" w:hAnsi="Wingdings 2" w:eastAsia="Wingdings 2" w:cs="Wingdings 2"/>
                <w:i w:val="0"/>
                <w:color w:val="000000"/>
                <w:kern w:val="0"/>
                <w:sz w:val="24"/>
                <w:szCs w:val="24"/>
                <w:u w:val="none"/>
                <w:lang w:val="en-US" w:eastAsia="zh-CN" w:bidi="ar"/>
              </w:rPr>
              <w:t>£项目法</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Wingdings 2" w:hAnsi="Wingdings 2" w:eastAsia="Wingdings 2" w:cs="Wingdings 2"/>
                <w:i w:val="0"/>
                <w:color w:val="000000"/>
                <w:sz w:val="24"/>
                <w:szCs w:val="24"/>
                <w:u w:val="none"/>
              </w:rPr>
            </w:pPr>
            <w:r>
              <w:rPr>
                <w:rFonts w:hint="default" w:ascii="Wingdings 2" w:hAnsi="Wingdings 2" w:eastAsia="Wingdings 2" w:cs="Wingdings 2"/>
                <w:i w:val="0"/>
                <w:color w:val="000000"/>
                <w:kern w:val="0"/>
                <w:sz w:val="24"/>
                <w:szCs w:val="24"/>
                <w:u w:val="none"/>
                <w:lang w:val="en-US" w:eastAsia="zh-CN" w:bidi="ar"/>
              </w:rPr>
              <w:t>£</w:t>
            </w:r>
            <w:r>
              <w:rPr>
                <w:rFonts w:ascii="宋体" w:hAnsi="宋体" w:eastAsia="宋体" w:cs="宋体"/>
                <w:i w:val="0"/>
                <w:color w:val="000000"/>
                <w:kern w:val="0"/>
                <w:sz w:val="24"/>
                <w:szCs w:val="24"/>
                <w:u w:val="none"/>
                <w:lang w:val="en-US" w:eastAsia="zh-CN" w:bidi="ar"/>
              </w:rPr>
              <w:t>据实据效</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Wingdings 2" w:hAnsi="Wingdings 2" w:eastAsia="Wingdings 2" w:cs="Wingdings 2"/>
                <w:i w:val="0"/>
                <w:color w:val="000000"/>
                <w:sz w:val="24"/>
                <w:szCs w:val="24"/>
                <w:u w:val="none"/>
              </w:rPr>
            </w:pPr>
            <w:r>
              <w:rPr>
                <w:rFonts w:hint="default" w:ascii="Wingdings 2" w:hAnsi="Wingdings 2" w:eastAsia="Wingdings 2" w:cs="Wingdings 2"/>
                <w:i w:val="0"/>
                <w:color w:val="000000"/>
                <w:kern w:val="0"/>
                <w:sz w:val="24"/>
                <w:szCs w:val="24"/>
                <w:u w:val="none"/>
                <w:lang w:val="en-US" w:eastAsia="zh-CN" w:bidi="ar"/>
              </w:rPr>
              <w:t>£</w:t>
            </w:r>
            <w:r>
              <w:rPr>
                <w:rFonts w:ascii="宋体" w:hAnsi="宋体" w:eastAsia="宋体" w:cs="宋体"/>
                <w:i w:val="0"/>
                <w:color w:val="000000"/>
                <w:kern w:val="0"/>
                <w:sz w:val="24"/>
                <w:szCs w:val="24"/>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34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立项依据</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《中华人民共和国土地管理法》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34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使用范围</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征地补偿费土地营销及中介费用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34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申报（补助）条件</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r>
              <w:rPr>
                <w:rFonts w:hint="eastAsia" w:ascii="仿宋_GB2312" w:hAnsi="仿宋_GB2312" w:eastAsia="仿宋_GB2312" w:cs="仿宋_GB2312"/>
                <w:i w:val="0"/>
                <w:color w:val="000000"/>
                <w:sz w:val="24"/>
                <w:szCs w:val="24"/>
                <w:u w:val="none"/>
                <w:lang w:val="en-US" w:eastAsia="zh-CN"/>
              </w:rPr>
              <w:t>单位职能职责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34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项目起止年限</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r>
              <w:rPr>
                <w:rFonts w:hint="eastAsia" w:ascii="仿宋_GB2312" w:hAnsi="仿宋_GB2312" w:eastAsia="仿宋_GB2312" w:cs="仿宋_GB2312"/>
                <w:i w:val="0"/>
                <w:color w:val="000000"/>
                <w:sz w:val="24"/>
                <w:szCs w:val="24"/>
                <w:u w:val="none"/>
                <w:lang w:val="en-US" w:eastAsia="zh-CN"/>
              </w:rPr>
              <w:t>2024-2024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16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ascii="宋体" w:hAnsi="宋体" w:eastAsia="宋体" w:cs="宋体"/>
                <w:i w:val="0"/>
                <w:color w:val="000000"/>
                <w:kern w:val="0"/>
                <w:sz w:val="24"/>
                <w:szCs w:val="24"/>
                <w:u w:val="none"/>
                <w:lang w:val="en-US" w:eastAsia="zh-CN" w:bidi="ar"/>
              </w:rPr>
              <w:t>项目资金</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（万元）</w:t>
            </w: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 xml:space="preserve">  年度资金总额：</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default" w:ascii="宋体" w:hAnsi="宋体" w:eastAsia="宋体" w:cs="宋体"/>
                <w:i w:val="0"/>
                <w:color w:val="000000"/>
                <w:sz w:val="24"/>
                <w:szCs w:val="24"/>
                <w:u w:val="none"/>
                <w:lang w:val="en-US" w:eastAsia="zh-CN"/>
              </w:rPr>
              <w:t>22834.33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 xml:space="preserve"> </w:t>
            </w:r>
            <w:r>
              <w:rPr>
                <w:rFonts w:ascii="宋体" w:hAnsi="宋体" w:eastAsia="宋体" w:cs="宋体"/>
                <w:i w:val="0"/>
                <w:color w:val="000000"/>
                <w:kern w:val="0"/>
                <w:sz w:val="24"/>
                <w:szCs w:val="24"/>
                <w:u w:val="none"/>
                <w:lang w:val="en-US" w:eastAsia="zh-CN" w:bidi="ar"/>
              </w:rPr>
              <w:t>其中：财政拨款</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default" w:ascii="宋体" w:hAnsi="宋体" w:eastAsia="宋体" w:cs="宋体"/>
                <w:i w:val="0"/>
                <w:color w:val="000000"/>
                <w:sz w:val="24"/>
                <w:szCs w:val="24"/>
                <w:u w:val="none"/>
                <w:lang w:val="en-US" w:eastAsia="zh-CN"/>
              </w:rPr>
              <w:t>22834.33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16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24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 xml:space="preserve">            其他资金</w:t>
            </w:r>
          </w:p>
        </w:tc>
        <w:tc>
          <w:tcPr>
            <w:tcW w:w="56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righ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6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总体 目标</w:t>
            </w:r>
          </w:p>
        </w:tc>
        <w:tc>
          <w:tcPr>
            <w:tcW w:w="91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6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p>
        </w:tc>
        <w:tc>
          <w:tcPr>
            <w:tcW w:w="919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完成征地补偿费用及时支出，支付率达到100%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1" w:hRule="atLeast"/>
          <w:jc w:val="center"/>
        </w:trPr>
        <w:tc>
          <w:tcPr>
            <w:tcW w:w="625" w:type="dxa"/>
            <w:vMerge w:val="restart"/>
            <w:tcBorders>
              <w:top w:val="single" w:color="000000" w:sz="4" w:space="0"/>
              <w:left w:val="single" w:color="000000" w:sz="4" w:space="0"/>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绩效 指标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一级指标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二级指标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三级指标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指标性质</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指标值</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度量单位</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权重</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3" w:hRule="atLeast"/>
          <w:jc w:val="center"/>
        </w:trPr>
        <w:tc>
          <w:tcPr>
            <w:tcW w:w="625"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p>
        </w:tc>
        <w:tc>
          <w:tcPr>
            <w:tcW w:w="103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产出指标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w:t>
            </w:r>
            <w:r>
              <w:rPr>
                <w:rFonts w:ascii="宋体" w:hAnsi="宋体" w:eastAsia="宋体" w:cs="宋体"/>
                <w:i w:val="0"/>
                <w:color w:val="000000"/>
                <w:kern w:val="0"/>
                <w:sz w:val="24"/>
                <w:szCs w:val="24"/>
                <w:u w:val="none"/>
                <w:lang w:val="en-US" w:eastAsia="zh-CN" w:bidi="ar"/>
              </w:rPr>
              <w:t>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实现征拆率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val="en-US" w:eastAsia="zh-CN"/>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ascii="宋体" w:hAnsi="宋体" w:eastAsia="宋体" w:cs="宋体"/>
                <w:i w:val="0"/>
                <w:iCs w:val="0"/>
                <w:color w:val="000000"/>
                <w:kern w:val="0"/>
                <w:sz w:val="24"/>
                <w:szCs w:val="24"/>
                <w:u w:val="none"/>
                <w:lang w:val="en-US" w:eastAsia="zh-CN" w:bidi="ar"/>
              </w:rPr>
              <w:t>100</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val="en-US" w:eastAsia="zh-CN"/>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2"/>
                <w:sz w:val="24"/>
                <w:szCs w:val="24"/>
                <w:u w:val="none"/>
                <w:lang w:val="en-US" w:eastAsia="zh-CN" w:bidi="ar-SA"/>
              </w:rPr>
            </w:pPr>
            <w:r>
              <w:rPr>
                <w:rFonts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3" w:hRule="atLeast"/>
          <w:jc w:val="center"/>
        </w:trPr>
        <w:tc>
          <w:tcPr>
            <w:tcW w:w="625"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p>
        </w:tc>
        <w:tc>
          <w:tcPr>
            <w:tcW w:w="103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时效指标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完成时间</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年</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3" w:hRule="atLeast"/>
          <w:jc w:val="center"/>
        </w:trPr>
        <w:tc>
          <w:tcPr>
            <w:tcW w:w="625"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p>
        </w:tc>
        <w:tc>
          <w:tcPr>
            <w:tcW w:w="1037"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数量指标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征收土地面积</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896.407</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亩</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896.407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3" w:hRule="atLeast"/>
          <w:jc w:val="center"/>
        </w:trPr>
        <w:tc>
          <w:tcPr>
            <w:tcW w:w="625"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p>
        </w:tc>
        <w:tc>
          <w:tcPr>
            <w:tcW w:w="1037"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数量指标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中介服务评估事项56件以上，城市价值推介2件</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58</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件</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5</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3" w:hRule="atLeast"/>
          <w:jc w:val="center"/>
        </w:trPr>
        <w:tc>
          <w:tcPr>
            <w:tcW w:w="625" w:type="dxa"/>
            <w:vMerge w:val="continue"/>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效益指标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ascii="宋体" w:hAnsi="宋体" w:eastAsia="宋体" w:cs="宋体"/>
                <w:i w:val="0"/>
                <w:color w:val="000000"/>
                <w:kern w:val="0"/>
                <w:sz w:val="24"/>
                <w:szCs w:val="24"/>
                <w:u w:val="none"/>
                <w:lang w:val="en-US" w:eastAsia="zh-CN" w:bidi="ar"/>
              </w:rPr>
              <w:t>社会效益</w:t>
            </w:r>
          </w:p>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ascii="宋体" w:hAnsi="宋体" w:eastAsia="宋体" w:cs="宋体"/>
                <w:i w:val="0"/>
                <w:iCs w:val="0"/>
                <w:color w:val="000000"/>
                <w:kern w:val="0"/>
                <w:sz w:val="24"/>
                <w:szCs w:val="24"/>
                <w:u w:val="none"/>
                <w:lang w:val="en-US" w:eastAsia="zh-CN" w:bidi="ar"/>
              </w:rPr>
              <w:t>促进社会经济发展</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定性</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eastAsia="zh-CN"/>
              </w:rPr>
            </w:pPr>
            <w:r>
              <w:rPr>
                <w:rFonts w:ascii="宋体" w:hAnsi="宋体" w:eastAsia="宋体" w:cs="宋体"/>
                <w:i w:val="0"/>
                <w:iCs w:val="0"/>
                <w:color w:val="000000"/>
                <w:kern w:val="0"/>
                <w:sz w:val="24"/>
                <w:szCs w:val="24"/>
                <w:u w:val="none"/>
                <w:lang w:val="en-US" w:eastAsia="zh-CN" w:bidi="ar"/>
              </w:rPr>
              <w:t>良好</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2"/>
                <w:sz w:val="24"/>
                <w:szCs w:val="24"/>
                <w:u w:val="none"/>
                <w:lang w:val="en-US" w:eastAsia="zh-CN" w:bidi="ar-SA"/>
              </w:rPr>
            </w:pPr>
            <w:r>
              <w:rPr>
                <w:rFonts w:ascii="宋体" w:hAnsi="宋体" w:eastAsia="宋体" w:cs="宋体"/>
                <w:i w:val="0"/>
                <w:iCs w:val="0"/>
                <w:color w:val="000000"/>
                <w:kern w:val="0"/>
                <w:sz w:val="24"/>
                <w:szCs w:val="24"/>
                <w:u w:val="none"/>
                <w:lang w:val="en-US" w:eastAsia="zh-CN" w:bidi="ar"/>
              </w:rPr>
              <w:t>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78" w:hRule="atLeast"/>
          <w:jc w:val="center"/>
        </w:trPr>
        <w:tc>
          <w:tcPr>
            <w:tcW w:w="625" w:type="dxa"/>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满意度指标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满意度指标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群众满意度</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lang w:val="en-US" w:eastAsia="zh-CN"/>
              </w:rPr>
            </w:pPr>
            <w:r>
              <w:rPr>
                <w:rFonts w:ascii="宋体" w:hAnsi="宋体" w:eastAsia="宋体" w:cs="宋体"/>
                <w:i w:val="0"/>
                <w:iCs w:val="0"/>
                <w:color w:val="000000"/>
                <w:kern w:val="0"/>
                <w:sz w:val="24"/>
                <w:szCs w:val="24"/>
                <w:u w:val="none"/>
                <w:lang w:val="en-US" w:eastAsia="zh-CN" w:bidi="ar"/>
              </w:rPr>
              <w:t>95</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10</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78" w:hRule="atLeast"/>
          <w:jc w:val="center"/>
        </w:trPr>
        <w:tc>
          <w:tcPr>
            <w:tcW w:w="625" w:type="dxa"/>
            <w:tcBorders>
              <w:top w:val="single" w:color="000000" w:sz="4" w:space="0"/>
              <w:left w:val="single" w:color="000000" w:sz="4" w:space="0"/>
              <w:bottom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成本指标</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经济成本指标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经济成本</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1"/>
                <w:szCs w:val="21"/>
                <w:u w:val="none"/>
                <w:lang w:val="en-US" w:eastAsia="zh-CN" w:bidi="ar"/>
              </w:rPr>
              <w:t>22834.33</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万元</w:t>
            </w:r>
          </w:p>
        </w:tc>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20</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left="0" w:leftChars="0"/>
              <w:jc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22834.33</w:t>
            </w:r>
          </w:p>
        </w:tc>
      </w:tr>
    </w:tbl>
    <w:p>
      <w:pPr>
        <w:keepNext w:val="0"/>
        <w:keepLines w:val="0"/>
        <w:pageBreakBefore w:val="0"/>
        <w:widowControl w:val="0"/>
        <w:kinsoku/>
        <w:wordWrap/>
        <w:overflowPunct/>
        <w:topLinePunct w:val="0"/>
        <w:autoSpaceDE/>
        <w:autoSpaceDN/>
        <w:bidi w:val="0"/>
        <w:spacing w:after="0" w:line="578" w:lineRule="exact"/>
        <w:ind w:left="0" w:leftChars="0" w:firstLine="480" w:firstLineChars="200"/>
        <w:jc w:val="both"/>
        <w:rPr>
          <w:rFonts w:hint="default" w:ascii="黑体" w:hAnsi="黑体" w:eastAsia="黑体" w:cs="黑体"/>
          <w:kern w:val="2"/>
          <w:sz w:val="24"/>
          <w:szCs w:val="24"/>
          <w:highlight w:val="none"/>
          <w:lang w:val="en-US" w:eastAsia="zh-CN" w:bidi="ar-SA"/>
        </w:rPr>
      </w:pPr>
    </w:p>
    <w:p>
      <w:pPr>
        <w:pStyle w:val="2"/>
        <w:rPr>
          <w:rFonts w:hint="eastAsia"/>
        </w:rPr>
      </w:pPr>
    </w:p>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pageBreakBefore w:val="0"/>
        <w:widowControl w:val="0"/>
        <w:shd w:val="clear"/>
        <w:kinsoku/>
        <w:wordWrap/>
        <w:overflowPunct/>
        <w:topLinePunct w:val="0"/>
        <w:bidi w:val="0"/>
        <w:spacing w:line="576" w:lineRule="exact"/>
        <w:ind w:right="0"/>
        <w:jc w:val="center"/>
        <w:textAlignment w:val="auto"/>
        <w:outlineLvl w:val="0"/>
        <w:rPr>
          <w:rStyle w:val="22"/>
          <w:rFonts w:hint="eastAsia" w:ascii="黑体" w:hAnsi="黑体" w:eastAsia="黑体"/>
          <w:b w:val="0"/>
          <w:color w:val="auto"/>
          <w:highlight w:val="none"/>
        </w:rPr>
      </w:pPr>
      <w:r>
        <w:rPr>
          <w:rFonts w:hint="eastAsia" w:ascii="黑体" w:hAnsi="黑体" w:eastAsia="黑体"/>
          <w:color w:val="auto"/>
          <w:sz w:val="44"/>
          <w:szCs w:val="44"/>
          <w:highlight w:val="none"/>
        </w:rPr>
        <w:t>第</w:t>
      </w:r>
      <w:r>
        <w:rPr>
          <w:rStyle w:val="22"/>
          <w:rFonts w:hint="eastAsia" w:ascii="黑体" w:hAnsi="黑体" w:eastAsia="黑体"/>
          <w:b w:val="0"/>
          <w:color w:val="auto"/>
          <w:highlight w:val="none"/>
        </w:rPr>
        <w:t>五部分附表</w:t>
      </w:r>
      <w:bookmarkEnd w:id="77"/>
      <w:bookmarkEnd w:id="80"/>
      <w:bookmarkEnd w:id="81"/>
      <w:bookmarkStart w:id="83" w:name="_Toc15396619"/>
    </w:p>
    <w:p>
      <w:pPr>
        <w:pStyle w:val="2"/>
        <w:shd w:val="clear"/>
        <w:rPr>
          <w:rFonts w:hint="eastAsia"/>
          <w:color w:val="auto"/>
          <w:highlight w:val="none"/>
        </w:rPr>
      </w:pPr>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84" w:name="_Toc26924"/>
      <w:r>
        <w:rPr>
          <w:rFonts w:hint="eastAsia" w:ascii="仿宋_GB2312" w:hAnsi="仿宋_GB2312" w:eastAsia="仿宋_GB2312" w:cs="仿宋_GB2312"/>
          <w:b w:val="0"/>
          <w:color w:val="auto"/>
          <w:highlight w:val="none"/>
        </w:rPr>
        <w:t>一、收</w:t>
      </w:r>
      <w:r>
        <w:rPr>
          <w:rStyle w:val="23"/>
          <w:rFonts w:hint="eastAsia" w:ascii="仿宋_GB2312" w:hAnsi="仿宋_GB2312" w:eastAsia="仿宋_GB2312" w:cs="仿宋_GB2312"/>
          <w:b w:val="0"/>
          <w:bCs w:val="0"/>
          <w:color w:val="auto"/>
          <w:highlight w:val="none"/>
        </w:rPr>
        <w:t>入支出决算总表</w:t>
      </w:r>
      <w:bookmarkEnd w:id="83"/>
      <w:bookmarkEnd w:id="84"/>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85" w:name="_Toc28094"/>
      <w:bookmarkStart w:id="86" w:name="_Toc15396620"/>
      <w:r>
        <w:rPr>
          <w:rFonts w:hint="eastAsia" w:ascii="仿宋_GB2312" w:hAnsi="仿宋_GB2312" w:eastAsia="仿宋_GB2312" w:cs="仿宋_GB2312"/>
          <w:b w:val="0"/>
          <w:color w:val="auto"/>
          <w:highlight w:val="none"/>
        </w:rPr>
        <w:t>二、收</w:t>
      </w:r>
      <w:r>
        <w:rPr>
          <w:rStyle w:val="23"/>
          <w:rFonts w:hint="eastAsia" w:ascii="仿宋_GB2312" w:hAnsi="仿宋_GB2312" w:eastAsia="仿宋_GB2312" w:cs="仿宋_GB2312"/>
          <w:b w:val="0"/>
          <w:bCs w:val="0"/>
          <w:color w:val="auto"/>
          <w:highlight w:val="none"/>
        </w:rPr>
        <w:t>入决算表</w:t>
      </w:r>
      <w:bookmarkEnd w:id="85"/>
      <w:bookmarkEnd w:id="86"/>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87" w:name="_Toc15396621"/>
      <w:bookmarkStart w:id="88" w:name="_Toc18285"/>
      <w:r>
        <w:rPr>
          <w:rStyle w:val="23"/>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23"/>
          <w:rFonts w:hint="eastAsia" w:ascii="仿宋_GB2312" w:hAnsi="仿宋_GB2312" w:eastAsia="仿宋_GB2312" w:cs="仿宋_GB2312"/>
          <w:b w:val="0"/>
          <w:bCs w:val="0"/>
          <w:color w:val="auto"/>
          <w:highlight w:val="none"/>
        </w:rPr>
        <w:t>出决算表</w:t>
      </w:r>
      <w:bookmarkEnd w:id="87"/>
      <w:bookmarkEnd w:id="88"/>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b w:val="0"/>
          <w:color w:val="auto"/>
          <w:highlight w:val="none"/>
        </w:rPr>
      </w:pPr>
      <w:bookmarkStart w:id="89" w:name="_Toc15396622"/>
      <w:bookmarkStart w:id="90" w:name="_Toc14558"/>
      <w:r>
        <w:rPr>
          <w:rStyle w:val="23"/>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23"/>
          <w:rFonts w:hint="eastAsia" w:ascii="仿宋_GB2312" w:hAnsi="仿宋_GB2312" w:eastAsia="仿宋_GB2312" w:cs="仿宋_GB2312"/>
          <w:b w:val="0"/>
          <w:bCs w:val="0"/>
          <w:color w:val="auto"/>
          <w:highlight w:val="none"/>
        </w:rPr>
        <w:t>政拨款收入支出决算总表</w:t>
      </w:r>
      <w:bookmarkEnd w:id="89"/>
      <w:bookmarkEnd w:id="90"/>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Style w:val="23"/>
          <w:rFonts w:hint="eastAsia" w:ascii="仿宋_GB2312" w:hAnsi="仿宋_GB2312" w:eastAsia="仿宋_GB2312" w:cs="仿宋_GB2312"/>
          <w:b w:val="0"/>
          <w:bCs w:val="0"/>
          <w:color w:val="auto"/>
          <w:highlight w:val="none"/>
        </w:rPr>
      </w:pPr>
      <w:bookmarkStart w:id="91" w:name="_Toc15396623"/>
      <w:bookmarkStart w:id="92" w:name="_Toc2813"/>
      <w:r>
        <w:rPr>
          <w:rStyle w:val="23"/>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23"/>
          <w:rFonts w:hint="eastAsia" w:ascii="仿宋_GB2312" w:hAnsi="仿宋_GB2312" w:eastAsia="仿宋_GB2312" w:cs="仿宋_GB2312"/>
          <w:b w:val="0"/>
          <w:bCs w:val="0"/>
          <w:color w:val="auto"/>
          <w:highlight w:val="none"/>
        </w:rPr>
        <w:t>政拨款支出决算明细表</w:t>
      </w:r>
      <w:bookmarkEnd w:id="91"/>
      <w:bookmarkEnd w:id="92"/>
      <w:bookmarkStart w:id="93" w:name="_Toc15396624"/>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94" w:name="_Toc31612"/>
      <w:r>
        <w:rPr>
          <w:rStyle w:val="23"/>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23"/>
          <w:rFonts w:hint="eastAsia" w:ascii="仿宋_GB2312" w:hAnsi="仿宋_GB2312" w:eastAsia="仿宋_GB2312" w:cs="仿宋_GB2312"/>
          <w:b w:val="0"/>
          <w:bCs w:val="0"/>
          <w:color w:val="auto"/>
          <w:highlight w:val="none"/>
        </w:rPr>
        <w:t>般公共预算财政拨款支出决算表</w:t>
      </w:r>
      <w:bookmarkEnd w:id="93"/>
      <w:bookmarkEnd w:id="94"/>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95" w:name="_Toc15396625"/>
      <w:bookmarkStart w:id="96" w:name="_Toc9942"/>
      <w:r>
        <w:rPr>
          <w:rStyle w:val="23"/>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23"/>
          <w:rFonts w:hint="eastAsia" w:ascii="仿宋_GB2312" w:hAnsi="仿宋_GB2312" w:eastAsia="仿宋_GB2312" w:cs="仿宋_GB2312"/>
          <w:b w:val="0"/>
          <w:bCs w:val="0"/>
          <w:color w:val="auto"/>
          <w:highlight w:val="none"/>
        </w:rPr>
        <w:t>般公共预算财政拨款支出决算明细表</w:t>
      </w:r>
      <w:bookmarkEnd w:id="95"/>
      <w:bookmarkEnd w:id="96"/>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97" w:name="_Toc23027"/>
      <w:bookmarkStart w:id="98" w:name="_Toc15396626"/>
      <w:r>
        <w:rPr>
          <w:rStyle w:val="23"/>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23"/>
          <w:rFonts w:hint="eastAsia" w:ascii="仿宋_GB2312" w:hAnsi="仿宋_GB2312" w:eastAsia="仿宋_GB2312" w:cs="仿宋_GB2312"/>
          <w:b w:val="0"/>
          <w:bCs w:val="0"/>
          <w:color w:val="auto"/>
          <w:highlight w:val="none"/>
        </w:rPr>
        <w:t>般公共预算财政拨款基本支出决算表</w:t>
      </w:r>
      <w:bookmarkEnd w:id="97"/>
      <w:bookmarkEnd w:id="98"/>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99" w:name="_Toc24077"/>
      <w:bookmarkStart w:id="100" w:name="_Toc15396627"/>
      <w:r>
        <w:rPr>
          <w:rStyle w:val="23"/>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23"/>
          <w:rFonts w:hint="eastAsia" w:ascii="仿宋_GB2312" w:hAnsi="仿宋_GB2312" w:eastAsia="仿宋_GB2312" w:cs="仿宋_GB2312"/>
          <w:b w:val="0"/>
          <w:bCs w:val="0"/>
          <w:color w:val="auto"/>
          <w:highlight w:val="none"/>
        </w:rPr>
        <w:t>般公共预算财政拨款项目支出决算表</w:t>
      </w:r>
      <w:bookmarkEnd w:id="99"/>
      <w:bookmarkEnd w:id="100"/>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101" w:name="_Toc15396628"/>
      <w:bookmarkStart w:id="102" w:name="_Toc668"/>
      <w:r>
        <w:rPr>
          <w:rStyle w:val="23"/>
          <w:rFonts w:hint="eastAsia" w:ascii="仿宋_GB2312" w:hAnsi="仿宋_GB2312" w:eastAsia="仿宋_GB2312" w:cs="仿宋_GB2312"/>
          <w:b w:val="0"/>
          <w:bCs w:val="0"/>
          <w:color w:val="auto"/>
          <w:highlight w:val="none"/>
        </w:rPr>
        <w:t>十、</w:t>
      </w:r>
      <w:bookmarkEnd w:id="101"/>
      <w:r>
        <w:rPr>
          <w:rFonts w:hint="eastAsia" w:ascii="仿宋_GB2312" w:hAnsi="仿宋_GB2312" w:eastAsia="仿宋_GB2312" w:cs="仿宋_GB2312"/>
          <w:b w:val="0"/>
          <w:color w:val="auto"/>
          <w:highlight w:val="none"/>
        </w:rPr>
        <w:t>政</w:t>
      </w:r>
      <w:r>
        <w:rPr>
          <w:rStyle w:val="23"/>
          <w:rFonts w:hint="eastAsia" w:ascii="仿宋_GB2312" w:hAnsi="仿宋_GB2312" w:eastAsia="仿宋_GB2312" w:cs="仿宋_GB2312"/>
          <w:b w:val="0"/>
          <w:bCs w:val="0"/>
          <w:color w:val="auto"/>
          <w:highlight w:val="none"/>
        </w:rPr>
        <w:t>府性基金预算财政拨款收入支出决算表</w:t>
      </w:r>
      <w:bookmarkEnd w:id="102"/>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103" w:name="_Toc15396629"/>
      <w:bookmarkStart w:id="104" w:name="_Toc9925"/>
      <w:r>
        <w:rPr>
          <w:rStyle w:val="23"/>
          <w:rFonts w:hint="eastAsia" w:ascii="仿宋_GB2312" w:hAnsi="仿宋_GB2312" w:eastAsia="仿宋_GB2312" w:cs="仿宋_GB2312"/>
          <w:b w:val="0"/>
          <w:bCs w:val="0"/>
          <w:color w:val="auto"/>
          <w:highlight w:val="none"/>
        </w:rPr>
        <w:t>十一、</w:t>
      </w:r>
      <w:bookmarkEnd w:id="103"/>
      <w:r>
        <w:rPr>
          <w:rFonts w:hint="eastAsia" w:ascii="仿宋_GB2312" w:hAnsi="仿宋_GB2312" w:eastAsia="仿宋_GB2312" w:cs="仿宋_GB2312"/>
          <w:b w:val="0"/>
          <w:color w:val="auto"/>
          <w:highlight w:val="none"/>
        </w:rPr>
        <w:t>国</w:t>
      </w:r>
      <w:r>
        <w:rPr>
          <w:rStyle w:val="23"/>
          <w:rFonts w:hint="eastAsia" w:ascii="仿宋_GB2312" w:hAnsi="仿宋_GB2312" w:eastAsia="仿宋_GB2312" w:cs="仿宋_GB2312"/>
          <w:b w:val="0"/>
          <w:bCs w:val="0"/>
          <w:color w:val="auto"/>
          <w:highlight w:val="none"/>
        </w:rPr>
        <w:t>有资本经营预算</w:t>
      </w:r>
      <w:r>
        <w:rPr>
          <w:rStyle w:val="23"/>
          <w:rFonts w:hint="eastAsia" w:ascii="仿宋_GB2312" w:hAnsi="仿宋_GB2312" w:eastAsia="仿宋_GB2312" w:cs="仿宋_GB2312"/>
          <w:b w:val="0"/>
          <w:bCs w:val="0"/>
          <w:color w:val="auto"/>
          <w:highlight w:val="none"/>
          <w:lang w:eastAsia="zh-CN"/>
        </w:rPr>
        <w:t>财政拨款收入</w:t>
      </w:r>
      <w:r>
        <w:rPr>
          <w:rStyle w:val="23"/>
          <w:rFonts w:hint="eastAsia" w:ascii="仿宋_GB2312" w:hAnsi="仿宋_GB2312" w:eastAsia="仿宋_GB2312" w:cs="仿宋_GB2312"/>
          <w:b w:val="0"/>
          <w:bCs w:val="0"/>
          <w:color w:val="auto"/>
          <w:highlight w:val="none"/>
        </w:rPr>
        <w:t>支出决算表</w:t>
      </w:r>
      <w:bookmarkEnd w:id="104"/>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rPr>
      </w:pPr>
      <w:bookmarkStart w:id="105" w:name="_Toc15396630"/>
      <w:bookmarkStart w:id="106" w:name="_Toc22396"/>
      <w:r>
        <w:rPr>
          <w:rStyle w:val="23"/>
          <w:rFonts w:hint="eastAsia" w:ascii="仿宋_GB2312" w:hAnsi="仿宋_GB2312" w:eastAsia="仿宋_GB2312" w:cs="仿宋_GB2312"/>
          <w:b w:val="0"/>
          <w:bCs w:val="0"/>
          <w:color w:val="auto"/>
          <w:highlight w:val="none"/>
        </w:rPr>
        <w:t>十二、</w:t>
      </w:r>
      <w:bookmarkEnd w:id="105"/>
      <w:r>
        <w:rPr>
          <w:rStyle w:val="23"/>
          <w:rFonts w:hint="eastAsia" w:ascii="仿宋_GB2312" w:hAnsi="仿宋_GB2312" w:eastAsia="仿宋_GB2312" w:cs="仿宋_GB2312"/>
          <w:b w:val="0"/>
          <w:bCs w:val="0"/>
          <w:color w:val="auto"/>
          <w:highlight w:val="none"/>
          <w:lang w:eastAsia="zh-CN"/>
        </w:rPr>
        <w:t>国有资本经营预算财政拨款支出决算表</w:t>
      </w:r>
      <w:bookmarkEnd w:id="106"/>
    </w:p>
    <w:p>
      <w:pPr>
        <w:pStyle w:val="4"/>
        <w:keepNext/>
        <w:keepLines/>
        <w:pageBreakBefore w:val="0"/>
        <w:widowControl w:val="0"/>
        <w:shd w:val="clear"/>
        <w:kinsoku/>
        <w:wordWrap/>
        <w:overflowPunct/>
        <w:topLinePunct w:val="0"/>
        <w:autoSpaceDE/>
        <w:autoSpaceDN/>
        <w:bidi w:val="0"/>
        <w:adjustRightInd/>
        <w:snapToGrid/>
        <w:spacing w:before="0" w:after="0" w:line="576" w:lineRule="exact"/>
        <w:ind w:left="0" w:leftChars="0" w:right="0" w:firstLine="640" w:firstLineChars="200"/>
        <w:jc w:val="both"/>
        <w:textAlignment w:val="auto"/>
        <w:rPr>
          <w:rFonts w:hint="eastAsia" w:ascii="仿宋_GB2312" w:hAnsi="仿宋_GB2312" w:eastAsia="仿宋_GB2312" w:cs="仿宋_GB2312"/>
          <w:color w:val="auto"/>
          <w:highlight w:val="none"/>
          <w:lang w:eastAsia="zh-CN"/>
        </w:rPr>
      </w:pPr>
      <w:bookmarkStart w:id="107" w:name="_Toc15396631"/>
      <w:bookmarkStart w:id="108" w:name="_Toc13747"/>
      <w:r>
        <w:rPr>
          <w:rStyle w:val="23"/>
          <w:rFonts w:hint="eastAsia" w:ascii="仿宋_GB2312" w:hAnsi="仿宋_GB2312" w:eastAsia="仿宋_GB2312" w:cs="仿宋_GB2312"/>
          <w:b w:val="0"/>
          <w:bCs w:val="0"/>
          <w:color w:val="auto"/>
          <w:highlight w:val="none"/>
        </w:rPr>
        <w:t>十三、</w:t>
      </w:r>
      <w:bookmarkEnd w:id="107"/>
      <w:r>
        <w:rPr>
          <w:rStyle w:val="23"/>
          <w:rFonts w:hint="eastAsia" w:ascii="仿宋_GB2312" w:hAnsi="仿宋_GB2312" w:eastAsia="仿宋_GB2312" w:cs="仿宋_GB2312"/>
          <w:b w:val="0"/>
          <w:bCs w:val="0"/>
          <w:color w:val="auto"/>
          <w:highlight w:val="none"/>
          <w:lang w:eastAsia="zh-CN"/>
        </w:rPr>
        <w:t>财政拨款“三公”经费支出决算表</w:t>
      </w:r>
      <w:bookmarkEnd w:id="108"/>
    </w:p>
    <w:sectPr>
      <w:footerReference r:id="rId4" w:type="first"/>
      <w:footerReference r:id="rId3" w:type="default"/>
      <w:pgSz w:w="11906" w:h="16838"/>
      <w:pgMar w:top="2098" w:right="1474" w:bottom="1984" w:left="1587" w:header="851" w:footer="992" w:gutter="0"/>
      <w:pgNumType w:fmt="decimal"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_GBK">
    <w:panose1 w:val="02000000000000000000"/>
    <w:charset w:val="86"/>
    <w:family w:val="script"/>
    <w:pitch w:val="default"/>
    <w:sig w:usb0="00000001" w:usb1="08000000" w:usb2="00000000" w:usb3="00000000" w:csb0="00040000" w:csb1="00000000"/>
  </w:font>
  <w:font w:name="微软雅黑">
    <w:altName w:val="黑体"/>
    <w:panose1 w:val="020B0503020204020204"/>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Wingdings 2">
    <w:panose1 w:val="05020102010507070707"/>
    <w:charset w:val="00"/>
    <w:family w:val="auto"/>
    <w:pitch w:val="default"/>
    <w:sig w:usb0="00000000" w:usb1="00000000" w:usb2="00000000" w:usb3="00000000" w:csb0="80000000" w:csb1="00000000"/>
  </w:font>
  <w:font w:name="Comic Sans MS">
    <w:panose1 w:val="030F0702030302020204"/>
    <w:charset w:val="00"/>
    <w:family w:val="auto"/>
    <w:pitch w:val="default"/>
    <w:sig w:usb0="00000287" w:usb1="00000000" w:usb2="00000000" w:usb3="00000000" w:csb0="2000009F" w:csb1="00000000"/>
  </w:font>
  <w:font w:name="Lucida Sans">
    <w:panose1 w:val="020B0602030504020204"/>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90BEB7"/>
    <w:multiLevelType w:val="singleLevel"/>
    <w:tmpl w:val="8C90BEB7"/>
    <w:lvl w:ilvl="0" w:tentative="0">
      <w:start w:val="2"/>
      <w:numFmt w:val="decimal"/>
      <w:lvlText w:val="%1."/>
      <w:lvlJc w:val="left"/>
      <w:pPr>
        <w:tabs>
          <w:tab w:val="left" w:pos="312"/>
        </w:tabs>
      </w:pPr>
    </w:lvl>
  </w:abstractNum>
  <w:abstractNum w:abstractNumId="1">
    <w:nsid w:val="96A938B3"/>
    <w:multiLevelType w:val="singleLevel"/>
    <w:tmpl w:val="96A938B3"/>
    <w:lvl w:ilvl="0" w:tentative="0">
      <w:start w:val="2"/>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27F1F16E"/>
    <w:multiLevelType w:val="singleLevel"/>
    <w:tmpl w:val="27F1F16E"/>
    <w:lvl w:ilvl="0" w:tentative="0">
      <w:start w:val="3"/>
      <w:numFmt w:val="chineseCounting"/>
      <w:suff w:val="nothing"/>
      <w:lvlText w:val="（%1）"/>
      <w:lvlJc w:val="left"/>
      <w:rPr>
        <w:rFonts w:hint="eastAsia"/>
      </w:rPr>
    </w:lvl>
  </w:abstractNum>
  <w:abstractNum w:abstractNumId="4">
    <w:nsid w:val="791FB83A"/>
    <w:multiLevelType w:val="singleLevel"/>
    <w:tmpl w:val="791FB83A"/>
    <w:lvl w:ilvl="0" w:tentative="0">
      <w:start w:val="1"/>
      <w:numFmt w:val="decimal"/>
      <w:suff w:val="nothing"/>
      <w:lvlText w:val="%1．"/>
      <w:lvlJc w:val="left"/>
      <w:pPr>
        <w:ind w:left="20" w:firstLine="400"/>
      </w:pPr>
      <w:rPr>
        <w:rFont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1ZWZiMGQ3NTg1YmJjMGY1MmZlMmYwNjQ0Nzk3NTMifQ=="/>
  </w:docVars>
  <w:rsids>
    <w:rsidRoot w:val="00F1361C"/>
    <w:rsid w:val="000222C6"/>
    <w:rsid w:val="0002549F"/>
    <w:rsid w:val="000371CA"/>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9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05C77"/>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5E1E"/>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C2953"/>
    <w:rsid w:val="012E0E67"/>
    <w:rsid w:val="015975B8"/>
    <w:rsid w:val="016B6FCE"/>
    <w:rsid w:val="017908B3"/>
    <w:rsid w:val="019B651B"/>
    <w:rsid w:val="02072A78"/>
    <w:rsid w:val="02143E91"/>
    <w:rsid w:val="027068C8"/>
    <w:rsid w:val="028D7421"/>
    <w:rsid w:val="02CB619B"/>
    <w:rsid w:val="02F2666D"/>
    <w:rsid w:val="0341645D"/>
    <w:rsid w:val="038D51FF"/>
    <w:rsid w:val="03C5162B"/>
    <w:rsid w:val="03FB03BA"/>
    <w:rsid w:val="04194CE4"/>
    <w:rsid w:val="045F2914"/>
    <w:rsid w:val="0486237A"/>
    <w:rsid w:val="048B3A49"/>
    <w:rsid w:val="04A5155D"/>
    <w:rsid w:val="04CB2483"/>
    <w:rsid w:val="05037275"/>
    <w:rsid w:val="051F6688"/>
    <w:rsid w:val="054933A7"/>
    <w:rsid w:val="054F58B7"/>
    <w:rsid w:val="05883ED0"/>
    <w:rsid w:val="05EF03F3"/>
    <w:rsid w:val="061633C9"/>
    <w:rsid w:val="064D59E4"/>
    <w:rsid w:val="066E0107"/>
    <w:rsid w:val="066E1317"/>
    <w:rsid w:val="067508F8"/>
    <w:rsid w:val="06F35CC1"/>
    <w:rsid w:val="072A1B9B"/>
    <w:rsid w:val="074F4C03"/>
    <w:rsid w:val="07996F6E"/>
    <w:rsid w:val="07B9513E"/>
    <w:rsid w:val="07D63264"/>
    <w:rsid w:val="07F817E1"/>
    <w:rsid w:val="080812F8"/>
    <w:rsid w:val="08812254"/>
    <w:rsid w:val="08AD1803"/>
    <w:rsid w:val="08BE627A"/>
    <w:rsid w:val="08D23AAF"/>
    <w:rsid w:val="09216B15"/>
    <w:rsid w:val="09220301"/>
    <w:rsid w:val="093B55D8"/>
    <w:rsid w:val="094E7C4E"/>
    <w:rsid w:val="095D7721"/>
    <w:rsid w:val="09615163"/>
    <w:rsid w:val="099A2423"/>
    <w:rsid w:val="09CB4CD3"/>
    <w:rsid w:val="0A0D52EB"/>
    <w:rsid w:val="0A2032A3"/>
    <w:rsid w:val="0A2C5771"/>
    <w:rsid w:val="0A5D1DCF"/>
    <w:rsid w:val="0A943317"/>
    <w:rsid w:val="0A9D21CB"/>
    <w:rsid w:val="0ADA51CD"/>
    <w:rsid w:val="0AF344E1"/>
    <w:rsid w:val="0B202ED3"/>
    <w:rsid w:val="0B61144B"/>
    <w:rsid w:val="0B7A69B0"/>
    <w:rsid w:val="0B813C4B"/>
    <w:rsid w:val="0B923CFA"/>
    <w:rsid w:val="0BAA10DF"/>
    <w:rsid w:val="0BFA6E8A"/>
    <w:rsid w:val="0C0676B5"/>
    <w:rsid w:val="0C450D6C"/>
    <w:rsid w:val="0D0227BA"/>
    <w:rsid w:val="0D1129FD"/>
    <w:rsid w:val="0DDA7292"/>
    <w:rsid w:val="0DFA7935"/>
    <w:rsid w:val="0E1C78AB"/>
    <w:rsid w:val="0E9D1C3F"/>
    <w:rsid w:val="0EAF3BDB"/>
    <w:rsid w:val="0ECE0E49"/>
    <w:rsid w:val="0EDD1282"/>
    <w:rsid w:val="0F98263C"/>
    <w:rsid w:val="0FEB540B"/>
    <w:rsid w:val="100E17C5"/>
    <w:rsid w:val="101860EC"/>
    <w:rsid w:val="10246EEB"/>
    <w:rsid w:val="10284C2D"/>
    <w:rsid w:val="104110BE"/>
    <w:rsid w:val="108F5D13"/>
    <w:rsid w:val="10AD6463"/>
    <w:rsid w:val="10C055FF"/>
    <w:rsid w:val="11531836"/>
    <w:rsid w:val="118107EC"/>
    <w:rsid w:val="11BD75F7"/>
    <w:rsid w:val="11C646FD"/>
    <w:rsid w:val="11F306BE"/>
    <w:rsid w:val="11FD5C45"/>
    <w:rsid w:val="12335430"/>
    <w:rsid w:val="123C0897"/>
    <w:rsid w:val="12696E37"/>
    <w:rsid w:val="129427F1"/>
    <w:rsid w:val="12A367ED"/>
    <w:rsid w:val="12A52565"/>
    <w:rsid w:val="12EA69DD"/>
    <w:rsid w:val="12FE511D"/>
    <w:rsid w:val="13A51976"/>
    <w:rsid w:val="13C24A51"/>
    <w:rsid w:val="13C56DD1"/>
    <w:rsid w:val="13D43D02"/>
    <w:rsid w:val="13D50BC4"/>
    <w:rsid w:val="14305E5E"/>
    <w:rsid w:val="14373691"/>
    <w:rsid w:val="144813FA"/>
    <w:rsid w:val="144C79BF"/>
    <w:rsid w:val="147A1C07"/>
    <w:rsid w:val="14975EDD"/>
    <w:rsid w:val="14D75E2F"/>
    <w:rsid w:val="15363948"/>
    <w:rsid w:val="153951E6"/>
    <w:rsid w:val="1548435F"/>
    <w:rsid w:val="156F29B6"/>
    <w:rsid w:val="15F17635"/>
    <w:rsid w:val="16353AA0"/>
    <w:rsid w:val="1647732A"/>
    <w:rsid w:val="164E081E"/>
    <w:rsid w:val="166B13D0"/>
    <w:rsid w:val="16BB723D"/>
    <w:rsid w:val="16E3540A"/>
    <w:rsid w:val="16F21AF1"/>
    <w:rsid w:val="17606A5A"/>
    <w:rsid w:val="17A70B2D"/>
    <w:rsid w:val="17C84600"/>
    <w:rsid w:val="17CD1C16"/>
    <w:rsid w:val="17EC4792"/>
    <w:rsid w:val="17F04282"/>
    <w:rsid w:val="181066D2"/>
    <w:rsid w:val="181141F9"/>
    <w:rsid w:val="18520C2A"/>
    <w:rsid w:val="186E51A7"/>
    <w:rsid w:val="188D19A7"/>
    <w:rsid w:val="189C7F66"/>
    <w:rsid w:val="19322678"/>
    <w:rsid w:val="19344C26"/>
    <w:rsid w:val="19490C01"/>
    <w:rsid w:val="198A0064"/>
    <w:rsid w:val="19D84FCE"/>
    <w:rsid w:val="19D90D46"/>
    <w:rsid w:val="19FB6CFE"/>
    <w:rsid w:val="1A310D0E"/>
    <w:rsid w:val="1ADD6614"/>
    <w:rsid w:val="1AF51BB0"/>
    <w:rsid w:val="1B0224A6"/>
    <w:rsid w:val="1B0B13D3"/>
    <w:rsid w:val="1B446693"/>
    <w:rsid w:val="1B903686"/>
    <w:rsid w:val="1BD34424"/>
    <w:rsid w:val="1BDA6A19"/>
    <w:rsid w:val="1BE8440E"/>
    <w:rsid w:val="1BF9122C"/>
    <w:rsid w:val="1C166281"/>
    <w:rsid w:val="1C240397"/>
    <w:rsid w:val="1C4E680E"/>
    <w:rsid w:val="1C726E97"/>
    <w:rsid w:val="1C745B2B"/>
    <w:rsid w:val="1C7B4336"/>
    <w:rsid w:val="1C890A8C"/>
    <w:rsid w:val="1C896A53"/>
    <w:rsid w:val="1CC01D49"/>
    <w:rsid w:val="1CC161ED"/>
    <w:rsid w:val="1CD821DA"/>
    <w:rsid w:val="1CF245F9"/>
    <w:rsid w:val="1D04257E"/>
    <w:rsid w:val="1D1327C1"/>
    <w:rsid w:val="1D155CEE"/>
    <w:rsid w:val="1D463F26"/>
    <w:rsid w:val="1D7E40DE"/>
    <w:rsid w:val="1DA376A1"/>
    <w:rsid w:val="1DC1221D"/>
    <w:rsid w:val="1E1C7453"/>
    <w:rsid w:val="1E234C86"/>
    <w:rsid w:val="1E441C79"/>
    <w:rsid w:val="1E8E1A9F"/>
    <w:rsid w:val="1E91399D"/>
    <w:rsid w:val="1EAE2463"/>
    <w:rsid w:val="1EBB2ACE"/>
    <w:rsid w:val="1EE65EE3"/>
    <w:rsid w:val="1F954F59"/>
    <w:rsid w:val="1FB2006F"/>
    <w:rsid w:val="1FC876F0"/>
    <w:rsid w:val="1FCA74DA"/>
    <w:rsid w:val="1FF35744"/>
    <w:rsid w:val="20325A09"/>
    <w:rsid w:val="20564E9E"/>
    <w:rsid w:val="20566C4C"/>
    <w:rsid w:val="205C5A73"/>
    <w:rsid w:val="206C2914"/>
    <w:rsid w:val="20B316DE"/>
    <w:rsid w:val="20BB73F7"/>
    <w:rsid w:val="21350C35"/>
    <w:rsid w:val="213845A4"/>
    <w:rsid w:val="2180661A"/>
    <w:rsid w:val="21937A2C"/>
    <w:rsid w:val="21AB746C"/>
    <w:rsid w:val="21D73DBD"/>
    <w:rsid w:val="21DA1AFF"/>
    <w:rsid w:val="21DE15EF"/>
    <w:rsid w:val="22097CEF"/>
    <w:rsid w:val="221D0DBA"/>
    <w:rsid w:val="224F7DF7"/>
    <w:rsid w:val="22AE0442"/>
    <w:rsid w:val="22B45EAC"/>
    <w:rsid w:val="230C3F3A"/>
    <w:rsid w:val="23362D65"/>
    <w:rsid w:val="234D3B4C"/>
    <w:rsid w:val="2384170E"/>
    <w:rsid w:val="23860B96"/>
    <w:rsid w:val="23906919"/>
    <w:rsid w:val="239F6B5C"/>
    <w:rsid w:val="23C40371"/>
    <w:rsid w:val="23C967FE"/>
    <w:rsid w:val="23F9517F"/>
    <w:rsid w:val="23FA0237"/>
    <w:rsid w:val="240371BF"/>
    <w:rsid w:val="24443260"/>
    <w:rsid w:val="24480FA2"/>
    <w:rsid w:val="244F2331"/>
    <w:rsid w:val="246833F2"/>
    <w:rsid w:val="247A182C"/>
    <w:rsid w:val="2480698E"/>
    <w:rsid w:val="24A32186"/>
    <w:rsid w:val="24B1461E"/>
    <w:rsid w:val="24C36326"/>
    <w:rsid w:val="24EA3E07"/>
    <w:rsid w:val="25050C41"/>
    <w:rsid w:val="25592D3B"/>
    <w:rsid w:val="25714529"/>
    <w:rsid w:val="259B1A98"/>
    <w:rsid w:val="25D950F1"/>
    <w:rsid w:val="266B3D09"/>
    <w:rsid w:val="26B00924"/>
    <w:rsid w:val="26C26CF7"/>
    <w:rsid w:val="27421CD9"/>
    <w:rsid w:val="27547C5E"/>
    <w:rsid w:val="27802801"/>
    <w:rsid w:val="27C538EF"/>
    <w:rsid w:val="28041684"/>
    <w:rsid w:val="284B2D09"/>
    <w:rsid w:val="287265EE"/>
    <w:rsid w:val="28F263D7"/>
    <w:rsid w:val="2967011C"/>
    <w:rsid w:val="29842A7C"/>
    <w:rsid w:val="298B0594"/>
    <w:rsid w:val="29AF561F"/>
    <w:rsid w:val="29ED20D0"/>
    <w:rsid w:val="29FD04D3"/>
    <w:rsid w:val="2A1829E9"/>
    <w:rsid w:val="2A344EF2"/>
    <w:rsid w:val="2A6B01DE"/>
    <w:rsid w:val="2A7E3970"/>
    <w:rsid w:val="2A861DB1"/>
    <w:rsid w:val="2A8D5961"/>
    <w:rsid w:val="2A9F295E"/>
    <w:rsid w:val="2AB0456A"/>
    <w:rsid w:val="2AB54EB7"/>
    <w:rsid w:val="2AD215C5"/>
    <w:rsid w:val="2AFA603F"/>
    <w:rsid w:val="2B1B1E80"/>
    <w:rsid w:val="2B404781"/>
    <w:rsid w:val="2B824D9A"/>
    <w:rsid w:val="2B84501D"/>
    <w:rsid w:val="2C057779"/>
    <w:rsid w:val="2C484235"/>
    <w:rsid w:val="2C8A61B5"/>
    <w:rsid w:val="2C994A91"/>
    <w:rsid w:val="2CC31B0E"/>
    <w:rsid w:val="2CDF7FCA"/>
    <w:rsid w:val="2D083817"/>
    <w:rsid w:val="2D1E4F96"/>
    <w:rsid w:val="2D3D4257"/>
    <w:rsid w:val="2D6659A1"/>
    <w:rsid w:val="2DA07759"/>
    <w:rsid w:val="2DAC37B8"/>
    <w:rsid w:val="2DAC4B1E"/>
    <w:rsid w:val="2DD95052"/>
    <w:rsid w:val="2DF04E50"/>
    <w:rsid w:val="2E154931"/>
    <w:rsid w:val="2E17648F"/>
    <w:rsid w:val="2E2F0BED"/>
    <w:rsid w:val="2EFA3161"/>
    <w:rsid w:val="2F040D46"/>
    <w:rsid w:val="2F1C72B3"/>
    <w:rsid w:val="2F2B74F6"/>
    <w:rsid w:val="2F326AD7"/>
    <w:rsid w:val="2F757C4D"/>
    <w:rsid w:val="2F9F5104"/>
    <w:rsid w:val="2FB83480"/>
    <w:rsid w:val="2FBB2F70"/>
    <w:rsid w:val="2FC06745"/>
    <w:rsid w:val="2FE75B13"/>
    <w:rsid w:val="2FFD32A3"/>
    <w:rsid w:val="302F23F1"/>
    <w:rsid w:val="30474804"/>
    <w:rsid w:val="305746FB"/>
    <w:rsid w:val="306D4B10"/>
    <w:rsid w:val="309A4933"/>
    <w:rsid w:val="30B71989"/>
    <w:rsid w:val="30C23E8A"/>
    <w:rsid w:val="30EE4C7F"/>
    <w:rsid w:val="310258EB"/>
    <w:rsid w:val="3103739A"/>
    <w:rsid w:val="31631A8B"/>
    <w:rsid w:val="31921AAF"/>
    <w:rsid w:val="319F7F4E"/>
    <w:rsid w:val="31D10829"/>
    <w:rsid w:val="31D976DD"/>
    <w:rsid w:val="31EB0DC6"/>
    <w:rsid w:val="31F42A83"/>
    <w:rsid w:val="31FC5965"/>
    <w:rsid w:val="32A9493D"/>
    <w:rsid w:val="32E7038D"/>
    <w:rsid w:val="32F3178E"/>
    <w:rsid w:val="32F347CF"/>
    <w:rsid w:val="32F80037"/>
    <w:rsid w:val="3304709D"/>
    <w:rsid w:val="331F3816"/>
    <w:rsid w:val="332901F1"/>
    <w:rsid w:val="333170A5"/>
    <w:rsid w:val="33380434"/>
    <w:rsid w:val="33462B51"/>
    <w:rsid w:val="335334BF"/>
    <w:rsid w:val="339C6563"/>
    <w:rsid w:val="33D60378"/>
    <w:rsid w:val="33DC16B1"/>
    <w:rsid w:val="34572C80"/>
    <w:rsid w:val="346F60D7"/>
    <w:rsid w:val="34CF3FF7"/>
    <w:rsid w:val="34D4418C"/>
    <w:rsid w:val="34FA11AB"/>
    <w:rsid w:val="35011425"/>
    <w:rsid w:val="35044A71"/>
    <w:rsid w:val="35156C7E"/>
    <w:rsid w:val="352168DB"/>
    <w:rsid w:val="35616327"/>
    <w:rsid w:val="35980A74"/>
    <w:rsid w:val="35A3428A"/>
    <w:rsid w:val="35C46889"/>
    <w:rsid w:val="35C51E40"/>
    <w:rsid w:val="35C81F43"/>
    <w:rsid w:val="35D8123B"/>
    <w:rsid w:val="35E82082"/>
    <w:rsid w:val="35FA5E74"/>
    <w:rsid w:val="35FB40C6"/>
    <w:rsid w:val="3630468E"/>
    <w:rsid w:val="36341894"/>
    <w:rsid w:val="366C0B20"/>
    <w:rsid w:val="36AA33F6"/>
    <w:rsid w:val="36AA5135"/>
    <w:rsid w:val="36AA5AEC"/>
    <w:rsid w:val="36BF1BB3"/>
    <w:rsid w:val="36C070BE"/>
    <w:rsid w:val="36D2322F"/>
    <w:rsid w:val="370E607B"/>
    <w:rsid w:val="375717D0"/>
    <w:rsid w:val="37623CD1"/>
    <w:rsid w:val="37634043"/>
    <w:rsid w:val="37656303"/>
    <w:rsid w:val="376D39B2"/>
    <w:rsid w:val="379876F3"/>
    <w:rsid w:val="37C25085"/>
    <w:rsid w:val="37CF154C"/>
    <w:rsid w:val="37DF63B2"/>
    <w:rsid w:val="37E16F03"/>
    <w:rsid w:val="38531B11"/>
    <w:rsid w:val="38A00F55"/>
    <w:rsid w:val="38A071A7"/>
    <w:rsid w:val="38B84243"/>
    <w:rsid w:val="38C2634A"/>
    <w:rsid w:val="38C636BC"/>
    <w:rsid w:val="38C94037"/>
    <w:rsid w:val="38D469F0"/>
    <w:rsid w:val="38FE7A29"/>
    <w:rsid w:val="39317DFF"/>
    <w:rsid w:val="393A4F06"/>
    <w:rsid w:val="399C796E"/>
    <w:rsid w:val="39A35DC8"/>
    <w:rsid w:val="39C112FD"/>
    <w:rsid w:val="3AA27206"/>
    <w:rsid w:val="3AC52930"/>
    <w:rsid w:val="3ADB2718"/>
    <w:rsid w:val="3B267DF9"/>
    <w:rsid w:val="3B3836C7"/>
    <w:rsid w:val="3B6C15C2"/>
    <w:rsid w:val="3B6F5C66"/>
    <w:rsid w:val="3B7C147E"/>
    <w:rsid w:val="3B8B38BD"/>
    <w:rsid w:val="3BBD2212"/>
    <w:rsid w:val="3BDF5AF0"/>
    <w:rsid w:val="3BE4741F"/>
    <w:rsid w:val="3BF13876"/>
    <w:rsid w:val="3C5C1637"/>
    <w:rsid w:val="3C8B3CCA"/>
    <w:rsid w:val="3C8F6594"/>
    <w:rsid w:val="3D0025DB"/>
    <w:rsid w:val="3D0A2E41"/>
    <w:rsid w:val="3D5567B2"/>
    <w:rsid w:val="3D98207C"/>
    <w:rsid w:val="3D995F73"/>
    <w:rsid w:val="3DCF498A"/>
    <w:rsid w:val="3DDE0AF1"/>
    <w:rsid w:val="3E2D4EAB"/>
    <w:rsid w:val="3E2E2EE1"/>
    <w:rsid w:val="3E575950"/>
    <w:rsid w:val="3E78745D"/>
    <w:rsid w:val="3EA232A1"/>
    <w:rsid w:val="3EB26382"/>
    <w:rsid w:val="3F512FA9"/>
    <w:rsid w:val="3F60554B"/>
    <w:rsid w:val="3F636838"/>
    <w:rsid w:val="3F7C276E"/>
    <w:rsid w:val="3FB53A23"/>
    <w:rsid w:val="3FE22DD1"/>
    <w:rsid w:val="40154078"/>
    <w:rsid w:val="402D7572"/>
    <w:rsid w:val="403F773E"/>
    <w:rsid w:val="40416B7A"/>
    <w:rsid w:val="405E0B0B"/>
    <w:rsid w:val="4061546E"/>
    <w:rsid w:val="40953369"/>
    <w:rsid w:val="40C31C84"/>
    <w:rsid w:val="41265D6F"/>
    <w:rsid w:val="412C5A7C"/>
    <w:rsid w:val="416E7CC2"/>
    <w:rsid w:val="41872CB2"/>
    <w:rsid w:val="41900068"/>
    <w:rsid w:val="41A73354"/>
    <w:rsid w:val="41C952EA"/>
    <w:rsid w:val="41DB2FFE"/>
    <w:rsid w:val="425D1C65"/>
    <w:rsid w:val="42A653BA"/>
    <w:rsid w:val="42A87384"/>
    <w:rsid w:val="43AF2554"/>
    <w:rsid w:val="43CF573E"/>
    <w:rsid w:val="44000AFA"/>
    <w:rsid w:val="440968EA"/>
    <w:rsid w:val="441C6A36"/>
    <w:rsid w:val="44623562"/>
    <w:rsid w:val="44764321"/>
    <w:rsid w:val="448434D9"/>
    <w:rsid w:val="449E3A0B"/>
    <w:rsid w:val="44E126BB"/>
    <w:rsid w:val="44E268DA"/>
    <w:rsid w:val="45046985"/>
    <w:rsid w:val="45230610"/>
    <w:rsid w:val="456262D3"/>
    <w:rsid w:val="46534EF0"/>
    <w:rsid w:val="466C0F48"/>
    <w:rsid w:val="46712183"/>
    <w:rsid w:val="46870F1C"/>
    <w:rsid w:val="469D4D26"/>
    <w:rsid w:val="46C2744B"/>
    <w:rsid w:val="46E543AC"/>
    <w:rsid w:val="46F81F5C"/>
    <w:rsid w:val="472D60AA"/>
    <w:rsid w:val="47356D0C"/>
    <w:rsid w:val="473A4323"/>
    <w:rsid w:val="474A6C5C"/>
    <w:rsid w:val="47B61E19"/>
    <w:rsid w:val="47BE31A6"/>
    <w:rsid w:val="48C03DAA"/>
    <w:rsid w:val="495871F1"/>
    <w:rsid w:val="495F3BD7"/>
    <w:rsid w:val="49AF6C96"/>
    <w:rsid w:val="49BA5907"/>
    <w:rsid w:val="49BD3F99"/>
    <w:rsid w:val="4A0F5F3A"/>
    <w:rsid w:val="4A266DE0"/>
    <w:rsid w:val="4A627F82"/>
    <w:rsid w:val="4A994138"/>
    <w:rsid w:val="4AD373E7"/>
    <w:rsid w:val="4ADE4831"/>
    <w:rsid w:val="4AFB026D"/>
    <w:rsid w:val="4B0E749A"/>
    <w:rsid w:val="4B4F25DA"/>
    <w:rsid w:val="4B9E2A0A"/>
    <w:rsid w:val="4BD05255"/>
    <w:rsid w:val="4BD202F5"/>
    <w:rsid w:val="4BE068DB"/>
    <w:rsid w:val="4BE551A5"/>
    <w:rsid w:val="4BE937DC"/>
    <w:rsid w:val="4C0340EA"/>
    <w:rsid w:val="4C2E7EFA"/>
    <w:rsid w:val="4C621B1B"/>
    <w:rsid w:val="4C92075D"/>
    <w:rsid w:val="4CAC181F"/>
    <w:rsid w:val="4CD12DC0"/>
    <w:rsid w:val="4CDB2104"/>
    <w:rsid w:val="4CF65190"/>
    <w:rsid w:val="4D16313C"/>
    <w:rsid w:val="4D473951"/>
    <w:rsid w:val="4D577224"/>
    <w:rsid w:val="4D956757"/>
    <w:rsid w:val="4DFC53E1"/>
    <w:rsid w:val="4E1B457E"/>
    <w:rsid w:val="4E3A10AC"/>
    <w:rsid w:val="4E9B5FEF"/>
    <w:rsid w:val="4EAB630A"/>
    <w:rsid w:val="4ECD3FEB"/>
    <w:rsid w:val="4ECE2238"/>
    <w:rsid w:val="4EE03FEA"/>
    <w:rsid w:val="4F35399B"/>
    <w:rsid w:val="4F8413E5"/>
    <w:rsid w:val="4FF79ED9"/>
    <w:rsid w:val="502D2C76"/>
    <w:rsid w:val="502D711A"/>
    <w:rsid w:val="50A53155"/>
    <w:rsid w:val="50C22FA9"/>
    <w:rsid w:val="51106C1D"/>
    <w:rsid w:val="51256043"/>
    <w:rsid w:val="51363DAD"/>
    <w:rsid w:val="513B5867"/>
    <w:rsid w:val="514F14C2"/>
    <w:rsid w:val="515D3A2F"/>
    <w:rsid w:val="51864D34"/>
    <w:rsid w:val="51962A9D"/>
    <w:rsid w:val="51971B18"/>
    <w:rsid w:val="51CB2747"/>
    <w:rsid w:val="51DB16D8"/>
    <w:rsid w:val="524E5126"/>
    <w:rsid w:val="525564B4"/>
    <w:rsid w:val="52595FA5"/>
    <w:rsid w:val="52C37089"/>
    <w:rsid w:val="52CA29FF"/>
    <w:rsid w:val="52DA6B9E"/>
    <w:rsid w:val="52E02222"/>
    <w:rsid w:val="52E8557B"/>
    <w:rsid w:val="52ED0DE3"/>
    <w:rsid w:val="537E6D0A"/>
    <w:rsid w:val="539D0113"/>
    <w:rsid w:val="53FF492A"/>
    <w:rsid w:val="54177EC5"/>
    <w:rsid w:val="54705828"/>
    <w:rsid w:val="549534E0"/>
    <w:rsid w:val="54963F23"/>
    <w:rsid w:val="54C811C0"/>
    <w:rsid w:val="54C94F38"/>
    <w:rsid w:val="54CF69F2"/>
    <w:rsid w:val="54E378CA"/>
    <w:rsid w:val="54E63D3C"/>
    <w:rsid w:val="556F3D31"/>
    <w:rsid w:val="55732C1E"/>
    <w:rsid w:val="558512B9"/>
    <w:rsid w:val="55D122F6"/>
    <w:rsid w:val="55F84B33"/>
    <w:rsid w:val="56576C9F"/>
    <w:rsid w:val="56854BD1"/>
    <w:rsid w:val="568B58AF"/>
    <w:rsid w:val="569A6C3F"/>
    <w:rsid w:val="56C34335"/>
    <w:rsid w:val="56CB5788"/>
    <w:rsid w:val="56DA1598"/>
    <w:rsid w:val="57267038"/>
    <w:rsid w:val="5755554B"/>
    <w:rsid w:val="577473DD"/>
    <w:rsid w:val="577E46FF"/>
    <w:rsid w:val="578C6B60"/>
    <w:rsid w:val="57BD5228"/>
    <w:rsid w:val="57FE1475"/>
    <w:rsid w:val="580E1A42"/>
    <w:rsid w:val="58136BF6"/>
    <w:rsid w:val="584E53E8"/>
    <w:rsid w:val="58690CF6"/>
    <w:rsid w:val="587A1799"/>
    <w:rsid w:val="5889335C"/>
    <w:rsid w:val="58934944"/>
    <w:rsid w:val="58FD4EAD"/>
    <w:rsid w:val="58FF717A"/>
    <w:rsid w:val="592018BA"/>
    <w:rsid w:val="5923730C"/>
    <w:rsid w:val="59402FEC"/>
    <w:rsid w:val="5948028E"/>
    <w:rsid w:val="596C50C9"/>
    <w:rsid w:val="596C588A"/>
    <w:rsid w:val="599B6EA3"/>
    <w:rsid w:val="59AF5B1C"/>
    <w:rsid w:val="5A1D5B0A"/>
    <w:rsid w:val="5A2A0227"/>
    <w:rsid w:val="5A640601"/>
    <w:rsid w:val="5AB75F5E"/>
    <w:rsid w:val="5ABD109B"/>
    <w:rsid w:val="5AF92295"/>
    <w:rsid w:val="5B2555BE"/>
    <w:rsid w:val="5B2829B8"/>
    <w:rsid w:val="5BFD05B6"/>
    <w:rsid w:val="5C0D1BAE"/>
    <w:rsid w:val="5C961BA3"/>
    <w:rsid w:val="5CA00C74"/>
    <w:rsid w:val="5CBB6B3C"/>
    <w:rsid w:val="5CD71FC4"/>
    <w:rsid w:val="5CDB3A5A"/>
    <w:rsid w:val="5D334CB8"/>
    <w:rsid w:val="5D443CF5"/>
    <w:rsid w:val="5D5757D7"/>
    <w:rsid w:val="5DC015CE"/>
    <w:rsid w:val="5E0A0A9B"/>
    <w:rsid w:val="5E3E24F3"/>
    <w:rsid w:val="5E5026A6"/>
    <w:rsid w:val="5E512226"/>
    <w:rsid w:val="5E7303EE"/>
    <w:rsid w:val="5EB56C59"/>
    <w:rsid w:val="5EC7369F"/>
    <w:rsid w:val="5ED76D7A"/>
    <w:rsid w:val="5EF67F8A"/>
    <w:rsid w:val="5F4955F3"/>
    <w:rsid w:val="5F4E6765"/>
    <w:rsid w:val="5F890FEB"/>
    <w:rsid w:val="5FB27D96"/>
    <w:rsid w:val="5FF11F12"/>
    <w:rsid w:val="60002155"/>
    <w:rsid w:val="600734E4"/>
    <w:rsid w:val="600E13A7"/>
    <w:rsid w:val="602A2D2E"/>
    <w:rsid w:val="602F64DA"/>
    <w:rsid w:val="607A288B"/>
    <w:rsid w:val="609D1752"/>
    <w:rsid w:val="60DB671F"/>
    <w:rsid w:val="60DD290C"/>
    <w:rsid w:val="60F33A68"/>
    <w:rsid w:val="60F931BB"/>
    <w:rsid w:val="61314591"/>
    <w:rsid w:val="61761FA3"/>
    <w:rsid w:val="61A92842"/>
    <w:rsid w:val="61B56F70"/>
    <w:rsid w:val="625F03AB"/>
    <w:rsid w:val="628B20AF"/>
    <w:rsid w:val="62AF29BE"/>
    <w:rsid w:val="62D6114B"/>
    <w:rsid w:val="637864A7"/>
    <w:rsid w:val="639130C5"/>
    <w:rsid w:val="63984453"/>
    <w:rsid w:val="63AD43A2"/>
    <w:rsid w:val="63C65464"/>
    <w:rsid w:val="63E15DFA"/>
    <w:rsid w:val="63FE4BFE"/>
    <w:rsid w:val="6417450F"/>
    <w:rsid w:val="648275DD"/>
    <w:rsid w:val="64A01811"/>
    <w:rsid w:val="64EE3533"/>
    <w:rsid w:val="65090AD4"/>
    <w:rsid w:val="652D7E5E"/>
    <w:rsid w:val="653A7EB8"/>
    <w:rsid w:val="653C5B5A"/>
    <w:rsid w:val="65644F35"/>
    <w:rsid w:val="656700ED"/>
    <w:rsid w:val="657038D9"/>
    <w:rsid w:val="658904F7"/>
    <w:rsid w:val="658D3B7E"/>
    <w:rsid w:val="65B55790"/>
    <w:rsid w:val="65C0426A"/>
    <w:rsid w:val="65F20792"/>
    <w:rsid w:val="66021C4C"/>
    <w:rsid w:val="66240220"/>
    <w:rsid w:val="66486604"/>
    <w:rsid w:val="66551C00"/>
    <w:rsid w:val="6661029F"/>
    <w:rsid w:val="66770C98"/>
    <w:rsid w:val="668934B1"/>
    <w:rsid w:val="66D7323E"/>
    <w:rsid w:val="66E75E1D"/>
    <w:rsid w:val="671727D4"/>
    <w:rsid w:val="6736645D"/>
    <w:rsid w:val="674A015A"/>
    <w:rsid w:val="675F3C06"/>
    <w:rsid w:val="67672ABA"/>
    <w:rsid w:val="67C107F4"/>
    <w:rsid w:val="67FB38A3"/>
    <w:rsid w:val="684150B9"/>
    <w:rsid w:val="68992405"/>
    <w:rsid w:val="68B27D65"/>
    <w:rsid w:val="68BF7E67"/>
    <w:rsid w:val="693410C2"/>
    <w:rsid w:val="69407A67"/>
    <w:rsid w:val="697F058F"/>
    <w:rsid w:val="69CC12FA"/>
    <w:rsid w:val="69DA7573"/>
    <w:rsid w:val="69E67B6C"/>
    <w:rsid w:val="6A044C4D"/>
    <w:rsid w:val="6A0960AB"/>
    <w:rsid w:val="6A3C6480"/>
    <w:rsid w:val="6A744327"/>
    <w:rsid w:val="6A8219B9"/>
    <w:rsid w:val="6A9E4A45"/>
    <w:rsid w:val="6AE368FC"/>
    <w:rsid w:val="6AEB3A02"/>
    <w:rsid w:val="6B182A49"/>
    <w:rsid w:val="6B1B7E43"/>
    <w:rsid w:val="6B43383E"/>
    <w:rsid w:val="6B6B029E"/>
    <w:rsid w:val="6B781BDB"/>
    <w:rsid w:val="6C2E4FFA"/>
    <w:rsid w:val="6C3670F4"/>
    <w:rsid w:val="6C4A05C8"/>
    <w:rsid w:val="6C4C4378"/>
    <w:rsid w:val="6C535E80"/>
    <w:rsid w:val="6C81017A"/>
    <w:rsid w:val="6C8B4EC8"/>
    <w:rsid w:val="6C9F2CF6"/>
    <w:rsid w:val="6CAB169B"/>
    <w:rsid w:val="6CC62031"/>
    <w:rsid w:val="6CDE737B"/>
    <w:rsid w:val="6D21195D"/>
    <w:rsid w:val="6D286848"/>
    <w:rsid w:val="6D527259"/>
    <w:rsid w:val="6D84023D"/>
    <w:rsid w:val="6DC72505"/>
    <w:rsid w:val="6DD14348"/>
    <w:rsid w:val="6DEB78FE"/>
    <w:rsid w:val="6DF606F4"/>
    <w:rsid w:val="6E074120"/>
    <w:rsid w:val="6E6C0804"/>
    <w:rsid w:val="6E7361E8"/>
    <w:rsid w:val="6E7E3605"/>
    <w:rsid w:val="6EA3636C"/>
    <w:rsid w:val="6EA63EC8"/>
    <w:rsid w:val="6EBA1E30"/>
    <w:rsid w:val="6EC10D02"/>
    <w:rsid w:val="6EFC1D3A"/>
    <w:rsid w:val="6EFD5AB2"/>
    <w:rsid w:val="6F1277AF"/>
    <w:rsid w:val="6F55769C"/>
    <w:rsid w:val="6F891E77"/>
    <w:rsid w:val="6FB603BC"/>
    <w:rsid w:val="6FC02665"/>
    <w:rsid w:val="6FC52A53"/>
    <w:rsid w:val="6FCC3E02"/>
    <w:rsid w:val="6FEE1FCA"/>
    <w:rsid w:val="6FF5CC65"/>
    <w:rsid w:val="70187047"/>
    <w:rsid w:val="70207CAA"/>
    <w:rsid w:val="70A52CD0"/>
    <w:rsid w:val="70CE51A5"/>
    <w:rsid w:val="70DB07CD"/>
    <w:rsid w:val="71116D4F"/>
    <w:rsid w:val="71153587"/>
    <w:rsid w:val="714B51FB"/>
    <w:rsid w:val="715C0E4B"/>
    <w:rsid w:val="719D3221"/>
    <w:rsid w:val="71A36DE5"/>
    <w:rsid w:val="71BA7C8A"/>
    <w:rsid w:val="71DB657E"/>
    <w:rsid w:val="71EF5B86"/>
    <w:rsid w:val="71F312E5"/>
    <w:rsid w:val="72734D90"/>
    <w:rsid w:val="7276796A"/>
    <w:rsid w:val="72B3408A"/>
    <w:rsid w:val="72C232B3"/>
    <w:rsid w:val="72FA0C86"/>
    <w:rsid w:val="73012015"/>
    <w:rsid w:val="730F0517"/>
    <w:rsid w:val="7315161C"/>
    <w:rsid w:val="733A72D5"/>
    <w:rsid w:val="73534C03"/>
    <w:rsid w:val="73883453"/>
    <w:rsid w:val="738B5D82"/>
    <w:rsid w:val="73AD73D5"/>
    <w:rsid w:val="73B6EB34"/>
    <w:rsid w:val="73CD0DC6"/>
    <w:rsid w:val="73F05BE5"/>
    <w:rsid w:val="74213FF1"/>
    <w:rsid w:val="7426441D"/>
    <w:rsid w:val="74387CB8"/>
    <w:rsid w:val="744731E5"/>
    <w:rsid w:val="74B3733F"/>
    <w:rsid w:val="74B82BA7"/>
    <w:rsid w:val="75581C94"/>
    <w:rsid w:val="755F74C6"/>
    <w:rsid w:val="758E56B6"/>
    <w:rsid w:val="75B5383F"/>
    <w:rsid w:val="75D71455"/>
    <w:rsid w:val="75DC4673"/>
    <w:rsid w:val="76164DA4"/>
    <w:rsid w:val="76182B83"/>
    <w:rsid w:val="763D4BBB"/>
    <w:rsid w:val="7668661B"/>
    <w:rsid w:val="76E3355F"/>
    <w:rsid w:val="76EC44D1"/>
    <w:rsid w:val="772269FE"/>
    <w:rsid w:val="7751762B"/>
    <w:rsid w:val="778769C8"/>
    <w:rsid w:val="779D57CF"/>
    <w:rsid w:val="77DC095A"/>
    <w:rsid w:val="780E0561"/>
    <w:rsid w:val="78342545"/>
    <w:rsid w:val="78344C74"/>
    <w:rsid w:val="78485FF0"/>
    <w:rsid w:val="784D7AAA"/>
    <w:rsid w:val="788B22B9"/>
    <w:rsid w:val="788E0D33"/>
    <w:rsid w:val="791505C8"/>
    <w:rsid w:val="794178B0"/>
    <w:rsid w:val="796C2221"/>
    <w:rsid w:val="798D4602"/>
    <w:rsid w:val="79907C4E"/>
    <w:rsid w:val="79B41D09"/>
    <w:rsid w:val="79EE5BA4"/>
    <w:rsid w:val="7A124B07"/>
    <w:rsid w:val="7A894339"/>
    <w:rsid w:val="7ABF158C"/>
    <w:rsid w:val="7AFB559C"/>
    <w:rsid w:val="7B2E4343"/>
    <w:rsid w:val="7B79DA1B"/>
    <w:rsid w:val="7BA75723"/>
    <w:rsid w:val="7BCF2F77"/>
    <w:rsid w:val="7BFA3AA5"/>
    <w:rsid w:val="7C1C3A1B"/>
    <w:rsid w:val="7C232FFC"/>
    <w:rsid w:val="7C262AEC"/>
    <w:rsid w:val="7C961A20"/>
    <w:rsid w:val="7CE704CD"/>
    <w:rsid w:val="7CE742CC"/>
    <w:rsid w:val="7D0C4F28"/>
    <w:rsid w:val="7D10125B"/>
    <w:rsid w:val="7D1943FF"/>
    <w:rsid w:val="7D380D29"/>
    <w:rsid w:val="7E1075B0"/>
    <w:rsid w:val="7E257D31"/>
    <w:rsid w:val="7E2E3EDA"/>
    <w:rsid w:val="7E5E656D"/>
    <w:rsid w:val="7E696CC0"/>
    <w:rsid w:val="7E996182"/>
    <w:rsid w:val="7E9A50CB"/>
    <w:rsid w:val="7E9C52E7"/>
    <w:rsid w:val="7EA146AC"/>
    <w:rsid w:val="7EB16AF4"/>
    <w:rsid w:val="7EB82599"/>
    <w:rsid w:val="7ECB2A5E"/>
    <w:rsid w:val="7EEC797C"/>
    <w:rsid w:val="7EEF11D3"/>
    <w:rsid w:val="7EFC1014"/>
    <w:rsid w:val="7F392F26"/>
    <w:rsid w:val="7FA30C79"/>
    <w:rsid w:val="7FB7269E"/>
    <w:rsid w:val="7FC96657"/>
    <w:rsid w:val="7FFA4074"/>
    <w:rsid w:val="7FFF6DE6"/>
    <w:rsid w:val="D8D6DB89"/>
    <w:rsid w:val="DB6F4CAB"/>
    <w:rsid w:val="DF6F9789"/>
    <w:rsid w:val="EB75812F"/>
    <w:rsid w:val="FEAF8294"/>
    <w:rsid w:val="FF7B6138"/>
    <w:rsid w:val="FFAD7F7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4"/>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6">
    <w:name w:val="Salutation"/>
    <w:basedOn w:val="1"/>
    <w:next w:val="1"/>
    <w:unhideWhenUsed/>
    <w:qFormat/>
    <w:uiPriority w:val="99"/>
  </w:style>
  <w:style w:type="paragraph" w:styleId="7">
    <w:name w:val="Body Text"/>
    <w:basedOn w:val="1"/>
    <w:next w:val="1"/>
    <w:link w:val="31"/>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5"/>
    <w:semiHidden/>
    <w:unhideWhenUsed/>
    <w:qFormat/>
    <w:uiPriority w:val="99"/>
    <w:rPr>
      <w:sz w:val="18"/>
      <w:szCs w:val="18"/>
    </w:rPr>
  </w:style>
  <w:style w:type="paragraph" w:styleId="11">
    <w:name w:val="footer"/>
    <w:basedOn w:val="1"/>
    <w:link w:val="29"/>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Subtitle"/>
    <w:basedOn w:val="1"/>
    <w:next w:val="1"/>
    <w:qFormat/>
    <w:uiPriority w:val="0"/>
    <w:pPr>
      <w:spacing w:before="240" w:after="60" w:line="312" w:lineRule="auto"/>
      <w:jc w:val="center"/>
      <w:outlineLvl w:val="1"/>
    </w:pPr>
    <w:rPr>
      <w:rFonts w:ascii="Arial" w:hAnsi="Arial" w:eastAsia="宋体" w:cs="Arial"/>
      <w:b/>
      <w:bCs/>
      <w:kern w:val="28"/>
      <w:sz w:val="32"/>
      <w:szCs w:val="32"/>
    </w:rPr>
  </w:style>
  <w:style w:type="paragraph" w:styleId="15">
    <w:name w:val="toc 2"/>
    <w:basedOn w:val="1"/>
    <w:next w:val="1"/>
    <w:unhideWhenUsed/>
    <w:qFormat/>
    <w:uiPriority w:val="39"/>
    <w:pPr>
      <w:tabs>
        <w:tab w:val="right" w:leader="dot" w:pos="8296"/>
      </w:tabs>
      <w:ind w:left="420" w:leftChars="200"/>
    </w:pPr>
  </w:style>
  <w:style w:type="paragraph" w:styleId="16">
    <w:name w:val="Body Text First Indent 2"/>
    <w:basedOn w:val="8"/>
    <w:unhideWhenUsed/>
    <w:qFormat/>
    <w:uiPriority w:val="99"/>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customStyle="1" w:styleId="22">
    <w:name w:val="标题 1 Char"/>
    <w:basedOn w:val="19"/>
    <w:link w:val="3"/>
    <w:qFormat/>
    <w:uiPriority w:val="9"/>
    <w:rPr>
      <w:rFonts w:ascii="Times New Roman" w:hAnsi="Times New Roman"/>
      <w:b/>
      <w:bCs/>
      <w:kern w:val="44"/>
      <w:sz w:val="44"/>
      <w:szCs w:val="44"/>
    </w:rPr>
  </w:style>
  <w:style w:type="character" w:customStyle="1" w:styleId="23">
    <w:name w:val="标题 2 Char"/>
    <w:basedOn w:val="19"/>
    <w:link w:val="4"/>
    <w:qFormat/>
    <w:uiPriority w:val="9"/>
    <w:rPr>
      <w:rFonts w:asciiTheme="majorHAnsi" w:hAnsiTheme="majorHAnsi" w:eastAsiaTheme="majorEastAsia" w:cstheme="majorBidi"/>
      <w:b/>
      <w:bCs/>
      <w:kern w:val="2"/>
      <w:sz w:val="32"/>
      <w:szCs w:val="32"/>
    </w:rPr>
  </w:style>
  <w:style w:type="character" w:customStyle="1" w:styleId="24">
    <w:name w:val="标题 3 Char"/>
    <w:basedOn w:val="19"/>
    <w:link w:val="5"/>
    <w:qFormat/>
    <w:uiPriority w:val="9"/>
    <w:rPr>
      <w:rFonts w:ascii="Times New Roman" w:hAnsi="Times New Roman"/>
      <w:b/>
      <w:bCs/>
      <w:kern w:val="2"/>
      <w:sz w:val="32"/>
      <w:szCs w:val="32"/>
    </w:rPr>
  </w:style>
  <w:style w:type="paragraph" w:customStyle="1" w:styleId="25">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6">
    <w:name w:val="Header Char"/>
    <w:basedOn w:val="19"/>
    <w:semiHidden/>
    <w:qFormat/>
    <w:uiPriority w:val="99"/>
    <w:rPr>
      <w:rFonts w:ascii="Times New Roman" w:hAnsi="Times New Roman"/>
      <w:sz w:val="18"/>
      <w:szCs w:val="18"/>
    </w:rPr>
  </w:style>
  <w:style w:type="character" w:customStyle="1" w:styleId="27">
    <w:name w:val="页眉 Char"/>
    <w:link w:val="12"/>
    <w:semiHidden/>
    <w:qFormat/>
    <w:locked/>
    <w:uiPriority w:val="99"/>
    <w:rPr>
      <w:sz w:val="18"/>
    </w:rPr>
  </w:style>
  <w:style w:type="character" w:customStyle="1" w:styleId="28">
    <w:name w:val="Footer Char"/>
    <w:basedOn w:val="19"/>
    <w:semiHidden/>
    <w:qFormat/>
    <w:uiPriority w:val="99"/>
    <w:rPr>
      <w:rFonts w:ascii="Times New Roman" w:hAnsi="Times New Roman"/>
      <w:sz w:val="18"/>
      <w:szCs w:val="18"/>
    </w:rPr>
  </w:style>
  <w:style w:type="character" w:customStyle="1" w:styleId="29">
    <w:name w:val="页脚 Char"/>
    <w:link w:val="11"/>
    <w:qFormat/>
    <w:locked/>
    <w:uiPriority w:val="99"/>
    <w:rPr>
      <w:sz w:val="18"/>
    </w:rPr>
  </w:style>
  <w:style w:type="character" w:customStyle="1" w:styleId="30">
    <w:name w:val="Body Text Char"/>
    <w:basedOn w:val="19"/>
    <w:semiHidden/>
    <w:qFormat/>
    <w:uiPriority w:val="99"/>
    <w:rPr>
      <w:rFonts w:ascii="Times New Roman" w:hAnsi="Times New Roman"/>
      <w:szCs w:val="24"/>
    </w:rPr>
  </w:style>
  <w:style w:type="character" w:customStyle="1" w:styleId="31">
    <w:name w:val="正文文本 Char"/>
    <w:link w:val="7"/>
    <w:qFormat/>
    <w:locked/>
    <w:uiPriority w:val="99"/>
    <w:rPr>
      <w:rFonts w:ascii="仿宋_GB2312" w:hAnsi="Times New Roman" w:eastAsia="仿宋_GB2312"/>
      <w:sz w:val="24"/>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3">
    <w:name w:val="List Paragraph"/>
    <w:basedOn w:val="1"/>
    <w:qFormat/>
    <w:uiPriority w:val="34"/>
    <w:pPr>
      <w:ind w:firstLine="420" w:firstLineChars="200"/>
    </w:pPr>
  </w:style>
  <w:style w:type="paragraph" w:customStyle="1" w:styleId="3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批注框文本 Char"/>
    <w:basedOn w:val="19"/>
    <w:link w:val="10"/>
    <w:semiHidden/>
    <w:qFormat/>
    <w:uiPriority w:val="99"/>
    <w:rPr>
      <w:rFonts w:ascii="Times New Roman" w:hAnsi="Times New Roman"/>
      <w:kern w:val="2"/>
      <w:sz w:val="18"/>
      <w:szCs w:val="18"/>
    </w:rPr>
  </w:style>
  <w:style w:type="paragraph" w:customStyle="1" w:styleId="36">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8">
    <w:name w:val="WPSOffice手动目录 1"/>
    <w:qFormat/>
    <w:uiPriority w:val="0"/>
    <w:pPr>
      <w:ind w:leftChars="0"/>
    </w:pPr>
    <w:rPr>
      <w:rFonts w:asciiTheme="minorHAnsi" w:hAnsiTheme="minorHAnsi" w:eastAsiaTheme="minorEastAsia" w:cstheme="minorBidi"/>
      <w:sz w:val="20"/>
      <w:szCs w:val="20"/>
    </w:rPr>
  </w:style>
  <w:style w:type="paragraph" w:customStyle="1" w:styleId="39">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1.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2.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收、支决算总计变动情况图（单位：万元）</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[工作簿1]Sheet1!$A$2:$B$2</c:f>
              <c:strCache>
                <c:ptCount val="2"/>
                <c:pt idx="0">
                  <c:v>2023年度收、支总计</c:v>
                </c:pt>
                <c:pt idx="1">
                  <c:v>2024年度收、支总计</c:v>
                </c:pt>
              </c:strCache>
            </c:strRef>
          </c:cat>
          <c:val>
            <c:numRef>
              <c:f>[工作簿1]Sheet1!$A$3:$B$3</c:f>
              <c:numCache>
                <c:formatCode>General</c:formatCode>
                <c:ptCount val="2"/>
                <c:pt idx="0">
                  <c:v>21933.47</c:v>
                </c:pt>
                <c:pt idx="1">
                  <c:v>39787.52</c:v>
                </c:pt>
              </c:numCache>
            </c:numRef>
          </c:val>
        </c:ser>
        <c:dLbls>
          <c:showLegendKey val="false"/>
          <c:showVal val="true"/>
          <c:showCatName val="false"/>
          <c:showSerName val="false"/>
          <c:showPercent val="false"/>
          <c:showBubbleSize val="false"/>
        </c:dLbls>
        <c:gapWidth val="246"/>
        <c:overlap val="-28"/>
        <c:axId val="170006564"/>
        <c:axId val="984520807"/>
      </c:barChart>
      <c:catAx>
        <c:axId val="17000656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4520807"/>
        <c:crosses val="autoZero"/>
        <c:auto val="true"/>
        <c:lblAlgn val="ctr"/>
        <c:lblOffset val="100"/>
        <c:noMultiLvlLbl val="false"/>
      </c:catAx>
      <c:valAx>
        <c:axId val="984520807"/>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7000656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zh-CN" altLang="en-US"/>
              <a:t>收入决算结构图</a:t>
            </a:r>
            <a:endParaRPr lang="zh-CN" altLang="en-US"/>
          </a:p>
        </c:rich>
      </c:tx>
      <c:layout/>
      <c:overlay val="false"/>
      <c:spPr>
        <a:noFill/>
        <a:ln>
          <a:noFill/>
        </a:ln>
        <a:effectLst/>
      </c:spPr>
    </c:title>
    <c:autoTitleDeleted val="false"/>
    <c:plotArea>
      <c:layout/>
      <c:pieChart>
        <c:varyColors val="true"/>
        <c:ser>
          <c:idx val="0"/>
          <c:order val="0"/>
          <c:spPr>
            <a:ln w="19050">
              <a:solidFill>
                <a:schemeClr val="bg1"/>
              </a:solidFill>
            </a:ln>
            <a:effectLst>
              <a:outerShdw blurRad="63500" sx="102000" sy="102000" algn="ctr" rotWithShape="0">
                <a:schemeClr val="accent1">
                  <a:lumMod val="75000"/>
                  <a:alpha val="40000"/>
                </a:schemeClr>
              </a:outerShdw>
            </a:effectLst>
          </c:spPr>
          <c:explosion val="0"/>
          <c:dPt>
            <c:idx val="0"/>
            <c:bubble3D val="false"/>
            <c:explosion val="10"/>
            <c:spPr>
              <a:solidFill>
                <a:schemeClr val="accent1"/>
              </a:solidFill>
              <a:ln w="19050">
                <a:solidFill>
                  <a:schemeClr val="bg1"/>
                </a:solidFill>
              </a:ln>
              <a:effectLst>
                <a:outerShdw blurRad="63500" sx="102000" sy="102000" algn="ctr" rotWithShape="0">
                  <a:schemeClr val="accent1">
                    <a:lumMod val="75000"/>
                    <a:alpha val="40000"/>
                  </a:schemeClr>
                </a:outerShdw>
              </a:effectLst>
            </c:spPr>
          </c:dPt>
          <c:dPt>
            <c:idx val="1"/>
            <c:bubble3D val="false"/>
            <c:spPr>
              <a:solidFill>
                <a:schemeClr val="accent2"/>
              </a:solidFill>
              <a:ln w="19050">
                <a:solidFill>
                  <a:schemeClr val="bg1"/>
                </a:solidFill>
              </a:ln>
              <a:effectLst>
                <a:outerShdw blurRad="63500" sx="102000" sy="102000" algn="ctr" rotWithShape="0">
                  <a:schemeClr val="accent2">
                    <a:lumMod val="75000"/>
                    <a:alpha val="40000"/>
                  </a:schemeClr>
                </a:outerShdw>
              </a:effectLst>
            </c:spPr>
          </c:dPt>
          <c:dPt>
            <c:idx val="2"/>
            <c:bubble3D val="false"/>
            <c:spPr>
              <a:solidFill>
                <a:schemeClr val="accent3"/>
              </a:solidFill>
              <a:ln w="19050">
                <a:solidFill>
                  <a:schemeClr val="bg1"/>
                </a:solidFill>
              </a:ln>
              <a:effectLst>
                <a:outerShdw blurRad="63500" sx="102000" sy="102000" algn="ctr" rotWithShape="0">
                  <a:schemeClr val="accent3">
                    <a:lumMod val="75000"/>
                    <a:alpha val="40000"/>
                  </a:schemeClr>
                </a:outerShdw>
              </a:effectLst>
            </c:spPr>
          </c:dPt>
          <c:dLbls>
            <c:dLbl>
              <c:idx val="1"/>
              <c:layout/>
              <c:numFmt formatCode="General" sourceLinked="true"/>
              <c:spPr>
                <a:noFill/>
                <a:ln w="12700">
                  <a:solidFill>
                    <a:schemeClr val="accent2"/>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2"/>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2"/>
              <c:layout/>
              <c:numFmt formatCode="General" sourceLinked="true"/>
              <c:spPr>
                <a:noFill/>
                <a:ln w="12700">
                  <a:solidFill>
                    <a:schemeClr val="accent3"/>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3"/>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true"/>
            <c:spPr>
              <a:noFill/>
              <a:ln w="12700">
                <a:solidFill>
                  <a:schemeClr val="accent1"/>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spPr xmlns:c15="http://schemas.microsoft.com/office/drawing/2012/chart">
                  <a:prstGeom prst="roundRect">
                    <a:avLst/>
                  </a:prstGeom>
                  <a:noFill/>
                  <a:ln>
                    <a:noFill/>
                  </a:ln>
                </c15:spPr>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柱状图、饼状图.xlsx]Sheet1'!$A$11:$A$13</c:f>
              <c:strCache>
                <c:ptCount val="3"/>
                <c:pt idx="0">
                  <c:v>一般公共预算财政拨款收入5607.76万元</c:v>
                </c:pt>
                <c:pt idx="1">
                  <c:v>政府性基金预算财政拨款收入33949.21万元</c:v>
                </c:pt>
                <c:pt idx="2">
                  <c:v>其他收入217.63万元</c:v>
                </c:pt>
              </c:strCache>
            </c:strRef>
          </c:cat>
          <c:val>
            <c:numRef>
              <c:f>'[2024年度广元市自然资源局（部门）决算公开编制说明   柱状图、饼状图.xlsx]Sheet1'!$B$11:$B$13</c:f>
              <c:numCache>
                <c:formatCode>0.00%</c:formatCode>
                <c:ptCount val="3"/>
                <c:pt idx="0">
                  <c:v>0.141</c:v>
                </c:pt>
                <c:pt idx="1">
                  <c:v>0.8535</c:v>
                </c:pt>
                <c:pt idx="2">
                  <c:v>0.0055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9</a:t>
                    </a:r>
                    <a:r>
                      <a:rPr lang="en-US" altLang="zh-CN"/>
                      <a:t>.28</a:t>
                    </a:r>
                    <a:r>
                      <a:t>%</a:t>
                    </a:r>
                  </a:p>
                </c:rich>
              </c:tx>
              <c:dLblPos val="outEnd"/>
              <c:showLegendKey val="false"/>
              <c:showVal val="fals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9</a:t>
                    </a:r>
                    <a:r>
                      <a:rPr lang="en-US" altLang="zh-CN"/>
                      <a:t>0.72</a:t>
                    </a:r>
                    <a:r>
                      <a:t>%</a:t>
                    </a:r>
                  </a:p>
                </c:rich>
              </c:tx>
              <c:dLblPos val="outEnd"/>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[工作簿1]Sheet1!$A$18:$A$19</c:f>
              <c:strCache>
                <c:ptCount val="2"/>
                <c:pt idx="0">
                  <c:v>基本支出3692.74万元</c:v>
                </c:pt>
                <c:pt idx="1">
                  <c:v>项目支出36094.78万元</c:v>
                </c:pt>
              </c:strCache>
            </c:strRef>
          </c:cat>
          <c:val>
            <c:numRef>
              <c:f>[工作簿1]Sheet1!$B$18:$B$19</c:f>
              <c:numCache>
                <c:formatCode>0.00%</c:formatCode>
                <c:ptCount val="2"/>
                <c:pt idx="0">
                  <c:v>0.0928</c:v>
                </c:pt>
                <c:pt idx="1">
                  <c:v>0.9072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财政拨款收、支决算总计变动情况（单位：万元）</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柱状图、饼状图.xlsx]Sheet1'!$A$23:$B$23</c:f>
              <c:strCache>
                <c:ptCount val="2"/>
                <c:pt idx="0">
                  <c:v>2023年财政拨款收、支总计</c:v>
                </c:pt>
                <c:pt idx="1">
                  <c:v>2024年财政拨款收、支总计</c:v>
                </c:pt>
              </c:strCache>
            </c:strRef>
          </c:cat>
          <c:val>
            <c:numRef>
              <c:f>'[2024年度广元市自然资源局（部门）决算公开编制说明   柱状图、饼状图.xlsx]Sheet1'!$A$24:$B$24</c:f>
              <c:numCache>
                <c:formatCode>General</c:formatCode>
                <c:ptCount val="2"/>
                <c:pt idx="0">
                  <c:v>21737.87</c:v>
                </c:pt>
                <c:pt idx="1">
                  <c:v>39569.89</c:v>
                </c:pt>
              </c:numCache>
            </c:numRef>
          </c:val>
        </c:ser>
        <c:dLbls>
          <c:showLegendKey val="false"/>
          <c:showVal val="true"/>
          <c:showCatName val="false"/>
          <c:showSerName val="false"/>
          <c:showPercent val="false"/>
          <c:showBubbleSize val="false"/>
        </c:dLbls>
        <c:gapWidth val="246"/>
        <c:overlap val="-28"/>
        <c:axId val="531048031"/>
        <c:axId val="966467090"/>
      </c:barChart>
      <c:catAx>
        <c:axId val="53104803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66467090"/>
        <c:crosses val="autoZero"/>
        <c:auto val="true"/>
        <c:lblAlgn val="ctr"/>
        <c:lblOffset val="100"/>
        <c:noMultiLvlLbl val="false"/>
      </c:catAx>
      <c:valAx>
        <c:axId val="966467090"/>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3104803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（单位：万元）</a:t>
            </a:r>
          </a:p>
          <a:p>
            <a:pPr defTabSz="914400">
              <a:defRPr lang="zh-CN" sz="1400" b="1" i="0" u="none" strike="noStrike" kern="1200" baseline="0">
                <a:solidFill>
                  <a:schemeClr val="tx1">
                    <a:lumMod val="75000"/>
                    <a:lumOff val="25000"/>
                  </a:schemeClr>
                </a:solidFill>
                <a:latin typeface="+mn-lt"/>
                <a:ea typeface="+mn-ea"/>
                <a:cs typeface="+mn-cs"/>
              </a:defRPr>
            </a:pP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柱状图、饼状图.xlsx]Sheet1'!$A$27:$B$27</c:f>
              <c:strCache>
                <c:ptCount val="2"/>
                <c:pt idx="0">
                  <c:v>2023年一般公共预算财政拨款支出</c:v>
                </c:pt>
                <c:pt idx="1">
                  <c:v>2024年一般公共预算财政拨款支出</c:v>
                </c:pt>
              </c:strCache>
            </c:strRef>
          </c:cat>
          <c:val>
            <c:numRef>
              <c:f>'[2024年度广元市自然资源局（部门）决算公开编制说明   柱状图、饼状图.xlsx]Sheet1'!$A$28:$B$28</c:f>
              <c:numCache>
                <c:formatCode>General</c:formatCode>
                <c:ptCount val="2"/>
                <c:pt idx="0">
                  <c:v>5329.16</c:v>
                </c:pt>
                <c:pt idx="1">
                  <c:v>5607.76</c:v>
                </c:pt>
              </c:numCache>
            </c:numRef>
          </c:val>
        </c:ser>
        <c:dLbls>
          <c:showLegendKey val="false"/>
          <c:showVal val="true"/>
          <c:showCatName val="false"/>
          <c:showSerName val="false"/>
          <c:showPercent val="false"/>
          <c:showBubbleSize val="false"/>
        </c:dLbls>
        <c:gapWidth val="246"/>
        <c:overlap val="-28"/>
        <c:axId val="804204160"/>
        <c:axId val="567046421"/>
      </c:barChart>
      <c:catAx>
        <c:axId val="80420416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67046421"/>
        <c:crosses val="autoZero"/>
        <c:auto val="true"/>
        <c:lblAlgn val="ctr"/>
        <c:lblOffset val="100"/>
        <c:noMultiLvlLbl val="false"/>
      </c:catAx>
      <c:valAx>
        <c:axId val="567046421"/>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0420416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zh-CN" altLang="en-US"/>
              <a:t>一般公共预算财政拨款支出决算结构</a:t>
            </a:r>
            <a:endParaRPr lang="zh-CN" altLang="en-US"/>
          </a:p>
          <a:p>
            <a:pPr>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rich>
      </c:tx>
      <c:layout>
        <c:manualLayout>
          <c:xMode val="edge"/>
          <c:yMode val="edge"/>
          <c:x val="0.199276791584484"/>
          <c:y val="0.00656886358659952"/>
        </c:manualLayout>
      </c:layout>
      <c:overlay val="false"/>
      <c:spPr>
        <a:noFill/>
        <a:ln>
          <a:noFill/>
        </a:ln>
        <a:effectLst/>
      </c:spPr>
    </c:title>
    <c:autoTitleDeleted val="false"/>
    <c:plotArea>
      <c:layout/>
      <c:pieChart>
        <c:varyColors val="true"/>
        <c:ser>
          <c:idx val="0"/>
          <c:order val="0"/>
          <c:spPr>
            <a:ln w="19050">
              <a:solidFill>
                <a:schemeClr val="bg1"/>
              </a:solidFill>
            </a:ln>
            <a:effectLst>
              <a:outerShdw blurRad="63500" sx="102000" sy="102000" algn="ctr" rotWithShape="0">
                <a:schemeClr val="accent1">
                  <a:lumMod val="75000"/>
                  <a:alpha val="40000"/>
                </a:schemeClr>
              </a:outerShdw>
            </a:effectLst>
          </c:spPr>
          <c:explosion val="0"/>
          <c:dPt>
            <c:idx val="0"/>
            <c:bubble3D val="false"/>
            <c:explosion val="10"/>
            <c:spPr>
              <a:solidFill>
                <a:schemeClr val="accent1"/>
              </a:solidFill>
              <a:ln w="19050">
                <a:solidFill>
                  <a:schemeClr val="bg1"/>
                </a:solidFill>
              </a:ln>
              <a:effectLst>
                <a:outerShdw blurRad="63500" sx="102000" sy="102000" algn="ctr" rotWithShape="0">
                  <a:schemeClr val="accent1">
                    <a:lumMod val="75000"/>
                    <a:alpha val="40000"/>
                  </a:schemeClr>
                </a:outerShdw>
              </a:effectLst>
            </c:spPr>
          </c:dPt>
          <c:dPt>
            <c:idx val="1"/>
            <c:bubble3D val="false"/>
            <c:spPr>
              <a:solidFill>
                <a:schemeClr val="accent2"/>
              </a:solidFill>
              <a:ln w="19050">
                <a:solidFill>
                  <a:schemeClr val="bg1"/>
                </a:solidFill>
              </a:ln>
              <a:effectLst>
                <a:outerShdw blurRad="63500" sx="102000" sy="102000" algn="ctr" rotWithShape="0">
                  <a:schemeClr val="accent2">
                    <a:lumMod val="75000"/>
                    <a:alpha val="40000"/>
                  </a:schemeClr>
                </a:outerShdw>
              </a:effectLst>
            </c:spPr>
          </c:dPt>
          <c:dPt>
            <c:idx val="2"/>
            <c:bubble3D val="false"/>
            <c:spPr>
              <a:solidFill>
                <a:schemeClr val="accent3"/>
              </a:solidFill>
              <a:ln w="19050">
                <a:solidFill>
                  <a:schemeClr val="bg1"/>
                </a:solidFill>
              </a:ln>
              <a:effectLst>
                <a:outerShdw blurRad="63500" sx="102000" sy="102000" algn="ctr" rotWithShape="0">
                  <a:schemeClr val="accent3">
                    <a:lumMod val="75000"/>
                    <a:alpha val="40000"/>
                  </a:schemeClr>
                </a:outerShdw>
              </a:effectLst>
            </c:spPr>
          </c:dPt>
          <c:dPt>
            <c:idx val="3"/>
            <c:bubble3D val="false"/>
            <c:spPr>
              <a:solidFill>
                <a:schemeClr val="accent4"/>
              </a:solidFill>
              <a:ln w="19050">
                <a:solidFill>
                  <a:schemeClr val="bg1"/>
                </a:solidFill>
              </a:ln>
              <a:effectLst>
                <a:outerShdw blurRad="63500" sx="102000" sy="102000" algn="ctr" rotWithShape="0">
                  <a:schemeClr val="accent4">
                    <a:lumMod val="75000"/>
                    <a:alpha val="40000"/>
                  </a:schemeClr>
                </a:outerShdw>
              </a:effectLst>
            </c:spPr>
          </c:dPt>
          <c:dPt>
            <c:idx val="4"/>
            <c:bubble3D val="false"/>
            <c:spPr>
              <a:solidFill>
                <a:schemeClr val="accent5"/>
              </a:solidFill>
              <a:ln w="19050">
                <a:solidFill>
                  <a:schemeClr val="bg1"/>
                </a:solidFill>
              </a:ln>
              <a:effectLst>
                <a:outerShdw blurRad="63500" sx="102000" sy="102000" algn="ctr" rotWithShape="0">
                  <a:schemeClr val="accent5">
                    <a:lumMod val="75000"/>
                    <a:alpha val="40000"/>
                  </a:schemeClr>
                </a:outerShdw>
              </a:effectLst>
            </c:spPr>
          </c:dPt>
          <c:dPt>
            <c:idx val="5"/>
            <c:bubble3D val="false"/>
            <c:spPr>
              <a:solidFill>
                <a:schemeClr val="accent6"/>
              </a:solidFill>
              <a:ln w="19050">
                <a:solidFill>
                  <a:schemeClr val="bg1"/>
                </a:solidFill>
              </a:ln>
              <a:effectLst>
                <a:outerShdw blurRad="63500" sx="102000" sy="102000" algn="ctr" rotWithShape="0">
                  <a:schemeClr val="accent6">
                    <a:lumMod val="75000"/>
                    <a:alpha val="40000"/>
                  </a:schemeClr>
                </a:outerShdw>
              </a:effectLst>
            </c:spPr>
          </c:dPt>
          <c:dLbls>
            <c:dLbl>
              <c:idx val="0"/>
              <c:layout>
                <c:manualLayout>
                  <c:x val="0.0231426692965154"/>
                  <c:y val="-0.00420070011668611"/>
                </c:manualLayout>
              </c:layout>
              <c:tx>
                <c:rich>
                  <a:bodyPr rot="0" spcFirstLastPara="0" vertOverflow="clip" vert="horz" wrap="square" lIns="36576" tIns="18288" rIns="36576" bIns="18288" anchor="ctr" anchorCtr="true"/>
                  <a:lstStyle/>
                  <a:p>
                    <a:pPr defTabSz="914400">
                      <a:defRPr lang="zh-CN" sz="900" b="1"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1</a:t>
                    </a:r>
                    <a:r>
                      <a:rPr lang="en-US" altLang="zh-CN"/>
                      <a:t>1.7</a:t>
                    </a:r>
                    <a:r>
                      <a:t>2%</a:t>
                    </a:r>
                  </a:p>
                </c:rich>
              </c:tx>
              <c:numFmt formatCode="General" sourceLinked="true"/>
              <c:spPr>
                <a:noFill/>
                <a:ln w="12700">
                  <a:solidFill>
                    <a:schemeClr val="accent1"/>
                  </a:solidFill>
                </a:ln>
                <a:effectLst/>
              </c:spPr>
              <c:txPr>
                <a:bodyPr rot="0" spcFirstLastPara="0" vertOverflow="clip" vert="horz" wrap="square" lIns="36576" tIns="18288" rIns="36576" bIns="18288" anchor="ctr" anchorCtr="true"/>
                <a:lstStyle/>
                <a:p>
                  <a:pPr>
                    <a:defRPr lang="zh-CN" sz="900" b="1"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0933596318211703"/>
                  <c:y val="-0.0247374562427071"/>
                </c:manualLayout>
              </c:layout>
              <c:tx>
                <c:rich>
                  <a:bodyPr rot="0" spcFirstLastPara="0" vertOverflow="clip" horzOverflow="clip" vert="horz" wrap="square" lIns="36576" tIns="18288" rIns="36576" bIns="18288" anchor="ctr" anchorCtr="true" forceAA="false">
                    <a:spAutoFit/>
                  </a:bodyPr>
                  <a:lstStyle/>
                  <a:p>
                    <a:pPr defTabSz="914400">
                      <a:defRPr lang="zh-CN" sz="900" b="1" i="0" u="none" strike="noStrike" kern="1200" baseline="0">
                        <a:solidFill>
                          <a:schemeClr val="accent2"/>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en-US" altLang="zh-CN"/>
                      <a:t>1.8</a:t>
                    </a:r>
                    <a:r>
                      <a:t>2%</a:t>
                    </a:r>
                  </a:p>
                </c:rich>
              </c:tx>
              <c:numFmt formatCode="General" sourceLinked="true"/>
              <c:spPr>
                <a:noFill/>
                <a:ln w="12700">
                  <a:solidFill>
                    <a:schemeClr val="accent2"/>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2"/>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370808678500986"/>
                  <c:y val="0.0536756126021004"/>
                </c:manualLayout>
              </c:layout>
              <c:tx>
                <c:rich>
                  <a:bodyPr rot="0" spcFirstLastPara="0" vertOverflow="clip" horzOverflow="clip" vert="horz" wrap="square" lIns="36576" tIns="18288" rIns="36576" bIns="18288" anchor="ctr" anchorCtr="true" forceAA="false">
                    <a:spAutoFit/>
                  </a:bodyPr>
                  <a:lstStyle/>
                  <a:p>
                    <a:pPr defTabSz="914400">
                      <a:defRPr lang="zh-CN" sz="900" b="1" i="0" u="none" strike="noStrike" kern="1200" baseline="0">
                        <a:solidFill>
                          <a:schemeClr val="accent3"/>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0</a:t>
                    </a:r>
                    <a:r>
                      <a:rPr lang="en-US" altLang="zh-CN"/>
                      <a:t>.15</a:t>
                    </a:r>
                    <a:r>
                      <a:t>%</a:t>
                    </a:r>
                  </a:p>
                </c:rich>
              </c:tx>
              <c:numFmt formatCode="General" sourceLinked="true"/>
              <c:spPr>
                <a:noFill/>
                <a:ln w="12700">
                  <a:solidFill>
                    <a:schemeClr val="accent3"/>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3"/>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3"/>
              <c:layout>
                <c:manualLayout>
                  <c:x val="-0.0951880094662109"/>
                  <c:y val="-0.0428067078552515"/>
                </c:manualLayout>
              </c:layout>
              <c:tx>
                <c:rich>
                  <a:bodyPr rot="0" spcFirstLastPara="0" vertOverflow="clip" horzOverflow="clip" vert="horz" wrap="square" lIns="36576" tIns="18288" rIns="36576" bIns="18288" anchor="ctr" anchorCtr="true" forceAA="false">
                    <a:spAutoFit/>
                  </a:bodyPr>
                  <a:lstStyle/>
                  <a:p>
                    <a:pPr defTabSz="914400">
                      <a:defRPr lang="zh-CN" sz="900" b="1" i="0" u="none" strike="noStrike" kern="1200" baseline="0">
                        <a:solidFill>
                          <a:schemeClr val="accent4"/>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80</a:t>
                    </a:r>
                    <a:r>
                      <a:rPr lang="en-US" altLang="zh-CN"/>
                      <a:t>.19</a:t>
                    </a:r>
                    <a:r>
                      <a:t>%</a:t>
                    </a:r>
                  </a:p>
                </c:rich>
              </c:tx>
              <c:numFmt formatCode="General" sourceLinked="true"/>
              <c:spPr>
                <a:noFill/>
                <a:ln w="12700">
                  <a:solidFill>
                    <a:schemeClr val="accent4"/>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4"/>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4"/>
              <c:layout>
                <c:manualLayout>
                  <c:x val="-0.0719263642340565"/>
                  <c:y val="-0.0455075845974329"/>
                </c:manualLayout>
              </c:layout>
              <c:tx>
                <c:rich>
                  <a:bodyPr rot="0" spcFirstLastPara="0" vertOverflow="clip" horzOverflow="clip" vert="horz" wrap="square" lIns="36576" tIns="18288" rIns="36576" bIns="18288" anchor="ctr" anchorCtr="true" forceAA="false">
                    <a:spAutoFit/>
                  </a:bodyPr>
                  <a:lstStyle/>
                  <a:p>
                    <a:pPr defTabSz="914400">
                      <a:defRPr lang="zh-CN" sz="900" b="1" i="0" u="none" strike="noStrike" kern="1200" baseline="0">
                        <a:solidFill>
                          <a:schemeClr val="accent5"/>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5</a:t>
                    </a:r>
                    <a:r>
                      <a:rPr lang="en-US" altLang="zh-CN"/>
                      <a:t>.02</a:t>
                    </a:r>
                    <a:r>
                      <a:t>%</a:t>
                    </a:r>
                  </a:p>
                </c:rich>
              </c:tx>
              <c:numFmt formatCode="General" sourceLinked="true"/>
              <c:spPr>
                <a:noFill/>
                <a:ln w="12700">
                  <a:solidFill>
                    <a:schemeClr val="accent5"/>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5"/>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5"/>
              <c:layout>
                <c:manualLayout>
                  <c:x val="-0.0117028270874425"/>
                  <c:y val="-0.0700116686114352"/>
                </c:manualLayout>
              </c:layout>
              <c:tx>
                <c:rich>
                  <a:bodyPr rot="0" spcFirstLastPara="0" vertOverflow="clip" horzOverflow="clip" vert="horz" wrap="square" lIns="36576" tIns="18288" rIns="36576" bIns="18288" anchor="ctr" anchorCtr="true" forceAA="false">
                    <a:spAutoFit/>
                  </a:bodyPr>
                  <a:lstStyle/>
                  <a:p>
                    <a:pPr defTabSz="914400">
                      <a:defRPr lang="zh-CN" sz="900" b="1" i="0" u="none" strike="noStrike" kern="1200" baseline="0">
                        <a:solidFill>
                          <a:schemeClr val="accent6"/>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1</a:t>
                    </a:r>
                    <a:r>
                      <a:rPr lang="en-US" altLang="zh-CN"/>
                      <a:t>.10</a:t>
                    </a:r>
                    <a:r>
                      <a:t>%</a:t>
                    </a:r>
                  </a:p>
                </c:rich>
              </c:tx>
              <c:numFmt formatCode="General" sourceLinked="true"/>
              <c:spPr>
                <a:noFill/>
                <a:ln w="12700">
                  <a:solidFill>
                    <a:schemeClr val="accent6"/>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6"/>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false"/>
              <c:showVal val="false"/>
              <c:showCatName val="false"/>
              <c:showSerName val="false"/>
              <c:showPercent val="true"/>
              <c:showBubbleSize val="false"/>
              <c:extLst>
                <c:ext xmlns:c15="http://schemas.microsoft.com/office/drawing/2012/chart" uri="{CE6537A1-D6FC-4f65-9D91-7224C49458BB}">
                  <c15:layout>
                    <c:manualLayout>
                      <c:w val="0.095069033530572"/>
                      <c:h val="0.0628421283118021"/>
                    </c:manualLayout>
                  </c15:layout>
                </c:ext>
              </c:extLst>
            </c:dLbl>
            <c:numFmt formatCode="General" sourceLinked="true"/>
            <c:spPr>
              <a:noFill/>
              <a:ln w="12700">
                <a:solidFill>
                  <a:schemeClr val="accent1"/>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柱状图、饼状图.xlsx]Sheet1'!$A$33:$A$38</c:f>
              <c:strCache>
                <c:ptCount val="6"/>
                <c:pt idx="0">
                  <c:v>社会保障和就业支出657.36万元</c:v>
                </c:pt>
                <c:pt idx="1">
                  <c:v>卫生健康支出102.44万元</c:v>
                </c:pt>
                <c:pt idx="2">
                  <c:v>节能环保支出8.24万元</c:v>
                </c:pt>
                <c:pt idx="3">
                  <c:v>自然资源海洋气象等支出4496.78万元</c:v>
                </c:pt>
                <c:pt idx="4">
                  <c:v>住房保障支出281.42万元</c:v>
                </c:pt>
                <c:pt idx="5">
                  <c:v>灾害防治及应急管理支出61.52万元</c:v>
                </c:pt>
              </c:strCache>
            </c:strRef>
          </c:cat>
          <c:val>
            <c:numRef>
              <c:f>'[2024年度广元市自然资源局（部门）决算公开编制说明   柱状图、饼状图.xlsx]Sheet1'!$B$33:$B$38</c:f>
              <c:numCache>
                <c:formatCode>0.00%</c:formatCode>
                <c:ptCount val="6"/>
                <c:pt idx="0">
                  <c:v>0.1172</c:v>
                </c:pt>
                <c:pt idx="1">
                  <c:v>0.0182</c:v>
                </c:pt>
                <c:pt idx="2">
                  <c:v>0.0015</c:v>
                </c:pt>
                <c:pt idx="3">
                  <c:v>0.8019</c:v>
                </c:pt>
                <c:pt idx="4">
                  <c:v>0.0502</c:v>
                </c:pt>
                <c:pt idx="5">
                  <c:v>0.011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“三公”经费财政拨款支出结构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柱状图、饼状图.xlsx]Sheet1'!$A$42:$A$43</c:f>
              <c:strCache>
                <c:ptCount val="2"/>
                <c:pt idx="0">
                  <c:v>公务用车购置及运行维护费支出决算32.9万元</c:v>
                </c:pt>
                <c:pt idx="1">
                  <c:v>公务接待费支出决算10.6万元</c:v>
                </c:pt>
              </c:strCache>
            </c:strRef>
          </c:cat>
          <c:val>
            <c:numRef>
              <c:f>'[2024年度广元市自然资源局（部门）决算公开编制说明   柱状图、饼状图.xlsx]Sheet1'!$B$42:$B$43</c:f>
              <c:numCache>
                <c:formatCode>0.00%</c:formatCode>
                <c:ptCount val="2"/>
                <c:pt idx="0">
                  <c:v>0.7563</c:v>
                </c:pt>
                <c:pt idx="1">
                  <c:v>0.2437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自定义 117">
    <a:dk1>
      <a:srgbClr val="000000"/>
    </a:dk1>
    <a:lt1>
      <a:srgbClr val="FFFFFF"/>
    </a:lt1>
    <a:dk2>
      <a:srgbClr val="44546A"/>
    </a:dk2>
    <a:lt2>
      <a:srgbClr val="E7E6E6"/>
    </a:lt2>
    <a:accent1>
      <a:srgbClr val="FF7E33"/>
    </a:accent1>
    <a:accent2>
      <a:srgbClr val="F0423E"/>
    </a:accent2>
    <a:accent3>
      <a:srgbClr val="6FBDFF"/>
    </a:accent3>
    <a:accent4>
      <a:srgbClr val="4F7FFF"/>
    </a:accent4>
    <a:accent5>
      <a:srgbClr val="FFC619"/>
    </a:accent5>
    <a:accent6>
      <a:srgbClr val="74B83D"/>
    </a:accent6>
    <a:hlink>
      <a:srgbClr val="0026E5"/>
    </a:hlink>
    <a:folHlink>
      <a:srgbClr val="7E1FA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2.xml><?xml version="1.0" encoding="utf-8"?>
<a:themeOverride xmlns:a="http://schemas.openxmlformats.org/drawingml/2006/main">
  <a:clrScheme name="自定义 117">
    <a:dk1>
      <a:srgbClr val="000000"/>
    </a:dk1>
    <a:lt1>
      <a:srgbClr val="FFFFFF"/>
    </a:lt1>
    <a:dk2>
      <a:srgbClr val="44546A"/>
    </a:dk2>
    <a:lt2>
      <a:srgbClr val="E7E6E6"/>
    </a:lt2>
    <a:accent1>
      <a:srgbClr val="FF7E33"/>
    </a:accent1>
    <a:accent2>
      <a:srgbClr val="F0423E"/>
    </a:accent2>
    <a:accent3>
      <a:srgbClr val="6FBDFF"/>
    </a:accent3>
    <a:accent4>
      <a:srgbClr val="4F7FFF"/>
    </a:accent4>
    <a:accent5>
      <a:srgbClr val="FFC619"/>
    </a:accent5>
    <a:accent6>
      <a:srgbClr val="74B83D"/>
    </a:accent6>
    <a:hlink>
      <a:srgbClr val="0026E5"/>
    </a:hlink>
    <a:folHlink>
      <a:srgbClr val="7E1FA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72</Pages>
  <Words>19390</Words>
  <Characters>20742</Characters>
  <Lines>61</Lines>
  <Paragraphs>17</Paragraphs>
  <TotalTime>1</TotalTime>
  <ScaleCrop>false</ScaleCrop>
  <LinksUpToDate>false</LinksUpToDate>
  <CharactersWithSpaces>20862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cp:lastPrinted>2023-09-23T04:00:00Z</cp:lastPrinted>
  <dcterms:modified xsi:type="dcterms:W3CDTF">2025-09-28T18:37:00Z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81EDFDF98972440896CBAB129C17C7A3_13</vt:lpwstr>
  </property>
  <property fmtid="{D5CDD505-2E9C-101B-9397-08002B2CF9AE}" pid="4" name="KSOTemplateDocerSaveRecord">
    <vt:lpwstr>eyJoZGlkIjoiYzM1ZWZiMGQ3NTg1YmJjMGY1MmZlMmYwNjQ0Nzk3NTMifQ==</vt:lpwstr>
  </property>
</Properties>
</file>