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98ACAF1">
      <w:pPr>
        <w:adjustRightInd w:val="0"/>
        <w:snapToGrid w:val="0"/>
        <w:spacing w:line="240" w:lineRule="atLeast"/>
        <w:outlineLvl w:val="0"/>
        <w:rPr>
          <w:rFonts w:hint="eastAsia" w:ascii="方正小标宋简体" w:eastAsia="方正小标宋简体"/>
          <w:sz w:val="52"/>
          <w:szCs w:val="52"/>
        </w:rPr>
      </w:pPr>
      <w:bookmarkStart w:id="0" w:name="_Toc4581"/>
    </w:p>
    <w:p w14:paraId="0BFA4A09">
      <w:pPr>
        <w:adjustRightInd w:val="0"/>
        <w:snapToGrid w:val="0"/>
        <w:spacing w:line="240" w:lineRule="atLeast"/>
        <w:ind w:left="0" w:leftChars="0" w:right="0" w:rightChars="0" w:firstLine="0" w:firstLineChars="0"/>
        <w:jc w:val="center"/>
        <w:outlineLvl w:val="0"/>
        <w:rPr>
          <w:rFonts w:hint="eastAsia" w:ascii="方正小标宋简体" w:eastAsia="方正小标宋简体"/>
          <w:sz w:val="52"/>
          <w:szCs w:val="52"/>
        </w:rPr>
      </w:pPr>
      <w:r>
        <w:rPr>
          <w:rFonts w:hint="eastAsia" w:ascii="方正小标宋简体" w:eastAsia="方正小标宋简体"/>
          <w:sz w:val="52"/>
          <w:szCs w:val="52"/>
        </w:rPr>
        <w:t>2024年度广元市乡村振兴局</w:t>
      </w:r>
    </w:p>
    <w:p w14:paraId="655BB8CA">
      <w:pPr>
        <w:adjustRightInd w:val="0"/>
        <w:snapToGrid w:val="0"/>
        <w:spacing w:line="240" w:lineRule="atLeast"/>
        <w:ind w:left="0" w:leftChars="0" w:right="0" w:rightChars="0" w:firstLine="0" w:firstLineChars="0"/>
        <w:jc w:val="center"/>
        <w:outlineLvl w:val="0"/>
        <w:rPr>
          <w:rFonts w:hint="eastAsia" w:ascii="方正小标宋简体" w:eastAsia="方正小标宋简体"/>
          <w:sz w:val="52"/>
          <w:szCs w:val="52"/>
        </w:rPr>
      </w:pPr>
    </w:p>
    <w:p w14:paraId="3F8DA4C2">
      <w:pPr>
        <w:pStyle w:val="2"/>
        <w:rPr>
          <w:rFonts w:hint="eastAsia"/>
        </w:rPr>
      </w:pPr>
    </w:p>
    <w:p w14:paraId="2564AA7B">
      <w:pPr>
        <w:pStyle w:val="2"/>
        <w:rPr>
          <w:rFonts w:hint="eastAsia"/>
        </w:rPr>
      </w:pPr>
    </w:p>
    <w:p w14:paraId="5F610771">
      <w:pPr>
        <w:adjustRightInd w:val="0"/>
        <w:snapToGrid w:val="0"/>
        <w:spacing w:line="240" w:lineRule="atLeast"/>
        <w:ind w:left="0" w:leftChars="0" w:right="0" w:rightChars="0" w:firstLine="0" w:firstLineChars="0"/>
        <w:jc w:val="center"/>
        <w:outlineLvl w:val="0"/>
        <w:rPr>
          <w:rFonts w:hint="eastAsia" w:ascii="方正隶书简体" w:hAnsi="方正隶书简体" w:eastAsia="方正隶书简体" w:cs="方正隶书简体"/>
          <w:sz w:val="84"/>
          <w:szCs w:val="84"/>
        </w:rPr>
      </w:pPr>
      <w:r>
        <w:rPr>
          <w:rFonts w:hint="eastAsia" w:ascii="方正隶书简体" w:hAnsi="方正隶书简体" w:eastAsia="方正隶书简体" w:cs="方正隶书简体"/>
          <w:sz w:val="84"/>
          <w:szCs w:val="84"/>
        </w:rPr>
        <w:t>部</w:t>
      </w:r>
    </w:p>
    <w:p w14:paraId="1F1C1E34">
      <w:pPr>
        <w:adjustRightInd w:val="0"/>
        <w:snapToGrid w:val="0"/>
        <w:spacing w:line="240" w:lineRule="atLeast"/>
        <w:ind w:left="0" w:leftChars="0" w:right="0" w:rightChars="0" w:firstLine="0" w:firstLineChars="0"/>
        <w:jc w:val="center"/>
        <w:outlineLvl w:val="0"/>
        <w:rPr>
          <w:rFonts w:hint="eastAsia" w:ascii="方正隶书简体" w:hAnsi="方正隶书简体" w:eastAsia="方正隶书简体" w:cs="方正隶书简体"/>
          <w:sz w:val="84"/>
          <w:szCs w:val="84"/>
        </w:rPr>
      </w:pPr>
      <w:r>
        <w:rPr>
          <w:rFonts w:hint="eastAsia" w:ascii="方正隶书简体" w:hAnsi="方正隶书简体" w:eastAsia="方正隶书简体" w:cs="方正隶书简体"/>
          <w:sz w:val="84"/>
          <w:szCs w:val="84"/>
        </w:rPr>
        <w:t>门</w:t>
      </w:r>
    </w:p>
    <w:p w14:paraId="79A38B46">
      <w:pPr>
        <w:adjustRightInd w:val="0"/>
        <w:snapToGrid w:val="0"/>
        <w:spacing w:line="240" w:lineRule="atLeast"/>
        <w:ind w:left="0" w:leftChars="0" w:right="0" w:rightChars="0" w:firstLine="0" w:firstLineChars="0"/>
        <w:jc w:val="center"/>
        <w:outlineLvl w:val="0"/>
        <w:rPr>
          <w:rFonts w:hint="eastAsia" w:ascii="方正隶书简体" w:hAnsi="方正隶书简体" w:eastAsia="方正隶书简体" w:cs="方正隶书简体"/>
          <w:sz w:val="84"/>
          <w:szCs w:val="84"/>
        </w:rPr>
      </w:pPr>
      <w:r>
        <w:rPr>
          <w:rFonts w:hint="eastAsia" w:ascii="方正隶书简体" w:hAnsi="方正隶书简体" w:eastAsia="方正隶书简体" w:cs="方正隶书简体"/>
          <w:sz w:val="84"/>
          <w:szCs w:val="84"/>
        </w:rPr>
        <w:t>决</w:t>
      </w:r>
    </w:p>
    <w:p w14:paraId="3F1C99BB">
      <w:pPr>
        <w:adjustRightInd w:val="0"/>
        <w:snapToGrid w:val="0"/>
        <w:spacing w:line="240" w:lineRule="atLeast"/>
        <w:ind w:left="0" w:leftChars="0" w:right="0" w:rightChars="0" w:firstLine="0" w:firstLineChars="0"/>
        <w:jc w:val="center"/>
        <w:outlineLvl w:val="0"/>
        <w:rPr>
          <w:rFonts w:hint="eastAsia" w:ascii="方正隶书简体" w:hAnsi="方正隶书简体" w:eastAsia="方正隶书简体" w:cs="方正隶书简体"/>
          <w:sz w:val="84"/>
          <w:szCs w:val="84"/>
        </w:rPr>
      </w:pPr>
      <w:r>
        <w:rPr>
          <w:rFonts w:hint="eastAsia" w:ascii="方正隶书简体" w:hAnsi="方正隶书简体" w:eastAsia="方正隶书简体" w:cs="方正隶书简体"/>
          <w:sz w:val="84"/>
          <w:szCs w:val="84"/>
        </w:rPr>
        <w:t>算</w:t>
      </w:r>
      <w:bookmarkEnd w:id="0"/>
    </w:p>
    <w:p w14:paraId="0D2D53FD">
      <w:pPr>
        <w:adjustRightInd w:val="0"/>
        <w:snapToGrid w:val="0"/>
        <w:spacing w:line="240" w:lineRule="atLeast"/>
        <w:jc w:val="center"/>
        <w:outlineLvl w:val="0"/>
        <w:rPr>
          <w:rFonts w:hint="eastAsia" w:ascii="方正小标宋简体" w:eastAsia="方正小标宋简体"/>
          <w:sz w:val="44"/>
          <w:szCs w:val="44"/>
        </w:rPr>
      </w:pPr>
      <w:r>
        <w:rPr>
          <w:rFonts w:hint="eastAsia" w:ascii="方正小标宋简体" w:eastAsia="方正小标宋简体"/>
          <w:sz w:val="72"/>
          <w:szCs w:val="72"/>
        </w:rPr>
        <w:br w:type="page"/>
      </w:r>
      <w:bookmarkStart w:id="1" w:name="_Toc13032"/>
      <w:r>
        <w:rPr>
          <w:rFonts w:hint="eastAsia" w:ascii="方正小标宋简体" w:eastAsia="方正小标宋简体"/>
          <w:sz w:val="44"/>
          <w:szCs w:val="44"/>
        </w:rPr>
        <w:t>目  录</w:t>
      </w:r>
      <w:bookmarkEnd w:id="1"/>
    </w:p>
    <w:p w14:paraId="09F47092">
      <w:pPr>
        <w:widowControl/>
        <w:jc w:val="center"/>
        <w:rPr>
          <w:rFonts w:hint="eastAsia" w:ascii="方正小标宋简体" w:eastAsia="方正小标宋简体"/>
          <w:sz w:val="44"/>
          <w:szCs w:val="44"/>
        </w:rPr>
      </w:pPr>
      <w:r>
        <w:rPr>
          <w:rFonts w:hint="eastAsia" w:ascii="黑体" w:hAnsi="黑体" w:eastAsia="黑体"/>
          <w:sz w:val="32"/>
          <w:szCs w:val="32"/>
        </w:rPr>
        <w:t>公开时间：2025年10月2 日</w:t>
      </w:r>
      <w:r>
        <w:rPr>
          <w:rFonts w:hint="eastAsia" w:ascii="方正小标宋简体" w:eastAsia="方正小标宋简体"/>
          <w:sz w:val="44"/>
          <w:szCs w:val="44"/>
        </w:rPr>
        <w:t xml:space="preserve"> </w:t>
      </w:r>
    </w:p>
    <w:sdt>
      <w:sdtPr>
        <w:rPr>
          <w:rFonts w:ascii="宋体" w:hAnsi="宋体" w:eastAsia="宋体" w:cs="Times New Roman"/>
          <w:kern w:val="2"/>
          <w:sz w:val="21"/>
          <w:szCs w:val="21"/>
          <w:lang w:val="en-US" w:eastAsia="zh-CN" w:bidi="ar-SA"/>
        </w:rPr>
        <w:id w:val="147470990"/>
        <w15:color w:val="DBDBDB"/>
        <w:docPartObj>
          <w:docPartGallery w:val="Table of Contents"/>
          <w:docPartUnique/>
        </w:docPartObj>
      </w:sdtPr>
      <w:sdtEndPr>
        <w:rPr>
          <w:rFonts w:hint="eastAsia" w:ascii="仿宋_GB2312" w:hAnsi="Times New Roman" w:eastAsia="仿宋_GB2312" w:cs="Times New Roman"/>
          <w:kern w:val="2"/>
          <w:sz w:val="21"/>
          <w:szCs w:val="32"/>
          <w:lang w:val="en-US" w:eastAsia="zh-CN" w:bidi="ar-SA"/>
        </w:rPr>
      </w:sdtEndPr>
      <w:sdtContent>
        <w:p w14:paraId="3A4177D7">
          <w:pPr>
            <w:spacing w:before="0" w:beforeLines="0" w:after="0" w:afterLines="0" w:line="240" w:lineRule="auto"/>
            <w:ind w:left="0" w:leftChars="0" w:right="0" w:rightChars="0" w:firstLine="0" w:firstLineChars="0"/>
            <w:jc w:val="center"/>
          </w:pPr>
        </w:p>
        <w:p w14:paraId="008AB40B">
          <w:pPr>
            <w:pStyle w:val="8"/>
            <w:tabs>
              <w:tab w:val="right" w:leader="dot" w:pos="8844"/>
            </w:tabs>
          </w:pPr>
          <w:r>
            <w:rPr>
              <w:rFonts w:hint="eastAsia" w:ascii="仿宋_GB2312" w:eastAsia="仿宋_GB2312"/>
              <w:sz w:val="32"/>
              <w:szCs w:val="32"/>
            </w:rPr>
            <w:fldChar w:fldCharType="begin"/>
          </w:r>
          <w:r>
            <w:rPr>
              <w:rFonts w:hint="eastAsia" w:ascii="仿宋_GB2312" w:eastAsia="仿宋_GB2312"/>
              <w:sz w:val="32"/>
              <w:szCs w:val="32"/>
            </w:rPr>
            <w:instrText xml:space="preserve">TOC \o "1-2" \h \u </w:instrText>
          </w:r>
          <w:r>
            <w:rPr>
              <w:rFonts w:hint="eastAsia" w:ascii="仿宋_GB2312" w:eastAsia="仿宋_GB2312"/>
              <w:sz w:val="32"/>
              <w:szCs w:val="32"/>
            </w:rPr>
            <w:fldChar w:fldCharType="separate"/>
          </w:r>
          <w:r>
            <w:rPr>
              <w:rFonts w:hint="eastAsia" w:ascii="仿宋_GB2312" w:eastAsia="仿宋_GB2312"/>
              <w:b/>
              <w:bCs/>
              <w:szCs w:val="32"/>
            </w:rPr>
            <w:fldChar w:fldCharType="begin"/>
          </w:r>
          <w:r>
            <w:rPr>
              <w:rFonts w:hint="eastAsia" w:ascii="仿宋_GB2312" w:eastAsia="仿宋_GB2312"/>
              <w:b/>
              <w:bCs/>
              <w:szCs w:val="32"/>
            </w:rPr>
            <w:instrText xml:space="preserve"> HYPERLINK \l _Toc30023 </w:instrText>
          </w:r>
          <w:r>
            <w:rPr>
              <w:rFonts w:hint="eastAsia" w:ascii="仿宋_GB2312" w:eastAsia="仿宋_GB2312"/>
              <w:b/>
              <w:bCs/>
              <w:szCs w:val="32"/>
            </w:rPr>
            <w:fldChar w:fldCharType="separate"/>
          </w:r>
          <w:r>
            <w:rPr>
              <w:rFonts w:hint="eastAsia"/>
              <w:b/>
              <w:bCs/>
            </w:rPr>
            <w:t>第一部分 部门概况</w:t>
          </w:r>
          <w:r>
            <w:rPr>
              <w:b/>
              <w:bCs/>
            </w:rPr>
            <w:tab/>
          </w:r>
          <w:r>
            <w:rPr>
              <w:b/>
              <w:bCs/>
            </w:rPr>
            <w:fldChar w:fldCharType="begin"/>
          </w:r>
          <w:r>
            <w:rPr>
              <w:b/>
              <w:bCs/>
            </w:rPr>
            <w:instrText xml:space="preserve"> PAGEREF _Toc30023 \h </w:instrText>
          </w:r>
          <w:r>
            <w:rPr>
              <w:b/>
              <w:bCs/>
            </w:rPr>
            <w:fldChar w:fldCharType="separate"/>
          </w:r>
          <w:r>
            <w:rPr>
              <w:b/>
              <w:bCs/>
            </w:rPr>
            <w:t>1</w:t>
          </w:r>
          <w:r>
            <w:rPr>
              <w:b/>
              <w:bCs/>
            </w:rPr>
            <w:fldChar w:fldCharType="end"/>
          </w:r>
          <w:r>
            <w:rPr>
              <w:rFonts w:hint="eastAsia" w:ascii="仿宋_GB2312" w:eastAsia="仿宋_GB2312"/>
              <w:b/>
              <w:bCs/>
              <w:szCs w:val="32"/>
            </w:rPr>
            <w:fldChar w:fldCharType="end"/>
          </w:r>
        </w:p>
        <w:p w14:paraId="1BDA3804">
          <w:pPr>
            <w:pStyle w:val="9"/>
            <w:tabs>
              <w:tab w:val="right" w:leader="dot" w:pos="8844"/>
            </w:tabs>
          </w:pPr>
          <w:r>
            <w:rPr>
              <w:rFonts w:hint="eastAsia" w:ascii="仿宋_GB2312" w:eastAsia="仿宋_GB2312"/>
              <w:szCs w:val="32"/>
            </w:rPr>
            <w:fldChar w:fldCharType="begin"/>
          </w:r>
          <w:r>
            <w:rPr>
              <w:rFonts w:hint="eastAsia" w:ascii="仿宋_GB2312" w:eastAsia="仿宋_GB2312"/>
              <w:szCs w:val="32"/>
            </w:rPr>
            <w:instrText xml:space="preserve"> HYPERLINK \l _Toc1316 </w:instrText>
          </w:r>
          <w:r>
            <w:rPr>
              <w:rFonts w:hint="eastAsia" w:ascii="仿宋_GB2312" w:eastAsia="仿宋_GB2312"/>
              <w:szCs w:val="32"/>
            </w:rPr>
            <w:fldChar w:fldCharType="separate"/>
          </w:r>
          <w:r>
            <w:rPr>
              <w:rFonts w:hint="eastAsia"/>
            </w:rPr>
            <w:t>一、部门职责</w:t>
          </w:r>
          <w:r>
            <w:tab/>
          </w:r>
          <w:r>
            <w:fldChar w:fldCharType="begin"/>
          </w:r>
          <w:r>
            <w:instrText xml:space="preserve"> PAGEREF _Toc1316 \h </w:instrText>
          </w:r>
          <w:r>
            <w:fldChar w:fldCharType="separate"/>
          </w:r>
          <w:r>
            <w:t>1</w:t>
          </w:r>
          <w:r>
            <w:fldChar w:fldCharType="end"/>
          </w:r>
          <w:r>
            <w:rPr>
              <w:rFonts w:hint="eastAsia" w:ascii="仿宋_GB2312" w:eastAsia="仿宋_GB2312"/>
              <w:szCs w:val="32"/>
            </w:rPr>
            <w:fldChar w:fldCharType="end"/>
          </w:r>
        </w:p>
        <w:p w14:paraId="600D69A7">
          <w:pPr>
            <w:pStyle w:val="9"/>
            <w:tabs>
              <w:tab w:val="right" w:leader="dot" w:pos="8844"/>
            </w:tabs>
          </w:pPr>
          <w:r>
            <w:rPr>
              <w:rFonts w:hint="eastAsia" w:ascii="仿宋_GB2312" w:eastAsia="仿宋_GB2312"/>
              <w:szCs w:val="32"/>
            </w:rPr>
            <w:fldChar w:fldCharType="begin"/>
          </w:r>
          <w:r>
            <w:rPr>
              <w:rFonts w:hint="eastAsia" w:ascii="仿宋_GB2312" w:eastAsia="仿宋_GB2312"/>
              <w:szCs w:val="32"/>
            </w:rPr>
            <w:instrText xml:space="preserve"> HYPERLINK \l _Toc15125 </w:instrText>
          </w:r>
          <w:r>
            <w:rPr>
              <w:rFonts w:hint="eastAsia" w:ascii="仿宋_GB2312" w:eastAsia="仿宋_GB2312"/>
              <w:szCs w:val="32"/>
            </w:rPr>
            <w:fldChar w:fldCharType="separate"/>
          </w:r>
          <w:r>
            <w:rPr>
              <w:rFonts w:hint="eastAsia"/>
            </w:rPr>
            <w:t>二、机构设置</w:t>
          </w:r>
          <w:r>
            <w:tab/>
          </w:r>
          <w:r>
            <w:fldChar w:fldCharType="begin"/>
          </w:r>
          <w:r>
            <w:instrText xml:space="preserve"> PAGEREF _Toc15125 \h </w:instrText>
          </w:r>
          <w:r>
            <w:fldChar w:fldCharType="separate"/>
          </w:r>
          <w:r>
            <w:t>1</w:t>
          </w:r>
          <w:r>
            <w:fldChar w:fldCharType="end"/>
          </w:r>
          <w:r>
            <w:rPr>
              <w:rFonts w:hint="eastAsia" w:ascii="仿宋_GB2312" w:eastAsia="仿宋_GB2312"/>
              <w:szCs w:val="32"/>
            </w:rPr>
            <w:fldChar w:fldCharType="end"/>
          </w:r>
        </w:p>
        <w:p w14:paraId="23AE1321">
          <w:pPr>
            <w:pStyle w:val="8"/>
            <w:tabs>
              <w:tab w:val="right" w:leader="dot" w:pos="8844"/>
            </w:tabs>
          </w:pPr>
          <w:r>
            <w:rPr>
              <w:rFonts w:hint="eastAsia" w:ascii="仿宋_GB2312" w:eastAsia="仿宋_GB2312"/>
              <w:szCs w:val="32"/>
            </w:rPr>
            <w:fldChar w:fldCharType="begin"/>
          </w:r>
          <w:r>
            <w:rPr>
              <w:rFonts w:hint="eastAsia" w:ascii="仿宋_GB2312" w:eastAsia="仿宋_GB2312"/>
              <w:szCs w:val="32"/>
            </w:rPr>
            <w:instrText xml:space="preserve"> HYPERLINK \l _Toc26968 </w:instrText>
          </w:r>
          <w:r>
            <w:rPr>
              <w:rFonts w:hint="eastAsia" w:ascii="仿宋_GB2312" w:eastAsia="仿宋_GB2312"/>
              <w:szCs w:val="32"/>
            </w:rPr>
            <w:fldChar w:fldCharType="separate"/>
          </w:r>
          <w:r>
            <w:rPr>
              <w:rFonts w:hint="eastAsia" w:ascii="黑体" w:hAnsi="黑体" w:eastAsia="黑体"/>
              <w:szCs w:val="44"/>
            </w:rPr>
            <w:t>第二部分  2024年度部门决算情况说明</w:t>
          </w:r>
          <w:r>
            <w:tab/>
          </w:r>
          <w:r>
            <w:fldChar w:fldCharType="begin"/>
          </w:r>
          <w:r>
            <w:instrText xml:space="preserve"> PAGEREF _Toc26968 \h </w:instrText>
          </w:r>
          <w:r>
            <w:fldChar w:fldCharType="separate"/>
          </w:r>
          <w:r>
            <w:t>2</w:t>
          </w:r>
          <w:r>
            <w:fldChar w:fldCharType="end"/>
          </w:r>
          <w:r>
            <w:rPr>
              <w:rFonts w:hint="eastAsia" w:ascii="仿宋_GB2312" w:eastAsia="仿宋_GB2312"/>
              <w:szCs w:val="32"/>
            </w:rPr>
            <w:fldChar w:fldCharType="end"/>
          </w:r>
        </w:p>
        <w:p w14:paraId="57ED850E">
          <w:pPr>
            <w:pStyle w:val="9"/>
            <w:tabs>
              <w:tab w:val="right" w:leader="dot" w:pos="8844"/>
            </w:tabs>
          </w:pPr>
          <w:r>
            <w:rPr>
              <w:rFonts w:hint="eastAsia" w:ascii="仿宋_GB2312" w:eastAsia="仿宋_GB2312"/>
              <w:szCs w:val="32"/>
            </w:rPr>
            <w:fldChar w:fldCharType="begin"/>
          </w:r>
          <w:r>
            <w:rPr>
              <w:rFonts w:hint="eastAsia" w:ascii="仿宋_GB2312" w:eastAsia="仿宋_GB2312"/>
              <w:szCs w:val="32"/>
            </w:rPr>
            <w:instrText xml:space="preserve"> HYPERLINK \l _Toc11323 </w:instrText>
          </w:r>
          <w:r>
            <w:rPr>
              <w:rFonts w:hint="eastAsia" w:ascii="仿宋_GB2312" w:eastAsia="仿宋_GB2312"/>
              <w:szCs w:val="32"/>
            </w:rPr>
            <w:fldChar w:fldCharType="separate"/>
          </w:r>
          <w:r>
            <w:rPr>
              <w:rFonts w:hint="eastAsia"/>
            </w:rPr>
            <w:t>一、收入支出决算总体情况说明</w:t>
          </w:r>
          <w:r>
            <w:tab/>
          </w:r>
          <w:r>
            <w:fldChar w:fldCharType="begin"/>
          </w:r>
          <w:r>
            <w:instrText xml:space="preserve"> PAGEREF _Toc11323 \h </w:instrText>
          </w:r>
          <w:r>
            <w:fldChar w:fldCharType="separate"/>
          </w:r>
          <w:r>
            <w:t>2</w:t>
          </w:r>
          <w:r>
            <w:fldChar w:fldCharType="end"/>
          </w:r>
          <w:r>
            <w:rPr>
              <w:rFonts w:hint="eastAsia" w:ascii="仿宋_GB2312" w:eastAsia="仿宋_GB2312"/>
              <w:szCs w:val="32"/>
            </w:rPr>
            <w:fldChar w:fldCharType="end"/>
          </w:r>
        </w:p>
        <w:p w14:paraId="72EAD550">
          <w:pPr>
            <w:pStyle w:val="9"/>
            <w:tabs>
              <w:tab w:val="right" w:leader="dot" w:pos="8844"/>
            </w:tabs>
          </w:pPr>
          <w:r>
            <w:rPr>
              <w:rFonts w:hint="eastAsia" w:ascii="仿宋_GB2312" w:eastAsia="仿宋_GB2312"/>
              <w:szCs w:val="32"/>
            </w:rPr>
            <w:fldChar w:fldCharType="begin"/>
          </w:r>
          <w:r>
            <w:rPr>
              <w:rFonts w:hint="eastAsia" w:ascii="仿宋_GB2312" w:eastAsia="仿宋_GB2312"/>
              <w:szCs w:val="32"/>
            </w:rPr>
            <w:instrText xml:space="preserve"> HYPERLINK \l _Toc191 </w:instrText>
          </w:r>
          <w:r>
            <w:rPr>
              <w:rFonts w:hint="eastAsia" w:ascii="仿宋_GB2312" w:eastAsia="仿宋_GB2312"/>
              <w:szCs w:val="32"/>
            </w:rPr>
            <w:fldChar w:fldCharType="separate"/>
          </w:r>
          <w:r>
            <w:rPr>
              <w:rFonts w:hint="eastAsia"/>
            </w:rPr>
            <w:t>二、收入决算情况说明</w:t>
          </w:r>
          <w:r>
            <w:tab/>
          </w:r>
          <w:r>
            <w:fldChar w:fldCharType="begin"/>
          </w:r>
          <w:r>
            <w:instrText xml:space="preserve"> PAGEREF _Toc191 \h </w:instrText>
          </w:r>
          <w:r>
            <w:fldChar w:fldCharType="separate"/>
          </w:r>
          <w:r>
            <w:t>2</w:t>
          </w:r>
          <w:r>
            <w:fldChar w:fldCharType="end"/>
          </w:r>
          <w:r>
            <w:rPr>
              <w:rFonts w:hint="eastAsia" w:ascii="仿宋_GB2312" w:eastAsia="仿宋_GB2312"/>
              <w:szCs w:val="32"/>
            </w:rPr>
            <w:fldChar w:fldCharType="end"/>
          </w:r>
        </w:p>
        <w:p w14:paraId="6D41318B">
          <w:pPr>
            <w:pStyle w:val="9"/>
            <w:tabs>
              <w:tab w:val="right" w:leader="dot" w:pos="8844"/>
            </w:tabs>
          </w:pPr>
          <w:r>
            <w:rPr>
              <w:rFonts w:hint="eastAsia" w:ascii="仿宋_GB2312" w:eastAsia="仿宋_GB2312"/>
              <w:szCs w:val="32"/>
            </w:rPr>
            <w:fldChar w:fldCharType="begin"/>
          </w:r>
          <w:r>
            <w:rPr>
              <w:rFonts w:hint="eastAsia" w:ascii="仿宋_GB2312" w:eastAsia="仿宋_GB2312"/>
              <w:szCs w:val="32"/>
            </w:rPr>
            <w:instrText xml:space="preserve"> HYPERLINK \l _Toc22812 </w:instrText>
          </w:r>
          <w:r>
            <w:rPr>
              <w:rFonts w:hint="eastAsia" w:ascii="仿宋_GB2312" w:eastAsia="仿宋_GB2312"/>
              <w:szCs w:val="32"/>
            </w:rPr>
            <w:fldChar w:fldCharType="separate"/>
          </w:r>
          <w:r>
            <w:rPr>
              <w:rFonts w:hint="eastAsia"/>
            </w:rPr>
            <w:t>三、支出决算情况说明</w:t>
          </w:r>
          <w:r>
            <w:tab/>
          </w:r>
          <w:r>
            <w:fldChar w:fldCharType="begin"/>
          </w:r>
          <w:r>
            <w:instrText xml:space="preserve"> PAGEREF _Toc22812 \h </w:instrText>
          </w:r>
          <w:r>
            <w:fldChar w:fldCharType="separate"/>
          </w:r>
          <w:r>
            <w:t>3</w:t>
          </w:r>
          <w:r>
            <w:fldChar w:fldCharType="end"/>
          </w:r>
          <w:r>
            <w:rPr>
              <w:rFonts w:hint="eastAsia" w:ascii="仿宋_GB2312" w:eastAsia="仿宋_GB2312"/>
              <w:szCs w:val="32"/>
            </w:rPr>
            <w:fldChar w:fldCharType="end"/>
          </w:r>
        </w:p>
        <w:p w14:paraId="35FA8A66">
          <w:pPr>
            <w:pStyle w:val="9"/>
            <w:tabs>
              <w:tab w:val="right" w:leader="dot" w:pos="8844"/>
            </w:tabs>
          </w:pPr>
          <w:r>
            <w:rPr>
              <w:rFonts w:hint="eastAsia" w:ascii="仿宋_GB2312" w:eastAsia="仿宋_GB2312"/>
              <w:szCs w:val="32"/>
            </w:rPr>
            <w:fldChar w:fldCharType="begin"/>
          </w:r>
          <w:r>
            <w:rPr>
              <w:rFonts w:hint="eastAsia" w:ascii="仿宋_GB2312" w:eastAsia="仿宋_GB2312"/>
              <w:szCs w:val="32"/>
            </w:rPr>
            <w:instrText xml:space="preserve"> HYPERLINK \l _Toc1526 </w:instrText>
          </w:r>
          <w:r>
            <w:rPr>
              <w:rFonts w:hint="eastAsia" w:ascii="仿宋_GB2312" w:eastAsia="仿宋_GB2312"/>
              <w:szCs w:val="32"/>
            </w:rPr>
            <w:fldChar w:fldCharType="separate"/>
          </w:r>
          <w:r>
            <w:rPr>
              <w:rFonts w:hint="eastAsia"/>
            </w:rPr>
            <w:t>四、财政拨款收入支出决算总体情况说明</w:t>
          </w:r>
          <w:r>
            <w:tab/>
          </w:r>
          <w:r>
            <w:fldChar w:fldCharType="begin"/>
          </w:r>
          <w:r>
            <w:instrText xml:space="preserve"> PAGEREF _Toc1526 \h </w:instrText>
          </w:r>
          <w:r>
            <w:fldChar w:fldCharType="separate"/>
          </w:r>
          <w:r>
            <w:t>3</w:t>
          </w:r>
          <w:r>
            <w:fldChar w:fldCharType="end"/>
          </w:r>
          <w:r>
            <w:rPr>
              <w:rFonts w:hint="eastAsia" w:ascii="仿宋_GB2312" w:eastAsia="仿宋_GB2312"/>
              <w:szCs w:val="32"/>
            </w:rPr>
            <w:fldChar w:fldCharType="end"/>
          </w:r>
        </w:p>
        <w:p w14:paraId="0A6CD63B">
          <w:pPr>
            <w:pStyle w:val="9"/>
            <w:tabs>
              <w:tab w:val="right" w:leader="dot" w:pos="8844"/>
            </w:tabs>
          </w:pPr>
          <w:r>
            <w:rPr>
              <w:rFonts w:hint="eastAsia" w:ascii="仿宋_GB2312" w:eastAsia="仿宋_GB2312"/>
              <w:szCs w:val="32"/>
            </w:rPr>
            <w:fldChar w:fldCharType="begin"/>
          </w:r>
          <w:r>
            <w:rPr>
              <w:rFonts w:hint="eastAsia" w:ascii="仿宋_GB2312" w:eastAsia="仿宋_GB2312"/>
              <w:szCs w:val="32"/>
            </w:rPr>
            <w:instrText xml:space="preserve"> HYPERLINK \l _Toc30342 </w:instrText>
          </w:r>
          <w:r>
            <w:rPr>
              <w:rFonts w:hint="eastAsia" w:ascii="仿宋_GB2312" w:eastAsia="仿宋_GB2312"/>
              <w:szCs w:val="32"/>
            </w:rPr>
            <w:fldChar w:fldCharType="separate"/>
          </w:r>
          <w:r>
            <w:rPr>
              <w:rFonts w:hint="eastAsia"/>
            </w:rPr>
            <w:t>五、一般公共预算财政拨款支出决算情况说明</w:t>
          </w:r>
          <w:r>
            <w:tab/>
          </w:r>
          <w:r>
            <w:fldChar w:fldCharType="begin"/>
          </w:r>
          <w:r>
            <w:instrText xml:space="preserve"> PAGEREF _Toc30342 \h </w:instrText>
          </w:r>
          <w:r>
            <w:fldChar w:fldCharType="separate"/>
          </w:r>
          <w:r>
            <w:t>4</w:t>
          </w:r>
          <w:r>
            <w:fldChar w:fldCharType="end"/>
          </w:r>
          <w:r>
            <w:rPr>
              <w:rFonts w:hint="eastAsia" w:ascii="仿宋_GB2312" w:eastAsia="仿宋_GB2312"/>
              <w:szCs w:val="32"/>
            </w:rPr>
            <w:fldChar w:fldCharType="end"/>
          </w:r>
        </w:p>
        <w:p w14:paraId="1B0C4E47">
          <w:pPr>
            <w:pStyle w:val="9"/>
            <w:tabs>
              <w:tab w:val="right" w:leader="dot" w:pos="8844"/>
            </w:tabs>
          </w:pPr>
          <w:r>
            <w:rPr>
              <w:rFonts w:hint="eastAsia" w:ascii="仿宋_GB2312" w:eastAsia="仿宋_GB2312"/>
              <w:szCs w:val="32"/>
            </w:rPr>
            <w:fldChar w:fldCharType="begin"/>
          </w:r>
          <w:r>
            <w:rPr>
              <w:rFonts w:hint="eastAsia" w:ascii="仿宋_GB2312" w:eastAsia="仿宋_GB2312"/>
              <w:szCs w:val="32"/>
            </w:rPr>
            <w:instrText xml:space="preserve"> HYPERLINK \l _Toc13490 </w:instrText>
          </w:r>
          <w:r>
            <w:rPr>
              <w:rFonts w:hint="eastAsia" w:ascii="仿宋_GB2312" w:eastAsia="仿宋_GB2312"/>
              <w:szCs w:val="32"/>
            </w:rPr>
            <w:fldChar w:fldCharType="separate"/>
          </w:r>
          <w:r>
            <w:rPr>
              <w:rFonts w:hint="eastAsia" w:ascii="Times New Roman" w:hAnsi="Times New Roman" w:eastAsia="宋体" w:cs="Times New Roman"/>
            </w:rPr>
            <w:t>六、一般公共预算财政拨款基本支出决算情况说明</w:t>
          </w:r>
          <w:r>
            <w:tab/>
          </w:r>
          <w:r>
            <w:fldChar w:fldCharType="begin"/>
          </w:r>
          <w:r>
            <w:instrText xml:space="preserve"> PAGEREF _Toc13490 \h </w:instrText>
          </w:r>
          <w:r>
            <w:fldChar w:fldCharType="separate"/>
          </w:r>
          <w:r>
            <w:t>6</w:t>
          </w:r>
          <w:r>
            <w:fldChar w:fldCharType="end"/>
          </w:r>
          <w:r>
            <w:rPr>
              <w:rFonts w:hint="eastAsia" w:ascii="仿宋_GB2312" w:eastAsia="仿宋_GB2312"/>
              <w:szCs w:val="32"/>
            </w:rPr>
            <w:fldChar w:fldCharType="end"/>
          </w:r>
        </w:p>
        <w:p w14:paraId="5F1BE4AE">
          <w:pPr>
            <w:pStyle w:val="9"/>
            <w:tabs>
              <w:tab w:val="right" w:leader="dot" w:pos="8844"/>
            </w:tabs>
          </w:pPr>
          <w:r>
            <w:rPr>
              <w:rFonts w:hint="eastAsia" w:ascii="仿宋_GB2312" w:eastAsia="仿宋_GB2312"/>
              <w:szCs w:val="32"/>
            </w:rPr>
            <w:fldChar w:fldCharType="begin"/>
          </w:r>
          <w:r>
            <w:rPr>
              <w:rFonts w:hint="eastAsia" w:ascii="仿宋_GB2312" w:eastAsia="仿宋_GB2312"/>
              <w:szCs w:val="32"/>
            </w:rPr>
            <w:instrText xml:space="preserve"> HYPERLINK \l _Toc11013 </w:instrText>
          </w:r>
          <w:r>
            <w:rPr>
              <w:rFonts w:hint="eastAsia" w:ascii="仿宋_GB2312" w:eastAsia="仿宋_GB2312"/>
              <w:szCs w:val="32"/>
            </w:rPr>
            <w:fldChar w:fldCharType="separate"/>
          </w:r>
          <w:r>
            <w:rPr>
              <w:rFonts w:hint="eastAsia"/>
            </w:rPr>
            <w:t>七、财政拨款“三公”经费支出决算情况说明</w:t>
          </w:r>
          <w:r>
            <w:tab/>
          </w:r>
          <w:r>
            <w:fldChar w:fldCharType="begin"/>
          </w:r>
          <w:r>
            <w:instrText xml:space="preserve"> PAGEREF _Toc11013 \h </w:instrText>
          </w:r>
          <w:r>
            <w:fldChar w:fldCharType="separate"/>
          </w:r>
          <w:r>
            <w:t>7</w:t>
          </w:r>
          <w:r>
            <w:fldChar w:fldCharType="end"/>
          </w:r>
          <w:r>
            <w:rPr>
              <w:rFonts w:hint="eastAsia" w:ascii="仿宋_GB2312" w:eastAsia="仿宋_GB2312"/>
              <w:szCs w:val="32"/>
            </w:rPr>
            <w:fldChar w:fldCharType="end"/>
          </w:r>
        </w:p>
        <w:p w14:paraId="568D89F6">
          <w:pPr>
            <w:pStyle w:val="9"/>
            <w:tabs>
              <w:tab w:val="right" w:leader="dot" w:pos="8844"/>
            </w:tabs>
          </w:pPr>
          <w:r>
            <w:rPr>
              <w:rFonts w:hint="eastAsia" w:ascii="仿宋_GB2312" w:eastAsia="仿宋_GB2312"/>
              <w:szCs w:val="32"/>
            </w:rPr>
            <w:fldChar w:fldCharType="begin"/>
          </w:r>
          <w:r>
            <w:rPr>
              <w:rFonts w:hint="eastAsia" w:ascii="仿宋_GB2312" w:eastAsia="仿宋_GB2312"/>
              <w:szCs w:val="32"/>
            </w:rPr>
            <w:instrText xml:space="preserve"> HYPERLINK \l _Toc21558 </w:instrText>
          </w:r>
          <w:r>
            <w:rPr>
              <w:rFonts w:hint="eastAsia" w:ascii="仿宋_GB2312" w:eastAsia="仿宋_GB2312"/>
              <w:szCs w:val="32"/>
            </w:rPr>
            <w:fldChar w:fldCharType="separate"/>
          </w:r>
          <w:r>
            <w:rPr>
              <w:rFonts w:hint="eastAsia"/>
            </w:rPr>
            <w:t>八、政府性基金预算支出决算情况说明</w:t>
          </w:r>
          <w:r>
            <w:tab/>
          </w:r>
          <w:r>
            <w:fldChar w:fldCharType="begin"/>
          </w:r>
          <w:r>
            <w:instrText xml:space="preserve"> PAGEREF _Toc21558 \h </w:instrText>
          </w:r>
          <w:r>
            <w:fldChar w:fldCharType="separate"/>
          </w:r>
          <w:r>
            <w:t>9</w:t>
          </w:r>
          <w:r>
            <w:fldChar w:fldCharType="end"/>
          </w:r>
          <w:r>
            <w:rPr>
              <w:rFonts w:hint="eastAsia" w:ascii="仿宋_GB2312" w:eastAsia="仿宋_GB2312"/>
              <w:szCs w:val="32"/>
            </w:rPr>
            <w:fldChar w:fldCharType="end"/>
          </w:r>
        </w:p>
        <w:p w14:paraId="4995BFE8">
          <w:pPr>
            <w:pStyle w:val="9"/>
            <w:tabs>
              <w:tab w:val="right" w:leader="dot" w:pos="8844"/>
            </w:tabs>
          </w:pPr>
          <w:r>
            <w:rPr>
              <w:rFonts w:hint="eastAsia" w:ascii="仿宋_GB2312" w:eastAsia="仿宋_GB2312"/>
              <w:szCs w:val="32"/>
            </w:rPr>
            <w:fldChar w:fldCharType="begin"/>
          </w:r>
          <w:r>
            <w:rPr>
              <w:rFonts w:hint="eastAsia" w:ascii="仿宋_GB2312" w:eastAsia="仿宋_GB2312"/>
              <w:szCs w:val="32"/>
            </w:rPr>
            <w:instrText xml:space="preserve"> HYPERLINK \l _Toc6168 </w:instrText>
          </w:r>
          <w:r>
            <w:rPr>
              <w:rFonts w:hint="eastAsia" w:ascii="仿宋_GB2312" w:eastAsia="仿宋_GB2312"/>
              <w:szCs w:val="32"/>
            </w:rPr>
            <w:fldChar w:fldCharType="separate"/>
          </w:r>
          <w:r>
            <w:rPr>
              <w:rFonts w:hint="eastAsia"/>
            </w:rPr>
            <w:t>九、国有资本经营预算支出决算情况说明</w:t>
          </w:r>
          <w:r>
            <w:tab/>
          </w:r>
          <w:r>
            <w:fldChar w:fldCharType="begin"/>
          </w:r>
          <w:r>
            <w:instrText xml:space="preserve"> PAGEREF _Toc6168 \h </w:instrText>
          </w:r>
          <w:r>
            <w:fldChar w:fldCharType="separate"/>
          </w:r>
          <w:r>
            <w:t>9</w:t>
          </w:r>
          <w:r>
            <w:fldChar w:fldCharType="end"/>
          </w:r>
          <w:r>
            <w:rPr>
              <w:rFonts w:hint="eastAsia" w:ascii="仿宋_GB2312" w:eastAsia="仿宋_GB2312"/>
              <w:szCs w:val="32"/>
            </w:rPr>
            <w:fldChar w:fldCharType="end"/>
          </w:r>
        </w:p>
        <w:p w14:paraId="7C49A012">
          <w:pPr>
            <w:pStyle w:val="9"/>
            <w:tabs>
              <w:tab w:val="right" w:leader="dot" w:pos="8844"/>
            </w:tabs>
          </w:pPr>
          <w:r>
            <w:rPr>
              <w:rFonts w:hint="eastAsia" w:ascii="仿宋_GB2312" w:eastAsia="仿宋_GB2312"/>
              <w:szCs w:val="32"/>
            </w:rPr>
            <w:fldChar w:fldCharType="begin"/>
          </w:r>
          <w:r>
            <w:rPr>
              <w:rFonts w:hint="eastAsia" w:ascii="仿宋_GB2312" w:eastAsia="仿宋_GB2312"/>
              <w:szCs w:val="32"/>
            </w:rPr>
            <w:instrText xml:space="preserve"> HYPERLINK \l _Toc8766 </w:instrText>
          </w:r>
          <w:r>
            <w:rPr>
              <w:rFonts w:hint="eastAsia" w:ascii="仿宋_GB2312" w:eastAsia="仿宋_GB2312"/>
              <w:szCs w:val="32"/>
            </w:rPr>
            <w:fldChar w:fldCharType="separate"/>
          </w:r>
          <w:r>
            <w:rPr>
              <w:rFonts w:hint="eastAsia"/>
            </w:rPr>
            <w:t>十、其他重要事项的情况说明</w:t>
          </w:r>
          <w:r>
            <w:tab/>
          </w:r>
          <w:r>
            <w:fldChar w:fldCharType="begin"/>
          </w:r>
          <w:r>
            <w:instrText xml:space="preserve"> PAGEREF _Toc8766 \h </w:instrText>
          </w:r>
          <w:r>
            <w:fldChar w:fldCharType="separate"/>
          </w:r>
          <w:r>
            <w:t>9</w:t>
          </w:r>
          <w:r>
            <w:fldChar w:fldCharType="end"/>
          </w:r>
          <w:r>
            <w:rPr>
              <w:rFonts w:hint="eastAsia" w:ascii="仿宋_GB2312" w:eastAsia="仿宋_GB2312"/>
              <w:szCs w:val="32"/>
            </w:rPr>
            <w:fldChar w:fldCharType="end"/>
          </w:r>
        </w:p>
        <w:p w14:paraId="68F038CA">
          <w:pPr>
            <w:pStyle w:val="8"/>
            <w:tabs>
              <w:tab w:val="right" w:leader="dot" w:pos="8844"/>
            </w:tabs>
          </w:pPr>
          <w:r>
            <w:rPr>
              <w:rFonts w:hint="eastAsia" w:ascii="仿宋_GB2312" w:eastAsia="仿宋_GB2312"/>
              <w:szCs w:val="32"/>
            </w:rPr>
            <w:fldChar w:fldCharType="begin"/>
          </w:r>
          <w:r>
            <w:rPr>
              <w:rFonts w:hint="eastAsia" w:ascii="仿宋_GB2312" w:eastAsia="仿宋_GB2312"/>
              <w:szCs w:val="32"/>
            </w:rPr>
            <w:instrText xml:space="preserve"> HYPERLINK \l _Toc1501 </w:instrText>
          </w:r>
          <w:r>
            <w:rPr>
              <w:rFonts w:hint="eastAsia" w:ascii="仿宋_GB2312" w:eastAsia="仿宋_GB2312"/>
              <w:szCs w:val="32"/>
            </w:rPr>
            <w:fldChar w:fldCharType="separate"/>
          </w:r>
          <w:r>
            <w:rPr>
              <w:rFonts w:hint="eastAsia" w:ascii="黑体" w:hAnsi="黑体" w:eastAsia="黑体"/>
              <w:szCs w:val="44"/>
            </w:rPr>
            <w:t>第三部分 名词解释</w:t>
          </w:r>
          <w:r>
            <w:tab/>
          </w:r>
          <w:r>
            <w:fldChar w:fldCharType="begin"/>
          </w:r>
          <w:r>
            <w:instrText xml:space="preserve"> PAGEREF _Toc1501 \h </w:instrText>
          </w:r>
          <w:r>
            <w:fldChar w:fldCharType="separate"/>
          </w:r>
          <w:r>
            <w:t>10</w:t>
          </w:r>
          <w:r>
            <w:fldChar w:fldCharType="end"/>
          </w:r>
          <w:r>
            <w:rPr>
              <w:rFonts w:hint="eastAsia" w:ascii="仿宋_GB2312" w:eastAsia="仿宋_GB2312"/>
              <w:szCs w:val="32"/>
            </w:rPr>
            <w:fldChar w:fldCharType="end"/>
          </w:r>
        </w:p>
        <w:p w14:paraId="20727058">
          <w:pPr>
            <w:pStyle w:val="8"/>
            <w:tabs>
              <w:tab w:val="right" w:leader="dot" w:pos="8844"/>
            </w:tabs>
          </w:pPr>
          <w:r>
            <w:rPr>
              <w:rFonts w:hint="eastAsia" w:ascii="仿宋_GB2312" w:eastAsia="仿宋_GB2312"/>
              <w:szCs w:val="32"/>
            </w:rPr>
            <w:fldChar w:fldCharType="begin"/>
          </w:r>
          <w:r>
            <w:rPr>
              <w:rFonts w:hint="eastAsia" w:ascii="仿宋_GB2312" w:eastAsia="仿宋_GB2312"/>
              <w:szCs w:val="32"/>
            </w:rPr>
            <w:instrText xml:space="preserve"> HYPERLINK \l _Toc2682 </w:instrText>
          </w:r>
          <w:r>
            <w:rPr>
              <w:rFonts w:hint="eastAsia" w:ascii="仿宋_GB2312" w:eastAsia="仿宋_GB2312"/>
              <w:szCs w:val="32"/>
            </w:rPr>
            <w:fldChar w:fldCharType="separate"/>
          </w:r>
          <w:r>
            <w:rPr>
              <w:rFonts w:hint="eastAsia" w:ascii="黑体" w:hAnsi="黑体" w:eastAsia="黑体" w:cs="Times New Roman"/>
              <w:szCs w:val="44"/>
              <w:lang w:val="en-US" w:eastAsia="zh-CN"/>
            </w:rPr>
            <w:t>第四部分 附表</w:t>
          </w:r>
          <w:r>
            <w:tab/>
          </w:r>
          <w:r>
            <w:fldChar w:fldCharType="begin"/>
          </w:r>
          <w:r>
            <w:instrText xml:space="preserve"> PAGEREF _Toc2682 \h </w:instrText>
          </w:r>
          <w:r>
            <w:fldChar w:fldCharType="separate"/>
          </w:r>
          <w:r>
            <w:t>12</w:t>
          </w:r>
          <w:r>
            <w:fldChar w:fldCharType="end"/>
          </w:r>
          <w:r>
            <w:rPr>
              <w:rFonts w:hint="eastAsia" w:ascii="仿宋_GB2312" w:eastAsia="仿宋_GB2312"/>
              <w:szCs w:val="32"/>
            </w:rPr>
            <w:fldChar w:fldCharType="end"/>
          </w:r>
        </w:p>
        <w:p w14:paraId="04EC3AA6">
          <w:pPr>
            <w:pStyle w:val="9"/>
            <w:tabs>
              <w:tab w:val="right" w:leader="dot" w:pos="8844"/>
            </w:tabs>
          </w:pPr>
          <w:r>
            <w:rPr>
              <w:rFonts w:hint="eastAsia" w:ascii="仿宋_GB2312" w:eastAsia="仿宋_GB2312"/>
              <w:szCs w:val="32"/>
            </w:rPr>
            <w:fldChar w:fldCharType="begin"/>
          </w:r>
          <w:r>
            <w:rPr>
              <w:rFonts w:hint="eastAsia" w:ascii="仿宋_GB2312" w:eastAsia="仿宋_GB2312"/>
              <w:szCs w:val="32"/>
            </w:rPr>
            <w:instrText xml:space="preserve"> HYPERLINK \l _Toc3362 </w:instrText>
          </w:r>
          <w:r>
            <w:rPr>
              <w:rFonts w:hint="eastAsia" w:ascii="仿宋_GB2312" w:eastAsia="仿宋_GB2312"/>
              <w:szCs w:val="32"/>
            </w:rPr>
            <w:fldChar w:fldCharType="separate"/>
          </w:r>
          <w:r>
            <w:rPr>
              <w:rFonts w:hint="eastAsia" w:ascii="仿宋" w:hAnsi="仿宋" w:eastAsia="仿宋" w:cs="仿宋"/>
              <w:bCs/>
              <w:lang w:val="en-US" w:eastAsia="zh-CN"/>
            </w:rPr>
            <w:t>一、收入支出决算总表</w:t>
          </w:r>
          <w:r>
            <w:tab/>
          </w:r>
          <w:r>
            <w:fldChar w:fldCharType="begin"/>
          </w:r>
          <w:r>
            <w:instrText xml:space="preserve"> PAGEREF _Toc3362 \h </w:instrText>
          </w:r>
          <w:r>
            <w:fldChar w:fldCharType="separate"/>
          </w:r>
          <w:r>
            <w:t>12</w:t>
          </w:r>
          <w:r>
            <w:fldChar w:fldCharType="end"/>
          </w:r>
          <w:r>
            <w:rPr>
              <w:rFonts w:hint="eastAsia" w:ascii="仿宋_GB2312" w:eastAsia="仿宋_GB2312"/>
              <w:szCs w:val="32"/>
            </w:rPr>
            <w:fldChar w:fldCharType="end"/>
          </w:r>
        </w:p>
        <w:p w14:paraId="3904D356">
          <w:pPr>
            <w:pStyle w:val="9"/>
            <w:tabs>
              <w:tab w:val="right" w:leader="dot" w:pos="8844"/>
            </w:tabs>
          </w:pPr>
          <w:r>
            <w:rPr>
              <w:rFonts w:hint="eastAsia" w:ascii="仿宋_GB2312" w:eastAsia="仿宋_GB2312"/>
              <w:szCs w:val="32"/>
            </w:rPr>
            <w:fldChar w:fldCharType="begin"/>
          </w:r>
          <w:r>
            <w:rPr>
              <w:rFonts w:hint="eastAsia" w:ascii="仿宋_GB2312" w:eastAsia="仿宋_GB2312"/>
              <w:szCs w:val="32"/>
            </w:rPr>
            <w:instrText xml:space="preserve"> HYPERLINK \l _Toc14046 </w:instrText>
          </w:r>
          <w:r>
            <w:rPr>
              <w:rFonts w:hint="eastAsia" w:ascii="仿宋_GB2312" w:eastAsia="仿宋_GB2312"/>
              <w:szCs w:val="32"/>
            </w:rPr>
            <w:fldChar w:fldCharType="separate"/>
          </w:r>
          <w:r>
            <w:rPr>
              <w:rFonts w:hint="eastAsia" w:ascii="仿宋" w:hAnsi="仿宋" w:eastAsia="仿宋" w:cs="仿宋"/>
              <w:bCs/>
              <w:lang w:val="en-US" w:eastAsia="zh-CN"/>
            </w:rPr>
            <w:t>二、收入决算表</w:t>
          </w:r>
          <w:r>
            <w:tab/>
          </w:r>
          <w:r>
            <w:fldChar w:fldCharType="begin"/>
          </w:r>
          <w:r>
            <w:instrText xml:space="preserve"> PAGEREF _Toc14046 \h </w:instrText>
          </w:r>
          <w:r>
            <w:fldChar w:fldCharType="separate"/>
          </w:r>
          <w:r>
            <w:t>12</w:t>
          </w:r>
          <w:r>
            <w:fldChar w:fldCharType="end"/>
          </w:r>
          <w:r>
            <w:rPr>
              <w:rFonts w:hint="eastAsia" w:ascii="仿宋_GB2312" w:eastAsia="仿宋_GB2312"/>
              <w:szCs w:val="32"/>
            </w:rPr>
            <w:fldChar w:fldCharType="end"/>
          </w:r>
        </w:p>
        <w:p w14:paraId="07255FFC">
          <w:pPr>
            <w:pStyle w:val="9"/>
            <w:tabs>
              <w:tab w:val="right" w:leader="dot" w:pos="8844"/>
            </w:tabs>
          </w:pPr>
          <w:r>
            <w:rPr>
              <w:rFonts w:hint="eastAsia" w:ascii="仿宋_GB2312" w:eastAsia="仿宋_GB2312"/>
              <w:szCs w:val="32"/>
            </w:rPr>
            <w:fldChar w:fldCharType="begin"/>
          </w:r>
          <w:r>
            <w:rPr>
              <w:rFonts w:hint="eastAsia" w:ascii="仿宋_GB2312" w:eastAsia="仿宋_GB2312"/>
              <w:szCs w:val="32"/>
            </w:rPr>
            <w:instrText xml:space="preserve"> HYPERLINK \l _Toc15106 </w:instrText>
          </w:r>
          <w:r>
            <w:rPr>
              <w:rFonts w:hint="eastAsia" w:ascii="仿宋_GB2312" w:eastAsia="仿宋_GB2312"/>
              <w:szCs w:val="32"/>
            </w:rPr>
            <w:fldChar w:fldCharType="separate"/>
          </w:r>
          <w:r>
            <w:rPr>
              <w:rFonts w:hint="eastAsia" w:ascii="仿宋" w:hAnsi="仿宋" w:eastAsia="仿宋" w:cs="仿宋"/>
              <w:bCs/>
              <w:lang w:val="en-US" w:eastAsia="zh-CN"/>
            </w:rPr>
            <w:t>三、支出决算表</w:t>
          </w:r>
          <w:r>
            <w:tab/>
          </w:r>
          <w:r>
            <w:fldChar w:fldCharType="begin"/>
          </w:r>
          <w:r>
            <w:instrText xml:space="preserve"> PAGEREF _Toc15106 \h </w:instrText>
          </w:r>
          <w:r>
            <w:fldChar w:fldCharType="separate"/>
          </w:r>
          <w:r>
            <w:t>12</w:t>
          </w:r>
          <w:r>
            <w:fldChar w:fldCharType="end"/>
          </w:r>
          <w:r>
            <w:rPr>
              <w:rFonts w:hint="eastAsia" w:ascii="仿宋_GB2312" w:eastAsia="仿宋_GB2312"/>
              <w:szCs w:val="32"/>
            </w:rPr>
            <w:fldChar w:fldCharType="end"/>
          </w:r>
        </w:p>
        <w:p w14:paraId="1F4779BD">
          <w:pPr>
            <w:pStyle w:val="9"/>
            <w:tabs>
              <w:tab w:val="right" w:leader="dot" w:pos="8844"/>
            </w:tabs>
          </w:pPr>
          <w:r>
            <w:rPr>
              <w:rFonts w:hint="eastAsia" w:ascii="仿宋_GB2312" w:eastAsia="仿宋_GB2312"/>
              <w:szCs w:val="32"/>
            </w:rPr>
            <w:fldChar w:fldCharType="begin"/>
          </w:r>
          <w:r>
            <w:rPr>
              <w:rFonts w:hint="eastAsia" w:ascii="仿宋_GB2312" w:eastAsia="仿宋_GB2312"/>
              <w:szCs w:val="32"/>
            </w:rPr>
            <w:instrText xml:space="preserve"> HYPERLINK \l _Toc10047 </w:instrText>
          </w:r>
          <w:r>
            <w:rPr>
              <w:rFonts w:hint="eastAsia" w:ascii="仿宋_GB2312" w:eastAsia="仿宋_GB2312"/>
              <w:szCs w:val="32"/>
            </w:rPr>
            <w:fldChar w:fldCharType="separate"/>
          </w:r>
          <w:r>
            <w:rPr>
              <w:rFonts w:hint="eastAsia" w:ascii="仿宋" w:hAnsi="仿宋" w:eastAsia="仿宋" w:cs="仿宋"/>
              <w:bCs/>
              <w:lang w:val="en-US" w:eastAsia="zh-CN"/>
            </w:rPr>
            <w:t>四、财政拨款收入支出决算总表</w:t>
          </w:r>
          <w:r>
            <w:tab/>
          </w:r>
          <w:r>
            <w:fldChar w:fldCharType="begin"/>
          </w:r>
          <w:r>
            <w:instrText xml:space="preserve"> PAGEREF _Toc10047 \h </w:instrText>
          </w:r>
          <w:r>
            <w:fldChar w:fldCharType="separate"/>
          </w:r>
          <w:r>
            <w:t>12</w:t>
          </w:r>
          <w:r>
            <w:fldChar w:fldCharType="end"/>
          </w:r>
          <w:r>
            <w:rPr>
              <w:rFonts w:hint="eastAsia" w:ascii="仿宋_GB2312" w:eastAsia="仿宋_GB2312"/>
              <w:szCs w:val="32"/>
            </w:rPr>
            <w:fldChar w:fldCharType="end"/>
          </w:r>
        </w:p>
        <w:p w14:paraId="13946F5A">
          <w:pPr>
            <w:pStyle w:val="9"/>
            <w:tabs>
              <w:tab w:val="right" w:leader="dot" w:pos="8844"/>
            </w:tabs>
          </w:pPr>
          <w:r>
            <w:rPr>
              <w:rFonts w:hint="eastAsia" w:ascii="仿宋_GB2312" w:eastAsia="仿宋_GB2312"/>
              <w:szCs w:val="32"/>
            </w:rPr>
            <w:fldChar w:fldCharType="begin"/>
          </w:r>
          <w:r>
            <w:rPr>
              <w:rFonts w:hint="eastAsia" w:ascii="仿宋_GB2312" w:eastAsia="仿宋_GB2312"/>
              <w:szCs w:val="32"/>
            </w:rPr>
            <w:instrText xml:space="preserve"> HYPERLINK \l _Toc17019 </w:instrText>
          </w:r>
          <w:r>
            <w:rPr>
              <w:rFonts w:hint="eastAsia" w:ascii="仿宋_GB2312" w:eastAsia="仿宋_GB2312"/>
              <w:szCs w:val="32"/>
            </w:rPr>
            <w:fldChar w:fldCharType="separate"/>
          </w:r>
          <w:r>
            <w:rPr>
              <w:rFonts w:hint="eastAsia" w:ascii="仿宋" w:hAnsi="仿宋" w:eastAsia="仿宋" w:cs="仿宋"/>
              <w:bCs/>
              <w:lang w:val="en-US" w:eastAsia="zh-CN"/>
            </w:rPr>
            <w:t>五、财政拨款支出决算明细表</w:t>
          </w:r>
          <w:r>
            <w:tab/>
          </w:r>
          <w:r>
            <w:fldChar w:fldCharType="begin"/>
          </w:r>
          <w:r>
            <w:instrText xml:space="preserve"> PAGEREF _Toc17019 \h </w:instrText>
          </w:r>
          <w:r>
            <w:fldChar w:fldCharType="separate"/>
          </w:r>
          <w:r>
            <w:t>12</w:t>
          </w:r>
          <w:r>
            <w:fldChar w:fldCharType="end"/>
          </w:r>
          <w:r>
            <w:rPr>
              <w:rFonts w:hint="eastAsia" w:ascii="仿宋_GB2312" w:eastAsia="仿宋_GB2312"/>
              <w:szCs w:val="32"/>
            </w:rPr>
            <w:fldChar w:fldCharType="end"/>
          </w:r>
        </w:p>
        <w:p w14:paraId="2B2BDB6D">
          <w:pPr>
            <w:pStyle w:val="9"/>
            <w:tabs>
              <w:tab w:val="right" w:leader="dot" w:pos="8844"/>
            </w:tabs>
          </w:pPr>
          <w:r>
            <w:rPr>
              <w:rFonts w:hint="eastAsia" w:ascii="仿宋_GB2312" w:eastAsia="仿宋_GB2312"/>
              <w:szCs w:val="32"/>
            </w:rPr>
            <w:fldChar w:fldCharType="begin"/>
          </w:r>
          <w:r>
            <w:rPr>
              <w:rFonts w:hint="eastAsia" w:ascii="仿宋_GB2312" w:eastAsia="仿宋_GB2312"/>
              <w:szCs w:val="32"/>
            </w:rPr>
            <w:instrText xml:space="preserve"> HYPERLINK \l _Toc13086 </w:instrText>
          </w:r>
          <w:r>
            <w:rPr>
              <w:rFonts w:hint="eastAsia" w:ascii="仿宋_GB2312" w:eastAsia="仿宋_GB2312"/>
              <w:szCs w:val="32"/>
            </w:rPr>
            <w:fldChar w:fldCharType="separate"/>
          </w:r>
          <w:r>
            <w:rPr>
              <w:rFonts w:hint="eastAsia" w:ascii="仿宋" w:hAnsi="仿宋" w:eastAsia="仿宋" w:cs="仿宋"/>
              <w:bCs/>
              <w:lang w:val="en-US" w:eastAsia="zh-CN"/>
            </w:rPr>
            <w:t>六、一般公共预算财政拨款支出决算表</w:t>
          </w:r>
          <w:r>
            <w:tab/>
          </w:r>
          <w:r>
            <w:fldChar w:fldCharType="begin"/>
          </w:r>
          <w:r>
            <w:instrText xml:space="preserve"> PAGEREF _Toc13086 \h </w:instrText>
          </w:r>
          <w:r>
            <w:fldChar w:fldCharType="separate"/>
          </w:r>
          <w:r>
            <w:t>12</w:t>
          </w:r>
          <w:r>
            <w:fldChar w:fldCharType="end"/>
          </w:r>
          <w:r>
            <w:rPr>
              <w:rFonts w:hint="eastAsia" w:ascii="仿宋_GB2312" w:eastAsia="仿宋_GB2312"/>
              <w:szCs w:val="32"/>
            </w:rPr>
            <w:fldChar w:fldCharType="end"/>
          </w:r>
        </w:p>
        <w:p w14:paraId="22D9C415">
          <w:pPr>
            <w:pStyle w:val="9"/>
            <w:tabs>
              <w:tab w:val="right" w:leader="dot" w:pos="8844"/>
            </w:tabs>
          </w:pPr>
          <w:r>
            <w:rPr>
              <w:rFonts w:hint="eastAsia" w:ascii="仿宋_GB2312" w:eastAsia="仿宋_GB2312"/>
              <w:szCs w:val="32"/>
            </w:rPr>
            <w:fldChar w:fldCharType="begin"/>
          </w:r>
          <w:r>
            <w:rPr>
              <w:rFonts w:hint="eastAsia" w:ascii="仿宋_GB2312" w:eastAsia="仿宋_GB2312"/>
              <w:szCs w:val="32"/>
            </w:rPr>
            <w:instrText xml:space="preserve"> HYPERLINK \l _Toc13214 </w:instrText>
          </w:r>
          <w:r>
            <w:rPr>
              <w:rFonts w:hint="eastAsia" w:ascii="仿宋_GB2312" w:eastAsia="仿宋_GB2312"/>
              <w:szCs w:val="32"/>
            </w:rPr>
            <w:fldChar w:fldCharType="separate"/>
          </w:r>
          <w:r>
            <w:rPr>
              <w:rFonts w:hint="eastAsia" w:ascii="仿宋" w:hAnsi="仿宋" w:eastAsia="仿宋" w:cs="仿宋"/>
              <w:bCs/>
              <w:lang w:val="en-US" w:eastAsia="zh-CN"/>
            </w:rPr>
            <w:t>七、一般公共预算财政拨款支出决算明细表</w:t>
          </w:r>
          <w:r>
            <w:tab/>
          </w:r>
          <w:r>
            <w:fldChar w:fldCharType="begin"/>
          </w:r>
          <w:r>
            <w:instrText xml:space="preserve"> PAGEREF _Toc13214 \h </w:instrText>
          </w:r>
          <w:r>
            <w:fldChar w:fldCharType="separate"/>
          </w:r>
          <w:r>
            <w:t>12</w:t>
          </w:r>
          <w:r>
            <w:fldChar w:fldCharType="end"/>
          </w:r>
          <w:r>
            <w:rPr>
              <w:rFonts w:hint="eastAsia" w:ascii="仿宋_GB2312" w:eastAsia="仿宋_GB2312"/>
              <w:szCs w:val="32"/>
            </w:rPr>
            <w:fldChar w:fldCharType="end"/>
          </w:r>
        </w:p>
        <w:p w14:paraId="791832F3">
          <w:pPr>
            <w:pStyle w:val="9"/>
            <w:tabs>
              <w:tab w:val="right" w:leader="dot" w:pos="8844"/>
            </w:tabs>
          </w:pPr>
          <w:r>
            <w:rPr>
              <w:rFonts w:hint="eastAsia" w:ascii="仿宋_GB2312" w:eastAsia="仿宋_GB2312"/>
              <w:szCs w:val="32"/>
            </w:rPr>
            <w:fldChar w:fldCharType="begin"/>
          </w:r>
          <w:r>
            <w:rPr>
              <w:rFonts w:hint="eastAsia" w:ascii="仿宋_GB2312" w:eastAsia="仿宋_GB2312"/>
              <w:szCs w:val="32"/>
            </w:rPr>
            <w:instrText xml:space="preserve"> HYPERLINK \l _Toc11924 </w:instrText>
          </w:r>
          <w:r>
            <w:rPr>
              <w:rFonts w:hint="eastAsia" w:ascii="仿宋_GB2312" w:eastAsia="仿宋_GB2312"/>
              <w:szCs w:val="32"/>
            </w:rPr>
            <w:fldChar w:fldCharType="separate"/>
          </w:r>
          <w:r>
            <w:rPr>
              <w:rFonts w:hint="eastAsia" w:ascii="仿宋" w:hAnsi="仿宋" w:eastAsia="仿宋" w:cs="仿宋"/>
              <w:bCs/>
              <w:lang w:val="en-US" w:eastAsia="zh-CN"/>
            </w:rPr>
            <w:t>八、一般公共预算财政拨款基本支出决算表</w:t>
          </w:r>
          <w:r>
            <w:tab/>
          </w:r>
          <w:r>
            <w:fldChar w:fldCharType="begin"/>
          </w:r>
          <w:r>
            <w:instrText xml:space="preserve"> PAGEREF _Toc11924 \h </w:instrText>
          </w:r>
          <w:r>
            <w:fldChar w:fldCharType="separate"/>
          </w:r>
          <w:r>
            <w:t>12</w:t>
          </w:r>
          <w:r>
            <w:fldChar w:fldCharType="end"/>
          </w:r>
          <w:r>
            <w:rPr>
              <w:rFonts w:hint="eastAsia" w:ascii="仿宋_GB2312" w:eastAsia="仿宋_GB2312"/>
              <w:szCs w:val="32"/>
            </w:rPr>
            <w:fldChar w:fldCharType="end"/>
          </w:r>
        </w:p>
        <w:p w14:paraId="40F1B559">
          <w:pPr>
            <w:pStyle w:val="9"/>
            <w:tabs>
              <w:tab w:val="right" w:leader="dot" w:pos="8844"/>
            </w:tabs>
          </w:pPr>
          <w:r>
            <w:rPr>
              <w:rFonts w:hint="eastAsia" w:ascii="仿宋_GB2312" w:eastAsia="仿宋_GB2312"/>
              <w:szCs w:val="32"/>
            </w:rPr>
            <w:fldChar w:fldCharType="begin"/>
          </w:r>
          <w:r>
            <w:rPr>
              <w:rFonts w:hint="eastAsia" w:ascii="仿宋_GB2312" w:eastAsia="仿宋_GB2312"/>
              <w:szCs w:val="32"/>
            </w:rPr>
            <w:instrText xml:space="preserve"> HYPERLINK \l _Toc11587 </w:instrText>
          </w:r>
          <w:r>
            <w:rPr>
              <w:rFonts w:hint="eastAsia" w:ascii="仿宋_GB2312" w:eastAsia="仿宋_GB2312"/>
              <w:szCs w:val="32"/>
            </w:rPr>
            <w:fldChar w:fldCharType="separate"/>
          </w:r>
          <w:r>
            <w:rPr>
              <w:rFonts w:hint="eastAsia" w:ascii="仿宋" w:hAnsi="仿宋" w:eastAsia="仿宋" w:cs="仿宋"/>
              <w:bCs/>
              <w:lang w:val="en-US" w:eastAsia="zh-CN"/>
            </w:rPr>
            <w:t>九、一般公共预算财政拨款项目支出决算表</w:t>
          </w:r>
          <w:r>
            <w:tab/>
          </w:r>
          <w:r>
            <w:fldChar w:fldCharType="begin"/>
          </w:r>
          <w:r>
            <w:instrText xml:space="preserve"> PAGEREF _Toc11587 \h </w:instrText>
          </w:r>
          <w:r>
            <w:fldChar w:fldCharType="separate"/>
          </w:r>
          <w:r>
            <w:t>12</w:t>
          </w:r>
          <w:r>
            <w:fldChar w:fldCharType="end"/>
          </w:r>
          <w:r>
            <w:rPr>
              <w:rFonts w:hint="eastAsia" w:ascii="仿宋_GB2312" w:eastAsia="仿宋_GB2312"/>
              <w:szCs w:val="32"/>
            </w:rPr>
            <w:fldChar w:fldCharType="end"/>
          </w:r>
        </w:p>
        <w:p w14:paraId="07C0E752">
          <w:pPr>
            <w:pStyle w:val="9"/>
            <w:tabs>
              <w:tab w:val="right" w:leader="dot" w:pos="8844"/>
            </w:tabs>
          </w:pPr>
          <w:r>
            <w:rPr>
              <w:rFonts w:hint="eastAsia" w:ascii="仿宋_GB2312" w:eastAsia="仿宋_GB2312"/>
              <w:szCs w:val="32"/>
            </w:rPr>
            <w:fldChar w:fldCharType="begin"/>
          </w:r>
          <w:r>
            <w:rPr>
              <w:rFonts w:hint="eastAsia" w:ascii="仿宋_GB2312" w:eastAsia="仿宋_GB2312"/>
              <w:szCs w:val="32"/>
            </w:rPr>
            <w:instrText xml:space="preserve"> HYPERLINK \l _Toc29616 </w:instrText>
          </w:r>
          <w:r>
            <w:rPr>
              <w:rFonts w:hint="eastAsia" w:ascii="仿宋_GB2312" w:eastAsia="仿宋_GB2312"/>
              <w:szCs w:val="32"/>
            </w:rPr>
            <w:fldChar w:fldCharType="separate"/>
          </w:r>
          <w:r>
            <w:rPr>
              <w:rFonts w:hint="eastAsia" w:ascii="仿宋" w:hAnsi="仿宋" w:eastAsia="仿宋" w:cs="仿宋"/>
              <w:bCs/>
              <w:lang w:val="en-US" w:eastAsia="zh-CN"/>
            </w:rPr>
            <w:t>十、政府性基金预算财政拨款收入支出决算表</w:t>
          </w:r>
          <w:r>
            <w:tab/>
          </w:r>
          <w:r>
            <w:fldChar w:fldCharType="begin"/>
          </w:r>
          <w:r>
            <w:instrText xml:space="preserve"> PAGEREF _Toc29616 \h </w:instrText>
          </w:r>
          <w:r>
            <w:fldChar w:fldCharType="separate"/>
          </w:r>
          <w:r>
            <w:t>12</w:t>
          </w:r>
          <w:r>
            <w:fldChar w:fldCharType="end"/>
          </w:r>
          <w:r>
            <w:rPr>
              <w:rFonts w:hint="eastAsia" w:ascii="仿宋_GB2312" w:eastAsia="仿宋_GB2312"/>
              <w:szCs w:val="32"/>
            </w:rPr>
            <w:fldChar w:fldCharType="end"/>
          </w:r>
        </w:p>
        <w:p w14:paraId="21223808">
          <w:pPr>
            <w:pStyle w:val="9"/>
            <w:tabs>
              <w:tab w:val="right" w:leader="dot" w:pos="8844"/>
            </w:tabs>
          </w:pPr>
          <w:r>
            <w:rPr>
              <w:rFonts w:hint="eastAsia" w:ascii="仿宋_GB2312" w:eastAsia="仿宋_GB2312"/>
              <w:szCs w:val="32"/>
            </w:rPr>
            <w:fldChar w:fldCharType="begin"/>
          </w:r>
          <w:r>
            <w:rPr>
              <w:rFonts w:hint="eastAsia" w:ascii="仿宋_GB2312" w:eastAsia="仿宋_GB2312"/>
              <w:szCs w:val="32"/>
            </w:rPr>
            <w:instrText xml:space="preserve"> HYPERLINK \l _Toc25966 </w:instrText>
          </w:r>
          <w:r>
            <w:rPr>
              <w:rFonts w:hint="eastAsia" w:ascii="仿宋_GB2312" w:eastAsia="仿宋_GB2312"/>
              <w:szCs w:val="32"/>
            </w:rPr>
            <w:fldChar w:fldCharType="separate"/>
          </w:r>
          <w:r>
            <w:rPr>
              <w:rFonts w:hint="eastAsia" w:ascii="仿宋" w:hAnsi="仿宋" w:eastAsia="仿宋" w:cs="仿宋"/>
              <w:bCs/>
              <w:lang w:val="en-US" w:eastAsia="zh-CN"/>
            </w:rPr>
            <w:t>十一、国有资本经营预算财政拨款收入支出决算表</w:t>
          </w:r>
          <w:r>
            <w:tab/>
          </w:r>
          <w:r>
            <w:fldChar w:fldCharType="begin"/>
          </w:r>
          <w:r>
            <w:instrText xml:space="preserve"> PAGEREF _Toc25966 \h </w:instrText>
          </w:r>
          <w:r>
            <w:fldChar w:fldCharType="separate"/>
          </w:r>
          <w:r>
            <w:t>12</w:t>
          </w:r>
          <w:r>
            <w:fldChar w:fldCharType="end"/>
          </w:r>
          <w:r>
            <w:rPr>
              <w:rFonts w:hint="eastAsia" w:ascii="仿宋_GB2312" w:eastAsia="仿宋_GB2312"/>
              <w:szCs w:val="32"/>
            </w:rPr>
            <w:fldChar w:fldCharType="end"/>
          </w:r>
        </w:p>
        <w:p w14:paraId="6FFABB75">
          <w:pPr>
            <w:pStyle w:val="9"/>
            <w:tabs>
              <w:tab w:val="right" w:leader="dot" w:pos="8844"/>
            </w:tabs>
          </w:pPr>
          <w:r>
            <w:rPr>
              <w:rFonts w:hint="eastAsia" w:ascii="仿宋_GB2312" w:eastAsia="仿宋_GB2312"/>
              <w:szCs w:val="32"/>
            </w:rPr>
            <w:fldChar w:fldCharType="begin"/>
          </w:r>
          <w:r>
            <w:rPr>
              <w:rFonts w:hint="eastAsia" w:ascii="仿宋_GB2312" w:eastAsia="仿宋_GB2312"/>
              <w:szCs w:val="32"/>
            </w:rPr>
            <w:instrText xml:space="preserve"> HYPERLINK \l _Toc23505 </w:instrText>
          </w:r>
          <w:r>
            <w:rPr>
              <w:rFonts w:hint="eastAsia" w:ascii="仿宋_GB2312" w:eastAsia="仿宋_GB2312"/>
              <w:szCs w:val="32"/>
            </w:rPr>
            <w:fldChar w:fldCharType="separate"/>
          </w:r>
          <w:r>
            <w:rPr>
              <w:rFonts w:hint="eastAsia" w:ascii="仿宋" w:hAnsi="仿宋" w:eastAsia="仿宋" w:cs="仿宋"/>
              <w:bCs/>
              <w:lang w:val="en-US" w:eastAsia="zh-CN"/>
            </w:rPr>
            <w:t>十二、国有资本经营预算财政拨款支出决算表</w:t>
          </w:r>
          <w:r>
            <w:tab/>
          </w:r>
          <w:r>
            <w:fldChar w:fldCharType="begin"/>
          </w:r>
          <w:r>
            <w:instrText xml:space="preserve"> PAGEREF _Toc23505 \h </w:instrText>
          </w:r>
          <w:r>
            <w:fldChar w:fldCharType="separate"/>
          </w:r>
          <w:r>
            <w:t>12</w:t>
          </w:r>
          <w:r>
            <w:fldChar w:fldCharType="end"/>
          </w:r>
          <w:r>
            <w:rPr>
              <w:rFonts w:hint="eastAsia" w:ascii="仿宋_GB2312" w:eastAsia="仿宋_GB2312"/>
              <w:szCs w:val="32"/>
            </w:rPr>
            <w:fldChar w:fldCharType="end"/>
          </w:r>
        </w:p>
        <w:p w14:paraId="1527BE9F">
          <w:pPr>
            <w:pStyle w:val="9"/>
            <w:tabs>
              <w:tab w:val="right" w:leader="dot" w:pos="8844"/>
            </w:tabs>
          </w:pPr>
          <w:r>
            <w:rPr>
              <w:rFonts w:hint="eastAsia" w:ascii="仿宋_GB2312" w:eastAsia="仿宋_GB2312"/>
              <w:szCs w:val="32"/>
            </w:rPr>
            <w:fldChar w:fldCharType="begin"/>
          </w:r>
          <w:r>
            <w:rPr>
              <w:rFonts w:hint="eastAsia" w:ascii="仿宋_GB2312" w:eastAsia="仿宋_GB2312"/>
              <w:szCs w:val="32"/>
            </w:rPr>
            <w:instrText xml:space="preserve"> HYPERLINK \l _Toc1478 </w:instrText>
          </w:r>
          <w:r>
            <w:rPr>
              <w:rFonts w:hint="eastAsia" w:ascii="仿宋_GB2312" w:eastAsia="仿宋_GB2312"/>
              <w:szCs w:val="32"/>
            </w:rPr>
            <w:fldChar w:fldCharType="separate"/>
          </w:r>
          <w:r>
            <w:rPr>
              <w:rFonts w:hint="eastAsia" w:ascii="仿宋" w:hAnsi="仿宋" w:eastAsia="仿宋" w:cs="仿宋"/>
              <w:bCs/>
              <w:lang w:val="en-US" w:eastAsia="zh-CN"/>
            </w:rPr>
            <w:t>十三、财政拨款“三公”经费支出决算表</w:t>
          </w:r>
          <w:r>
            <w:tab/>
          </w:r>
          <w:r>
            <w:fldChar w:fldCharType="begin"/>
          </w:r>
          <w:r>
            <w:instrText xml:space="preserve"> PAGEREF _Toc1478 \h </w:instrText>
          </w:r>
          <w:r>
            <w:fldChar w:fldCharType="separate"/>
          </w:r>
          <w:r>
            <w:t>12</w:t>
          </w:r>
          <w:r>
            <w:fldChar w:fldCharType="end"/>
          </w:r>
          <w:r>
            <w:rPr>
              <w:rFonts w:hint="eastAsia" w:ascii="仿宋_GB2312" w:eastAsia="仿宋_GB2312"/>
              <w:szCs w:val="32"/>
            </w:rPr>
            <w:fldChar w:fldCharType="end"/>
          </w:r>
        </w:p>
        <w:p w14:paraId="4CF97D4F">
          <w:pPr>
            <w:widowControl/>
            <w:tabs>
              <w:tab w:val="left" w:pos="1260"/>
              <w:tab w:val="left" w:pos="1680"/>
              <w:tab w:val="left" w:leader="middleDot" w:pos="8504"/>
            </w:tabs>
            <w:spacing w:line="576" w:lineRule="exact"/>
            <w:jc w:val="left"/>
            <w:rPr>
              <w:rFonts w:hint="eastAsia" w:ascii="仿宋_GB2312" w:hAnsi="Times New Roman" w:eastAsia="仿宋_GB2312" w:cs="Times New Roman"/>
              <w:kern w:val="2"/>
              <w:sz w:val="21"/>
              <w:szCs w:val="32"/>
              <w:lang w:val="en-US" w:eastAsia="zh-CN" w:bidi="ar-SA"/>
            </w:rPr>
          </w:pPr>
          <w:r>
            <w:rPr>
              <w:rFonts w:hint="eastAsia" w:ascii="仿宋_GB2312" w:eastAsia="仿宋_GB2312"/>
              <w:szCs w:val="32"/>
            </w:rPr>
            <w:fldChar w:fldCharType="end"/>
          </w:r>
        </w:p>
      </w:sdtContent>
    </w:sdt>
    <w:p w14:paraId="08F3BE44">
      <w:pPr>
        <w:widowControl/>
        <w:spacing w:line="600" w:lineRule="exact"/>
        <w:jc w:val="left"/>
        <w:rPr>
          <w:rFonts w:hint="eastAsia" w:ascii="仿宋_GB2312" w:eastAsia="仿宋_GB2312"/>
          <w:sz w:val="32"/>
          <w:szCs w:val="32"/>
        </w:rPr>
      </w:pPr>
    </w:p>
    <w:p w14:paraId="769C11C8">
      <w:pPr>
        <w:widowControl/>
        <w:spacing w:line="600" w:lineRule="exact"/>
        <w:jc w:val="center"/>
        <w:rPr>
          <w:rFonts w:hint="eastAsia" w:ascii="仿宋" w:hAnsi="仿宋" w:eastAsia="仿宋"/>
          <w:b/>
          <w:sz w:val="24"/>
          <w:szCs w:val="24"/>
        </w:rPr>
      </w:pPr>
      <w:r>
        <w:rPr>
          <w:rFonts w:hint="eastAsia" w:ascii="仿宋" w:hAnsi="仿宋" w:eastAsia="仿宋"/>
          <w:b/>
          <w:sz w:val="24"/>
          <w:szCs w:val="24"/>
        </w:rPr>
        <w:t xml:space="preserve"> </w:t>
      </w:r>
    </w:p>
    <w:p w14:paraId="0F519BCC">
      <w:pPr>
        <w:widowControl/>
        <w:jc w:val="left"/>
        <w:rPr>
          <w:rFonts w:ascii="仿宋" w:hAnsi="仿宋" w:eastAsia="仿宋" w:cs="宋体"/>
          <w:b/>
          <w:sz w:val="24"/>
          <w:szCs w:val="24"/>
        </w:rPr>
        <w:sectPr>
          <w:pgSz w:w="11906" w:h="16838"/>
          <w:pgMar w:top="2098" w:right="1474" w:bottom="1985" w:left="1588" w:header="851" w:footer="1531" w:gutter="0"/>
          <w:cols w:space="720" w:num="1"/>
          <w:titlePg/>
          <w:docGrid w:type="lines" w:linePitch="312" w:charSpace="0"/>
        </w:sectPr>
      </w:pPr>
    </w:p>
    <w:p w14:paraId="571C582B">
      <w:pPr>
        <w:pStyle w:val="3"/>
        <w:bidi w:val="0"/>
        <w:rPr>
          <w:rFonts w:hint="eastAsia"/>
        </w:rPr>
      </w:pPr>
      <w:bookmarkStart w:id="2" w:name="_Toc30023"/>
      <w:r>
        <w:rPr>
          <w:rFonts w:hint="eastAsia"/>
        </w:rPr>
        <w:t>第一部分 部门概况</w:t>
      </w:r>
      <w:bookmarkEnd w:id="2"/>
    </w:p>
    <w:p w14:paraId="47A7BE01">
      <w:pPr>
        <w:widowControl/>
        <w:spacing w:line="600" w:lineRule="exact"/>
        <w:ind w:firstLine="640" w:firstLineChars="200"/>
        <w:jc w:val="left"/>
        <w:rPr>
          <w:rFonts w:hint="eastAsia" w:ascii="仿宋_GB2312" w:eastAsia="仿宋_GB2312"/>
          <w:sz w:val="32"/>
          <w:szCs w:val="32"/>
        </w:rPr>
      </w:pPr>
      <w:r>
        <w:rPr>
          <w:rFonts w:hint="eastAsia" w:ascii="仿宋_GB2312" w:eastAsia="仿宋_GB2312"/>
          <w:sz w:val="32"/>
          <w:szCs w:val="32"/>
        </w:rPr>
        <w:t xml:space="preserve"> </w:t>
      </w:r>
    </w:p>
    <w:p w14:paraId="2E48C883">
      <w:pPr>
        <w:pStyle w:val="4"/>
        <w:bidi w:val="0"/>
        <w:rPr>
          <w:rFonts w:hint="eastAsia"/>
        </w:rPr>
      </w:pPr>
      <w:bookmarkStart w:id="3" w:name="_Toc1316"/>
      <w:r>
        <w:rPr>
          <w:rFonts w:hint="eastAsia"/>
        </w:rPr>
        <w:t>一、部门职责</w:t>
      </w:r>
      <w:bookmarkEnd w:id="3"/>
    </w:p>
    <w:p w14:paraId="603AC4B8">
      <w:pPr>
        <w:spacing w:line="600" w:lineRule="exact"/>
        <w:ind w:firstLine="480"/>
        <w:rPr>
          <w:rFonts w:hint="eastAsia" w:ascii="微软雅黑" w:hAnsi="微软雅黑" w:eastAsia="微软雅黑" w:cs="宋体"/>
          <w:kern w:val="0"/>
          <w:sz w:val="27"/>
          <w:szCs w:val="27"/>
        </w:rPr>
      </w:pPr>
      <w:r>
        <w:rPr>
          <w:rFonts w:hint="eastAsia" w:ascii="仿宋_GB2312" w:eastAsia="仿宋_GB2312" w:cs="宋体"/>
          <w:kern w:val="0"/>
          <w:sz w:val="32"/>
          <w:szCs w:val="32"/>
        </w:rPr>
        <w:t>1.统筹推进巩固脱贫攻坚成果同乡村振兴有效衔接工作。</w:t>
      </w:r>
    </w:p>
    <w:p w14:paraId="068C6EC4">
      <w:pPr>
        <w:widowControl/>
        <w:spacing w:line="600" w:lineRule="exact"/>
        <w:ind w:firstLine="480"/>
        <w:jc w:val="left"/>
        <w:rPr>
          <w:rFonts w:hint="eastAsia" w:ascii="微软雅黑" w:hAnsi="微软雅黑" w:eastAsia="微软雅黑" w:cs="宋体"/>
          <w:kern w:val="0"/>
          <w:sz w:val="27"/>
          <w:szCs w:val="27"/>
        </w:rPr>
      </w:pPr>
      <w:r>
        <w:rPr>
          <w:rFonts w:hint="eastAsia" w:ascii="仿宋_GB2312" w:eastAsia="仿宋_GB2312" w:cs="宋体"/>
          <w:kern w:val="0"/>
          <w:sz w:val="32"/>
          <w:szCs w:val="32"/>
        </w:rPr>
        <w:t>2.</w:t>
      </w:r>
      <w:r>
        <w:rPr>
          <w:rFonts w:hint="eastAsia" w:ascii="仿宋_GB2312" w:eastAsia="仿宋_GB2312" w:cs="宋体"/>
          <w:spacing w:val="-10"/>
          <w:kern w:val="0"/>
          <w:sz w:val="32"/>
          <w:szCs w:val="32"/>
        </w:rPr>
        <w:t>组织开展防止返贫监测和帮扶，牵头开展乡村振兴帮扶工作。</w:t>
      </w:r>
    </w:p>
    <w:p w14:paraId="3D980E8E">
      <w:pPr>
        <w:widowControl/>
        <w:spacing w:line="600" w:lineRule="exact"/>
        <w:ind w:firstLine="480"/>
        <w:jc w:val="left"/>
        <w:rPr>
          <w:rFonts w:hint="eastAsia" w:ascii="微软雅黑" w:hAnsi="微软雅黑" w:eastAsia="微软雅黑" w:cs="宋体"/>
          <w:kern w:val="0"/>
          <w:sz w:val="27"/>
          <w:szCs w:val="27"/>
        </w:rPr>
      </w:pPr>
      <w:r>
        <w:rPr>
          <w:rFonts w:hint="eastAsia" w:ascii="仿宋_GB2312" w:eastAsia="仿宋_GB2312" w:cs="宋体"/>
          <w:kern w:val="0"/>
          <w:sz w:val="32"/>
          <w:szCs w:val="32"/>
        </w:rPr>
        <w:t>3.牵头实施乡村建设行动。</w:t>
      </w:r>
    </w:p>
    <w:p w14:paraId="099679BA">
      <w:pPr>
        <w:widowControl/>
        <w:spacing w:line="600" w:lineRule="exact"/>
        <w:ind w:firstLine="480"/>
        <w:jc w:val="left"/>
        <w:rPr>
          <w:rFonts w:hint="eastAsia" w:ascii="微软雅黑" w:hAnsi="微软雅黑" w:eastAsia="微软雅黑" w:cs="宋体"/>
          <w:kern w:val="0"/>
          <w:sz w:val="27"/>
          <w:szCs w:val="27"/>
        </w:rPr>
      </w:pPr>
      <w:r>
        <w:rPr>
          <w:rFonts w:hint="eastAsia" w:ascii="仿宋_GB2312" w:eastAsia="仿宋_GB2312" w:cs="宋体"/>
          <w:kern w:val="0"/>
          <w:sz w:val="32"/>
          <w:szCs w:val="32"/>
        </w:rPr>
        <w:t>4.牵头推进农村人居环境整治工作。</w:t>
      </w:r>
    </w:p>
    <w:p w14:paraId="6467A830">
      <w:pPr>
        <w:widowControl/>
        <w:spacing w:line="600" w:lineRule="exact"/>
        <w:ind w:firstLine="480"/>
        <w:jc w:val="left"/>
        <w:rPr>
          <w:rFonts w:hint="eastAsia" w:ascii="微软雅黑" w:hAnsi="微软雅黑" w:eastAsia="微软雅黑" w:cs="宋体"/>
          <w:kern w:val="0"/>
          <w:sz w:val="27"/>
          <w:szCs w:val="27"/>
        </w:rPr>
      </w:pPr>
      <w:r>
        <w:rPr>
          <w:rFonts w:hint="eastAsia" w:ascii="仿宋_GB2312" w:eastAsia="仿宋_GB2312" w:cs="宋体"/>
          <w:kern w:val="0"/>
          <w:sz w:val="32"/>
          <w:szCs w:val="32"/>
        </w:rPr>
        <w:t>5.推动发展农村社会事业工作。</w:t>
      </w:r>
    </w:p>
    <w:p w14:paraId="73E84564">
      <w:pPr>
        <w:widowControl/>
        <w:spacing w:line="600" w:lineRule="exact"/>
        <w:ind w:firstLine="480"/>
        <w:jc w:val="left"/>
        <w:rPr>
          <w:rFonts w:hint="eastAsia" w:ascii="微软雅黑" w:hAnsi="微软雅黑" w:eastAsia="微软雅黑" w:cs="宋体"/>
          <w:kern w:val="0"/>
          <w:sz w:val="27"/>
          <w:szCs w:val="27"/>
        </w:rPr>
      </w:pPr>
      <w:r>
        <w:rPr>
          <w:rFonts w:hint="eastAsia" w:ascii="仿宋_GB2312" w:eastAsia="仿宋_GB2312" w:cs="宋体"/>
          <w:kern w:val="0"/>
          <w:sz w:val="32"/>
          <w:szCs w:val="32"/>
        </w:rPr>
        <w:t>6.协调推进乡村治理体系建设。</w:t>
      </w:r>
    </w:p>
    <w:p w14:paraId="76E832E8">
      <w:pPr>
        <w:widowControl/>
        <w:spacing w:line="600" w:lineRule="exact"/>
        <w:ind w:firstLine="480"/>
        <w:jc w:val="left"/>
        <w:rPr>
          <w:rFonts w:hint="eastAsia" w:ascii="微软雅黑" w:hAnsi="微软雅黑" w:eastAsia="微软雅黑" w:cs="宋体"/>
          <w:kern w:val="0"/>
          <w:sz w:val="27"/>
          <w:szCs w:val="27"/>
        </w:rPr>
      </w:pPr>
      <w:r>
        <w:rPr>
          <w:rFonts w:hint="eastAsia" w:ascii="仿宋_GB2312" w:eastAsia="仿宋_GB2312" w:cs="宋体"/>
          <w:kern w:val="0"/>
          <w:sz w:val="32"/>
          <w:szCs w:val="32"/>
        </w:rPr>
        <w:t>7.牵头开展东西部协作工作。</w:t>
      </w:r>
    </w:p>
    <w:p w14:paraId="1DD4A2F1">
      <w:pPr>
        <w:spacing w:line="600" w:lineRule="exact"/>
        <w:ind w:firstLine="480"/>
        <w:rPr>
          <w:rFonts w:hint="eastAsia" w:ascii="仿宋_GB2312" w:eastAsia="仿宋_GB2312" w:cs="宋体"/>
          <w:kern w:val="0"/>
          <w:sz w:val="32"/>
          <w:szCs w:val="32"/>
        </w:rPr>
      </w:pPr>
      <w:r>
        <w:rPr>
          <w:rFonts w:hint="eastAsia" w:ascii="仿宋_GB2312" w:eastAsia="仿宋_GB2312" w:cs="宋体"/>
          <w:kern w:val="0"/>
          <w:sz w:val="32"/>
          <w:szCs w:val="32"/>
        </w:rPr>
        <w:t>8.负责易地扶贫搬迁中“掉边掉角”户搬迁扶持工作。</w:t>
      </w:r>
    </w:p>
    <w:p w14:paraId="477D1774">
      <w:pPr>
        <w:spacing w:line="600" w:lineRule="exact"/>
        <w:ind w:firstLine="480"/>
        <w:rPr>
          <w:rFonts w:hint="eastAsia" w:ascii="仿宋_GB2312" w:eastAsia="仿宋_GB2312"/>
          <w:sz w:val="32"/>
          <w:szCs w:val="32"/>
        </w:rPr>
      </w:pPr>
      <w:r>
        <w:rPr>
          <w:rFonts w:hint="eastAsia" w:ascii="仿宋_GB2312" w:eastAsia="仿宋_GB2312"/>
          <w:sz w:val="32"/>
          <w:szCs w:val="32"/>
        </w:rPr>
        <w:t>9.承办市政府交办的其他事项。</w:t>
      </w:r>
    </w:p>
    <w:p w14:paraId="5FA8EC13">
      <w:pPr>
        <w:pStyle w:val="4"/>
        <w:bidi w:val="0"/>
        <w:rPr>
          <w:rFonts w:hint="eastAsia"/>
        </w:rPr>
      </w:pPr>
      <w:bookmarkStart w:id="4" w:name="_Toc15125"/>
      <w:r>
        <w:rPr>
          <w:rFonts w:hint="eastAsia"/>
        </w:rPr>
        <w:t>二、机构设置</w:t>
      </w:r>
      <w:bookmarkEnd w:id="4"/>
    </w:p>
    <w:p w14:paraId="3E401DD6">
      <w:pPr>
        <w:widowControl/>
        <w:spacing w:line="600" w:lineRule="exact"/>
        <w:ind w:firstLine="640" w:firstLineChars="200"/>
        <w:jc w:val="left"/>
        <w:rPr>
          <w:rFonts w:hint="eastAsia" w:ascii="仿宋_GB2312" w:eastAsia="仿宋_GB2312"/>
          <w:sz w:val="32"/>
          <w:szCs w:val="32"/>
        </w:rPr>
      </w:pPr>
      <w:r>
        <w:rPr>
          <w:rFonts w:hint="eastAsia" w:ascii="仿宋_GB2312" w:eastAsia="仿宋_GB2312"/>
          <w:sz w:val="32"/>
          <w:szCs w:val="32"/>
        </w:rPr>
        <w:t>广元市乡村振兴局下属二级单位1个，其中行政单位0个，参照公务员法管理的事业单位0个，其他事业单位1个。</w:t>
      </w:r>
    </w:p>
    <w:p w14:paraId="05025E0D">
      <w:pPr>
        <w:spacing w:line="600" w:lineRule="exact"/>
        <w:ind w:firstLine="640" w:firstLineChars="200"/>
        <w:rPr>
          <w:rFonts w:hint="eastAsia" w:ascii="仿宋_GB2312" w:eastAsia="仿宋_GB2312"/>
          <w:sz w:val="32"/>
          <w:szCs w:val="32"/>
        </w:rPr>
      </w:pPr>
      <w:r>
        <w:rPr>
          <w:rFonts w:hint="eastAsia" w:ascii="仿宋_GB2312" w:eastAsia="仿宋_GB2312"/>
          <w:sz w:val="32"/>
          <w:szCs w:val="32"/>
        </w:rPr>
        <w:t>无纳入2024年度部门决算编制范围的二级预算单位。</w:t>
      </w:r>
    </w:p>
    <w:p w14:paraId="4C3A471F">
      <w:pPr>
        <w:pStyle w:val="3"/>
        <w:bidi w:val="0"/>
        <w:rPr>
          <w:rFonts w:hint="eastAsia" w:ascii="方正小标宋简体" w:eastAsia="方正小标宋简体"/>
          <w:sz w:val="32"/>
          <w:szCs w:val="32"/>
        </w:rPr>
      </w:pPr>
      <w:r>
        <w:rPr>
          <w:rFonts w:hint="eastAsia" w:ascii="方正小标宋简体" w:eastAsia="方正小标宋简体"/>
          <w:sz w:val="32"/>
          <w:szCs w:val="32"/>
        </w:rPr>
        <w:br w:type="page"/>
      </w:r>
      <w:bookmarkStart w:id="5" w:name="_Toc26968"/>
      <w:r>
        <w:rPr>
          <w:rFonts w:hint="eastAsia" w:ascii="黑体" w:hAnsi="黑体" w:eastAsia="黑体"/>
          <w:sz w:val="44"/>
          <w:szCs w:val="44"/>
        </w:rPr>
        <w:t>第二部分  2024年度部门决算情况说明</w:t>
      </w:r>
      <w:bookmarkEnd w:id="5"/>
    </w:p>
    <w:p w14:paraId="0753F492">
      <w:pPr>
        <w:keepNext w:val="0"/>
        <w:keepLines w:val="0"/>
        <w:pageBreakBefore w:val="0"/>
        <w:widowControl/>
        <w:kinsoku/>
        <w:wordWrap/>
        <w:overflowPunct/>
        <w:topLinePunct w:val="0"/>
        <w:autoSpaceDE/>
        <w:autoSpaceDN/>
        <w:bidi w:val="0"/>
        <w:adjustRightInd/>
        <w:snapToGrid/>
        <w:spacing w:line="576" w:lineRule="exact"/>
        <w:ind w:firstLine="640" w:firstLineChars="200"/>
        <w:jc w:val="left"/>
        <w:textAlignment w:val="auto"/>
        <w:rPr>
          <w:rFonts w:hint="eastAsia" w:ascii="仿宋_GB2312" w:eastAsia="仿宋_GB2312"/>
          <w:sz w:val="32"/>
          <w:szCs w:val="32"/>
        </w:rPr>
      </w:pPr>
      <w:r>
        <w:rPr>
          <w:rFonts w:hint="eastAsia" w:ascii="仿宋_GB2312" w:eastAsia="仿宋_GB2312"/>
          <w:sz w:val="32"/>
          <w:szCs w:val="32"/>
        </w:rPr>
        <w:t xml:space="preserve"> </w:t>
      </w:r>
    </w:p>
    <w:p w14:paraId="45D58C20">
      <w:pPr>
        <w:pStyle w:val="4"/>
        <w:pageBreakBefore w:val="0"/>
        <w:kinsoku/>
        <w:wordWrap/>
        <w:overflowPunct/>
        <w:topLinePunct w:val="0"/>
        <w:autoSpaceDE/>
        <w:autoSpaceDN/>
        <w:bidi w:val="0"/>
        <w:adjustRightInd/>
        <w:snapToGrid/>
        <w:spacing w:before="0" w:after="0" w:line="576" w:lineRule="exact"/>
        <w:textAlignment w:val="auto"/>
        <w:rPr>
          <w:rFonts w:hint="eastAsia"/>
        </w:rPr>
      </w:pPr>
      <w:bookmarkStart w:id="6" w:name="_Toc11323"/>
      <w:r>
        <w:rPr>
          <w:rFonts w:hint="eastAsia"/>
        </w:rPr>
        <w:t>一、收入支出决算总体情况说明</w:t>
      </w:r>
      <w:bookmarkEnd w:id="6"/>
    </w:p>
    <w:p w14:paraId="5C0D9A2C">
      <w:pPr>
        <w:pageBreakBefore w:val="0"/>
        <w:kinsoku/>
        <w:wordWrap/>
        <w:overflowPunct/>
        <w:topLinePunct w:val="0"/>
        <w:autoSpaceDE/>
        <w:autoSpaceDN/>
        <w:bidi w:val="0"/>
        <w:adjustRightInd/>
        <w:snapToGrid/>
        <w:spacing w:line="576" w:lineRule="exact"/>
        <w:ind w:firstLine="640" w:firstLineChars="200"/>
        <w:textAlignment w:val="auto"/>
        <w:rPr>
          <w:rFonts w:hint="eastAsia" w:ascii="仿宋" w:hAnsi="仿宋" w:eastAsia="仿宋"/>
          <w:sz w:val="32"/>
          <w:szCs w:val="32"/>
        </w:rPr>
      </w:pPr>
      <w:r>
        <w:rPr>
          <w:rFonts w:hint="eastAsia" w:ascii="仿宋" w:hAnsi="仿宋" w:eastAsia="仿宋"/>
          <w:sz w:val="32"/>
          <w:szCs w:val="32"/>
        </w:rPr>
        <w:t>2024年度收、支总计759.52万元。与2023年相比，收、支总计各减少581.62万元，减少43%。主要变动原因是机构改革资金划转到市农业农村局。</w:t>
      </w:r>
    </w:p>
    <w:p w14:paraId="1479FC75">
      <w:pPr>
        <w:spacing w:line="600" w:lineRule="exact"/>
        <w:jc w:val="center"/>
        <w:rPr>
          <w:rFonts w:hint="eastAsia" w:ascii="仿宋_GB2312" w:eastAsia="仿宋_GB2312"/>
          <w:sz w:val="32"/>
          <w:szCs w:val="32"/>
        </w:rPr>
      </w:pPr>
      <w:r>
        <w:rPr>
          <w:rFonts w:ascii="宋体" w:hAnsi="宋体" w:eastAsia="宋体" w:cs="宋体"/>
          <w:sz w:val="24"/>
          <w:szCs w:val="24"/>
        </w:rPr>
        <w:drawing>
          <wp:anchor distT="0" distB="0" distL="114300" distR="114300" simplePos="0" relativeHeight="251660288" behindDoc="0" locked="0" layoutInCell="1" allowOverlap="1">
            <wp:simplePos x="0" y="0"/>
            <wp:positionH relativeFrom="column">
              <wp:posOffset>188595</wp:posOffset>
            </wp:positionH>
            <wp:positionV relativeFrom="paragraph">
              <wp:posOffset>93980</wp:posOffset>
            </wp:positionV>
            <wp:extent cx="5061585" cy="1878330"/>
            <wp:effectExtent l="0" t="0" r="5715" b="7620"/>
            <wp:wrapTopAndBottom/>
            <wp:docPr id="7"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1" descr="IMG_256"/>
                    <pic:cNvPicPr>
                      <a:picLocks noChangeAspect="1"/>
                    </pic:cNvPicPr>
                  </pic:nvPicPr>
                  <pic:blipFill>
                    <a:blip r:embed="rId5"/>
                    <a:stretch>
                      <a:fillRect/>
                    </a:stretch>
                  </pic:blipFill>
                  <pic:spPr>
                    <a:xfrm>
                      <a:off x="0" y="0"/>
                      <a:ext cx="5061585" cy="1878330"/>
                    </a:xfrm>
                    <a:prstGeom prst="rect">
                      <a:avLst/>
                    </a:prstGeom>
                    <a:noFill/>
                    <a:ln w="9525">
                      <a:noFill/>
                    </a:ln>
                  </pic:spPr>
                </pic:pic>
              </a:graphicData>
            </a:graphic>
          </wp:anchor>
        </w:drawing>
      </w:r>
      <w:r>
        <w:rPr>
          <w:rFonts w:hint="eastAsia" w:ascii="仿宋_GB2312" w:eastAsia="仿宋_GB2312"/>
          <w:sz w:val="32"/>
          <w:szCs w:val="32"/>
        </w:rPr>
        <w:t>（图1：收、支决算总计变动情况图）</w:t>
      </w:r>
    </w:p>
    <w:p w14:paraId="2DC1C0EE">
      <w:pPr>
        <w:pStyle w:val="4"/>
        <w:pageBreakBefore w:val="0"/>
        <w:kinsoku/>
        <w:wordWrap/>
        <w:overflowPunct/>
        <w:topLinePunct w:val="0"/>
        <w:autoSpaceDE/>
        <w:autoSpaceDN/>
        <w:bidi w:val="0"/>
        <w:adjustRightInd/>
        <w:snapToGrid/>
        <w:spacing w:before="0" w:after="0" w:line="576" w:lineRule="exact"/>
        <w:textAlignment w:val="auto"/>
        <w:rPr>
          <w:rFonts w:hint="eastAsia"/>
        </w:rPr>
      </w:pPr>
      <w:bookmarkStart w:id="7" w:name="_Toc191"/>
      <w:r>
        <w:rPr>
          <w:rFonts w:hint="eastAsia"/>
        </w:rPr>
        <w:t>二、收入决算情况说明</w:t>
      </w:r>
      <w:bookmarkEnd w:id="7"/>
    </w:p>
    <w:p w14:paraId="3451E750">
      <w:pPr>
        <w:pageBreakBefore w:val="0"/>
        <w:widowControl/>
        <w:kinsoku/>
        <w:wordWrap/>
        <w:overflowPunct/>
        <w:topLinePunct w:val="0"/>
        <w:autoSpaceDE/>
        <w:autoSpaceDN/>
        <w:bidi w:val="0"/>
        <w:adjustRightInd/>
        <w:snapToGrid/>
        <w:spacing w:line="576" w:lineRule="exact"/>
        <w:ind w:firstLine="640" w:firstLineChars="200"/>
        <w:jc w:val="left"/>
        <w:textAlignment w:val="auto"/>
        <w:rPr>
          <w:rFonts w:hint="eastAsia" w:ascii="仿宋_GB2312" w:eastAsia="仿宋_GB2312"/>
          <w:sz w:val="32"/>
          <w:szCs w:val="32"/>
        </w:rPr>
      </w:pPr>
      <w:r>
        <w:rPr>
          <w:rFonts w:hint="eastAsia" w:ascii="仿宋_GB2312" w:eastAsia="仿宋_GB2312"/>
          <w:sz w:val="32"/>
          <w:szCs w:val="32"/>
        </w:rPr>
        <w:t>2024年本年收入合计759.52万元，其中：一般公共预算财政拨款收入759.52万元，占100%。</w:t>
      </w:r>
    </w:p>
    <w:p w14:paraId="7D855D46">
      <w:pPr>
        <w:widowControl/>
        <w:tabs>
          <w:tab w:val="left" w:pos="3742"/>
        </w:tabs>
        <w:spacing w:line="600" w:lineRule="exact"/>
        <w:ind w:left="0" w:leftChars="0" w:right="0" w:rightChars="0" w:firstLine="0" w:firstLineChars="0"/>
        <w:jc w:val="center"/>
        <w:rPr>
          <w:rFonts w:hint="eastAsia" w:ascii="仿宋_GB2312" w:eastAsia="仿宋_GB2312"/>
          <w:sz w:val="32"/>
          <w:szCs w:val="32"/>
        </w:rPr>
      </w:pPr>
      <w:r>
        <w:drawing>
          <wp:anchor distT="0" distB="0" distL="0" distR="0" simplePos="0" relativeHeight="251661312" behindDoc="0" locked="0" layoutInCell="1" allowOverlap="1">
            <wp:simplePos x="0" y="0"/>
            <wp:positionH relativeFrom="column">
              <wp:posOffset>784225</wp:posOffset>
            </wp:positionH>
            <wp:positionV relativeFrom="paragraph">
              <wp:posOffset>134620</wp:posOffset>
            </wp:positionV>
            <wp:extent cx="3740150" cy="2087245"/>
            <wp:effectExtent l="0" t="0" r="12700" b="8255"/>
            <wp:wrapTopAndBottom/>
            <wp:docPr id="1" name="图片 1" descr="C:\Users\ADMINI~1\AppData\Local\Temp\ksohtml7416\wps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C:\Users\ADMINI~1\AppData\Local\Temp\ksohtml7416\wps9.jpg"/>
                    <pic:cNvPicPr>
                      <a:picLocks noChangeAspect="1" noChangeArrowheads="1"/>
                    </pic:cNvPicPr>
                  </pic:nvPicPr>
                  <pic:blipFill>
                    <a:blip r:embed="rId6" cstate="print"/>
                    <a:srcRect/>
                    <a:stretch>
                      <a:fillRect/>
                    </a:stretch>
                  </pic:blipFill>
                  <pic:spPr>
                    <a:xfrm>
                      <a:off x="0" y="0"/>
                      <a:ext cx="3740150" cy="2087245"/>
                    </a:xfrm>
                    <a:prstGeom prst="rect">
                      <a:avLst/>
                    </a:prstGeom>
                    <a:noFill/>
                    <a:ln w="9525">
                      <a:noFill/>
                      <a:miter lim="800000"/>
                      <a:headEnd/>
                      <a:tailEnd/>
                    </a:ln>
                  </pic:spPr>
                </pic:pic>
              </a:graphicData>
            </a:graphic>
          </wp:anchor>
        </w:drawing>
      </w:r>
      <w:r>
        <w:rPr>
          <w:rFonts w:hint="eastAsia" w:ascii="仿宋_GB2312" w:eastAsia="仿宋_GB2312"/>
          <w:sz w:val="32"/>
          <w:szCs w:val="32"/>
        </w:rPr>
        <w:t>（图2：收入决算结构图）</w:t>
      </w:r>
    </w:p>
    <w:p w14:paraId="0099D378">
      <w:pPr>
        <w:pStyle w:val="4"/>
        <w:pageBreakBefore w:val="0"/>
        <w:kinsoku/>
        <w:wordWrap/>
        <w:overflowPunct/>
        <w:topLinePunct w:val="0"/>
        <w:autoSpaceDE/>
        <w:autoSpaceDN/>
        <w:bidi w:val="0"/>
        <w:adjustRightInd/>
        <w:snapToGrid/>
        <w:spacing w:before="0" w:after="0" w:line="576" w:lineRule="exact"/>
        <w:textAlignment w:val="auto"/>
        <w:rPr>
          <w:rFonts w:hint="eastAsia"/>
        </w:rPr>
      </w:pPr>
      <w:bookmarkStart w:id="8" w:name="_Toc22812"/>
      <w:r>
        <w:rPr>
          <w:rFonts w:hint="eastAsia"/>
        </w:rPr>
        <w:t>三、支出决算情况说明</w:t>
      </w:r>
      <w:bookmarkEnd w:id="8"/>
    </w:p>
    <w:p w14:paraId="0B79F7A8">
      <w:pPr>
        <w:pageBreakBefore w:val="0"/>
        <w:widowControl/>
        <w:kinsoku/>
        <w:wordWrap/>
        <w:overflowPunct/>
        <w:topLinePunct w:val="0"/>
        <w:autoSpaceDE/>
        <w:autoSpaceDN/>
        <w:bidi w:val="0"/>
        <w:adjustRightInd/>
        <w:snapToGrid/>
        <w:spacing w:line="576" w:lineRule="exact"/>
        <w:ind w:firstLine="640" w:firstLineChars="200"/>
        <w:jc w:val="left"/>
        <w:textAlignment w:val="auto"/>
        <w:rPr>
          <w:rFonts w:hint="eastAsia" w:ascii="仿宋_GB2312" w:eastAsia="仿宋_GB2312"/>
          <w:sz w:val="32"/>
          <w:szCs w:val="32"/>
        </w:rPr>
      </w:pPr>
      <w:r>
        <w:rPr>
          <w:rFonts w:hint="eastAsia" w:ascii="仿宋_GB2312" w:eastAsia="仿宋_GB2312"/>
          <w:sz w:val="32"/>
          <w:szCs w:val="32"/>
        </w:rPr>
        <w:t>202</w:t>
      </w:r>
      <w:r>
        <w:rPr>
          <w:rFonts w:hint="eastAsia" w:ascii="仿宋_GB2312" w:eastAsia="仿宋_GB2312"/>
          <w:sz w:val="32"/>
          <w:szCs w:val="32"/>
          <w:lang w:val="en-US" w:eastAsia="zh-CN"/>
        </w:rPr>
        <w:t>4</w:t>
      </w:r>
      <w:r>
        <w:rPr>
          <w:rFonts w:hint="eastAsia" w:ascii="仿宋_GB2312" w:eastAsia="仿宋_GB2312"/>
          <w:sz w:val="32"/>
          <w:szCs w:val="32"/>
        </w:rPr>
        <w:t xml:space="preserve">年本年支出合计759.52万元，其中：基本支出657.38万元，占86.55%；项目支出102.14万元，占13.45%。 </w:t>
      </w:r>
    </w:p>
    <w:p w14:paraId="2BCDD6AC">
      <w:pPr>
        <w:widowControl/>
        <w:spacing w:line="600" w:lineRule="exact"/>
        <w:ind w:left="0" w:leftChars="0" w:right="0" w:rightChars="0" w:firstLine="0" w:firstLineChars="0"/>
        <w:jc w:val="center"/>
        <w:rPr>
          <w:rFonts w:hint="eastAsia" w:ascii="仿宋_GB2312" w:eastAsia="仿宋_GB2312"/>
          <w:sz w:val="32"/>
          <w:szCs w:val="32"/>
        </w:rPr>
      </w:pPr>
      <w:r>
        <w:rPr>
          <w:rFonts w:ascii="宋体" w:hAnsi="宋体" w:eastAsia="宋体" w:cs="宋体"/>
          <w:sz w:val="24"/>
          <w:szCs w:val="24"/>
        </w:rPr>
        <w:drawing>
          <wp:anchor distT="0" distB="0" distL="114300" distR="114300" simplePos="0" relativeHeight="251663360" behindDoc="0" locked="0" layoutInCell="1" allowOverlap="1">
            <wp:simplePos x="0" y="0"/>
            <wp:positionH relativeFrom="column">
              <wp:posOffset>955040</wp:posOffset>
            </wp:positionH>
            <wp:positionV relativeFrom="paragraph">
              <wp:posOffset>138430</wp:posOffset>
            </wp:positionV>
            <wp:extent cx="3630295" cy="2369820"/>
            <wp:effectExtent l="0" t="0" r="8255" b="11430"/>
            <wp:wrapTopAndBottom/>
            <wp:docPr id="8" name="图片 2"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2" descr="IMG_256"/>
                    <pic:cNvPicPr>
                      <a:picLocks noChangeAspect="1"/>
                    </pic:cNvPicPr>
                  </pic:nvPicPr>
                  <pic:blipFill>
                    <a:blip r:embed="rId7"/>
                    <a:stretch>
                      <a:fillRect/>
                    </a:stretch>
                  </pic:blipFill>
                  <pic:spPr>
                    <a:xfrm>
                      <a:off x="0" y="0"/>
                      <a:ext cx="3630295" cy="2369820"/>
                    </a:xfrm>
                    <a:prstGeom prst="rect">
                      <a:avLst/>
                    </a:prstGeom>
                    <a:noFill/>
                    <a:ln w="9525">
                      <a:noFill/>
                    </a:ln>
                  </pic:spPr>
                </pic:pic>
              </a:graphicData>
            </a:graphic>
          </wp:anchor>
        </w:drawing>
      </w:r>
      <w:r>
        <w:rPr>
          <w:rFonts w:hint="eastAsia" w:ascii="仿宋_GB2312" w:eastAsia="仿宋_GB2312"/>
          <w:sz w:val="32"/>
          <w:szCs w:val="32"/>
        </w:rPr>
        <w:t>（图3：支出决算结构图）</w:t>
      </w:r>
    </w:p>
    <w:p w14:paraId="7E868D45">
      <w:pPr>
        <w:pStyle w:val="4"/>
        <w:pageBreakBefore w:val="0"/>
        <w:widowControl w:val="0"/>
        <w:kinsoku/>
        <w:wordWrap/>
        <w:overflowPunct/>
        <w:topLinePunct w:val="0"/>
        <w:autoSpaceDE/>
        <w:autoSpaceDN/>
        <w:bidi w:val="0"/>
        <w:adjustRightInd/>
        <w:snapToGrid/>
        <w:spacing w:before="0" w:after="0" w:line="576" w:lineRule="exact"/>
        <w:textAlignment w:val="auto"/>
        <w:rPr>
          <w:rFonts w:hint="eastAsia"/>
        </w:rPr>
      </w:pPr>
      <w:bookmarkStart w:id="9" w:name="_Toc1526"/>
      <w:r>
        <w:rPr>
          <w:rFonts w:hint="eastAsia"/>
        </w:rPr>
        <w:t>四、财政拨款收入支出决算总体情况说明</w:t>
      </w:r>
      <w:bookmarkEnd w:id="9"/>
    </w:p>
    <w:p w14:paraId="0F91173F">
      <w:pPr>
        <w:pageBreakBefore w:val="0"/>
        <w:widowControl w:val="0"/>
        <w:tabs>
          <w:tab w:val="left" w:pos="630"/>
        </w:tabs>
        <w:kinsoku/>
        <w:wordWrap/>
        <w:overflowPunct/>
        <w:topLinePunct w:val="0"/>
        <w:autoSpaceDE/>
        <w:autoSpaceDN/>
        <w:bidi w:val="0"/>
        <w:adjustRightInd/>
        <w:snapToGrid/>
        <w:spacing w:line="576" w:lineRule="exact"/>
        <w:ind w:firstLine="640" w:firstLineChars="200"/>
        <w:textAlignment w:val="auto"/>
        <w:rPr>
          <w:rFonts w:hint="eastAsia" w:ascii="仿宋_GB2312" w:eastAsia="仿宋_GB2312"/>
          <w:sz w:val="32"/>
          <w:szCs w:val="32"/>
        </w:rPr>
      </w:pPr>
      <w:r>
        <w:rPr>
          <w:rFonts w:hint="eastAsia" w:ascii="仿宋_GB2312" w:eastAsia="仿宋_GB2312"/>
          <w:sz w:val="32"/>
          <w:szCs w:val="32"/>
        </w:rPr>
        <w:t xml:space="preserve">2024年度财政拨款收、支总计均为759.52万元。与2023年相比，财政拨款收、支总计各减少581.62万元，减少43%。主要变动原因是机构改革资金划转到市农业农村局 。    </w:t>
      </w:r>
    </w:p>
    <w:p w14:paraId="510DC365">
      <w:pPr>
        <w:widowControl/>
        <w:spacing w:line="600" w:lineRule="exact"/>
        <w:ind w:left="0" w:leftChars="0" w:right="0" w:rightChars="0" w:firstLine="0" w:firstLineChars="0"/>
        <w:jc w:val="center"/>
        <w:rPr>
          <w:rFonts w:hint="eastAsia" w:ascii="仿宋_GB2312" w:eastAsia="仿宋_GB2312"/>
          <w:sz w:val="32"/>
          <w:szCs w:val="32"/>
        </w:rPr>
      </w:pPr>
      <w:r>
        <w:rPr>
          <w:rFonts w:ascii="宋体" w:hAnsi="宋体" w:eastAsia="宋体" w:cs="宋体"/>
          <w:sz w:val="24"/>
          <w:szCs w:val="24"/>
        </w:rPr>
        <w:drawing>
          <wp:anchor distT="0" distB="0" distL="114300" distR="114300" simplePos="0" relativeHeight="251662336" behindDoc="0" locked="0" layoutInCell="1" allowOverlap="1">
            <wp:simplePos x="0" y="0"/>
            <wp:positionH relativeFrom="column">
              <wp:posOffset>594360</wp:posOffset>
            </wp:positionH>
            <wp:positionV relativeFrom="paragraph">
              <wp:posOffset>80645</wp:posOffset>
            </wp:positionV>
            <wp:extent cx="4150360" cy="2591435"/>
            <wp:effectExtent l="0" t="0" r="2540" b="18415"/>
            <wp:wrapTopAndBottom/>
            <wp:docPr id="9" name="图片 3"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3" descr="IMG_256"/>
                    <pic:cNvPicPr>
                      <a:picLocks noChangeAspect="1"/>
                    </pic:cNvPicPr>
                  </pic:nvPicPr>
                  <pic:blipFill>
                    <a:blip r:embed="rId8"/>
                    <a:stretch>
                      <a:fillRect/>
                    </a:stretch>
                  </pic:blipFill>
                  <pic:spPr>
                    <a:xfrm>
                      <a:off x="0" y="0"/>
                      <a:ext cx="4150360" cy="2591435"/>
                    </a:xfrm>
                    <a:prstGeom prst="rect">
                      <a:avLst/>
                    </a:prstGeom>
                    <a:noFill/>
                    <a:ln w="9525">
                      <a:noFill/>
                    </a:ln>
                  </pic:spPr>
                </pic:pic>
              </a:graphicData>
            </a:graphic>
          </wp:anchor>
        </w:drawing>
      </w:r>
      <w:r>
        <w:rPr>
          <w:rFonts w:hint="eastAsia" w:ascii="仿宋_GB2312" w:eastAsia="仿宋_GB2312"/>
          <w:sz w:val="32"/>
          <w:szCs w:val="32"/>
        </w:rPr>
        <w:t>（图4：财政拨款收、支决算总计变动情况）</w:t>
      </w:r>
    </w:p>
    <w:p w14:paraId="723F9C26">
      <w:pPr>
        <w:pStyle w:val="4"/>
        <w:pageBreakBefore w:val="0"/>
        <w:kinsoku/>
        <w:wordWrap/>
        <w:overflowPunct/>
        <w:topLinePunct w:val="0"/>
        <w:autoSpaceDE/>
        <w:autoSpaceDN/>
        <w:bidi w:val="0"/>
        <w:adjustRightInd/>
        <w:snapToGrid/>
        <w:spacing w:before="0" w:after="0" w:line="576" w:lineRule="exact"/>
        <w:textAlignment w:val="auto"/>
        <w:rPr>
          <w:rFonts w:hint="eastAsia"/>
        </w:rPr>
      </w:pPr>
      <w:bookmarkStart w:id="10" w:name="_Toc30342"/>
      <w:r>
        <w:rPr>
          <w:rFonts w:hint="eastAsia"/>
        </w:rPr>
        <w:t>五、一般公共预算财政拨款支出决算情况说明</w:t>
      </w:r>
      <w:bookmarkEnd w:id="10"/>
    </w:p>
    <w:p w14:paraId="4632FE3B">
      <w:pPr>
        <w:pageBreakBefore w:val="0"/>
        <w:widowControl/>
        <w:kinsoku/>
        <w:wordWrap/>
        <w:overflowPunct/>
        <w:topLinePunct w:val="0"/>
        <w:autoSpaceDE/>
        <w:autoSpaceDN/>
        <w:bidi w:val="0"/>
        <w:adjustRightInd/>
        <w:snapToGrid/>
        <w:spacing w:line="576" w:lineRule="exact"/>
        <w:ind w:firstLine="643" w:firstLineChars="200"/>
        <w:jc w:val="left"/>
        <w:textAlignment w:val="auto"/>
        <w:rPr>
          <w:rFonts w:hint="eastAsia" w:ascii="楷体_GB2312" w:eastAsia="楷体_GB2312"/>
          <w:b/>
          <w:sz w:val="32"/>
          <w:szCs w:val="32"/>
        </w:rPr>
      </w:pPr>
      <w:r>
        <w:rPr>
          <w:rFonts w:hint="eastAsia" w:ascii="楷体_GB2312" w:eastAsia="楷体_GB2312"/>
          <w:b/>
          <w:sz w:val="32"/>
          <w:szCs w:val="32"/>
        </w:rPr>
        <w:t>（一）一般公共预算财政拨款支出决算总体情况</w:t>
      </w:r>
    </w:p>
    <w:p w14:paraId="0611A121">
      <w:pPr>
        <w:pageBreakBefore w:val="0"/>
        <w:widowControl/>
        <w:kinsoku/>
        <w:wordWrap/>
        <w:overflowPunct/>
        <w:topLinePunct w:val="0"/>
        <w:autoSpaceDE/>
        <w:autoSpaceDN/>
        <w:bidi w:val="0"/>
        <w:adjustRightInd/>
        <w:snapToGrid/>
        <w:spacing w:line="576" w:lineRule="exact"/>
        <w:ind w:firstLine="640" w:firstLineChars="200"/>
        <w:jc w:val="left"/>
        <w:textAlignment w:val="auto"/>
        <w:rPr>
          <w:rFonts w:hint="eastAsia" w:ascii="仿宋_GB2312" w:eastAsia="仿宋_GB2312"/>
          <w:sz w:val="32"/>
          <w:szCs w:val="32"/>
        </w:rPr>
      </w:pPr>
      <w:r>
        <w:rPr>
          <w:rFonts w:hint="eastAsia" w:ascii="仿宋_GB2312" w:eastAsia="仿宋_GB2312"/>
          <w:sz w:val="32"/>
          <w:szCs w:val="32"/>
        </w:rPr>
        <w:t>2024年一般公共预算财政拨款支出759.52万元，占本年</w:t>
      </w:r>
      <w:r>
        <w:rPr>
          <w:rFonts w:hint="eastAsia" w:ascii="仿宋_GB2312" w:eastAsia="仿宋_GB2312"/>
          <w:spacing w:val="4"/>
          <w:sz w:val="32"/>
          <w:szCs w:val="32"/>
        </w:rPr>
        <w:t>支出合计的100%。与2023年相比，一般公共预算财政拨款支出减少581.62万元，减少43%。主要变动原因是机构改革资金划转到市农业农村局。</w:t>
      </w:r>
    </w:p>
    <w:p w14:paraId="79E6E5FE">
      <w:pPr>
        <w:pageBreakBefore w:val="0"/>
        <w:widowControl/>
        <w:kinsoku/>
        <w:wordWrap/>
        <w:overflowPunct/>
        <w:topLinePunct w:val="0"/>
        <w:autoSpaceDE/>
        <w:autoSpaceDN/>
        <w:bidi w:val="0"/>
        <w:adjustRightInd/>
        <w:snapToGrid/>
        <w:spacing w:line="576" w:lineRule="exact"/>
        <w:ind w:firstLine="960" w:firstLineChars="400"/>
        <w:jc w:val="left"/>
        <w:textAlignment w:val="auto"/>
        <w:rPr>
          <w:rFonts w:hint="eastAsia" w:ascii="楷体_GB2312" w:eastAsia="楷体_GB2312"/>
          <w:b/>
          <w:spacing w:val="-6"/>
          <w:sz w:val="32"/>
          <w:szCs w:val="32"/>
        </w:rPr>
      </w:pPr>
      <w:r>
        <w:rPr>
          <w:rFonts w:ascii="宋体" w:hAnsi="宋体" w:eastAsia="宋体" w:cs="宋体"/>
          <w:sz w:val="24"/>
          <w:szCs w:val="24"/>
        </w:rPr>
        <w:drawing>
          <wp:anchor distT="0" distB="0" distL="114300" distR="114300" simplePos="0" relativeHeight="251665408" behindDoc="0" locked="0" layoutInCell="1" allowOverlap="1">
            <wp:simplePos x="0" y="0"/>
            <wp:positionH relativeFrom="column">
              <wp:posOffset>113030</wp:posOffset>
            </wp:positionH>
            <wp:positionV relativeFrom="paragraph">
              <wp:posOffset>212090</wp:posOffset>
            </wp:positionV>
            <wp:extent cx="5143500" cy="3073400"/>
            <wp:effectExtent l="0" t="0" r="0" b="12700"/>
            <wp:wrapTopAndBottom/>
            <wp:docPr id="4" name="图片 4"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IMG_256"/>
                    <pic:cNvPicPr>
                      <a:picLocks noChangeAspect="1"/>
                    </pic:cNvPicPr>
                  </pic:nvPicPr>
                  <pic:blipFill>
                    <a:blip r:embed="rId9"/>
                    <a:stretch>
                      <a:fillRect/>
                    </a:stretch>
                  </pic:blipFill>
                  <pic:spPr>
                    <a:xfrm>
                      <a:off x="0" y="0"/>
                      <a:ext cx="5143500" cy="3073400"/>
                    </a:xfrm>
                    <a:prstGeom prst="rect">
                      <a:avLst/>
                    </a:prstGeom>
                    <a:noFill/>
                    <a:ln w="9525">
                      <a:noFill/>
                    </a:ln>
                  </pic:spPr>
                </pic:pic>
              </a:graphicData>
            </a:graphic>
          </wp:anchor>
        </w:drawing>
      </w:r>
      <w:r>
        <w:rPr>
          <w:rFonts w:hint="eastAsia" w:ascii="仿宋_GB2312" w:eastAsia="仿宋_GB2312"/>
          <w:spacing w:val="-6"/>
          <w:sz w:val="32"/>
          <w:szCs w:val="32"/>
        </w:rPr>
        <w:t>图5：一般公共预算财政拨款支出决算变动情况）</w:t>
      </w:r>
    </w:p>
    <w:p w14:paraId="6263B04C">
      <w:pPr>
        <w:pageBreakBefore w:val="0"/>
        <w:widowControl/>
        <w:kinsoku/>
        <w:wordWrap/>
        <w:overflowPunct/>
        <w:topLinePunct w:val="0"/>
        <w:autoSpaceDE/>
        <w:autoSpaceDN/>
        <w:bidi w:val="0"/>
        <w:adjustRightInd/>
        <w:snapToGrid/>
        <w:spacing w:line="576" w:lineRule="exact"/>
        <w:ind w:firstLine="630" w:firstLineChars="196"/>
        <w:jc w:val="left"/>
        <w:textAlignment w:val="auto"/>
        <w:rPr>
          <w:rFonts w:hint="eastAsia" w:ascii="楷体_GB2312" w:eastAsia="楷体_GB2312"/>
          <w:b/>
          <w:sz w:val="32"/>
          <w:szCs w:val="32"/>
        </w:rPr>
      </w:pPr>
      <w:r>
        <w:rPr>
          <w:rFonts w:hint="eastAsia" w:ascii="楷体_GB2312" w:eastAsia="楷体_GB2312"/>
          <w:b/>
          <w:sz w:val="32"/>
          <w:szCs w:val="32"/>
        </w:rPr>
        <w:t>（二）一般公共预算财政拨款支出决算结构情况</w:t>
      </w:r>
    </w:p>
    <w:p w14:paraId="6E4E0307">
      <w:pPr>
        <w:pageBreakBefore w:val="0"/>
        <w:widowControl/>
        <w:kinsoku/>
        <w:wordWrap/>
        <w:overflowPunct/>
        <w:topLinePunct w:val="0"/>
        <w:autoSpaceDE/>
        <w:autoSpaceDN/>
        <w:bidi w:val="0"/>
        <w:adjustRightInd/>
        <w:snapToGrid/>
        <w:spacing w:line="576" w:lineRule="exact"/>
        <w:ind w:firstLine="640" w:firstLineChars="200"/>
        <w:jc w:val="left"/>
        <w:textAlignment w:val="auto"/>
        <w:rPr>
          <w:rFonts w:hint="eastAsia" w:ascii="仿宋_GB2312" w:eastAsia="仿宋_GB2312"/>
          <w:sz w:val="32"/>
          <w:szCs w:val="32"/>
        </w:rPr>
      </w:pPr>
      <w:r>
        <w:rPr>
          <w:rFonts w:hint="eastAsia" w:ascii="仿宋_GB2312" w:eastAsia="仿宋_GB2312"/>
          <w:sz w:val="32"/>
          <w:szCs w:val="32"/>
        </w:rPr>
        <w:t>2024年一般公共预算财政拨款支出759.52万元，主要用于以下方面</w:t>
      </w:r>
      <w:r>
        <w:rPr>
          <w:rFonts w:hint="eastAsia" w:ascii="仿宋_GB2312" w:eastAsia="仿宋_GB2312"/>
          <w:sz w:val="32"/>
          <w:szCs w:val="32"/>
          <w:lang w:eastAsia="zh-CN"/>
        </w:rPr>
        <w:t>：</w:t>
      </w:r>
      <w:r>
        <w:rPr>
          <w:rFonts w:hint="eastAsia" w:ascii="仿宋_GB2312" w:eastAsia="仿宋_GB2312"/>
          <w:sz w:val="32"/>
          <w:szCs w:val="32"/>
        </w:rPr>
        <w:t>社会保障和就业（类）支出52.94万元，占7%；卫生健康支出18.53万元，占2.4%；农林水支出645.79万元，占85%；住房保障支出42.26万元，占5.6%。</w:t>
      </w:r>
    </w:p>
    <w:p w14:paraId="6D4961D1">
      <w:pPr>
        <w:widowControl/>
        <w:spacing w:line="600" w:lineRule="exact"/>
        <w:ind w:left="0" w:leftChars="0" w:right="0" w:rightChars="0" w:firstLine="0" w:firstLineChars="0"/>
        <w:jc w:val="center"/>
        <w:rPr>
          <w:rFonts w:hint="eastAsia" w:ascii="仿宋_GB2312" w:eastAsia="仿宋_GB2312"/>
          <w:sz w:val="32"/>
          <w:szCs w:val="32"/>
        </w:rPr>
      </w:pPr>
    </w:p>
    <w:p w14:paraId="106DC40B">
      <w:pPr>
        <w:widowControl/>
        <w:spacing w:line="600" w:lineRule="exact"/>
        <w:ind w:left="0" w:leftChars="0" w:right="0" w:rightChars="0" w:firstLine="0" w:firstLineChars="0"/>
        <w:jc w:val="center"/>
        <w:rPr>
          <w:rFonts w:hint="eastAsia" w:ascii="仿宋_GB2312" w:eastAsia="仿宋_GB2312"/>
          <w:sz w:val="32"/>
          <w:szCs w:val="32"/>
        </w:rPr>
      </w:pPr>
    </w:p>
    <w:p w14:paraId="03FE3513">
      <w:pPr>
        <w:widowControl/>
        <w:spacing w:line="600" w:lineRule="exact"/>
        <w:ind w:left="0" w:leftChars="0" w:right="0" w:rightChars="0" w:firstLine="0" w:firstLineChars="0"/>
        <w:jc w:val="center"/>
        <w:rPr>
          <w:rFonts w:hint="eastAsia" w:ascii="仿宋_GB2312" w:eastAsia="仿宋_GB2312"/>
          <w:sz w:val="32"/>
          <w:szCs w:val="32"/>
        </w:rPr>
      </w:pPr>
    </w:p>
    <w:p w14:paraId="02AA2408">
      <w:pPr>
        <w:pStyle w:val="2"/>
        <w:rPr>
          <w:rFonts w:hint="eastAsia" w:ascii="仿宋_GB2312" w:eastAsia="仿宋_GB2312"/>
          <w:sz w:val="32"/>
          <w:szCs w:val="32"/>
        </w:rPr>
      </w:pPr>
      <w:r>
        <w:rPr>
          <w:rFonts w:ascii="宋体" w:hAnsi="宋体" w:eastAsia="宋体" w:cs="宋体"/>
          <w:sz w:val="24"/>
          <w:szCs w:val="24"/>
        </w:rPr>
        <w:drawing>
          <wp:anchor distT="0" distB="0" distL="114300" distR="114300" simplePos="0" relativeHeight="251666432" behindDoc="0" locked="0" layoutInCell="1" allowOverlap="1">
            <wp:simplePos x="0" y="0"/>
            <wp:positionH relativeFrom="column">
              <wp:posOffset>210820</wp:posOffset>
            </wp:positionH>
            <wp:positionV relativeFrom="paragraph">
              <wp:posOffset>222250</wp:posOffset>
            </wp:positionV>
            <wp:extent cx="4898390" cy="3076575"/>
            <wp:effectExtent l="0" t="0" r="16510" b="9525"/>
            <wp:wrapNone/>
            <wp:docPr id="3"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descr="IMG_256"/>
                    <pic:cNvPicPr>
                      <a:picLocks noChangeAspect="1"/>
                    </pic:cNvPicPr>
                  </pic:nvPicPr>
                  <pic:blipFill>
                    <a:blip r:embed="rId10"/>
                    <a:stretch>
                      <a:fillRect/>
                    </a:stretch>
                  </pic:blipFill>
                  <pic:spPr>
                    <a:xfrm>
                      <a:off x="0" y="0"/>
                      <a:ext cx="4898390" cy="3076575"/>
                    </a:xfrm>
                    <a:prstGeom prst="rect">
                      <a:avLst/>
                    </a:prstGeom>
                    <a:noFill/>
                    <a:ln w="9525">
                      <a:noFill/>
                    </a:ln>
                  </pic:spPr>
                </pic:pic>
              </a:graphicData>
            </a:graphic>
          </wp:anchor>
        </w:drawing>
      </w:r>
    </w:p>
    <w:p w14:paraId="5E2408E1">
      <w:pPr>
        <w:rPr>
          <w:rFonts w:hint="eastAsia" w:ascii="仿宋_GB2312" w:eastAsia="仿宋_GB2312"/>
          <w:sz w:val="32"/>
          <w:szCs w:val="32"/>
        </w:rPr>
      </w:pPr>
    </w:p>
    <w:p w14:paraId="47673AF8">
      <w:pPr>
        <w:pStyle w:val="2"/>
        <w:rPr>
          <w:rFonts w:hint="eastAsia"/>
        </w:rPr>
      </w:pPr>
    </w:p>
    <w:p w14:paraId="68B0D980">
      <w:pPr>
        <w:widowControl/>
        <w:spacing w:line="600" w:lineRule="exact"/>
        <w:ind w:left="0" w:leftChars="0" w:right="0" w:rightChars="0" w:firstLine="0" w:firstLineChars="0"/>
        <w:jc w:val="center"/>
        <w:rPr>
          <w:rFonts w:hint="eastAsia" w:ascii="仿宋_GB2312" w:eastAsia="仿宋_GB2312"/>
          <w:sz w:val="32"/>
          <w:szCs w:val="32"/>
        </w:rPr>
      </w:pPr>
    </w:p>
    <w:p w14:paraId="0C80482E">
      <w:pPr>
        <w:widowControl/>
        <w:spacing w:line="600" w:lineRule="exact"/>
        <w:ind w:left="0" w:leftChars="0" w:right="0" w:rightChars="0" w:firstLine="0" w:firstLineChars="0"/>
        <w:jc w:val="center"/>
        <w:rPr>
          <w:rFonts w:hint="eastAsia" w:ascii="仿宋_GB2312" w:eastAsia="仿宋_GB2312"/>
          <w:sz w:val="32"/>
          <w:szCs w:val="32"/>
        </w:rPr>
      </w:pPr>
    </w:p>
    <w:p w14:paraId="67737B55">
      <w:pPr>
        <w:widowControl/>
        <w:spacing w:line="600" w:lineRule="exact"/>
        <w:ind w:left="0" w:leftChars="0" w:right="0" w:rightChars="0" w:firstLine="0" w:firstLineChars="0"/>
        <w:jc w:val="center"/>
        <w:rPr>
          <w:rFonts w:hint="eastAsia" w:ascii="仿宋_GB2312" w:eastAsia="仿宋_GB2312"/>
          <w:sz w:val="32"/>
          <w:szCs w:val="32"/>
        </w:rPr>
      </w:pPr>
    </w:p>
    <w:p w14:paraId="508BF531">
      <w:pPr>
        <w:widowControl/>
        <w:spacing w:line="600" w:lineRule="exact"/>
        <w:ind w:left="0" w:leftChars="0" w:right="0" w:rightChars="0" w:firstLine="0" w:firstLineChars="0"/>
        <w:jc w:val="center"/>
        <w:rPr>
          <w:rFonts w:hint="eastAsia" w:ascii="仿宋_GB2312" w:eastAsia="仿宋_GB2312"/>
          <w:sz w:val="32"/>
          <w:szCs w:val="32"/>
        </w:rPr>
      </w:pPr>
    </w:p>
    <w:p w14:paraId="0C8C4DE4">
      <w:pPr>
        <w:widowControl/>
        <w:spacing w:line="600" w:lineRule="exact"/>
        <w:ind w:left="0" w:leftChars="0" w:right="0" w:rightChars="0" w:firstLine="0" w:firstLineChars="0"/>
        <w:jc w:val="center"/>
        <w:rPr>
          <w:rFonts w:hint="eastAsia" w:ascii="仿宋_GB2312" w:eastAsia="仿宋_GB2312"/>
          <w:sz w:val="32"/>
          <w:szCs w:val="32"/>
        </w:rPr>
      </w:pPr>
    </w:p>
    <w:p w14:paraId="19228351">
      <w:pPr>
        <w:widowControl/>
        <w:spacing w:line="600" w:lineRule="exact"/>
        <w:ind w:left="0" w:leftChars="0" w:right="0" w:rightChars="0" w:firstLine="0" w:firstLineChars="0"/>
        <w:jc w:val="center"/>
        <w:rPr>
          <w:rFonts w:hint="eastAsia" w:ascii="仿宋_GB2312" w:eastAsia="仿宋_GB2312"/>
          <w:sz w:val="32"/>
          <w:szCs w:val="32"/>
        </w:rPr>
      </w:pPr>
    </w:p>
    <w:p w14:paraId="45FA9C72">
      <w:pPr>
        <w:pageBreakBefore w:val="0"/>
        <w:widowControl/>
        <w:kinsoku/>
        <w:wordWrap/>
        <w:overflowPunct/>
        <w:topLinePunct w:val="0"/>
        <w:autoSpaceDE/>
        <w:autoSpaceDN/>
        <w:bidi w:val="0"/>
        <w:adjustRightInd/>
        <w:snapToGrid/>
        <w:spacing w:line="576" w:lineRule="exact"/>
        <w:ind w:left="0" w:leftChars="0" w:right="0" w:rightChars="0" w:firstLine="0" w:firstLineChars="0"/>
        <w:jc w:val="center"/>
        <w:textAlignment w:val="auto"/>
        <w:rPr>
          <w:rFonts w:hint="eastAsia" w:ascii="仿宋_GB2312" w:eastAsia="仿宋_GB2312"/>
          <w:sz w:val="32"/>
          <w:szCs w:val="32"/>
        </w:rPr>
      </w:pPr>
      <w:r>
        <w:rPr>
          <w:rFonts w:hint="eastAsia" w:ascii="仿宋_GB2312" w:eastAsia="仿宋_GB2312"/>
          <w:sz w:val="32"/>
          <w:szCs w:val="32"/>
        </w:rPr>
        <w:t>（图6：一般公共预算财政拨款支出决算结构）</w:t>
      </w:r>
    </w:p>
    <w:p w14:paraId="263F47A4">
      <w:pPr>
        <w:pageBreakBefore w:val="0"/>
        <w:widowControl/>
        <w:kinsoku/>
        <w:wordWrap/>
        <w:overflowPunct/>
        <w:topLinePunct w:val="0"/>
        <w:autoSpaceDE/>
        <w:autoSpaceDN/>
        <w:bidi w:val="0"/>
        <w:adjustRightInd/>
        <w:snapToGrid/>
        <w:spacing w:line="576" w:lineRule="exact"/>
        <w:ind w:firstLine="643" w:firstLineChars="200"/>
        <w:jc w:val="left"/>
        <w:textAlignment w:val="auto"/>
        <w:rPr>
          <w:rFonts w:hint="eastAsia" w:ascii="楷体_GB2312" w:eastAsia="楷体_GB2312"/>
          <w:b/>
          <w:sz w:val="32"/>
          <w:szCs w:val="32"/>
        </w:rPr>
      </w:pPr>
      <w:r>
        <w:rPr>
          <w:rFonts w:hint="eastAsia" w:ascii="楷体_GB2312" w:eastAsia="楷体_GB2312"/>
          <w:b/>
          <w:sz w:val="32"/>
          <w:szCs w:val="32"/>
        </w:rPr>
        <w:t>（三）一般公共预算财政拨款支出决算具体情况</w:t>
      </w:r>
    </w:p>
    <w:p w14:paraId="5D866202">
      <w:pPr>
        <w:pageBreakBefore w:val="0"/>
        <w:widowControl/>
        <w:kinsoku/>
        <w:wordWrap/>
        <w:overflowPunct/>
        <w:topLinePunct w:val="0"/>
        <w:autoSpaceDE/>
        <w:autoSpaceDN/>
        <w:bidi w:val="0"/>
        <w:adjustRightInd/>
        <w:snapToGrid/>
        <w:spacing w:line="576" w:lineRule="exact"/>
        <w:ind w:firstLine="640" w:firstLineChars="200"/>
        <w:jc w:val="left"/>
        <w:textAlignment w:val="auto"/>
        <w:rPr>
          <w:rFonts w:hint="eastAsia" w:ascii="仿宋_GB2312" w:eastAsia="仿宋_GB2312"/>
          <w:sz w:val="32"/>
          <w:szCs w:val="32"/>
        </w:rPr>
      </w:pPr>
      <w:r>
        <w:rPr>
          <w:rFonts w:hint="eastAsia" w:ascii="仿宋_GB2312" w:eastAsia="仿宋_GB2312"/>
          <w:sz w:val="32"/>
          <w:szCs w:val="32"/>
        </w:rPr>
        <w:t>2024年一般公共预算支出决算数为759.52万元，完成预算100%。其中：</w:t>
      </w:r>
    </w:p>
    <w:p w14:paraId="3D6AA7BE">
      <w:pPr>
        <w:pageBreakBefore w:val="0"/>
        <w:widowControl/>
        <w:kinsoku/>
        <w:wordWrap/>
        <w:overflowPunct/>
        <w:topLinePunct w:val="0"/>
        <w:autoSpaceDE/>
        <w:autoSpaceDN/>
        <w:bidi w:val="0"/>
        <w:adjustRightInd/>
        <w:snapToGrid/>
        <w:spacing w:line="576" w:lineRule="exact"/>
        <w:ind w:firstLine="640" w:firstLineChars="200"/>
        <w:jc w:val="left"/>
        <w:textAlignment w:val="auto"/>
        <w:rPr>
          <w:rFonts w:hint="eastAsia" w:ascii="仿宋_GB2312" w:eastAsia="仿宋_GB2312"/>
          <w:sz w:val="32"/>
          <w:szCs w:val="32"/>
        </w:rPr>
      </w:pPr>
      <w:r>
        <w:rPr>
          <w:rFonts w:hint="eastAsia" w:ascii="仿宋_GB2312" w:eastAsia="仿宋_GB2312"/>
          <w:sz w:val="32"/>
          <w:szCs w:val="32"/>
        </w:rPr>
        <w:t>1.社会保障和就业（类）行政事业单位养老支出（款）机关事业单位基本养老保险缴费支出（项）</w:t>
      </w:r>
      <w:r>
        <w:rPr>
          <w:rFonts w:hint="eastAsia" w:ascii="仿宋_GB2312" w:eastAsia="仿宋_GB2312"/>
          <w:sz w:val="32"/>
          <w:szCs w:val="32"/>
          <w:lang w:eastAsia="zh-CN"/>
        </w:rPr>
        <w:t>：</w:t>
      </w:r>
      <w:r>
        <w:rPr>
          <w:rFonts w:hint="eastAsia" w:ascii="仿宋_GB2312" w:eastAsia="仿宋_GB2312"/>
          <w:sz w:val="32"/>
          <w:szCs w:val="32"/>
        </w:rPr>
        <w:t>支出决算为40.40万元，完成预算100%，决算数等于预算数的主要原因是已按规定完成年初预算。</w:t>
      </w:r>
    </w:p>
    <w:p w14:paraId="3A6AD65F">
      <w:pPr>
        <w:pageBreakBefore w:val="0"/>
        <w:widowControl/>
        <w:kinsoku/>
        <w:wordWrap/>
        <w:overflowPunct/>
        <w:topLinePunct w:val="0"/>
        <w:autoSpaceDE/>
        <w:autoSpaceDN/>
        <w:bidi w:val="0"/>
        <w:adjustRightInd/>
        <w:snapToGrid/>
        <w:spacing w:line="576" w:lineRule="exact"/>
        <w:ind w:firstLine="640" w:firstLineChars="200"/>
        <w:jc w:val="left"/>
        <w:textAlignment w:val="auto"/>
        <w:rPr>
          <w:rFonts w:hint="eastAsia" w:ascii="仿宋_GB2312" w:eastAsia="仿宋_GB2312"/>
          <w:sz w:val="32"/>
          <w:szCs w:val="32"/>
        </w:rPr>
      </w:pPr>
      <w:r>
        <w:rPr>
          <w:rFonts w:hint="eastAsia" w:ascii="仿宋_GB2312" w:eastAsia="仿宋_GB2312"/>
          <w:sz w:val="32"/>
          <w:szCs w:val="32"/>
        </w:rPr>
        <w:t>2.社会保障和就业（类）行政事业单位养老支出（款）机关事业单位职业年金缴费支出（项）</w:t>
      </w:r>
      <w:r>
        <w:rPr>
          <w:rFonts w:hint="eastAsia" w:ascii="仿宋_GB2312" w:eastAsia="仿宋_GB2312"/>
          <w:sz w:val="32"/>
          <w:szCs w:val="32"/>
          <w:lang w:eastAsia="zh-CN"/>
        </w:rPr>
        <w:t>：</w:t>
      </w:r>
      <w:r>
        <w:rPr>
          <w:rFonts w:hint="eastAsia" w:ascii="仿宋_GB2312" w:eastAsia="仿宋_GB2312"/>
          <w:sz w:val="32"/>
          <w:szCs w:val="32"/>
        </w:rPr>
        <w:t>支出决算为12.53万元，完成预算100%，决算数等于预算数的主要原因是已按规定完成年初预算。</w:t>
      </w:r>
    </w:p>
    <w:p w14:paraId="219D1A6B">
      <w:pPr>
        <w:pageBreakBefore w:val="0"/>
        <w:widowControl/>
        <w:kinsoku/>
        <w:wordWrap/>
        <w:overflowPunct/>
        <w:topLinePunct w:val="0"/>
        <w:autoSpaceDE/>
        <w:autoSpaceDN/>
        <w:bidi w:val="0"/>
        <w:adjustRightInd/>
        <w:snapToGrid/>
        <w:spacing w:line="576" w:lineRule="exact"/>
        <w:ind w:firstLine="640" w:firstLineChars="200"/>
        <w:jc w:val="left"/>
        <w:textAlignment w:val="auto"/>
        <w:rPr>
          <w:rFonts w:hint="eastAsia" w:ascii="仿宋_GB2312" w:eastAsia="仿宋_GB2312"/>
          <w:sz w:val="32"/>
          <w:szCs w:val="32"/>
        </w:rPr>
      </w:pPr>
      <w:r>
        <w:rPr>
          <w:rFonts w:hint="eastAsia" w:ascii="仿宋_GB2312" w:eastAsia="仿宋_GB2312"/>
          <w:sz w:val="32"/>
          <w:szCs w:val="32"/>
        </w:rPr>
        <w:t>3.卫生健康（类）行政事业单位医疗（款）行政单位医疗（项）</w:t>
      </w:r>
      <w:r>
        <w:rPr>
          <w:rFonts w:hint="eastAsia" w:ascii="仿宋_GB2312" w:eastAsia="仿宋_GB2312"/>
          <w:sz w:val="32"/>
          <w:szCs w:val="32"/>
          <w:lang w:eastAsia="zh-CN"/>
        </w:rPr>
        <w:t>：</w:t>
      </w:r>
      <w:r>
        <w:rPr>
          <w:rFonts w:hint="eastAsia" w:ascii="仿宋_GB2312" w:eastAsia="仿宋_GB2312"/>
          <w:sz w:val="32"/>
          <w:szCs w:val="32"/>
        </w:rPr>
        <w:t>支出决算为18.53万元，完成预算100%，决算数等于预算数的主要原因是已按规定完成年初预算。</w:t>
      </w:r>
    </w:p>
    <w:p w14:paraId="05D7E99D">
      <w:pPr>
        <w:pageBreakBefore w:val="0"/>
        <w:widowControl/>
        <w:kinsoku/>
        <w:wordWrap/>
        <w:overflowPunct/>
        <w:topLinePunct w:val="0"/>
        <w:autoSpaceDE/>
        <w:autoSpaceDN/>
        <w:bidi w:val="0"/>
        <w:adjustRightInd/>
        <w:snapToGrid/>
        <w:spacing w:line="576" w:lineRule="exact"/>
        <w:ind w:firstLine="640" w:firstLineChars="200"/>
        <w:jc w:val="left"/>
        <w:textAlignment w:val="auto"/>
        <w:rPr>
          <w:rFonts w:hint="eastAsia" w:ascii="仿宋_GB2312" w:eastAsia="仿宋_GB2312"/>
          <w:sz w:val="32"/>
          <w:szCs w:val="32"/>
        </w:rPr>
      </w:pPr>
      <w:r>
        <w:rPr>
          <w:rFonts w:hint="eastAsia" w:ascii="仿宋_GB2312" w:eastAsia="仿宋_GB2312"/>
          <w:sz w:val="32"/>
          <w:szCs w:val="32"/>
        </w:rPr>
        <w:t>4.农林水支出（类）巩固脱贫衔接乡村振兴（款）行政运行（项）：支出决算为445.24万元，完成预算100%，决算数等于预算数的主要原因是已按规定完成年初预算。</w:t>
      </w:r>
    </w:p>
    <w:p w14:paraId="22915887">
      <w:pPr>
        <w:pageBreakBefore w:val="0"/>
        <w:widowControl/>
        <w:kinsoku/>
        <w:wordWrap/>
        <w:overflowPunct/>
        <w:topLinePunct w:val="0"/>
        <w:autoSpaceDE/>
        <w:autoSpaceDN/>
        <w:bidi w:val="0"/>
        <w:adjustRightInd/>
        <w:snapToGrid/>
        <w:spacing w:line="576" w:lineRule="exact"/>
        <w:ind w:firstLine="640" w:firstLineChars="200"/>
        <w:jc w:val="left"/>
        <w:textAlignment w:val="auto"/>
        <w:rPr>
          <w:rFonts w:hint="eastAsia" w:ascii="仿宋_GB2312" w:eastAsia="仿宋_GB2312"/>
          <w:sz w:val="32"/>
          <w:szCs w:val="32"/>
        </w:rPr>
      </w:pPr>
      <w:r>
        <w:rPr>
          <w:rFonts w:hint="eastAsia" w:ascii="仿宋_GB2312" w:eastAsia="仿宋_GB2312"/>
          <w:sz w:val="32"/>
          <w:szCs w:val="32"/>
        </w:rPr>
        <w:t>5.农林水支出（类）巩固脱贫衔接乡村振兴（款）一般行政管理事务（项）</w:t>
      </w:r>
      <w:r>
        <w:rPr>
          <w:rFonts w:hint="eastAsia" w:ascii="仿宋_GB2312" w:eastAsia="仿宋_GB2312"/>
          <w:sz w:val="32"/>
          <w:szCs w:val="32"/>
          <w:lang w:eastAsia="zh-CN"/>
        </w:rPr>
        <w:t>：</w:t>
      </w:r>
      <w:r>
        <w:rPr>
          <w:rFonts w:hint="eastAsia" w:ascii="仿宋_GB2312" w:eastAsia="仿宋_GB2312"/>
          <w:sz w:val="32"/>
          <w:szCs w:val="32"/>
        </w:rPr>
        <w:t>支出决算为102.14万元，完成预算100%，决算数等于预算数的主要原因是已按规定完成年初预算。</w:t>
      </w:r>
    </w:p>
    <w:p w14:paraId="499C82D7">
      <w:pPr>
        <w:pageBreakBefore w:val="0"/>
        <w:widowControl/>
        <w:kinsoku/>
        <w:wordWrap/>
        <w:overflowPunct/>
        <w:topLinePunct w:val="0"/>
        <w:autoSpaceDE/>
        <w:autoSpaceDN/>
        <w:bidi w:val="0"/>
        <w:adjustRightInd/>
        <w:snapToGrid/>
        <w:spacing w:line="576" w:lineRule="exact"/>
        <w:ind w:firstLine="640" w:firstLineChars="200"/>
        <w:jc w:val="left"/>
        <w:textAlignment w:val="auto"/>
        <w:rPr>
          <w:rFonts w:hint="eastAsia" w:ascii="仿宋_GB2312" w:eastAsia="仿宋_GB2312"/>
          <w:sz w:val="32"/>
          <w:szCs w:val="32"/>
        </w:rPr>
      </w:pPr>
      <w:r>
        <w:rPr>
          <w:rFonts w:hint="eastAsia" w:ascii="仿宋_GB2312" w:eastAsia="仿宋_GB2312"/>
          <w:sz w:val="32"/>
          <w:szCs w:val="32"/>
        </w:rPr>
        <w:t>6.农林水支出（类）巩固脱贫衔接乡村振兴（款）事业运行（项）</w:t>
      </w:r>
      <w:r>
        <w:rPr>
          <w:rFonts w:hint="eastAsia" w:ascii="仿宋_GB2312" w:eastAsia="仿宋_GB2312"/>
          <w:sz w:val="32"/>
          <w:szCs w:val="32"/>
          <w:lang w:eastAsia="zh-CN"/>
        </w:rPr>
        <w:t>：</w:t>
      </w:r>
      <w:r>
        <w:rPr>
          <w:rFonts w:hint="eastAsia" w:ascii="仿宋_GB2312" w:eastAsia="仿宋_GB2312"/>
          <w:sz w:val="32"/>
          <w:szCs w:val="32"/>
        </w:rPr>
        <w:t>支出决算为98.40万元，完成预算100%，决算数等于预算数的主要原因是已按规定完成年初预算。</w:t>
      </w:r>
    </w:p>
    <w:p w14:paraId="3423FC44">
      <w:pPr>
        <w:pageBreakBefore w:val="0"/>
        <w:widowControl/>
        <w:kinsoku/>
        <w:wordWrap/>
        <w:overflowPunct/>
        <w:topLinePunct w:val="0"/>
        <w:autoSpaceDE/>
        <w:autoSpaceDN/>
        <w:bidi w:val="0"/>
        <w:adjustRightInd/>
        <w:snapToGrid/>
        <w:spacing w:line="576" w:lineRule="exact"/>
        <w:ind w:firstLine="640" w:firstLineChars="200"/>
        <w:jc w:val="left"/>
        <w:textAlignment w:val="auto"/>
        <w:rPr>
          <w:rFonts w:hint="eastAsia" w:ascii="仿宋_GB2312" w:eastAsia="仿宋_GB2312"/>
          <w:sz w:val="32"/>
          <w:szCs w:val="32"/>
        </w:rPr>
      </w:pPr>
      <w:r>
        <w:rPr>
          <w:rFonts w:hint="eastAsia" w:ascii="仿宋_GB2312" w:eastAsia="仿宋_GB2312"/>
          <w:sz w:val="32"/>
          <w:szCs w:val="32"/>
        </w:rPr>
        <w:t>7.住房保障支出（类）住房改革支出（款）住房公积金（项）</w:t>
      </w:r>
      <w:r>
        <w:rPr>
          <w:rFonts w:hint="eastAsia" w:ascii="仿宋_GB2312" w:eastAsia="仿宋_GB2312"/>
          <w:sz w:val="32"/>
          <w:szCs w:val="32"/>
          <w:lang w:eastAsia="zh-CN"/>
        </w:rPr>
        <w:t>：</w:t>
      </w:r>
      <w:r>
        <w:rPr>
          <w:rFonts w:hint="eastAsia" w:ascii="仿宋_GB2312" w:eastAsia="仿宋_GB2312"/>
          <w:sz w:val="32"/>
          <w:szCs w:val="32"/>
        </w:rPr>
        <w:t>支出决算为42.26万元，完成预算100%，决算数等于预算数的主要原因是已按规定完成年初预算。</w:t>
      </w:r>
    </w:p>
    <w:p w14:paraId="42D51F7F">
      <w:pPr>
        <w:pStyle w:val="4"/>
        <w:pageBreakBefore w:val="0"/>
        <w:kinsoku/>
        <w:wordWrap/>
        <w:overflowPunct/>
        <w:topLinePunct w:val="0"/>
        <w:autoSpaceDE/>
        <w:autoSpaceDN/>
        <w:bidi w:val="0"/>
        <w:adjustRightInd/>
        <w:snapToGrid/>
        <w:spacing w:before="0" w:after="0" w:line="576" w:lineRule="exact"/>
        <w:textAlignment w:val="auto"/>
        <w:rPr>
          <w:rFonts w:hint="eastAsia" w:ascii="黑体" w:hAnsi="黑体" w:eastAsia="黑体"/>
          <w:sz w:val="32"/>
          <w:szCs w:val="32"/>
        </w:rPr>
      </w:pPr>
      <w:bookmarkStart w:id="11" w:name="_Toc13490"/>
      <w:r>
        <w:rPr>
          <w:rFonts w:hint="eastAsia" w:ascii="黑体" w:hAnsi="黑体" w:eastAsia="黑体"/>
          <w:sz w:val="32"/>
          <w:szCs w:val="32"/>
        </w:rPr>
        <w:t>六、一般公共预算财政拨款基本支出决算情况说明</w:t>
      </w:r>
      <w:bookmarkEnd w:id="11"/>
    </w:p>
    <w:p w14:paraId="1C5CD8A0">
      <w:pPr>
        <w:pageBreakBefore w:val="0"/>
        <w:widowControl/>
        <w:kinsoku/>
        <w:wordWrap/>
        <w:overflowPunct/>
        <w:topLinePunct w:val="0"/>
        <w:autoSpaceDE/>
        <w:autoSpaceDN/>
        <w:bidi w:val="0"/>
        <w:adjustRightInd/>
        <w:snapToGrid/>
        <w:spacing w:line="576" w:lineRule="exact"/>
        <w:ind w:firstLine="640" w:firstLineChars="200"/>
        <w:jc w:val="left"/>
        <w:textAlignment w:val="auto"/>
        <w:rPr>
          <w:rFonts w:hint="eastAsia" w:ascii="仿宋_GB2312" w:eastAsia="仿宋_GB2312"/>
          <w:sz w:val="32"/>
          <w:szCs w:val="32"/>
        </w:rPr>
      </w:pPr>
      <w:r>
        <w:rPr>
          <w:rFonts w:hint="eastAsia" w:ascii="仿宋_GB2312" w:eastAsia="仿宋_GB2312"/>
          <w:sz w:val="32"/>
          <w:szCs w:val="32"/>
        </w:rPr>
        <w:t>2024年一般公共预算财政拨款基本支出</w:t>
      </w:r>
      <w:r>
        <w:rPr>
          <w:rFonts w:hint="eastAsia" w:ascii="仿宋_GB2312" w:eastAsia="仿宋_GB2312"/>
          <w:sz w:val="32"/>
          <w:szCs w:val="32"/>
          <w:lang w:val="en-US" w:eastAsia="zh-CN"/>
        </w:rPr>
        <w:t>657.38</w:t>
      </w:r>
      <w:r>
        <w:rPr>
          <w:rFonts w:hint="eastAsia" w:ascii="仿宋_GB2312" w:eastAsia="仿宋_GB2312"/>
          <w:sz w:val="32"/>
          <w:szCs w:val="32"/>
        </w:rPr>
        <w:t>万元，其中：</w:t>
      </w:r>
    </w:p>
    <w:p w14:paraId="3C9804F2">
      <w:pPr>
        <w:pageBreakBefore w:val="0"/>
        <w:widowControl/>
        <w:kinsoku/>
        <w:wordWrap/>
        <w:overflowPunct/>
        <w:topLinePunct w:val="0"/>
        <w:autoSpaceDE/>
        <w:autoSpaceDN/>
        <w:bidi w:val="0"/>
        <w:adjustRightInd/>
        <w:snapToGrid/>
        <w:spacing w:line="576" w:lineRule="exact"/>
        <w:ind w:firstLine="640" w:firstLineChars="200"/>
        <w:jc w:val="left"/>
        <w:textAlignment w:val="auto"/>
        <w:rPr>
          <w:rFonts w:hint="eastAsia" w:ascii="仿宋_GB2312" w:eastAsia="仿宋_GB2312"/>
          <w:sz w:val="32"/>
          <w:szCs w:val="32"/>
        </w:rPr>
      </w:pPr>
      <w:r>
        <w:rPr>
          <w:rFonts w:hint="eastAsia" w:ascii="仿宋_GB2312" w:eastAsia="仿宋_GB2312"/>
          <w:sz w:val="32"/>
          <w:szCs w:val="32"/>
        </w:rPr>
        <w:t>人员经费</w:t>
      </w:r>
      <w:r>
        <w:rPr>
          <w:rFonts w:hint="eastAsia" w:ascii="仿宋_GB2312" w:eastAsia="仿宋_GB2312"/>
          <w:sz w:val="32"/>
          <w:szCs w:val="32"/>
          <w:lang w:val="en-US" w:eastAsia="zh-CN"/>
        </w:rPr>
        <w:t>526.7</w:t>
      </w:r>
      <w:r>
        <w:rPr>
          <w:rFonts w:hint="eastAsia" w:ascii="仿宋_GB2312" w:eastAsia="仿宋_GB2312"/>
          <w:sz w:val="32"/>
          <w:szCs w:val="32"/>
        </w:rPr>
        <w:t>万元，主要包括：基本工资、津贴补贴、奖金、绩效工资、机关事业单位基本养老保险缴费、职业年金缴费、职工基本医疗保险缴费、其他社会保障缴费、住房公积金支出</w:t>
      </w:r>
      <w:r>
        <w:rPr>
          <w:rFonts w:hint="eastAsia" w:ascii="仿宋_GB2312" w:eastAsia="仿宋_GB2312"/>
          <w:sz w:val="32"/>
          <w:szCs w:val="32"/>
          <w:lang w:eastAsia="zh-CN"/>
        </w:rPr>
        <w:t>、生活补助</w:t>
      </w:r>
      <w:r>
        <w:rPr>
          <w:rFonts w:hint="eastAsia" w:ascii="仿宋_GB2312" w:eastAsia="仿宋_GB2312"/>
          <w:sz w:val="32"/>
          <w:szCs w:val="32"/>
        </w:rPr>
        <w:t>。</w:t>
      </w:r>
    </w:p>
    <w:p w14:paraId="353E882B">
      <w:pPr>
        <w:pageBreakBefore w:val="0"/>
        <w:widowControl/>
        <w:kinsoku/>
        <w:wordWrap/>
        <w:overflowPunct/>
        <w:topLinePunct w:val="0"/>
        <w:autoSpaceDE/>
        <w:autoSpaceDN/>
        <w:bidi w:val="0"/>
        <w:adjustRightInd/>
        <w:snapToGrid/>
        <w:spacing w:line="576" w:lineRule="exact"/>
        <w:ind w:firstLine="640" w:firstLineChars="200"/>
        <w:jc w:val="left"/>
        <w:textAlignment w:val="auto"/>
        <w:rPr>
          <w:rFonts w:hint="eastAsia" w:ascii="仿宋_GB2312" w:eastAsia="仿宋_GB2312"/>
          <w:sz w:val="32"/>
          <w:szCs w:val="32"/>
        </w:rPr>
      </w:pPr>
      <w:r>
        <w:rPr>
          <w:rFonts w:hint="eastAsia" w:ascii="仿宋_GB2312" w:eastAsia="仿宋_GB2312"/>
          <w:sz w:val="32"/>
          <w:szCs w:val="32"/>
        </w:rPr>
        <w:t>公用经费</w:t>
      </w:r>
      <w:r>
        <w:rPr>
          <w:rFonts w:hint="eastAsia" w:ascii="仿宋_GB2312" w:eastAsia="仿宋_GB2312"/>
          <w:sz w:val="32"/>
          <w:szCs w:val="32"/>
          <w:lang w:val="en-US" w:eastAsia="zh-CN"/>
        </w:rPr>
        <w:t>130.67</w:t>
      </w:r>
      <w:r>
        <w:rPr>
          <w:rFonts w:hint="eastAsia" w:ascii="仿宋_GB2312" w:eastAsia="仿宋_GB2312"/>
          <w:sz w:val="32"/>
          <w:szCs w:val="32"/>
        </w:rPr>
        <w:t>万元，主要包括：办公费、印刷费、水费</w:t>
      </w:r>
      <w:r>
        <w:rPr>
          <w:rFonts w:hint="eastAsia" w:ascii="仿宋_GB2312" w:eastAsia="仿宋_GB2312"/>
          <w:sz w:val="32"/>
          <w:szCs w:val="32"/>
          <w:lang w:eastAsia="zh-CN"/>
        </w:rPr>
        <w:t>、</w:t>
      </w:r>
      <w:r>
        <w:rPr>
          <w:rFonts w:hint="eastAsia" w:ascii="仿宋_GB2312" w:eastAsia="仿宋_GB2312"/>
          <w:sz w:val="32"/>
          <w:szCs w:val="32"/>
        </w:rPr>
        <w:t>电费、邮电费、差旅费、维修（护）费、租赁费、公务接待费、劳务费、工会经费、福利费、公务用车运行维护费、其他交通费、其他商品和服务支出。</w:t>
      </w:r>
    </w:p>
    <w:p w14:paraId="1EEA3DC7">
      <w:pPr>
        <w:pStyle w:val="4"/>
        <w:pageBreakBefore w:val="0"/>
        <w:kinsoku/>
        <w:wordWrap/>
        <w:overflowPunct/>
        <w:topLinePunct w:val="0"/>
        <w:autoSpaceDE/>
        <w:autoSpaceDN/>
        <w:bidi w:val="0"/>
        <w:adjustRightInd/>
        <w:snapToGrid/>
        <w:spacing w:before="0" w:after="0" w:line="576" w:lineRule="exact"/>
        <w:textAlignment w:val="auto"/>
        <w:rPr>
          <w:rFonts w:hint="eastAsia"/>
        </w:rPr>
      </w:pPr>
      <w:bookmarkStart w:id="12" w:name="_Toc11013"/>
      <w:r>
        <w:rPr>
          <w:rFonts w:hint="eastAsia"/>
        </w:rPr>
        <w:t>七、财政拨款“三公”经费支出决算情况说明</w:t>
      </w:r>
      <w:bookmarkEnd w:id="12"/>
    </w:p>
    <w:p w14:paraId="444C92E7">
      <w:pPr>
        <w:pageBreakBefore w:val="0"/>
        <w:widowControl/>
        <w:kinsoku/>
        <w:wordWrap/>
        <w:overflowPunct/>
        <w:topLinePunct w:val="0"/>
        <w:autoSpaceDE/>
        <w:autoSpaceDN/>
        <w:bidi w:val="0"/>
        <w:adjustRightInd/>
        <w:snapToGrid/>
        <w:spacing w:line="576" w:lineRule="exact"/>
        <w:ind w:firstLine="643" w:firstLineChars="200"/>
        <w:jc w:val="left"/>
        <w:textAlignment w:val="auto"/>
        <w:rPr>
          <w:rFonts w:hint="eastAsia" w:ascii="楷体_GB2312" w:eastAsia="楷体_GB2312"/>
          <w:b/>
          <w:sz w:val="32"/>
          <w:szCs w:val="32"/>
        </w:rPr>
      </w:pPr>
      <w:r>
        <w:rPr>
          <w:rFonts w:hint="eastAsia" w:ascii="楷体_GB2312" w:eastAsia="楷体_GB2312"/>
          <w:b/>
          <w:sz w:val="32"/>
          <w:szCs w:val="32"/>
        </w:rPr>
        <w:t>（一）“三公”经费财政拨款支出决算总体情况说明</w:t>
      </w:r>
    </w:p>
    <w:p w14:paraId="643261FC">
      <w:pPr>
        <w:pageBreakBefore w:val="0"/>
        <w:widowControl/>
        <w:kinsoku/>
        <w:wordWrap/>
        <w:overflowPunct/>
        <w:topLinePunct w:val="0"/>
        <w:autoSpaceDE/>
        <w:autoSpaceDN/>
        <w:bidi w:val="0"/>
        <w:adjustRightInd/>
        <w:snapToGrid/>
        <w:spacing w:line="576" w:lineRule="exact"/>
        <w:ind w:firstLine="640" w:firstLineChars="200"/>
        <w:jc w:val="left"/>
        <w:textAlignment w:val="auto"/>
        <w:rPr>
          <w:rFonts w:hint="eastAsia" w:ascii="仿宋_GB2312" w:eastAsia="仿宋_GB2312"/>
          <w:color w:val="FF0000"/>
          <w:sz w:val="32"/>
          <w:szCs w:val="32"/>
          <w:lang w:eastAsia="zh-CN"/>
        </w:rPr>
      </w:pPr>
      <w:r>
        <w:rPr>
          <w:rFonts w:hint="eastAsia" w:ascii="仿宋_GB2312" w:eastAsia="仿宋_GB2312"/>
          <w:sz w:val="32"/>
          <w:szCs w:val="32"/>
        </w:rPr>
        <w:t>2024年“三公”经费财政拨款支出决算为10.35万元，完成预算</w:t>
      </w:r>
      <w:r>
        <w:rPr>
          <w:rFonts w:hint="eastAsia" w:ascii="仿宋_GB2312" w:eastAsia="仿宋_GB2312"/>
          <w:sz w:val="32"/>
          <w:szCs w:val="32"/>
          <w:lang w:val="en-US" w:eastAsia="zh-CN"/>
        </w:rPr>
        <w:t>100</w:t>
      </w:r>
      <w:r>
        <w:rPr>
          <w:rFonts w:hint="eastAsia" w:ascii="仿宋_GB2312" w:eastAsia="仿宋_GB2312"/>
          <w:sz w:val="32"/>
          <w:szCs w:val="32"/>
        </w:rPr>
        <w:t>%，较上年增加0.66万元，增加6.8%</w:t>
      </w:r>
      <w:r>
        <w:rPr>
          <w:rFonts w:hint="eastAsia" w:ascii="仿宋_GB2312" w:eastAsia="仿宋_GB2312"/>
          <w:sz w:val="32"/>
          <w:szCs w:val="32"/>
          <w:lang w:eastAsia="zh-CN"/>
        </w:rPr>
        <w:t>，决算数与预算数持平。</w:t>
      </w:r>
    </w:p>
    <w:p w14:paraId="7FCFD0EE">
      <w:pPr>
        <w:pageBreakBefore w:val="0"/>
        <w:widowControl/>
        <w:kinsoku/>
        <w:wordWrap/>
        <w:overflowPunct/>
        <w:topLinePunct w:val="0"/>
        <w:autoSpaceDE/>
        <w:autoSpaceDN/>
        <w:bidi w:val="0"/>
        <w:adjustRightInd/>
        <w:snapToGrid/>
        <w:spacing w:line="576" w:lineRule="exact"/>
        <w:ind w:firstLine="643" w:firstLineChars="200"/>
        <w:jc w:val="left"/>
        <w:textAlignment w:val="auto"/>
        <w:rPr>
          <w:rFonts w:hint="eastAsia" w:ascii="楷体_GB2312" w:eastAsia="楷体_GB2312"/>
          <w:b/>
          <w:sz w:val="32"/>
          <w:szCs w:val="32"/>
        </w:rPr>
      </w:pPr>
      <w:r>
        <w:rPr>
          <w:rFonts w:hint="eastAsia" w:ascii="楷体_GB2312" w:eastAsia="楷体_GB2312"/>
          <w:b/>
          <w:sz w:val="32"/>
          <w:szCs w:val="32"/>
        </w:rPr>
        <w:t>（二）“三公”经费财政拨款支出决算具体情况说明</w:t>
      </w:r>
    </w:p>
    <w:p w14:paraId="0817B5F2">
      <w:pPr>
        <w:pageBreakBefore w:val="0"/>
        <w:widowControl/>
        <w:kinsoku/>
        <w:wordWrap/>
        <w:overflowPunct/>
        <w:topLinePunct w:val="0"/>
        <w:autoSpaceDE/>
        <w:autoSpaceDN/>
        <w:bidi w:val="0"/>
        <w:adjustRightInd/>
        <w:snapToGrid/>
        <w:spacing w:line="576" w:lineRule="exact"/>
        <w:ind w:firstLine="480" w:firstLineChars="200"/>
        <w:jc w:val="left"/>
        <w:textAlignment w:val="auto"/>
        <w:rPr>
          <w:rFonts w:hint="eastAsia" w:ascii="仿宋_GB2312" w:eastAsia="仿宋_GB2312"/>
          <w:sz w:val="32"/>
          <w:szCs w:val="32"/>
        </w:rPr>
      </w:pPr>
      <w:r>
        <w:rPr>
          <w:rFonts w:ascii="宋体" w:hAnsi="宋体" w:eastAsia="宋体" w:cs="宋体"/>
          <w:sz w:val="24"/>
          <w:szCs w:val="24"/>
        </w:rPr>
        <w:drawing>
          <wp:anchor distT="0" distB="0" distL="114300" distR="114300" simplePos="0" relativeHeight="251664384" behindDoc="0" locked="0" layoutInCell="1" allowOverlap="1">
            <wp:simplePos x="0" y="0"/>
            <wp:positionH relativeFrom="column">
              <wp:posOffset>60325</wp:posOffset>
            </wp:positionH>
            <wp:positionV relativeFrom="paragraph">
              <wp:posOffset>1643380</wp:posOffset>
            </wp:positionV>
            <wp:extent cx="4976495" cy="3152140"/>
            <wp:effectExtent l="0" t="0" r="14605" b="10160"/>
            <wp:wrapTopAndBottom/>
            <wp:docPr id="12" name="图片 6"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6" descr="IMG_256"/>
                    <pic:cNvPicPr>
                      <a:picLocks noChangeAspect="1"/>
                    </pic:cNvPicPr>
                  </pic:nvPicPr>
                  <pic:blipFill>
                    <a:blip r:embed="rId11"/>
                    <a:stretch>
                      <a:fillRect/>
                    </a:stretch>
                  </pic:blipFill>
                  <pic:spPr>
                    <a:xfrm>
                      <a:off x="0" y="0"/>
                      <a:ext cx="4976495" cy="3152140"/>
                    </a:xfrm>
                    <a:prstGeom prst="rect">
                      <a:avLst/>
                    </a:prstGeom>
                    <a:noFill/>
                    <a:ln w="9525">
                      <a:noFill/>
                    </a:ln>
                  </pic:spPr>
                </pic:pic>
              </a:graphicData>
            </a:graphic>
          </wp:anchor>
        </w:drawing>
      </w:r>
      <w:r>
        <w:rPr>
          <w:rFonts w:hint="eastAsia" w:ascii="仿宋_GB2312" w:eastAsia="仿宋_GB2312"/>
          <w:sz w:val="32"/>
          <w:szCs w:val="32"/>
        </w:rPr>
        <w:t>2024年“三公”经费财政拨款支出决算中，因公出国（境）费支出决算0万元，公务用车购置及运行维护费支出决算7.77万元，占75.07%；公务接待费支出决算2.58万元，占24.93%。具体情况如下：</w:t>
      </w:r>
    </w:p>
    <w:p w14:paraId="60821C07">
      <w:pPr>
        <w:pageBreakBefore w:val="0"/>
        <w:widowControl/>
        <w:kinsoku/>
        <w:wordWrap/>
        <w:overflowPunct/>
        <w:topLinePunct w:val="0"/>
        <w:autoSpaceDE/>
        <w:autoSpaceDN/>
        <w:bidi w:val="0"/>
        <w:adjustRightInd/>
        <w:snapToGrid/>
        <w:spacing w:line="576" w:lineRule="exact"/>
        <w:ind w:left="0" w:leftChars="0" w:right="0" w:rightChars="0" w:firstLine="0" w:firstLineChars="0"/>
        <w:jc w:val="center"/>
        <w:textAlignment w:val="auto"/>
        <w:rPr>
          <w:rFonts w:hint="eastAsia" w:ascii="仿宋_GB2312" w:eastAsia="仿宋_GB2312"/>
          <w:sz w:val="32"/>
          <w:szCs w:val="32"/>
        </w:rPr>
      </w:pPr>
      <w:r>
        <w:rPr>
          <w:rFonts w:hint="eastAsia" w:ascii="仿宋_GB2312" w:eastAsia="仿宋_GB2312"/>
          <w:sz w:val="32"/>
          <w:szCs w:val="32"/>
        </w:rPr>
        <w:t>（图7：“三公”经费财政拨款支出结构）</w:t>
      </w:r>
    </w:p>
    <w:p w14:paraId="15099365">
      <w:pPr>
        <w:pageBreakBefore w:val="0"/>
        <w:widowControl/>
        <w:kinsoku/>
        <w:wordWrap/>
        <w:overflowPunct/>
        <w:topLinePunct w:val="0"/>
        <w:autoSpaceDE/>
        <w:autoSpaceDN/>
        <w:bidi w:val="0"/>
        <w:adjustRightInd/>
        <w:snapToGrid/>
        <w:spacing w:line="576" w:lineRule="exact"/>
        <w:ind w:firstLine="640" w:firstLineChars="200"/>
        <w:textAlignment w:val="auto"/>
        <w:rPr>
          <w:rFonts w:hint="eastAsia" w:ascii="仿宋_GB2312" w:eastAsia="仿宋_GB2312"/>
          <w:sz w:val="32"/>
          <w:szCs w:val="32"/>
        </w:rPr>
      </w:pPr>
      <w:r>
        <w:rPr>
          <w:rFonts w:hint="eastAsia" w:ascii="仿宋_GB2312" w:eastAsia="仿宋_GB2312"/>
          <w:sz w:val="32"/>
          <w:szCs w:val="32"/>
        </w:rPr>
        <w:t>1.因公出国（境）经费支出0万元。年初未安排预算，因公出国（境）经费支出决算较2023年无变化。</w:t>
      </w:r>
    </w:p>
    <w:p w14:paraId="4B14CBFC">
      <w:pPr>
        <w:pageBreakBefore w:val="0"/>
        <w:widowControl/>
        <w:kinsoku/>
        <w:wordWrap/>
        <w:overflowPunct/>
        <w:topLinePunct w:val="0"/>
        <w:autoSpaceDE/>
        <w:autoSpaceDN/>
        <w:bidi w:val="0"/>
        <w:adjustRightInd/>
        <w:snapToGrid/>
        <w:spacing w:line="576" w:lineRule="exact"/>
        <w:ind w:firstLine="640" w:firstLineChars="200"/>
        <w:textAlignment w:val="auto"/>
        <w:rPr>
          <w:rFonts w:hint="eastAsia" w:ascii="仿宋_GB2312" w:eastAsia="仿宋_GB2312"/>
          <w:sz w:val="32"/>
          <w:szCs w:val="32"/>
        </w:rPr>
      </w:pPr>
      <w:r>
        <w:rPr>
          <w:rFonts w:hint="eastAsia" w:ascii="仿宋_GB2312" w:eastAsia="仿宋_GB2312"/>
          <w:sz w:val="32"/>
          <w:szCs w:val="32"/>
        </w:rPr>
        <w:t>2.公务用车购置及运行维护费支出7.77万元</w:t>
      </w:r>
      <w:r>
        <w:rPr>
          <w:rFonts w:hint="eastAsia" w:ascii="仿宋_GB2312" w:eastAsia="仿宋_GB2312"/>
          <w:sz w:val="32"/>
          <w:szCs w:val="32"/>
          <w:lang w:eastAsia="zh-CN"/>
        </w:rPr>
        <w:t>，</w:t>
      </w:r>
      <w:r>
        <w:rPr>
          <w:rFonts w:hint="eastAsia" w:ascii="仿宋_GB2312" w:eastAsia="仿宋_GB2312"/>
          <w:sz w:val="32"/>
          <w:szCs w:val="32"/>
        </w:rPr>
        <w:t>完成预算</w:t>
      </w:r>
      <w:r>
        <w:rPr>
          <w:rFonts w:hint="eastAsia" w:ascii="仿宋_GB2312" w:eastAsia="仿宋_GB2312"/>
          <w:sz w:val="32"/>
          <w:szCs w:val="32"/>
          <w:lang w:val="en-US" w:eastAsia="zh-CN"/>
        </w:rPr>
        <w:t>100</w:t>
      </w:r>
      <w:r>
        <w:rPr>
          <w:rFonts w:hint="eastAsia" w:ascii="仿宋_GB2312" w:eastAsia="仿宋_GB2312"/>
          <w:sz w:val="32"/>
          <w:szCs w:val="32"/>
        </w:rPr>
        <w:t>%。公务用车购置及运行维护费支出决算比2023年增加</w:t>
      </w:r>
      <w:r>
        <w:rPr>
          <w:rFonts w:hint="eastAsia" w:ascii="仿宋_GB2312" w:eastAsia="仿宋_GB2312"/>
          <w:sz w:val="32"/>
          <w:szCs w:val="32"/>
          <w:lang w:val="en-US" w:eastAsia="zh-CN"/>
        </w:rPr>
        <w:t>0.34</w:t>
      </w:r>
      <w:r>
        <w:rPr>
          <w:rFonts w:hint="eastAsia" w:ascii="仿宋_GB2312" w:eastAsia="仿宋_GB2312"/>
          <w:sz w:val="32"/>
          <w:szCs w:val="32"/>
        </w:rPr>
        <w:t>万元，增加</w:t>
      </w:r>
      <w:r>
        <w:rPr>
          <w:rFonts w:hint="eastAsia" w:ascii="仿宋_GB2312" w:eastAsia="仿宋_GB2312"/>
          <w:sz w:val="32"/>
          <w:szCs w:val="32"/>
          <w:lang w:val="en-US" w:eastAsia="zh-CN"/>
        </w:rPr>
        <w:t>4.5</w:t>
      </w:r>
      <w:r>
        <w:rPr>
          <w:rFonts w:hint="eastAsia" w:ascii="仿宋_GB2312" w:eastAsia="仿宋_GB2312"/>
          <w:sz w:val="32"/>
          <w:szCs w:val="32"/>
        </w:rPr>
        <w:t>%。主要原因是到县区</w:t>
      </w:r>
      <w:r>
        <w:rPr>
          <w:rFonts w:hint="eastAsia" w:ascii="仿宋_GB2312" w:eastAsia="仿宋_GB2312"/>
          <w:sz w:val="32"/>
          <w:szCs w:val="32"/>
          <w:lang w:eastAsia="zh-CN"/>
        </w:rPr>
        <w:t>调研</w:t>
      </w:r>
      <w:r>
        <w:rPr>
          <w:rFonts w:hint="eastAsia" w:ascii="仿宋_GB2312" w:eastAsia="仿宋_GB2312"/>
          <w:sz w:val="32"/>
          <w:szCs w:val="32"/>
        </w:rPr>
        <w:t>工作</w:t>
      </w:r>
      <w:r>
        <w:rPr>
          <w:rFonts w:hint="eastAsia" w:ascii="仿宋_GB2312" w:eastAsia="仿宋_GB2312"/>
          <w:sz w:val="32"/>
          <w:szCs w:val="32"/>
          <w:lang w:eastAsia="zh-CN"/>
        </w:rPr>
        <w:t>次数增加</w:t>
      </w:r>
      <w:r>
        <w:rPr>
          <w:rFonts w:hint="eastAsia" w:ascii="仿宋_GB2312" w:eastAsia="仿宋_GB2312"/>
          <w:sz w:val="32"/>
          <w:szCs w:val="32"/>
        </w:rPr>
        <w:t>。</w:t>
      </w:r>
    </w:p>
    <w:p w14:paraId="54E269B2">
      <w:pPr>
        <w:pageBreakBefore w:val="0"/>
        <w:widowControl/>
        <w:kinsoku/>
        <w:wordWrap/>
        <w:overflowPunct/>
        <w:topLinePunct w:val="0"/>
        <w:autoSpaceDE/>
        <w:autoSpaceDN/>
        <w:bidi w:val="0"/>
        <w:adjustRightInd/>
        <w:snapToGrid/>
        <w:spacing w:line="576" w:lineRule="exact"/>
        <w:ind w:firstLine="640" w:firstLineChars="200"/>
        <w:textAlignment w:val="auto"/>
        <w:rPr>
          <w:rFonts w:hint="eastAsia" w:ascii="仿宋_GB2312" w:eastAsia="仿宋_GB2312"/>
          <w:sz w:val="32"/>
          <w:szCs w:val="32"/>
          <w:lang w:eastAsia="zh-CN"/>
        </w:rPr>
      </w:pPr>
      <w:r>
        <w:rPr>
          <w:rFonts w:hint="eastAsia" w:ascii="仿宋_GB2312" w:eastAsia="仿宋_GB2312"/>
          <w:sz w:val="32"/>
          <w:szCs w:val="32"/>
        </w:rPr>
        <w:t>其中：公务用车购置支出0万元，我单位未购置公务用车。截至2024年12月底，单位共有公务用车1辆，其中：越野车1辆。</w:t>
      </w:r>
      <w:r>
        <w:rPr>
          <w:rFonts w:hint="eastAsia" w:ascii="仿宋_GB2312" w:eastAsia="仿宋_GB2312"/>
          <w:sz w:val="32"/>
          <w:szCs w:val="32"/>
          <w:lang w:eastAsia="zh-CN"/>
        </w:rPr>
        <w:t>机构改革已划转至市农业农村局。</w:t>
      </w:r>
    </w:p>
    <w:p w14:paraId="19296D71">
      <w:pPr>
        <w:pageBreakBefore w:val="0"/>
        <w:widowControl/>
        <w:kinsoku/>
        <w:wordWrap/>
        <w:overflowPunct/>
        <w:topLinePunct w:val="0"/>
        <w:autoSpaceDE/>
        <w:autoSpaceDN/>
        <w:bidi w:val="0"/>
        <w:adjustRightInd/>
        <w:snapToGrid/>
        <w:spacing w:line="576" w:lineRule="exact"/>
        <w:ind w:firstLine="640" w:firstLineChars="200"/>
        <w:textAlignment w:val="auto"/>
        <w:rPr>
          <w:rFonts w:hint="eastAsia" w:ascii="仿宋_GB2312" w:eastAsia="仿宋_GB2312"/>
          <w:sz w:val="32"/>
          <w:szCs w:val="32"/>
        </w:rPr>
      </w:pPr>
      <w:r>
        <w:rPr>
          <w:rFonts w:hint="eastAsia" w:ascii="仿宋_GB2312" w:eastAsia="仿宋_GB2312"/>
          <w:sz w:val="32"/>
          <w:szCs w:val="32"/>
        </w:rPr>
        <w:t>公务用车运行维护费支出7.77万元。主要用于巩固拓展脱贫攻坚成果，乡村建设、乡村治理、厕所革命，东西部协作工作等所需的公务用车燃料费、维修费、过路过桥费、保险费等支出。</w:t>
      </w:r>
    </w:p>
    <w:p w14:paraId="468E5D24">
      <w:pPr>
        <w:pageBreakBefore w:val="0"/>
        <w:kinsoku/>
        <w:wordWrap/>
        <w:overflowPunct/>
        <w:topLinePunct w:val="0"/>
        <w:autoSpaceDE/>
        <w:autoSpaceDN/>
        <w:bidi w:val="0"/>
        <w:adjustRightInd/>
        <w:snapToGrid/>
        <w:spacing w:line="576" w:lineRule="exact"/>
        <w:ind w:firstLine="640" w:firstLineChars="200"/>
        <w:textAlignment w:val="auto"/>
        <w:rPr>
          <w:rFonts w:hint="eastAsia" w:ascii="仿宋_GB2312" w:eastAsia="仿宋_GB2312"/>
          <w:sz w:val="32"/>
          <w:szCs w:val="32"/>
        </w:rPr>
      </w:pPr>
      <w:r>
        <w:rPr>
          <w:rFonts w:hint="eastAsia" w:ascii="仿宋_GB2312" w:eastAsia="仿宋_GB2312"/>
          <w:sz w:val="32"/>
          <w:szCs w:val="32"/>
        </w:rPr>
        <w:t>3.公务接待费支出2.58万元，完成预算29.74%。公务接待费支出决算比2023年增加</w:t>
      </w:r>
      <w:r>
        <w:rPr>
          <w:rFonts w:hint="eastAsia" w:ascii="仿宋_GB2312" w:eastAsia="仿宋_GB2312"/>
          <w:sz w:val="32"/>
          <w:szCs w:val="32"/>
          <w:lang w:val="en-US" w:eastAsia="zh-CN"/>
        </w:rPr>
        <w:t>0.32</w:t>
      </w:r>
      <w:r>
        <w:rPr>
          <w:rFonts w:hint="eastAsia" w:ascii="仿宋_GB2312" w:eastAsia="仿宋_GB2312"/>
          <w:sz w:val="32"/>
          <w:szCs w:val="32"/>
        </w:rPr>
        <w:t>万元，增加</w:t>
      </w:r>
      <w:r>
        <w:rPr>
          <w:rFonts w:hint="eastAsia" w:ascii="仿宋_GB2312" w:eastAsia="仿宋_GB2312"/>
          <w:sz w:val="32"/>
          <w:szCs w:val="32"/>
          <w:lang w:val="en-US" w:eastAsia="zh-CN"/>
        </w:rPr>
        <w:t>14</w:t>
      </w:r>
      <w:r>
        <w:rPr>
          <w:rFonts w:hint="eastAsia" w:ascii="仿宋_GB2312" w:eastAsia="仿宋_GB2312"/>
          <w:sz w:val="32"/>
          <w:szCs w:val="32"/>
        </w:rPr>
        <w:t>%。主要原因是来广考察、调研人员增加。其中：</w:t>
      </w:r>
    </w:p>
    <w:p w14:paraId="0B15372C">
      <w:pPr>
        <w:pageBreakBefore w:val="0"/>
        <w:kinsoku/>
        <w:wordWrap/>
        <w:overflowPunct/>
        <w:topLinePunct w:val="0"/>
        <w:autoSpaceDE/>
        <w:autoSpaceDN/>
        <w:bidi w:val="0"/>
        <w:adjustRightInd/>
        <w:snapToGrid/>
        <w:spacing w:line="576" w:lineRule="exact"/>
        <w:textAlignment w:val="auto"/>
        <w:rPr>
          <w:rFonts w:hint="eastAsia" w:ascii="宋体" w:hAnsi="宋体"/>
        </w:rPr>
      </w:pPr>
      <w:r>
        <w:rPr>
          <w:rFonts w:hint="eastAsia" w:ascii="仿宋_GB2312" w:eastAsia="仿宋_GB2312"/>
          <w:sz w:val="32"/>
          <w:szCs w:val="32"/>
        </w:rPr>
        <w:t xml:space="preserve">    国内公务接待支出2.58万元，主要用于执行公务、开展业务活动开支的交通费、住宿费、用餐费等。国内公务接待</w:t>
      </w:r>
      <w:r>
        <w:rPr>
          <w:rFonts w:hint="eastAsia" w:ascii="仿宋_GB2312" w:eastAsia="仿宋_GB2312"/>
          <w:sz w:val="32"/>
          <w:szCs w:val="32"/>
          <w:lang w:val="en-US" w:eastAsia="zh-CN"/>
        </w:rPr>
        <w:t>11</w:t>
      </w:r>
      <w:r>
        <w:rPr>
          <w:rFonts w:hint="eastAsia" w:ascii="仿宋_GB2312" w:eastAsia="仿宋_GB2312"/>
          <w:sz w:val="32"/>
          <w:szCs w:val="32"/>
        </w:rPr>
        <w:t>批次，</w:t>
      </w:r>
      <w:r>
        <w:rPr>
          <w:rFonts w:hint="eastAsia" w:ascii="仿宋_GB2312" w:eastAsia="仿宋_GB2312"/>
          <w:sz w:val="32"/>
          <w:szCs w:val="32"/>
          <w:lang w:val="en-US" w:eastAsia="zh-CN"/>
        </w:rPr>
        <w:t>202</w:t>
      </w:r>
      <w:r>
        <w:rPr>
          <w:rFonts w:hint="eastAsia" w:ascii="仿宋_GB2312" w:eastAsia="仿宋_GB2312"/>
          <w:sz w:val="32"/>
          <w:szCs w:val="32"/>
        </w:rPr>
        <w:t>人次（不包括陪同人员），共计支出2.58万元，具体内容包括：省内外各市县乡村振兴局来广考察学习接待、巩固拓展脱贫攻坚成果同乡村振兴有效衔接及杭广东西部协作工作接待等。</w:t>
      </w:r>
    </w:p>
    <w:p w14:paraId="209AD269">
      <w:pPr>
        <w:pageBreakBefore w:val="0"/>
        <w:widowControl/>
        <w:kinsoku/>
        <w:wordWrap/>
        <w:overflowPunct/>
        <w:topLinePunct w:val="0"/>
        <w:autoSpaceDE/>
        <w:autoSpaceDN/>
        <w:bidi w:val="0"/>
        <w:adjustRightInd/>
        <w:snapToGrid/>
        <w:spacing w:line="576" w:lineRule="exact"/>
        <w:ind w:firstLine="640" w:firstLineChars="200"/>
        <w:jc w:val="left"/>
        <w:textAlignment w:val="auto"/>
        <w:rPr>
          <w:rFonts w:hint="eastAsia" w:ascii="仿宋_GB2312" w:eastAsia="仿宋_GB2312"/>
          <w:sz w:val="32"/>
          <w:szCs w:val="32"/>
        </w:rPr>
      </w:pPr>
      <w:r>
        <w:rPr>
          <w:rFonts w:hint="eastAsia" w:ascii="仿宋_GB2312" w:eastAsia="仿宋_GB2312"/>
          <w:sz w:val="32"/>
          <w:szCs w:val="32"/>
        </w:rPr>
        <w:t>外事接待支出0万元。</w:t>
      </w:r>
    </w:p>
    <w:p w14:paraId="049EF38B">
      <w:pPr>
        <w:pStyle w:val="4"/>
        <w:pageBreakBefore w:val="0"/>
        <w:kinsoku/>
        <w:wordWrap/>
        <w:overflowPunct/>
        <w:topLinePunct w:val="0"/>
        <w:autoSpaceDE/>
        <w:autoSpaceDN/>
        <w:bidi w:val="0"/>
        <w:adjustRightInd/>
        <w:snapToGrid/>
        <w:spacing w:before="0" w:after="0" w:line="576" w:lineRule="exact"/>
        <w:textAlignment w:val="auto"/>
        <w:rPr>
          <w:rFonts w:hint="eastAsia"/>
        </w:rPr>
      </w:pPr>
      <w:bookmarkStart w:id="13" w:name="_Toc21558"/>
      <w:r>
        <w:rPr>
          <w:rFonts w:hint="eastAsia"/>
        </w:rPr>
        <w:t>八、政府性基金预算支出决算情况说明</w:t>
      </w:r>
      <w:bookmarkEnd w:id="13"/>
    </w:p>
    <w:p w14:paraId="6101BC1E">
      <w:pPr>
        <w:pageBreakBefore w:val="0"/>
        <w:widowControl/>
        <w:kinsoku/>
        <w:wordWrap/>
        <w:overflowPunct/>
        <w:topLinePunct w:val="0"/>
        <w:autoSpaceDE/>
        <w:autoSpaceDN/>
        <w:bidi w:val="0"/>
        <w:adjustRightInd/>
        <w:snapToGrid/>
        <w:spacing w:line="576" w:lineRule="exact"/>
        <w:ind w:firstLine="640" w:firstLineChars="200"/>
        <w:jc w:val="left"/>
        <w:textAlignment w:val="auto"/>
        <w:rPr>
          <w:rFonts w:hint="eastAsia" w:ascii="仿宋_GB2312" w:eastAsia="仿宋_GB2312"/>
          <w:sz w:val="32"/>
          <w:szCs w:val="32"/>
        </w:rPr>
      </w:pPr>
      <w:r>
        <w:rPr>
          <w:rFonts w:hint="eastAsia" w:ascii="仿宋_GB2312" w:eastAsia="仿宋_GB2312"/>
          <w:sz w:val="32"/>
          <w:szCs w:val="32"/>
        </w:rPr>
        <w:t>2024年政府性基金预算拨款支出0万元。</w:t>
      </w:r>
    </w:p>
    <w:p w14:paraId="3C5C6900">
      <w:pPr>
        <w:pStyle w:val="4"/>
        <w:pageBreakBefore w:val="0"/>
        <w:kinsoku/>
        <w:wordWrap/>
        <w:overflowPunct/>
        <w:topLinePunct w:val="0"/>
        <w:autoSpaceDE/>
        <w:autoSpaceDN/>
        <w:bidi w:val="0"/>
        <w:adjustRightInd/>
        <w:snapToGrid/>
        <w:spacing w:before="0" w:after="0" w:line="576" w:lineRule="exact"/>
        <w:textAlignment w:val="auto"/>
        <w:rPr>
          <w:rFonts w:hint="eastAsia"/>
        </w:rPr>
      </w:pPr>
      <w:bookmarkStart w:id="14" w:name="_Toc6168"/>
      <w:r>
        <w:rPr>
          <w:rFonts w:hint="eastAsia"/>
        </w:rPr>
        <w:t>九、国有资本经营预算支出决算情况说明</w:t>
      </w:r>
      <w:bookmarkEnd w:id="14"/>
    </w:p>
    <w:p w14:paraId="163E8507">
      <w:pPr>
        <w:pageBreakBefore w:val="0"/>
        <w:widowControl/>
        <w:kinsoku/>
        <w:wordWrap/>
        <w:overflowPunct/>
        <w:topLinePunct w:val="0"/>
        <w:autoSpaceDE/>
        <w:autoSpaceDN/>
        <w:bidi w:val="0"/>
        <w:adjustRightInd/>
        <w:snapToGrid/>
        <w:spacing w:line="576" w:lineRule="exact"/>
        <w:ind w:firstLine="640" w:firstLineChars="200"/>
        <w:jc w:val="left"/>
        <w:textAlignment w:val="auto"/>
        <w:rPr>
          <w:rFonts w:hint="eastAsia" w:ascii="仿宋_GB2312" w:eastAsia="仿宋_GB2312"/>
          <w:sz w:val="32"/>
          <w:szCs w:val="32"/>
        </w:rPr>
      </w:pPr>
      <w:r>
        <w:rPr>
          <w:rFonts w:hint="eastAsia" w:ascii="仿宋_GB2312" w:eastAsia="仿宋_GB2312"/>
          <w:sz w:val="32"/>
          <w:szCs w:val="32"/>
        </w:rPr>
        <w:t>2024年国有资本经营预算拨款支出0万元。</w:t>
      </w:r>
    </w:p>
    <w:p w14:paraId="1F5EFD1F">
      <w:pPr>
        <w:pStyle w:val="4"/>
        <w:pageBreakBefore w:val="0"/>
        <w:kinsoku/>
        <w:wordWrap/>
        <w:overflowPunct/>
        <w:topLinePunct w:val="0"/>
        <w:autoSpaceDE/>
        <w:autoSpaceDN/>
        <w:bidi w:val="0"/>
        <w:adjustRightInd/>
        <w:snapToGrid/>
        <w:spacing w:before="0" w:after="0" w:line="576" w:lineRule="exact"/>
        <w:textAlignment w:val="auto"/>
        <w:rPr>
          <w:rFonts w:hint="eastAsia"/>
        </w:rPr>
      </w:pPr>
      <w:bookmarkStart w:id="15" w:name="_Toc8766"/>
      <w:r>
        <w:rPr>
          <w:rFonts w:hint="eastAsia"/>
        </w:rPr>
        <w:t>十、其他重要事项的情况说明</w:t>
      </w:r>
      <w:bookmarkEnd w:id="15"/>
    </w:p>
    <w:p w14:paraId="3E7460A9">
      <w:pPr>
        <w:pageBreakBefore w:val="0"/>
        <w:widowControl/>
        <w:kinsoku/>
        <w:wordWrap/>
        <w:overflowPunct/>
        <w:topLinePunct w:val="0"/>
        <w:autoSpaceDE/>
        <w:autoSpaceDN/>
        <w:bidi w:val="0"/>
        <w:adjustRightInd/>
        <w:snapToGrid/>
        <w:spacing w:line="576" w:lineRule="exact"/>
        <w:ind w:firstLine="643" w:firstLineChars="200"/>
        <w:jc w:val="left"/>
        <w:textAlignment w:val="auto"/>
        <w:rPr>
          <w:rFonts w:hint="eastAsia" w:ascii="楷体_GB2312" w:eastAsia="楷体_GB2312"/>
          <w:b/>
          <w:sz w:val="32"/>
          <w:szCs w:val="32"/>
        </w:rPr>
      </w:pPr>
      <w:r>
        <w:rPr>
          <w:rFonts w:hint="eastAsia" w:ascii="楷体_GB2312" w:eastAsia="楷体_GB2312"/>
          <w:b/>
          <w:sz w:val="32"/>
          <w:szCs w:val="32"/>
        </w:rPr>
        <w:t>（一）机关运行经费支出情况</w:t>
      </w:r>
    </w:p>
    <w:p w14:paraId="51403A27">
      <w:pPr>
        <w:pageBreakBefore w:val="0"/>
        <w:widowControl/>
        <w:kinsoku/>
        <w:wordWrap/>
        <w:overflowPunct/>
        <w:topLinePunct w:val="0"/>
        <w:autoSpaceDE/>
        <w:autoSpaceDN/>
        <w:bidi w:val="0"/>
        <w:adjustRightInd/>
        <w:snapToGrid/>
        <w:spacing w:line="576" w:lineRule="exact"/>
        <w:ind w:firstLine="640" w:firstLineChars="200"/>
        <w:jc w:val="left"/>
        <w:textAlignment w:val="auto"/>
        <w:rPr>
          <w:rFonts w:hint="eastAsia" w:ascii="仿宋_GB2312" w:eastAsia="仿宋_GB2312"/>
          <w:sz w:val="32"/>
          <w:szCs w:val="32"/>
        </w:rPr>
      </w:pPr>
      <w:r>
        <w:rPr>
          <w:rFonts w:hint="eastAsia" w:ascii="仿宋_GB2312" w:eastAsia="仿宋_GB2312"/>
          <w:sz w:val="32"/>
          <w:szCs w:val="32"/>
        </w:rPr>
        <w:t>2024年，广元市乡村振兴局机关运行经费支出130.67万元，比2023年减少61.13万元，减少31.87%。主要原因是机构改革经费划转</w:t>
      </w:r>
      <w:r>
        <w:rPr>
          <w:rFonts w:hint="eastAsia" w:ascii="仿宋_GB2312" w:eastAsia="仿宋_GB2312"/>
          <w:sz w:val="32"/>
          <w:szCs w:val="32"/>
          <w:lang w:eastAsia="zh-CN"/>
        </w:rPr>
        <w:t>至</w:t>
      </w:r>
      <w:r>
        <w:rPr>
          <w:rFonts w:hint="eastAsia" w:ascii="仿宋_GB2312" w:eastAsia="仿宋_GB2312"/>
          <w:sz w:val="32"/>
          <w:szCs w:val="32"/>
        </w:rPr>
        <w:t>市农业农村局。</w:t>
      </w:r>
    </w:p>
    <w:p w14:paraId="58E91994">
      <w:pPr>
        <w:pageBreakBefore w:val="0"/>
        <w:widowControl/>
        <w:kinsoku/>
        <w:wordWrap/>
        <w:overflowPunct/>
        <w:topLinePunct w:val="0"/>
        <w:autoSpaceDE/>
        <w:autoSpaceDN/>
        <w:bidi w:val="0"/>
        <w:adjustRightInd/>
        <w:snapToGrid/>
        <w:spacing w:line="576" w:lineRule="exact"/>
        <w:ind w:firstLine="643" w:firstLineChars="200"/>
        <w:jc w:val="left"/>
        <w:textAlignment w:val="auto"/>
        <w:rPr>
          <w:rFonts w:hint="eastAsia" w:ascii="楷体_GB2312" w:eastAsia="楷体_GB2312"/>
          <w:b/>
          <w:sz w:val="32"/>
          <w:szCs w:val="32"/>
        </w:rPr>
      </w:pPr>
      <w:r>
        <w:rPr>
          <w:rFonts w:hint="eastAsia" w:ascii="楷体_GB2312" w:eastAsia="楷体_GB2312"/>
          <w:b/>
          <w:sz w:val="32"/>
          <w:szCs w:val="32"/>
        </w:rPr>
        <w:t>（二）政府采购支出情况</w:t>
      </w:r>
    </w:p>
    <w:p w14:paraId="60ECBEEA">
      <w:pPr>
        <w:pageBreakBefore w:val="0"/>
        <w:widowControl/>
        <w:kinsoku/>
        <w:wordWrap/>
        <w:overflowPunct/>
        <w:topLinePunct w:val="0"/>
        <w:autoSpaceDE/>
        <w:autoSpaceDN/>
        <w:bidi w:val="0"/>
        <w:adjustRightInd/>
        <w:snapToGrid/>
        <w:spacing w:line="576" w:lineRule="exact"/>
        <w:ind w:firstLine="640" w:firstLineChars="200"/>
        <w:jc w:val="left"/>
        <w:textAlignment w:val="auto"/>
        <w:rPr>
          <w:rFonts w:hint="eastAsia" w:ascii="仿宋_GB2312" w:eastAsia="仿宋_GB2312"/>
          <w:sz w:val="32"/>
          <w:szCs w:val="32"/>
        </w:rPr>
      </w:pPr>
      <w:r>
        <w:rPr>
          <w:rFonts w:hint="eastAsia" w:ascii="仿宋_GB2312" w:eastAsia="仿宋_GB2312"/>
          <w:sz w:val="32"/>
          <w:szCs w:val="32"/>
        </w:rPr>
        <w:t>2024年，广元市乡村振兴局政府采购支出总额0万元。</w:t>
      </w:r>
    </w:p>
    <w:p w14:paraId="1FBD745D">
      <w:pPr>
        <w:pageBreakBefore w:val="0"/>
        <w:widowControl/>
        <w:kinsoku/>
        <w:wordWrap/>
        <w:overflowPunct/>
        <w:topLinePunct w:val="0"/>
        <w:autoSpaceDE/>
        <w:autoSpaceDN/>
        <w:bidi w:val="0"/>
        <w:adjustRightInd/>
        <w:snapToGrid/>
        <w:spacing w:line="576" w:lineRule="exact"/>
        <w:ind w:firstLine="643" w:firstLineChars="200"/>
        <w:jc w:val="left"/>
        <w:textAlignment w:val="auto"/>
        <w:rPr>
          <w:rFonts w:hint="eastAsia" w:ascii="楷体_GB2312" w:eastAsia="楷体_GB2312"/>
          <w:b/>
          <w:sz w:val="32"/>
          <w:szCs w:val="32"/>
        </w:rPr>
      </w:pPr>
      <w:r>
        <w:rPr>
          <w:rFonts w:hint="eastAsia" w:ascii="楷体_GB2312" w:eastAsia="楷体_GB2312"/>
          <w:b/>
          <w:sz w:val="32"/>
          <w:szCs w:val="32"/>
        </w:rPr>
        <w:t>（三）国有资产占有使用情况</w:t>
      </w:r>
    </w:p>
    <w:p w14:paraId="7E0C6F96">
      <w:pPr>
        <w:pageBreakBefore w:val="0"/>
        <w:widowControl/>
        <w:kinsoku/>
        <w:wordWrap/>
        <w:overflowPunct/>
        <w:topLinePunct w:val="0"/>
        <w:autoSpaceDE/>
        <w:autoSpaceDN/>
        <w:bidi w:val="0"/>
        <w:adjustRightInd/>
        <w:snapToGrid/>
        <w:spacing w:line="576" w:lineRule="exact"/>
        <w:ind w:firstLine="640" w:firstLineChars="200"/>
        <w:jc w:val="left"/>
        <w:textAlignment w:val="auto"/>
        <w:rPr>
          <w:rFonts w:hint="eastAsia" w:ascii="仿宋_GB2312" w:eastAsia="仿宋_GB2312"/>
          <w:sz w:val="32"/>
          <w:szCs w:val="32"/>
        </w:rPr>
      </w:pPr>
      <w:r>
        <w:rPr>
          <w:rFonts w:hint="eastAsia" w:ascii="仿宋_GB2312" w:eastAsia="仿宋_GB2312"/>
          <w:sz w:val="32"/>
          <w:szCs w:val="32"/>
        </w:rPr>
        <w:t>截至2024年12月31日，广元市乡村振兴局共有车辆1辆，其中：其他用车1辆，其他用车主要是用于单位工作人员执行公务需要所配备的车辆。单价100万元以上专用设备0台（套）。</w:t>
      </w:r>
    </w:p>
    <w:p w14:paraId="6886243A">
      <w:pPr>
        <w:pageBreakBefore w:val="0"/>
        <w:widowControl/>
        <w:kinsoku/>
        <w:wordWrap/>
        <w:overflowPunct/>
        <w:topLinePunct w:val="0"/>
        <w:autoSpaceDE/>
        <w:autoSpaceDN/>
        <w:bidi w:val="0"/>
        <w:adjustRightInd/>
        <w:snapToGrid/>
        <w:spacing w:line="576" w:lineRule="exact"/>
        <w:ind w:firstLine="643" w:firstLineChars="200"/>
        <w:jc w:val="left"/>
        <w:textAlignment w:val="auto"/>
        <w:rPr>
          <w:rFonts w:hint="eastAsia" w:ascii="仿宋_GB2312" w:eastAsia="仿宋_GB2312"/>
          <w:sz w:val="32"/>
          <w:szCs w:val="32"/>
        </w:rPr>
      </w:pPr>
      <w:r>
        <w:rPr>
          <w:rFonts w:hint="eastAsia" w:ascii="楷体_GB2312" w:eastAsia="楷体_GB2312"/>
          <w:b/>
          <w:sz w:val="32"/>
          <w:szCs w:val="32"/>
        </w:rPr>
        <w:t>（四）预算绩效管理情况</w:t>
      </w:r>
    </w:p>
    <w:p w14:paraId="0A960745">
      <w:pPr>
        <w:pageBreakBefore w:val="0"/>
        <w:widowControl/>
        <w:kinsoku/>
        <w:wordWrap/>
        <w:overflowPunct/>
        <w:topLinePunct w:val="0"/>
        <w:autoSpaceDE/>
        <w:autoSpaceDN/>
        <w:bidi w:val="0"/>
        <w:adjustRightInd/>
        <w:snapToGrid/>
        <w:spacing w:line="576" w:lineRule="exact"/>
        <w:ind w:firstLine="640" w:firstLineChars="200"/>
        <w:jc w:val="left"/>
        <w:textAlignment w:val="auto"/>
        <w:rPr>
          <w:rFonts w:hint="eastAsia" w:ascii="仿宋_GB2312" w:eastAsia="仿宋_GB2312"/>
          <w:sz w:val="32"/>
          <w:szCs w:val="32"/>
          <w:lang w:eastAsia="zh-CN"/>
        </w:rPr>
      </w:pPr>
      <w:r>
        <w:rPr>
          <w:rFonts w:hint="eastAsia" w:ascii="仿宋_GB2312" w:eastAsia="仿宋_GB2312"/>
          <w:sz w:val="32"/>
          <w:szCs w:val="32"/>
        </w:rPr>
        <w:t>因</w:t>
      </w:r>
      <w:r>
        <w:rPr>
          <w:rFonts w:hint="eastAsia" w:ascii="仿宋_GB2312" w:eastAsia="仿宋_GB2312"/>
          <w:sz w:val="32"/>
          <w:szCs w:val="32"/>
          <w:lang w:eastAsia="zh-CN"/>
        </w:rPr>
        <w:t>机构改革</w:t>
      </w:r>
      <w:r>
        <w:rPr>
          <w:rFonts w:hint="eastAsia" w:ascii="仿宋_GB2312" w:eastAsia="仿宋_GB2312"/>
          <w:sz w:val="32"/>
          <w:szCs w:val="32"/>
        </w:rPr>
        <w:t>单位撤销未做绩效评价相关工作</w:t>
      </w:r>
      <w:r>
        <w:rPr>
          <w:rFonts w:hint="eastAsia" w:ascii="仿宋_GB2312" w:eastAsia="仿宋_GB2312"/>
          <w:sz w:val="32"/>
          <w:szCs w:val="32"/>
          <w:lang w:eastAsia="zh-CN"/>
        </w:rPr>
        <w:t>。</w:t>
      </w:r>
    </w:p>
    <w:p w14:paraId="0C2313FD">
      <w:pPr>
        <w:jc w:val="center"/>
        <w:rPr>
          <w:rFonts w:hint="eastAsia" w:ascii="方正小标宋简体" w:eastAsia="方正小标宋简体"/>
          <w:sz w:val="32"/>
          <w:szCs w:val="32"/>
        </w:rPr>
      </w:pPr>
      <w:r>
        <w:rPr>
          <w:rFonts w:hint="eastAsia" w:ascii="方正小标宋简体" w:eastAsia="方正小标宋简体"/>
          <w:sz w:val="32"/>
          <w:szCs w:val="32"/>
        </w:rPr>
        <w:t xml:space="preserve"> </w:t>
      </w:r>
    </w:p>
    <w:p w14:paraId="7AE61DD6">
      <w:pPr>
        <w:pStyle w:val="3"/>
        <w:bidi w:val="0"/>
        <w:rPr>
          <w:rFonts w:hint="eastAsia" w:ascii="方正小标宋简体" w:eastAsia="方正小标宋简体"/>
          <w:sz w:val="32"/>
          <w:szCs w:val="32"/>
        </w:rPr>
      </w:pPr>
      <w:r>
        <w:rPr>
          <w:rFonts w:hint="eastAsia" w:ascii="方正小标宋简体" w:eastAsia="方正小标宋简体"/>
          <w:sz w:val="32"/>
          <w:szCs w:val="32"/>
        </w:rPr>
        <w:br w:type="page"/>
      </w:r>
      <w:bookmarkStart w:id="16" w:name="_Toc1501"/>
      <w:r>
        <w:rPr>
          <w:rFonts w:hint="eastAsia" w:ascii="黑体" w:hAnsi="黑体" w:eastAsia="黑体"/>
          <w:sz w:val="44"/>
          <w:szCs w:val="44"/>
        </w:rPr>
        <w:t>第三部分 名词解释</w:t>
      </w:r>
      <w:bookmarkEnd w:id="16"/>
    </w:p>
    <w:p w14:paraId="38695AA2">
      <w:pPr>
        <w:keepNext w:val="0"/>
        <w:keepLines w:val="0"/>
        <w:pageBreakBefore w:val="0"/>
        <w:widowControl w:val="0"/>
        <w:kinsoku/>
        <w:wordWrap/>
        <w:overflowPunct/>
        <w:topLinePunct w:val="0"/>
        <w:autoSpaceDE/>
        <w:autoSpaceDN/>
        <w:bidi w:val="0"/>
        <w:adjustRightInd/>
        <w:snapToGrid/>
        <w:spacing w:line="576" w:lineRule="exact"/>
        <w:ind w:firstLine="600" w:firstLineChars="200"/>
        <w:textAlignment w:val="auto"/>
        <w:rPr>
          <w:rFonts w:hint="eastAsia" w:ascii="黑体" w:hAnsi="黑体" w:eastAsia="黑体"/>
          <w:spacing w:val="-10"/>
          <w:sz w:val="32"/>
          <w:szCs w:val="32"/>
        </w:rPr>
      </w:pPr>
      <w:r>
        <w:rPr>
          <w:rFonts w:hint="eastAsia" w:ascii="黑体" w:hAnsi="黑体" w:eastAsia="黑体"/>
          <w:spacing w:val="-10"/>
          <w:sz w:val="32"/>
          <w:szCs w:val="32"/>
        </w:rPr>
        <w:t xml:space="preserve"> </w:t>
      </w:r>
    </w:p>
    <w:p w14:paraId="284391FB">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left="0" w:leftChars="0" w:firstLine="640" w:firstLineChars="200"/>
        <w:textAlignment w:val="auto"/>
        <w:rPr>
          <w:rFonts w:hint="eastAsia" w:ascii="仿宋_GB2312" w:eastAsia="仿宋_GB2312"/>
          <w:sz w:val="32"/>
          <w:szCs w:val="32"/>
        </w:rPr>
      </w:pPr>
      <w:r>
        <w:rPr>
          <w:rFonts w:hint="default" w:ascii="仿宋_GB2312" w:hAnsi="Times New Roman" w:eastAsia="仿宋_GB2312" w:cs="Times New Roman"/>
          <w:kern w:val="2"/>
          <w:sz w:val="32"/>
          <w:szCs w:val="32"/>
          <w:lang w:val="en-US" w:eastAsia="zh-CN" w:bidi="ar-SA"/>
        </w:rPr>
        <w:t>1．</w:t>
      </w:r>
      <w:r>
        <w:rPr>
          <w:rFonts w:hint="eastAsia" w:ascii="黑体" w:hAnsi="黑体" w:eastAsia="黑体"/>
          <w:spacing w:val="-10"/>
          <w:sz w:val="32"/>
          <w:szCs w:val="32"/>
        </w:rPr>
        <w:t>财政拨款收入：</w:t>
      </w:r>
      <w:r>
        <w:rPr>
          <w:rFonts w:hint="eastAsia" w:ascii="仿宋_GB2312" w:eastAsia="仿宋_GB2312"/>
          <w:spacing w:val="-10"/>
          <w:sz w:val="32"/>
          <w:szCs w:val="32"/>
        </w:rPr>
        <w:t>指单位从同级财政部门取得的财政预算资金。</w:t>
      </w:r>
    </w:p>
    <w:p w14:paraId="68B89FC3">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left="0" w:leftChars="0" w:firstLine="640" w:firstLineChars="200"/>
        <w:textAlignment w:val="auto"/>
        <w:rPr>
          <w:rFonts w:hint="eastAsia" w:ascii="仿宋_GB2312" w:eastAsia="仿宋_GB2312"/>
          <w:sz w:val="32"/>
          <w:szCs w:val="32"/>
        </w:rPr>
      </w:pPr>
      <w:r>
        <w:rPr>
          <w:rFonts w:hint="default" w:ascii="仿宋_GB2312" w:hAnsi="Times New Roman" w:eastAsia="仿宋_GB2312" w:cs="Times New Roman"/>
          <w:kern w:val="2"/>
          <w:sz w:val="32"/>
          <w:szCs w:val="32"/>
          <w:lang w:val="en-US" w:eastAsia="zh-CN" w:bidi="ar-SA"/>
        </w:rPr>
        <w:t>2．</w:t>
      </w:r>
      <w:r>
        <w:rPr>
          <w:rFonts w:hint="eastAsia" w:ascii="黑体" w:hAnsi="黑体" w:eastAsia="黑体"/>
          <w:sz w:val="32"/>
          <w:szCs w:val="32"/>
        </w:rPr>
        <w:t>社会保障和就业支出（类）行政事业单位养老支出（款）机关事业单位基本养老保险缴费支出（项）：</w:t>
      </w:r>
      <w:r>
        <w:rPr>
          <w:rFonts w:hint="eastAsia" w:ascii="仿宋_GB2312" w:eastAsia="仿宋_GB2312"/>
          <w:sz w:val="32"/>
          <w:szCs w:val="32"/>
        </w:rPr>
        <w:t>反映机关事业单位实施养老保险制度由单位缴纳的基本养老保险支出。</w:t>
      </w:r>
    </w:p>
    <w:p w14:paraId="21D2FF21">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left="0" w:leftChars="0" w:firstLine="640" w:firstLineChars="200"/>
        <w:textAlignment w:val="auto"/>
        <w:rPr>
          <w:rFonts w:hint="eastAsia" w:ascii="仿宋_GB2312" w:eastAsia="仿宋_GB2312"/>
          <w:sz w:val="32"/>
          <w:szCs w:val="32"/>
        </w:rPr>
      </w:pPr>
      <w:r>
        <w:rPr>
          <w:rFonts w:hint="default" w:ascii="仿宋_GB2312" w:hAnsi="Times New Roman" w:eastAsia="仿宋_GB2312" w:cs="Times New Roman"/>
          <w:kern w:val="2"/>
          <w:sz w:val="32"/>
          <w:szCs w:val="32"/>
          <w:lang w:val="en-US" w:eastAsia="zh-CN" w:bidi="ar-SA"/>
        </w:rPr>
        <w:t>3．</w:t>
      </w:r>
      <w:r>
        <w:rPr>
          <w:rFonts w:hint="eastAsia" w:ascii="黑体" w:hAnsi="黑体" w:eastAsia="黑体"/>
          <w:sz w:val="32"/>
          <w:szCs w:val="32"/>
        </w:rPr>
        <w:t>社会保障和就业支出（类）行政事业单位养老支出（款）机关事业单位职业年金缴费支出（项）：</w:t>
      </w:r>
      <w:r>
        <w:rPr>
          <w:rFonts w:hint="eastAsia" w:ascii="仿宋_GB2312" w:eastAsia="仿宋_GB2312"/>
          <w:sz w:val="32"/>
          <w:szCs w:val="32"/>
        </w:rPr>
        <w:t>反映机关事业单位实施养老保险制度由单位缴纳的职业年金支出。</w:t>
      </w:r>
    </w:p>
    <w:p w14:paraId="7F10FCE9">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left="0" w:leftChars="0" w:firstLine="640" w:firstLineChars="200"/>
        <w:textAlignment w:val="auto"/>
        <w:rPr>
          <w:rFonts w:hint="eastAsia" w:ascii="仿宋_GB2312" w:eastAsia="仿宋_GB2312"/>
          <w:sz w:val="32"/>
          <w:szCs w:val="32"/>
        </w:rPr>
      </w:pPr>
      <w:r>
        <w:rPr>
          <w:rFonts w:hint="default" w:ascii="仿宋_GB2312" w:hAnsi="Times New Roman" w:eastAsia="仿宋_GB2312" w:cs="Times New Roman"/>
          <w:kern w:val="2"/>
          <w:sz w:val="32"/>
          <w:szCs w:val="32"/>
          <w:lang w:val="en-US" w:eastAsia="zh-CN" w:bidi="ar-SA"/>
        </w:rPr>
        <w:t>4．</w:t>
      </w:r>
      <w:r>
        <w:rPr>
          <w:rFonts w:hint="eastAsia" w:ascii="黑体" w:hAnsi="黑体" w:eastAsia="黑体"/>
          <w:sz w:val="32"/>
          <w:szCs w:val="32"/>
        </w:rPr>
        <w:t>卫生健康支出（类）行政事业单位医疗（款）行政单位医疗（项）</w:t>
      </w:r>
      <w:r>
        <w:rPr>
          <w:rFonts w:hint="eastAsia" w:ascii="黑体" w:hAnsi="黑体" w:eastAsia="黑体"/>
          <w:sz w:val="32"/>
          <w:szCs w:val="32"/>
          <w:lang w:eastAsia="zh-CN"/>
        </w:rPr>
        <w:t>：</w:t>
      </w:r>
      <w:r>
        <w:rPr>
          <w:rFonts w:hint="eastAsia" w:ascii="仿宋_GB2312" w:eastAsia="仿宋_GB2312"/>
          <w:sz w:val="32"/>
          <w:szCs w:val="32"/>
        </w:rPr>
        <w:t>指反映财政部门安排的行政单位基本医疗保险缴费经费，未参加医疗保险的行政单位的公费医疗经费，按国家规定享受离休人员、红军老战士待遇人员的医疗经费。</w:t>
      </w:r>
    </w:p>
    <w:p w14:paraId="47CE6B67">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left="0" w:leftChars="0" w:firstLine="640" w:firstLineChars="200"/>
        <w:textAlignment w:val="auto"/>
        <w:rPr>
          <w:rFonts w:hint="eastAsia" w:ascii="仿宋_GB2312" w:eastAsia="仿宋_GB2312"/>
          <w:sz w:val="32"/>
          <w:szCs w:val="32"/>
        </w:rPr>
      </w:pPr>
      <w:r>
        <w:rPr>
          <w:rFonts w:hint="default" w:ascii="仿宋_GB2312" w:hAnsi="Times New Roman" w:eastAsia="仿宋_GB2312" w:cs="Times New Roman"/>
          <w:kern w:val="2"/>
          <w:sz w:val="32"/>
          <w:szCs w:val="32"/>
          <w:lang w:val="en-US" w:eastAsia="zh-CN" w:bidi="ar-SA"/>
        </w:rPr>
        <w:t>5．</w:t>
      </w:r>
      <w:r>
        <w:rPr>
          <w:rFonts w:hint="eastAsia" w:ascii="黑体" w:hAnsi="黑体" w:eastAsia="黑体"/>
          <w:sz w:val="32"/>
          <w:szCs w:val="32"/>
        </w:rPr>
        <w:t>农林水支出（类）巩固脱贫衔接乡村振兴（款）行政运行（项）：</w:t>
      </w:r>
      <w:r>
        <w:rPr>
          <w:rFonts w:hint="eastAsia" w:ascii="仿宋_GB2312" w:eastAsia="仿宋_GB2312"/>
          <w:sz w:val="32"/>
          <w:szCs w:val="32"/>
        </w:rPr>
        <w:t>指反映行政单位行政人员的基本支出。</w:t>
      </w:r>
    </w:p>
    <w:p w14:paraId="6484472B">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left="0" w:leftChars="0" w:firstLine="640" w:firstLineChars="200"/>
        <w:textAlignment w:val="auto"/>
        <w:rPr>
          <w:rFonts w:hint="eastAsia" w:ascii="仿宋_GB2312" w:eastAsia="仿宋_GB2312"/>
          <w:sz w:val="32"/>
          <w:szCs w:val="32"/>
        </w:rPr>
      </w:pPr>
      <w:r>
        <w:rPr>
          <w:rFonts w:hint="default" w:ascii="仿宋_GB2312" w:hAnsi="Times New Roman" w:eastAsia="仿宋_GB2312" w:cs="Times New Roman"/>
          <w:kern w:val="2"/>
          <w:sz w:val="32"/>
          <w:szCs w:val="32"/>
          <w:lang w:val="en-US" w:eastAsia="zh-CN" w:bidi="ar-SA"/>
        </w:rPr>
        <w:t>6．</w:t>
      </w:r>
      <w:r>
        <w:rPr>
          <w:rFonts w:hint="eastAsia" w:ascii="黑体" w:hAnsi="黑体" w:eastAsia="黑体"/>
          <w:sz w:val="32"/>
          <w:szCs w:val="32"/>
        </w:rPr>
        <w:t>农林水支出（类）巩固脱贫衔接乡村振兴（款）一般行政管理事务（项）</w:t>
      </w:r>
      <w:r>
        <w:rPr>
          <w:rFonts w:hint="eastAsia" w:ascii="仿宋_GB2312" w:eastAsia="仿宋_GB2312"/>
          <w:sz w:val="32"/>
          <w:szCs w:val="32"/>
        </w:rPr>
        <w:t>：指反映行政单位（包括实行公务员管理的事业单位）未单独设置项级科目的其他项目支出。</w:t>
      </w:r>
    </w:p>
    <w:p w14:paraId="012F6162">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left="0" w:leftChars="0" w:firstLine="640" w:firstLineChars="200"/>
        <w:textAlignment w:val="auto"/>
        <w:rPr>
          <w:rFonts w:hint="eastAsia" w:ascii="仿宋_GB2312" w:eastAsia="仿宋_GB2312"/>
          <w:sz w:val="32"/>
          <w:szCs w:val="32"/>
        </w:rPr>
      </w:pPr>
      <w:r>
        <w:rPr>
          <w:rFonts w:hint="default" w:ascii="仿宋_GB2312" w:hAnsi="Times New Roman" w:eastAsia="仿宋_GB2312" w:cs="Times New Roman"/>
          <w:kern w:val="2"/>
          <w:sz w:val="32"/>
          <w:szCs w:val="32"/>
          <w:lang w:val="en-US" w:eastAsia="zh-CN" w:bidi="ar-SA"/>
        </w:rPr>
        <w:t>7．</w:t>
      </w:r>
      <w:r>
        <w:rPr>
          <w:rFonts w:hint="eastAsia" w:ascii="黑体" w:hAnsi="黑体" w:eastAsia="黑体"/>
          <w:sz w:val="32"/>
          <w:szCs w:val="32"/>
        </w:rPr>
        <w:t>农林水支出（类）巩固脱贫衔接乡村振兴（款）事业运行（项）：</w:t>
      </w:r>
      <w:r>
        <w:rPr>
          <w:rFonts w:hint="eastAsia" w:ascii="仿宋_GB2312" w:eastAsia="仿宋_GB2312"/>
          <w:sz w:val="32"/>
          <w:szCs w:val="32"/>
        </w:rPr>
        <w:t>指反映单位事业人员的基本支出。</w:t>
      </w:r>
    </w:p>
    <w:p w14:paraId="267F7A8B">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left="0" w:leftChars="0" w:firstLine="640" w:firstLineChars="200"/>
        <w:textAlignment w:val="auto"/>
        <w:rPr>
          <w:rFonts w:hint="eastAsia" w:ascii="仿宋_GB2312" w:eastAsia="仿宋_GB2312"/>
          <w:sz w:val="32"/>
          <w:szCs w:val="32"/>
        </w:rPr>
      </w:pPr>
      <w:r>
        <w:rPr>
          <w:rFonts w:hint="default" w:ascii="仿宋_GB2312" w:hAnsi="Times New Roman" w:eastAsia="仿宋_GB2312" w:cs="Times New Roman"/>
          <w:kern w:val="2"/>
          <w:sz w:val="32"/>
          <w:szCs w:val="32"/>
          <w:lang w:val="en-US" w:eastAsia="zh-CN" w:bidi="ar-SA"/>
        </w:rPr>
        <w:t>8．</w:t>
      </w:r>
      <w:r>
        <w:rPr>
          <w:rFonts w:hint="eastAsia" w:ascii="黑体" w:hAnsi="黑体" w:eastAsia="黑体"/>
          <w:sz w:val="32"/>
          <w:szCs w:val="32"/>
        </w:rPr>
        <w:t>住房保障支出（类）住房改革支出（款）住房公积金（项）：</w:t>
      </w:r>
      <w:r>
        <w:rPr>
          <w:rFonts w:hint="eastAsia" w:ascii="仿宋_GB2312" w:eastAsia="仿宋_GB2312"/>
          <w:sz w:val="32"/>
          <w:szCs w:val="32"/>
        </w:rPr>
        <w:t>指反映行政事业单位按人力资源和社会保障部、财政部规定的基本工资和津贴补贴以及规定比例为职工缴纳的住房公积金。</w:t>
      </w:r>
    </w:p>
    <w:p w14:paraId="28F404C4">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left="0" w:leftChars="0" w:firstLine="640" w:firstLineChars="200"/>
        <w:textAlignment w:val="auto"/>
        <w:rPr>
          <w:rFonts w:hint="eastAsia" w:ascii="仿宋_GB2312" w:eastAsia="仿宋_GB2312"/>
          <w:sz w:val="32"/>
          <w:szCs w:val="32"/>
        </w:rPr>
      </w:pPr>
      <w:r>
        <w:rPr>
          <w:rFonts w:hint="default" w:ascii="仿宋_GB2312" w:hAnsi="Times New Roman" w:eastAsia="仿宋_GB2312" w:cs="Times New Roman"/>
          <w:kern w:val="2"/>
          <w:sz w:val="32"/>
          <w:szCs w:val="32"/>
          <w:lang w:val="en-US" w:eastAsia="zh-CN" w:bidi="ar-SA"/>
        </w:rPr>
        <w:t>9．</w:t>
      </w:r>
      <w:r>
        <w:rPr>
          <w:rFonts w:hint="eastAsia" w:ascii="黑体" w:hAnsi="黑体" w:eastAsia="黑体"/>
          <w:sz w:val="32"/>
          <w:szCs w:val="32"/>
        </w:rPr>
        <w:t>基本支出：</w:t>
      </w:r>
      <w:r>
        <w:rPr>
          <w:rFonts w:hint="eastAsia" w:ascii="仿宋_GB2312" w:eastAsia="仿宋_GB2312"/>
          <w:sz w:val="32"/>
          <w:szCs w:val="32"/>
        </w:rPr>
        <w:t>指为保障机构正常运转、完成日常工作任务而发生的人员支出和公用支出。</w:t>
      </w:r>
    </w:p>
    <w:p w14:paraId="330033D4">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left="0" w:leftChars="0" w:firstLine="640" w:firstLineChars="200"/>
        <w:textAlignment w:val="auto"/>
        <w:rPr>
          <w:rFonts w:hint="eastAsia" w:ascii="仿宋_GB2312" w:eastAsia="仿宋_GB2312"/>
          <w:sz w:val="32"/>
          <w:szCs w:val="32"/>
        </w:rPr>
      </w:pPr>
      <w:r>
        <w:rPr>
          <w:rFonts w:hint="default" w:ascii="仿宋_GB2312" w:hAnsi="Times New Roman" w:eastAsia="仿宋_GB2312" w:cs="Times New Roman"/>
          <w:kern w:val="2"/>
          <w:sz w:val="32"/>
          <w:szCs w:val="32"/>
          <w:lang w:val="en-US" w:eastAsia="zh-CN" w:bidi="ar-SA"/>
        </w:rPr>
        <w:t>10．</w:t>
      </w:r>
      <w:r>
        <w:rPr>
          <w:rFonts w:hint="eastAsia" w:ascii="黑体" w:hAnsi="黑体" w:eastAsia="黑体"/>
          <w:sz w:val="32"/>
          <w:szCs w:val="32"/>
        </w:rPr>
        <w:t>项目支出：</w:t>
      </w:r>
      <w:r>
        <w:rPr>
          <w:rFonts w:hint="eastAsia" w:ascii="仿宋_GB2312" w:eastAsia="仿宋_GB2312"/>
          <w:sz w:val="32"/>
          <w:szCs w:val="32"/>
        </w:rPr>
        <w:t>指在基本支出之外为完成特定行政任务和事业发展目标所发生的支出。</w:t>
      </w:r>
    </w:p>
    <w:p w14:paraId="55581FB4">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left="0" w:leftChars="0" w:firstLine="640" w:firstLineChars="200"/>
        <w:textAlignment w:val="auto"/>
        <w:rPr>
          <w:rFonts w:hint="eastAsia" w:ascii="仿宋_GB2312" w:eastAsia="仿宋_GB2312"/>
          <w:sz w:val="32"/>
          <w:szCs w:val="32"/>
        </w:rPr>
      </w:pPr>
      <w:r>
        <w:rPr>
          <w:rFonts w:hint="default" w:ascii="仿宋_GB2312" w:hAnsi="Times New Roman" w:eastAsia="仿宋_GB2312" w:cs="Times New Roman"/>
          <w:kern w:val="2"/>
          <w:sz w:val="32"/>
          <w:szCs w:val="32"/>
          <w:lang w:val="en-US" w:eastAsia="zh-CN" w:bidi="ar-SA"/>
        </w:rPr>
        <w:t>11．</w:t>
      </w:r>
      <w:r>
        <w:rPr>
          <w:rFonts w:hint="eastAsia" w:ascii="黑体" w:hAnsi="黑体" w:eastAsia="黑体"/>
          <w:sz w:val="32"/>
          <w:szCs w:val="32"/>
        </w:rPr>
        <w:t>“三公”经费：</w:t>
      </w:r>
      <w:r>
        <w:rPr>
          <w:rFonts w:hint="eastAsia" w:ascii="仿宋_GB2312" w:eastAsia="仿宋_GB2312"/>
          <w:sz w:val="32"/>
          <w:szCs w:val="32"/>
        </w:rPr>
        <w:t>指单位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14:paraId="124E89F6">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left="0" w:leftChars="0" w:firstLine="640" w:firstLineChars="200"/>
        <w:textAlignment w:val="auto"/>
        <w:rPr>
          <w:rFonts w:hint="eastAsia"/>
        </w:rPr>
      </w:pPr>
      <w:bookmarkStart w:id="101" w:name="_GoBack"/>
      <w:bookmarkEnd w:id="101"/>
      <w:r>
        <w:rPr>
          <w:rFonts w:hint="default" w:ascii="仿宋_GB2312" w:hAnsi="Times New Roman" w:eastAsia="仿宋_GB2312" w:cs="Times New Roman"/>
          <w:kern w:val="2"/>
          <w:sz w:val="32"/>
          <w:szCs w:val="32"/>
          <w:lang w:val="en-US" w:eastAsia="zh-CN" w:bidi="ar-SA"/>
        </w:rPr>
        <w:t>1</w:t>
      </w:r>
      <w:r>
        <w:rPr>
          <w:rFonts w:hint="eastAsia" w:ascii="仿宋_GB2312" w:hAnsi="Times New Roman" w:eastAsia="仿宋_GB2312" w:cs="Times New Roman"/>
          <w:kern w:val="2"/>
          <w:sz w:val="32"/>
          <w:szCs w:val="32"/>
          <w:lang w:val="en-US" w:eastAsia="zh-CN" w:bidi="ar-SA"/>
        </w:rPr>
        <w:t>2</w:t>
      </w:r>
      <w:r>
        <w:rPr>
          <w:rFonts w:hint="default" w:ascii="Times New Roman" w:hAnsi="Times New Roman" w:eastAsia="宋体" w:cs="Times New Roman"/>
          <w:kern w:val="2"/>
          <w:sz w:val="21"/>
          <w:szCs w:val="21"/>
          <w:lang w:val="en-US" w:eastAsia="zh-CN" w:bidi="ar-SA"/>
        </w:rPr>
        <w:t>．</w:t>
      </w:r>
      <w:r>
        <w:rPr>
          <w:rFonts w:hint="eastAsia" w:ascii="黑体" w:hAnsi="黑体" w:eastAsia="黑体"/>
          <w:sz w:val="32"/>
          <w:szCs w:val="32"/>
        </w:rPr>
        <w:t>机关运行经费：</w:t>
      </w:r>
      <w:r>
        <w:rPr>
          <w:rFonts w:hint="eastAsia" w:ascii="仿宋_GB2312" w:eastAsia="仿宋_GB2312"/>
          <w:sz w:val="32"/>
          <w:szCs w:val="32"/>
        </w:rPr>
        <w:t>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6FD83B2D">
      <w:pPr>
        <w:keepNext w:val="0"/>
        <w:keepLines w:val="0"/>
        <w:pageBreakBefore w:val="0"/>
        <w:widowControl w:val="0"/>
        <w:kinsoku/>
        <w:wordWrap/>
        <w:overflowPunct/>
        <w:topLinePunct w:val="0"/>
        <w:autoSpaceDE/>
        <w:autoSpaceDN/>
        <w:bidi w:val="0"/>
        <w:adjustRightInd/>
        <w:snapToGrid/>
        <w:spacing w:line="576" w:lineRule="exact"/>
        <w:ind w:firstLine="420" w:firstLineChars="200"/>
        <w:textAlignment w:val="auto"/>
        <w:rPr>
          <w:rFonts w:hint="eastAsia"/>
        </w:rPr>
        <w:sectPr>
          <w:footerReference r:id="rId3" w:type="default"/>
          <w:pgSz w:w="11906" w:h="16838"/>
          <w:pgMar w:top="1440" w:right="1800" w:bottom="1440" w:left="1800" w:header="851" w:footer="992" w:gutter="0"/>
          <w:pgNumType w:fmt="decimal" w:start="1"/>
          <w:cols w:space="425" w:num="1"/>
          <w:docGrid w:type="lines" w:linePitch="312" w:charSpace="0"/>
        </w:sectPr>
      </w:pPr>
    </w:p>
    <w:p w14:paraId="2017FDF6">
      <w:pPr>
        <w:pStyle w:val="3"/>
        <w:bidi w:val="0"/>
        <w:rPr>
          <w:rFonts w:hint="eastAsia" w:ascii="黑体" w:hAnsi="黑体" w:eastAsia="黑体"/>
          <w:sz w:val="44"/>
          <w:szCs w:val="44"/>
          <w:lang w:val="en-US" w:eastAsia="zh-CN"/>
        </w:rPr>
      </w:pPr>
      <w:bookmarkStart w:id="17" w:name="_Toc20561"/>
      <w:bookmarkStart w:id="18" w:name="_Toc1124"/>
      <w:bookmarkStart w:id="19" w:name="_Toc2682"/>
      <w:bookmarkStart w:id="20" w:name="_Toc15396618"/>
      <w:bookmarkStart w:id="21" w:name="_Toc27468708_WPSOffice_Level1"/>
      <w:bookmarkStart w:id="22" w:name="_Toc12646"/>
      <w:r>
        <w:rPr>
          <w:rFonts w:hint="eastAsia" w:ascii="黑体" w:hAnsi="黑体" w:eastAsia="黑体"/>
          <w:sz w:val="44"/>
          <w:szCs w:val="44"/>
          <w:lang w:val="en-US" w:eastAsia="zh-CN"/>
        </w:rPr>
        <w:t>第四部分 附表</w:t>
      </w:r>
      <w:bookmarkEnd w:id="17"/>
      <w:bookmarkEnd w:id="18"/>
      <w:bookmarkEnd w:id="19"/>
      <w:bookmarkEnd w:id="20"/>
      <w:bookmarkEnd w:id="21"/>
      <w:bookmarkEnd w:id="22"/>
      <w:bookmarkStart w:id="23" w:name="_Toc15396619"/>
    </w:p>
    <w:p w14:paraId="1CAA1223">
      <w:pPr>
        <w:pStyle w:val="4"/>
        <w:bidi w:val="0"/>
        <w:jc w:val="both"/>
        <w:rPr>
          <w:rFonts w:hint="eastAsia" w:ascii="仿宋" w:hAnsi="仿宋" w:eastAsia="仿宋" w:cs="仿宋"/>
          <w:b w:val="0"/>
          <w:bCs/>
          <w:lang w:val="en-US" w:eastAsia="zh-CN"/>
        </w:rPr>
      </w:pPr>
      <w:bookmarkStart w:id="24" w:name="_Toc379183473_WPSOffice_Level2"/>
      <w:bookmarkStart w:id="25" w:name="_Toc1434"/>
      <w:bookmarkStart w:id="26" w:name="_Toc3362"/>
      <w:bookmarkStart w:id="27" w:name="_Toc6292"/>
      <w:bookmarkStart w:id="28" w:name="_Toc20254"/>
    </w:p>
    <w:p w14:paraId="5C616B56">
      <w:pPr>
        <w:pStyle w:val="4"/>
        <w:pageBreakBefore w:val="0"/>
        <w:widowControl w:val="0"/>
        <w:kinsoku/>
        <w:wordWrap/>
        <w:overflowPunct/>
        <w:topLinePunct w:val="0"/>
        <w:autoSpaceDE/>
        <w:autoSpaceDN/>
        <w:bidi w:val="0"/>
        <w:adjustRightInd/>
        <w:snapToGrid/>
        <w:spacing w:before="0" w:after="0" w:line="576" w:lineRule="exact"/>
        <w:jc w:val="both"/>
        <w:textAlignment w:val="auto"/>
        <w:rPr>
          <w:rFonts w:hint="eastAsia" w:ascii="仿宋" w:hAnsi="仿宋" w:eastAsia="仿宋" w:cs="仿宋"/>
          <w:b w:val="0"/>
          <w:bCs/>
          <w:lang w:val="en-US" w:eastAsia="zh-CN"/>
        </w:rPr>
      </w:pPr>
      <w:r>
        <w:rPr>
          <w:rFonts w:hint="eastAsia" w:ascii="仿宋" w:hAnsi="仿宋" w:eastAsia="仿宋" w:cs="仿宋"/>
          <w:b w:val="0"/>
          <w:bCs/>
          <w:lang w:val="en-US" w:eastAsia="zh-CN"/>
        </w:rPr>
        <w:t>一、收入支出决算总表</w:t>
      </w:r>
      <w:bookmarkEnd w:id="23"/>
      <w:bookmarkEnd w:id="24"/>
      <w:bookmarkEnd w:id="25"/>
      <w:bookmarkEnd w:id="26"/>
      <w:bookmarkEnd w:id="27"/>
      <w:bookmarkEnd w:id="28"/>
    </w:p>
    <w:p w14:paraId="1531EE9B">
      <w:pPr>
        <w:pStyle w:val="4"/>
        <w:pageBreakBefore w:val="0"/>
        <w:widowControl w:val="0"/>
        <w:kinsoku/>
        <w:wordWrap/>
        <w:overflowPunct/>
        <w:topLinePunct w:val="0"/>
        <w:autoSpaceDE/>
        <w:autoSpaceDN/>
        <w:bidi w:val="0"/>
        <w:adjustRightInd/>
        <w:snapToGrid/>
        <w:spacing w:before="0" w:after="0" w:line="576" w:lineRule="exact"/>
        <w:jc w:val="both"/>
        <w:textAlignment w:val="auto"/>
        <w:rPr>
          <w:rFonts w:hint="eastAsia" w:ascii="仿宋" w:hAnsi="仿宋" w:eastAsia="仿宋" w:cs="仿宋"/>
          <w:b w:val="0"/>
          <w:bCs/>
          <w:lang w:val="en-US" w:eastAsia="zh-CN"/>
        </w:rPr>
      </w:pPr>
      <w:bookmarkStart w:id="29" w:name="_Toc1400190165_WPSOffice_Level2"/>
      <w:bookmarkStart w:id="30" w:name="_Toc6223"/>
      <w:bookmarkStart w:id="31" w:name="_Toc14046"/>
      <w:bookmarkStart w:id="32" w:name="_Toc13881"/>
      <w:bookmarkStart w:id="33" w:name="_Toc28066"/>
      <w:bookmarkStart w:id="34" w:name="_Toc15396620"/>
      <w:r>
        <w:rPr>
          <w:rFonts w:hint="eastAsia" w:ascii="仿宋" w:hAnsi="仿宋" w:eastAsia="仿宋" w:cs="仿宋"/>
          <w:b w:val="0"/>
          <w:bCs/>
          <w:lang w:val="en-US" w:eastAsia="zh-CN"/>
        </w:rPr>
        <w:t>二、收入决算表</w:t>
      </w:r>
      <w:bookmarkEnd w:id="29"/>
      <w:bookmarkEnd w:id="30"/>
      <w:bookmarkEnd w:id="31"/>
      <w:bookmarkEnd w:id="32"/>
      <w:bookmarkEnd w:id="33"/>
      <w:bookmarkEnd w:id="34"/>
    </w:p>
    <w:p w14:paraId="1E59BAE2">
      <w:pPr>
        <w:pStyle w:val="4"/>
        <w:pageBreakBefore w:val="0"/>
        <w:widowControl w:val="0"/>
        <w:kinsoku/>
        <w:wordWrap/>
        <w:overflowPunct/>
        <w:topLinePunct w:val="0"/>
        <w:autoSpaceDE/>
        <w:autoSpaceDN/>
        <w:bidi w:val="0"/>
        <w:adjustRightInd/>
        <w:snapToGrid/>
        <w:spacing w:before="0" w:after="0" w:line="576" w:lineRule="exact"/>
        <w:jc w:val="both"/>
        <w:textAlignment w:val="auto"/>
        <w:rPr>
          <w:rFonts w:hint="eastAsia" w:ascii="仿宋" w:hAnsi="仿宋" w:eastAsia="仿宋" w:cs="仿宋"/>
          <w:b w:val="0"/>
          <w:bCs/>
          <w:lang w:val="en-US" w:eastAsia="zh-CN"/>
        </w:rPr>
      </w:pPr>
      <w:bookmarkStart w:id="35" w:name="_Toc15106"/>
      <w:bookmarkStart w:id="36" w:name="_Toc15396621"/>
      <w:bookmarkStart w:id="37" w:name="_Toc28204"/>
      <w:bookmarkStart w:id="38" w:name="_Toc32192"/>
      <w:bookmarkStart w:id="39" w:name="_Toc623460778_WPSOffice_Level2"/>
      <w:bookmarkStart w:id="40" w:name="_Toc15775"/>
      <w:r>
        <w:rPr>
          <w:rFonts w:hint="eastAsia" w:ascii="仿宋" w:hAnsi="仿宋" w:eastAsia="仿宋" w:cs="仿宋"/>
          <w:b w:val="0"/>
          <w:bCs/>
          <w:lang w:val="en-US" w:eastAsia="zh-CN"/>
        </w:rPr>
        <w:t>三、支出决算表</w:t>
      </w:r>
      <w:bookmarkEnd w:id="35"/>
      <w:bookmarkEnd w:id="36"/>
      <w:bookmarkEnd w:id="37"/>
      <w:bookmarkEnd w:id="38"/>
      <w:bookmarkEnd w:id="39"/>
      <w:bookmarkEnd w:id="40"/>
    </w:p>
    <w:p w14:paraId="6695F721">
      <w:pPr>
        <w:pStyle w:val="4"/>
        <w:pageBreakBefore w:val="0"/>
        <w:widowControl w:val="0"/>
        <w:kinsoku/>
        <w:wordWrap/>
        <w:overflowPunct/>
        <w:topLinePunct w:val="0"/>
        <w:autoSpaceDE/>
        <w:autoSpaceDN/>
        <w:bidi w:val="0"/>
        <w:adjustRightInd/>
        <w:snapToGrid/>
        <w:spacing w:before="0" w:after="0" w:line="576" w:lineRule="exact"/>
        <w:jc w:val="both"/>
        <w:textAlignment w:val="auto"/>
        <w:rPr>
          <w:rFonts w:hint="eastAsia" w:ascii="仿宋" w:hAnsi="仿宋" w:eastAsia="仿宋" w:cs="仿宋"/>
          <w:b w:val="0"/>
          <w:bCs/>
          <w:lang w:val="en-US" w:eastAsia="zh-CN"/>
        </w:rPr>
      </w:pPr>
      <w:bookmarkStart w:id="41" w:name="_Toc10047"/>
      <w:bookmarkStart w:id="42" w:name="_Toc4918"/>
      <w:bookmarkStart w:id="43" w:name="_Toc15396622"/>
      <w:bookmarkStart w:id="44" w:name="_Toc801282070_WPSOffice_Level2"/>
      <w:bookmarkStart w:id="45" w:name="_Toc30494"/>
      <w:bookmarkStart w:id="46" w:name="_Toc21299"/>
      <w:r>
        <w:rPr>
          <w:rFonts w:hint="eastAsia" w:ascii="仿宋" w:hAnsi="仿宋" w:eastAsia="仿宋" w:cs="仿宋"/>
          <w:b w:val="0"/>
          <w:bCs/>
          <w:lang w:val="en-US" w:eastAsia="zh-CN"/>
        </w:rPr>
        <w:t>四、财政拨款收入支出决算总表</w:t>
      </w:r>
      <w:bookmarkEnd w:id="41"/>
      <w:bookmarkEnd w:id="42"/>
      <w:bookmarkEnd w:id="43"/>
      <w:bookmarkEnd w:id="44"/>
      <w:bookmarkEnd w:id="45"/>
      <w:bookmarkEnd w:id="46"/>
    </w:p>
    <w:p w14:paraId="2F8E13F1">
      <w:pPr>
        <w:pStyle w:val="4"/>
        <w:pageBreakBefore w:val="0"/>
        <w:widowControl w:val="0"/>
        <w:kinsoku/>
        <w:wordWrap/>
        <w:overflowPunct/>
        <w:topLinePunct w:val="0"/>
        <w:autoSpaceDE/>
        <w:autoSpaceDN/>
        <w:bidi w:val="0"/>
        <w:adjustRightInd/>
        <w:snapToGrid/>
        <w:spacing w:before="0" w:after="0" w:line="576" w:lineRule="exact"/>
        <w:jc w:val="both"/>
        <w:textAlignment w:val="auto"/>
        <w:rPr>
          <w:rFonts w:hint="eastAsia" w:ascii="仿宋" w:hAnsi="仿宋" w:eastAsia="仿宋" w:cs="仿宋"/>
          <w:b w:val="0"/>
          <w:bCs/>
          <w:lang w:val="en-US" w:eastAsia="zh-CN"/>
        </w:rPr>
      </w:pPr>
      <w:bookmarkStart w:id="47" w:name="_Toc24474"/>
      <w:bookmarkStart w:id="48" w:name="_Toc17019"/>
      <w:bookmarkStart w:id="49" w:name="_Toc1386412490_WPSOffice_Level2"/>
      <w:bookmarkStart w:id="50" w:name="_Toc10591"/>
      <w:bookmarkStart w:id="51" w:name="_Toc26128"/>
      <w:bookmarkStart w:id="52" w:name="_Toc15396623"/>
      <w:r>
        <w:rPr>
          <w:rFonts w:hint="eastAsia" w:ascii="仿宋" w:hAnsi="仿宋" w:eastAsia="仿宋" w:cs="仿宋"/>
          <w:b w:val="0"/>
          <w:bCs/>
          <w:lang w:val="en-US" w:eastAsia="zh-CN"/>
        </w:rPr>
        <w:t>五、财政拨款支出决算明细表</w:t>
      </w:r>
      <w:bookmarkEnd w:id="47"/>
      <w:bookmarkEnd w:id="48"/>
      <w:bookmarkEnd w:id="49"/>
      <w:bookmarkEnd w:id="50"/>
      <w:bookmarkEnd w:id="51"/>
      <w:bookmarkEnd w:id="52"/>
      <w:bookmarkStart w:id="53" w:name="_Toc15396624"/>
    </w:p>
    <w:p w14:paraId="084E0A05">
      <w:pPr>
        <w:pStyle w:val="4"/>
        <w:pageBreakBefore w:val="0"/>
        <w:widowControl w:val="0"/>
        <w:kinsoku/>
        <w:wordWrap/>
        <w:overflowPunct/>
        <w:topLinePunct w:val="0"/>
        <w:autoSpaceDE/>
        <w:autoSpaceDN/>
        <w:bidi w:val="0"/>
        <w:adjustRightInd/>
        <w:snapToGrid/>
        <w:spacing w:before="0" w:after="0" w:line="576" w:lineRule="exact"/>
        <w:jc w:val="both"/>
        <w:textAlignment w:val="auto"/>
        <w:rPr>
          <w:rFonts w:hint="eastAsia" w:ascii="仿宋" w:hAnsi="仿宋" w:eastAsia="仿宋" w:cs="仿宋"/>
          <w:b w:val="0"/>
          <w:bCs/>
          <w:lang w:val="en-US" w:eastAsia="zh-CN"/>
        </w:rPr>
      </w:pPr>
      <w:bookmarkStart w:id="54" w:name="_Toc1050053245_WPSOffice_Level2"/>
      <w:bookmarkStart w:id="55" w:name="_Toc11221"/>
      <w:bookmarkStart w:id="56" w:name="_Toc13086"/>
      <w:bookmarkStart w:id="57" w:name="_Toc6941"/>
      <w:bookmarkStart w:id="58" w:name="_Toc10287"/>
      <w:r>
        <w:rPr>
          <w:rFonts w:hint="eastAsia" w:ascii="仿宋" w:hAnsi="仿宋" w:eastAsia="仿宋" w:cs="仿宋"/>
          <w:b w:val="0"/>
          <w:bCs/>
          <w:lang w:val="en-US" w:eastAsia="zh-CN"/>
        </w:rPr>
        <w:t>六、一般公共预算财政拨款支出决算表</w:t>
      </w:r>
      <w:bookmarkEnd w:id="53"/>
      <w:bookmarkEnd w:id="54"/>
      <w:bookmarkEnd w:id="55"/>
      <w:bookmarkEnd w:id="56"/>
      <w:bookmarkEnd w:id="57"/>
      <w:bookmarkEnd w:id="58"/>
    </w:p>
    <w:p w14:paraId="072F0495">
      <w:pPr>
        <w:pStyle w:val="4"/>
        <w:pageBreakBefore w:val="0"/>
        <w:widowControl w:val="0"/>
        <w:kinsoku/>
        <w:wordWrap/>
        <w:overflowPunct/>
        <w:topLinePunct w:val="0"/>
        <w:autoSpaceDE/>
        <w:autoSpaceDN/>
        <w:bidi w:val="0"/>
        <w:adjustRightInd/>
        <w:snapToGrid/>
        <w:spacing w:before="0" w:after="0" w:line="576" w:lineRule="exact"/>
        <w:jc w:val="both"/>
        <w:textAlignment w:val="auto"/>
        <w:rPr>
          <w:rFonts w:hint="eastAsia" w:ascii="仿宋" w:hAnsi="仿宋" w:eastAsia="仿宋" w:cs="仿宋"/>
          <w:b w:val="0"/>
          <w:bCs/>
          <w:lang w:val="en-US" w:eastAsia="zh-CN"/>
        </w:rPr>
      </w:pPr>
      <w:bookmarkStart w:id="59" w:name="_Toc7647"/>
      <w:bookmarkStart w:id="60" w:name="_Toc30832"/>
      <w:bookmarkStart w:id="61" w:name="_Toc15396625"/>
      <w:bookmarkStart w:id="62" w:name="_Toc19678"/>
      <w:bookmarkStart w:id="63" w:name="_Toc13214"/>
      <w:bookmarkStart w:id="64" w:name="_Toc1657588972_WPSOffice_Level2"/>
      <w:r>
        <w:rPr>
          <w:rFonts w:hint="eastAsia" w:ascii="仿宋" w:hAnsi="仿宋" w:eastAsia="仿宋" w:cs="仿宋"/>
          <w:b w:val="0"/>
          <w:bCs/>
          <w:lang w:val="en-US" w:eastAsia="zh-CN"/>
        </w:rPr>
        <w:t>七、一般公共预算财政拨款支出决算明细表</w:t>
      </w:r>
      <w:bookmarkEnd w:id="59"/>
      <w:bookmarkEnd w:id="60"/>
      <w:bookmarkEnd w:id="61"/>
      <w:bookmarkEnd w:id="62"/>
      <w:bookmarkEnd w:id="63"/>
      <w:bookmarkEnd w:id="64"/>
    </w:p>
    <w:p w14:paraId="2C91CD27">
      <w:pPr>
        <w:pStyle w:val="4"/>
        <w:pageBreakBefore w:val="0"/>
        <w:widowControl w:val="0"/>
        <w:kinsoku/>
        <w:wordWrap/>
        <w:overflowPunct/>
        <w:topLinePunct w:val="0"/>
        <w:autoSpaceDE/>
        <w:autoSpaceDN/>
        <w:bidi w:val="0"/>
        <w:adjustRightInd/>
        <w:snapToGrid/>
        <w:spacing w:before="0" w:after="0" w:line="576" w:lineRule="exact"/>
        <w:jc w:val="both"/>
        <w:textAlignment w:val="auto"/>
        <w:rPr>
          <w:rFonts w:hint="eastAsia" w:ascii="仿宋" w:hAnsi="仿宋" w:eastAsia="仿宋" w:cs="仿宋"/>
          <w:b w:val="0"/>
          <w:bCs/>
          <w:lang w:val="en-US" w:eastAsia="zh-CN"/>
        </w:rPr>
      </w:pPr>
      <w:bookmarkStart w:id="65" w:name="_Toc15396626"/>
      <w:bookmarkStart w:id="66" w:name="_Toc1867284794_WPSOffice_Level2"/>
      <w:bookmarkStart w:id="67" w:name="_Toc11924"/>
      <w:bookmarkStart w:id="68" w:name="_Toc300"/>
      <w:bookmarkStart w:id="69" w:name="_Toc11740"/>
      <w:bookmarkStart w:id="70" w:name="_Toc16758"/>
      <w:r>
        <w:rPr>
          <w:rFonts w:hint="eastAsia" w:ascii="仿宋" w:hAnsi="仿宋" w:eastAsia="仿宋" w:cs="仿宋"/>
          <w:b w:val="0"/>
          <w:bCs/>
          <w:lang w:val="en-US" w:eastAsia="zh-CN"/>
        </w:rPr>
        <w:t>八、一般公共预算财政拨款基本支出决算表</w:t>
      </w:r>
      <w:bookmarkEnd w:id="65"/>
      <w:bookmarkEnd w:id="66"/>
      <w:bookmarkEnd w:id="67"/>
      <w:bookmarkEnd w:id="68"/>
      <w:bookmarkEnd w:id="69"/>
      <w:bookmarkEnd w:id="70"/>
    </w:p>
    <w:p w14:paraId="419704CA">
      <w:pPr>
        <w:pStyle w:val="4"/>
        <w:pageBreakBefore w:val="0"/>
        <w:widowControl w:val="0"/>
        <w:kinsoku/>
        <w:wordWrap/>
        <w:overflowPunct/>
        <w:topLinePunct w:val="0"/>
        <w:autoSpaceDE/>
        <w:autoSpaceDN/>
        <w:bidi w:val="0"/>
        <w:adjustRightInd/>
        <w:snapToGrid/>
        <w:spacing w:before="0" w:after="0" w:line="576" w:lineRule="exact"/>
        <w:jc w:val="both"/>
        <w:textAlignment w:val="auto"/>
        <w:rPr>
          <w:rFonts w:hint="eastAsia" w:ascii="仿宋" w:hAnsi="仿宋" w:eastAsia="仿宋" w:cs="仿宋"/>
          <w:b w:val="0"/>
          <w:bCs/>
          <w:lang w:val="en-US" w:eastAsia="zh-CN"/>
        </w:rPr>
      </w:pPr>
      <w:bookmarkStart w:id="71" w:name="_Toc13907"/>
      <w:bookmarkStart w:id="72" w:name="_Toc30124"/>
      <w:bookmarkStart w:id="73" w:name="_Toc396662052_WPSOffice_Level2"/>
      <w:bookmarkStart w:id="74" w:name="_Toc25667"/>
      <w:bookmarkStart w:id="75" w:name="_Toc11587"/>
      <w:bookmarkStart w:id="76" w:name="_Toc15396627"/>
      <w:r>
        <w:rPr>
          <w:rFonts w:hint="eastAsia" w:ascii="仿宋" w:hAnsi="仿宋" w:eastAsia="仿宋" w:cs="仿宋"/>
          <w:b w:val="0"/>
          <w:bCs/>
          <w:lang w:val="en-US" w:eastAsia="zh-CN"/>
        </w:rPr>
        <w:t>九、一般公共预算财政拨款项目支出决算表</w:t>
      </w:r>
      <w:bookmarkEnd w:id="71"/>
      <w:bookmarkEnd w:id="72"/>
      <w:bookmarkEnd w:id="73"/>
      <w:bookmarkEnd w:id="74"/>
      <w:bookmarkEnd w:id="75"/>
      <w:bookmarkEnd w:id="76"/>
    </w:p>
    <w:p w14:paraId="7E4D658C">
      <w:pPr>
        <w:pStyle w:val="4"/>
        <w:pageBreakBefore w:val="0"/>
        <w:widowControl w:val="0"/>
        <w:kinsoku/>
        <w:wordWrap/>
        <w:overflowPunct/>
        <w:topLinePunct w:val="0"/>
        <w:autoSpaceDE/>
        <w:autoSpaceDN/>
        <w:bidi w:val="0"/>
        <w:adjustRightInd/>
        <w:snapToGrid/>
        <w:spacing w:before="0" w:after="0" w:line="576" w:lineRule="exact"/>
        <w:jc w:val="both"/>
        <w:textAlignment w:val="auto"/>
        <w:rPr>
          <w:rFonts w:hint="eastAsia" w:ascii="仿宋" w:hAnsi="仿宋" w:eastAsia="仿宋" w:cs="仿宋"/>
          <w:b w:val="0"/>
          <w:bCs/>
          <w:lang w:val="en-US" w:eastAsia="zh-CN"/>
        </w:rPr>
      </w:pPr>
      <w:bookmarkStart w:id="77" w:name="_Toc15396628"/>
      <w:bookmarkStart w:id="78" w:name="_Toc13637"/>
      <w:bookmarkStart w:id="79" w:name="_Toc25833"/>
      <w:bookmarkStart w:id="80" w:name="_Toc153440661_WPSOffice_Level2"/>
      <w:bookmarkStart w:id="81" w:name="_Toc29616"/>
      <w:bookmarkStart w:id="82" w:name="_Toc1707"/>
      <w:r>
        <w:rPr>
          <w:rFonts w:hint="eastAsia" w:ascii="仿宋" w:hAnsi="仿宋" w:eastAsia="仿宋" w:cs="仿宋"/>
          <w:b w:val="0"/>
          <w:bCs/>
          <w:lang w:val="en-US" w:eastAsia="zh-CN"/>
        </w:rPr>
        <w:t>十、</w:t>
      </w:r>
      <w:bookmarkEnd w:id="77"/>
      <w:r>
        <w:rPr>
          <w:rFonts w:hint="eastAsia" w:ascii="仿宋" w:hAnsi="仿宋" w:eastAsia="仿宋" w:cs="仿宋"/>
          <w:b w:val="0"/>
          <w:bCs/>
          <w:lang w:val="en-US" w:eastAsia="zh-CN"/>
        </w:rPr>
        <w:t>政府性基金预算财政拨款收入支出决算表</w:t>
      </w:r>
      <w:bookmarkEnd w:id="78"/>
      <w:bookmarkEnd w:id="79"/>
      <w:bookmarkEnd w:id="80"/>
      <w:bookmarkEnd w:id="81"/>
      <w:bookmarkEnd w:id="82"/>
    </w:p>
    <w:p w14:paraId="5B811CFB">
      <w:pPr>
        <w:pStyle w:val="4"/>
        <w:pageBreakBefore w:val="0"/>
        <w:widowControl w:val="0"/>
        <w:kinsoku/>
        <w:wordWrap/>
        <w:overflowPunct/>
        <w:topLinePunct w:val="0"/>
        <w:autoSpaceDE/>
        <w:autoSpaceDN/>
        <w:bidi w:val="0"/>
        <w:adjustRightInd/>
        <w:snapToGrid/>
        <w:spacing w:before="0" w:after="0" w:line="576" w:lineRule="exact"/>
        <w:jc w:val="both"/>
        <w:textAlignment w:val="auto"/>
        <w:rPr>
          <w:rFonts w:hint="eastAsia" w:ascii="仿宋" w:hAnsi="仿宋" w:eastAsia="仿宋" w:cs="仿宋"/>
          <w:b w:val="0"/>
          <w:bCs/>
          <w:lang w:val="en-US" w:eastAsia="zh-CN"/>
        </w:rPr>
      </w:pPr>
      <w:bookmarkStart w:id="83" w:name="_Toc15396629"/>
      <w:bookmarkStart w:id="84" w:name="_Toc10087"/>
      <w:bookmarkStart w:id="85" w:name="_Toc415326509_WPSOffice_Level2"/>
      <w:bookmarkStart w:id="86" w:name="_Toc30266"/>
      <w:bookmarkStart w:id="87" w:name="_Toc17297"/>
      <w:bookmarkStart w:id="88" w:name="_Toc25966"/>
      <w:r>
        <w:rPr>
          <w:rFonts w:hint="eastAsia" w:ascii="仿宋" w:hAnsi="仿宋" w:eastAsia="仿宋" w:cs="仿宋"/>
          <w:b w:val="0"/>
          <w:bCs/>
          <w:lang w:val="en-US" w:eastAsia="zh-CN"/>
        </w:rPr>
        <w:t>十一、</w:t>
      </w:r>
      <w:bookmarkEnd w:id="83"/>
      <w:r>
        <w:rPr>
          <w:rFonts w:hint="eastAsia" w:ascii="仿宋" w:hAnsi="仿宋" w:eastAsia="仿宋" w:cs="仿宋"/>
          <w:b w:val="0"/>
          <w:bCs/>
          <w:lang w:val="en-US" w:eastAsia="zh-CN"/>
        </w:rPr>
        <w:t>国有资本经营预算财政拨款收入支出决算表</w:t>
      </w:r>
      <w:bookmarkEnd w:id="84"/>
      <w:bookmarkEnd w:id="85"/>
      <w:bookmarkEnd w:id="86"/>
      <w:bookmarkEnd w:id="87"/>
      <w:bookmarkEnd w:id="88"/>
    </w:p>
    <w:p w14:paraId="7054D1DF">
      <w:pPr>
        <w:pStyle w:val="4"/>
        <w:pageBreakBefore w:val="0"/>
        <w:widowControl w:val="0"/>
        <w:kinsoku/>
        <w:wordWrap/>
        <w:overflowPunct/>
        <w:topLinePunct w:val="0"/>
        <w:autoSpaceDE/>
        <w:autoSpaceDN/>
        <w:bidi w:val="0"/>
        <w:adjustRightInd/>
        <w:snapToGrid/>
        <w:spacing w:before="0" w:after="0" w:line="576" w:lineRule="exact"/>
        <w:jc w:val="both"/>
        <w:textAlignment w:val="auto"/>
        <w:rPr>
          <w:rFonts w:hint="eastAsia" w:ascii="仿宋" w:hAnsi="仿宋" w:eastAsia="仿宋" w:cs="仿宋"/>
          <w:b w:val="0"/>
          <w:bCs/>
          <w:lang w:val="en-US" w:eastAsia="zh-CN"/>
        </w:rPr>
      </w:pPr>
      <w:bookmarkStart w:id="89" w:name="_Toc15396630"/>
      <w:bookmarkStart w:id="90" w:name="_Toc14024"/>
      <w:bookmarkStart w:id="91" w:name="_Toc3085"/>
      <w:bookmarkStart w:id="92" w:name="_Toc23505"/>
      <w:bookmarkStart w:id="93" w:name="_Toc30016"/>
      <w:bookmarkStart w:id="94" w:name="_Toc103110639_WPSOffice_Level2"/>
      <w:r>
        <w:rPr>
          <w:rFonts w:hint="eastAsia" w:ascii="仿宋" w:hAnsi="仿宋" w:eastAsia="仿宋" w:cs="仿宋"/>
          <w:b w:val="0"/>
          <w:bCs/>
          <w:lang w:val="en-US" w:eastAsia="zh-CN"/>
        </w:rPr>
        <w:t>十二、</w:t>
      </w:r>
      <w:bookmarkEnd w:id="89"/>
      <w:r>
        <w:rPr>
          <w:rFonts w:hint="eastAsia" w:ascii="仿宋" w:hAnsi="仿宋" w:eastAsia="仿宋" w:cs="仿宋"/>
          <w:b w:val="0"/>
          <w:bCs/>
          <w:lang w:val="en-US" w:eastAsia="zh-CN"/>
        </w:rPr>
        <w:t>国有资本经营预算财政拨款支出决算表</w:t>
      </w:r>
      <w:bookmarkEnd w:id="90"/>
      <w:bookmarkEnd w:id="91"/>
      <w:bookmarkEnd w:id="92"/>
      <w:bookmarkEnd w:id="93"/>
      <w:bookmarkEnd w:id="94"/>
    </w:p>
    <w:p w14:paraId="5B8E0EAE">
      <w:pPr>
        <w:pStyle w:val="4"/>
        <w:pageBreakBefore w:val="0"/>
        <w:widowControl w:val="0"/>
        <w:kinsoku/>
        <w:wordWrap/>
        <w:overflowPunct/>
        <w:topLinePunct w:val="0"/>
        <w:autoSpaceDE/>
        <w:autoSpaceDN/>
        <w:bidi w:val="0"/>
        <w:adjustRightInd/>
        <w:snapToGrid/>
        <w:spacing w:before="0" w:after="0" w:line="576" w:lineRule="exact"/>
        <w:jc w:val="both"/>
        <w:textAlignment w:val="auto"/>
        <w:rPr>
          <w:rFonts w:hint="eastAsia" w:ascii="仿宋" w:hAnsi="仿宋" w:eastAsia="仿宋" w:cs="仿宋"/>
          <w:b w:val="0"/>
          <w:bCs/>
          <w:lang w:val="en-US" w:eastAsia="zh-CN"/>
        </w:rPr>
      </w:pPr>
      <w:bookmarkStart w:id="95" w:name="_Toc15396631"/>
      <w:bookmarkStart w:id="96" w:name="_Toc1877676843_WPSOffice_Level2"/>
      <w:bookmarkStart w:id="97" w:name="_Toc11624"/>
      <w:bookmarkStart w:id="98" w:name="_Toc8903"/>
      <w:bookmarkStart w:id="99" w:name="_Toc1478"/>
      <w:bookmarkStart w:id="100" w:name="_Toc9623"/>
      <w:r>
        <w:rPr>
          <w:rFonts w:hint="eastAsia" w:ascii="仿宋" w:hAnsi="仿宋" w:eastAsia="仿宋" w:cs="仿宋"/>
          <w:b w:val="0"/>
          <w:bCs/>
          <w:lang w:val="en-US" w:eastAsia="zh-CN"/>
        </w:rPr>
        <w:t>十三、</w:t>
      </w:r>
      <w:bookmarkEnd w:id="95"/>
      <w:r>
        <w:rPr>
          <w:rFonts w:hint="eastAsia" w:ascii="仿宋" w:hAnsi="仿宋" w:eastAsia="仿宋" w:cs="仿宋"/>
          <w:b w:val="0"/>
          <w:bCs/>
          <w:lang w:val="en-US" w:eastAsia="zh-CN"/>
        </w:rPr>
        <w:t>财政拨款“三公”经费支出决算表</w:t>
      </w:r>
      <w:bookmarkEnd w:id="96"/>
      <w:bookmarkEnd w:id="97"/>
      <w:bookmarkEnd w:id="98"/>
      <w:bookmarkEnd w:id="99"/>
      <w:bookmarkEnd w:id="100"/>
    </w:p>
    <w:p w14:paraId="7C18B15D">
      <w:pPr>
        <w:pageBreakBefore w:val="0"/>
        <w:widowControl w:val="0"/>
        <w:kinsoku/>
        <w:wordWrap/>
        <w:overflowPunct/>
        <w:topLinePunct w:val="0"/>
        <w:autoSpaceDE/>
        <w:autoSpaceDN/>
        <w:bidi w:val="0"/>
        <w:adjustRightInd/>
        <w:snapToGrid/>
        <w:spacing w:line="576" w:lineRule="exact"/>
        <w:textAlignment w:val="auto"/>
        <w:rPr>
          <w:rFonts w:hint="eastAsia"/>
        </w:rPr>
      </w:pPr>
    </w:p>
    <w:sectPr>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2010601030101010101"/>
    <w:charset w:val="86"/>
    <w:family w:val="auto"/>
    <w:pitch w:val="default"/>
    <w:sig w:usb0="00000001" w:usb1="080E0000" w:usb2="00000000" w:usb3="00000000" w:csb0="00040000" w:csb1="00000000"/>
  </w:font>
  <w:font w:name="方正隶书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swiss"/>
    <w:pitch w:val="default"/>
    <w:sig w:usb0="80000287" w:usb1="280F3C52" w:usb2="00000016" w:usb3="00000000" w:csb0="0004001F" w:csb1="00000000"/>
  </w:font>
  <w:font w:name="楷体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8CCCC7">
    <w:pPr>
      <w:pStyle w:val="6"/>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1118DB4">
                          <w:pPr>
                            <w:pStyle w:val="6"/>
                          </w:pPr>
                          <w:r>
                            <w:fldChar w:fldCharType="begin"/>
                          </w:r>
                          <w:r>
                            <w:instrText xml:space="preserve"> PAGE  \* MERGEFORMAT </w:instrText>
                          </w:r>
                          <w:r>
                            <w:fldChar w:fldCharType="separate"/>
                          </w:r>
                          <w:r>
                            <w:t>1</w:t>
                          </w:r>
                          <w: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">
              <v:fill on="f" focussize="0,0"/>
              <v:stroke on="f"/>
              <v:imagedata o:title=""/>
              <o:lock v:ext="edit" aspectratio="f"/>
              <v:textbox inset="0mm,0mm,0mm,0mm" style="mso-fit-shape-to-text:t;">
                <w:txbxContent>
                  <w:p w14:paraId="61118DB4">
                    <w:pPr>
                      <w:pStyle w:val="6"/>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700FF"/>
    <w:rsid w:val="008C6C96"/>
    <w:rsid w:val="009700FF"/>
    <w:rsid w:val="00FD592E"/>
    <w:rsid w:val="066F6E3E"/>
    <w:rsid w:val="0B7C0033"/>
    <w:rsid w:val="12135469"/>
    <w:rsid w:val="131D56A4"/>
    <w:rsid w:val="135C6750"/>
    <w:rsid w:val="13BC67F3"/>
    <w:rsid w:val="16857033"/>
    <w:rsid w:val="16F408C1"/>
    <w:rsid w:val="180F5026"/>
    <w:rsid w:val="18FC3DFF"/>
    <w:rsid w:val="1BC165D6"/>
    <w:rsid w:val="20D4267C"/>
    <w:rsid w:val="222F1E4B"/>
    <w:rsid w:val="2407495B"/>
    <w:rsid w:val="24D64800"/>
    <w:rsid w:val="25BD1063"/>
    <w:rsid w:val="270F7B55"/>
    <w:rsid w:val="281752F4"/>
    <w:rsid w:val="31D8203D"/>
    <w:rsid w:val="334C0690"/>
    <w:rsid w:val="36046394"/>
    <w:rsid w:val="38821F74"/>
    <w:rsid w:val="3B2305F6"/>
    <w:rsid w:val="3DDE0AF1"/>
    <w:rsid w:val="3F8B7B6B"/>
    <w:rsid w:val="42B555FD"/>
    <w:rsid w:val="444F55DD"/>
    <w:rsid w:val="45F4643C"/>
    <w:rsid w:val="48592672"/>
    <w:rsid w:val="49891591"/>
    <w:rsid w:val="4A4C6847"/>
    <w:rsid w:val="4C2C6D73"/>
    <w:rsid w:val="4CD80866"/>
    <w:rsid w:val="4DA37F22"/>
    <w:rsid w:val="50B85A00"/>
    <w:rsid w:val="547277F2"/>
    <w:rsid w:val="58ED4260"/>
    <w:rsid w:val="597271B7"/>
    <w:rsid w:val="5AF6393C"/>
    <w:rsid w:val="5B5F2152"/>
    <w:rsid w:val="5CC2082D"/>
    <w:rsid w:val="5D035C90"/>
    <w:rsid w:val="5DC255B5"/>
    <w:rsid w:val="5E0A7399"/>
    <w:rsid w:val="63B76FCF"/>
    <w:rsid w:val="65652A5B"/>
    <w:rsid w:val="65E747EA"/>
    <w:rsid w:val="668A4527"/>
    <w:rsid w:val="668B029F"/>
    <w:rsid w:val="67C31D26"/>
    <w:rsid w:val="68142C42"/>
    <w:rsid w:val="68EB157C"/>
    <w:rsid w:val="6A9B3081"/>
    <w:rsid w:val="6C0E79A8"/>
    <w:rsid w:val="6EDF454E"/>
    <w:rsid w:val="6F9E7295"/>
    <w:rsid w:val="70D56CE6"/>
    <w:rsid w:val="728337F5"/>
    <w:rsid w:val="72A83CCB"/>
    <w:rsid w:val="73780BB9"/>
    <w:rsid w:val="75C164C3"/>
    <w:rsid w:val="760904D0"/>
    <w:rsid w:val="780D34F3"/>
    <w:rsid w:val="793D58F9"/>
    <w:rsid w:val="7A0B27B2"/>
    <w:rsid w:val="7B8732D3"/>
    <w:rsid w:val="7B9D6653"/>
    <w:rsid w:val="7C162F30"/>
    <w:rsid w:val="7C9D7F46"/>
    <w:rsid w:val="7D7358BD"/>
    <w:rsid w:val="7F993D5E"/>
    <w:rsid w:val="FBFE88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name="toc 1"/>
    <w:lsdException w:qFormat="1"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1"/>
      <w:lang w:val="en-US" w:eastAsia="zh-CN" w:bidi="ar-SA"/>
    </w:rPr>
  </w:style>
  <w:style w:type="paragraph" w:styleId="3">
    <w:name w:val="heading 1"/>
    <w:basedOn w:val="1"/>
    <w:next w:val="1"/>
    <w:qFormat/>
    <w:uiPriority w:val="9"/>
    <w:pPr>
      <w:keepNext/>
      <w:keepLines/>
      <w:spacing w:before="340" w:after="330" w:line="576" w:lineRule="auto"/>
      <w:jc w:val="center"/>
      <w:outlineLvl w:val="0"/>
    </w:pPr>
    <w:rPr>
      <w:rFonts w:eastAsia="黑体" w:cs="Times New Roman"/>
      <w:b/>
      <w:kern w:val="44"/>
      <w:sz w:val="32"/>
      <w:szCs w:val="22"/>
    </w:rPr>
  </w:style>
  <w:style w:type="paragraph" w:styleId="4">
    <w:name w:val="heading 2"/>
    <w:basedOn w:val="1"/>
    <w:next w:val="1"/>
    <w:link w:val="12"/>
    <w:unhideWhenUsed/>
    <w:qFormat/>
    <w:uiPriority w:val="9"/>
    <w:pPr>
      <w:keepNext/>
      <w:keepLines/>
      <w:spacing w:before="120" w:after="120" w:line="560" w:lineRule="exact"/>
      <w:ind w:firstLine="1040" w:firstLineChars="200"/>
      <w:jc w:val="left"/>
      <w:outlineLvl w:val="1"/>
    </w:pPr>
    <w:rPr>
      <w:rFonts w:ascii="Arial" w:hAnsi="Arial" w:eastAsia="黑体" w:cs="Times New Roman"/>
      <w:bCs/>
      <w:sz w:val="32"/>
      <w:szCs w:val="32"/>
    </w:rPr>
  </w:style>
  <w:style w:type="character" w:default="1" w:styleId="11">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2">
    <w:name w:val="Body Text"/>
    <w:next w:val="1"/>
    <w:qFormat/>
    <w:uiPriority w:val="0"/>
    <w:pPr>
      <w:widowControl w:val="0"/>
      <w:suppressAutoHyphens/>
      <w:bidi w:val="0"/>
      <w:spacing w:before="0" w:after="140" w:line="276" w:lineRule="auto"/>
      <w:jc w:val="both"/>
    </w:pPr>
    <w:rPr>
      <w:rFonts w:ascii="Calibri" w:hAnsi="Calibri" w:eastAsia="宋体" w:cs="Times New Roman"/>
      <w:color w:val="auto"/>
      <w:kern w:val="2"/>
      <w:sz w:val="21"/>
      <w:szCs w:val="24"/>
      <w:lang w:val="en-US" w:eastAsia="zh-CN" w:bidi="ar-SA"/>
    </w:rPr>
  </w:style>
  <w:style w:type="paragraph" w:styleId="5">
    <w:name w:val="Balloon Text"/>
    <w:basedOn w:val="1"/>
    <w:link w:val="13"/>
    <w:semiHidden/>
    <w:unhideWhenUsed/>
    <w:qFormat/>
    <w:uiPriority w:val="99"/>
    <w:rPr>
      <w:sz w:val="18"/>
      <w:szCs w:val="18"/>
    </w:rPr>
  </w:style>
  <w:style w:type="paragraph" w:styleId="6">
    <w:name w:val="footer"/>
    <w:basedOn w:val="1"/>
    <w:semiHidden/>
    <w:unhideWhenUsed/>
    <w:qFormat/>
    <w:uiPriority w:val="99"/>
    <w:pPr>
      <w:tabs>
        <w:tab w:val="center" w:pos="4153"/>
        <w:tab w:val="right" w:pos="8306"/>
      </w:tabs>
      <w:snapToGrid w:val="0"/>
      <w:jc w:val="left"/>
    </w:pPr>
    <w:rPr>
      <w:sz w:val="18"/>
    </w:rPr>
  </w:style>
  <w:style w:type="paragraph" w:styleId="7">
    <w:name w:val="header"/>
    <w:basedOn w:val="1"/>
    <w:semiHidden/>
    <w:unhideWhenUsed/>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8">
    <w:name w:val="toc 1"/>
    <w:basedOn w:val="1"/>
    <w:next w:val="1"/>
    <w:semiHidden/>
    <w:unhideWhenUsed/>
    <w:qFormat/>
    <w:uiPriority w:val="39"/>
  </w:style>
  <w:style w:type="paragraph" w:styleId="9">
    <w:name w:val="toc 2"/>
    <w:basedOn w:val="1"/>
    <w:next w:val="1"/>
    <w:semiHidden/>
    <w:unhideWhenUsed/>
    <w:qFormat/>
    <w:uiPriority w:val="39"/>
    <w:pPr>
      <w:ind w:left="420" w:leftChars="200"/>
    </w:pPr>
  </w:style>
  <w:style w:type="character" w:customStyle="1" w:styleId="12">
    <w:name w:val="标题 2 Char"/>
    <w:link w:val="4"/>
    <w:qFormat/>
    <w:uiPriority w:val="0"/>
    <w:rPr>
      <w:rFonts w:ascii="Arial" w:hAnsi="Arial" w:eastAsia="黑体" w:cs="Times New Roman"/>
      <w:bCs/>
      <w:sz w:val="32"/>
      <w:szCs w:val="32"/>
    </w:rPr>
  </w:style>
  <w:style w:type="character" w:customStyle="1" w:styleId="13">
    <w:name w:val="批注框文本 Char"/>
    <w:basedOn w:val="11"/>
    <w:link w:val="5"/>
    <w:semiHidden/>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jpe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1.xml"/><Relationship Id="rId11" Type="http://schemas.openxmlformats.org/officeDocument/2006/relationships/image" Target="media/image7.png"/><Relationship Id="rId10" Type="http://schemas.openxmlformats.org/officeDocument/2006/relationships/image" Target="media/image6.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14</Pages>
  <Words>3067</Words>
  <Characters>3452</Characters>
  <Lines>36</Lines>
  <Paragraphs>10</Paragraphs>
  <TotalTime>20</TotalTime>
  <ScaleCrop>false</ScaleCrop>
  <LinksUpToDate>false</LinksUpToDate>
  <CharactersWithSpaces>3564</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2025-09-17T18:50:00Z</dcterms:created>
  <dc:creator>user</dc:creator>
  <cp:lastModifiedBy>WPS_1591321115</cp:lastModifiedBy>
  <dcterms:modified xsi:type="dcterms:W3CDTF">2025-09-30T09:25:58Z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eyJoZGlkIjoiNWE4YTRkNDJmMjM1YjQ5NjUzNDRkM2U3ZjhiNmZhYjIiLCJ1c2VySWQiOiIxMDA2NzE5MzQ0In0=</vt:lpwstr>
  </property>
  <property fmtid="{D5CDD505-2E9C-101B-9397-08002B2CF9AE}" pid="3" name="KSOProductBuildVer">
    <vt:lpwstr>2052-12.1.0.23125</vt:lpwstr>
  </property>
  <property fmtid="{D5CDD505-2E9C-101B-9397-08002B2CF9AE}" pid="4" name="ICV">
    <vt:lpwstr>ED16D91D9C524C908573C7DCFE59EA8F_12</vt:lpwstr>
  </property>
</Properties>
</file>