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06267"/>
      <w:bookmarkStart w:id="1" w:name="_Toc15396597"/>
      <w:bookmarkStart w:id="2" w:name="_Toc15396475"/>
      <w:bookmarkStart w:id="3" w:name="_Toc15378441"/>
      <w:bookmarkStart w:id="4" w:name="_Toc15377193"/>
      <w:bookmarkStart w:id="5" w:name="_Toc15377425"/>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2024年度广元市科学技术局部门</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决算公开</w:t>
      </w:r>
      <w:r>
        <w:rPr>
          <w:rFonts w:hint="eastAsia" w:ascii="Times New Roman" w:eastAsia="方正小标宋简体" w:cs="Times New Roman"/>
          <w:color w:val="auto"/>
          <w:kern w:val="2"/>
          <w:sz w:val="44"/>
          <w:szCs w:val="44"/>
          <w:highlight w:val="none"/>
          <w:lang w:val="en-US" w:eastAsia="zh-CN" w:bidi="ar-SA"/>
        </w:rPr>
        <w:t>说明</w:t>
      </w:r>
    </w:p>
    <w:p>
      <w:pPr>
        <w:pStyle w:val="27"/>
        <w:rPr>
          <w:rFonts w:ascii="Times New Roman" w:hAnsi="Times New Roman"/>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bookmarkEnd w:id="0"/>
    <w:bookmarkEnd w:id="1"/>
    <w:bookmarkEnd w:id="2"/>
    <w:bookmarkEnd w:id="3"/>
    <w:bookmarkEnd w:id="4"/>
    <w:bookmarkEnd w:id="5"/>
    <w:p>
      <w:pPr>
        <w:pStyle w:val="2"/>
        <w:ind w:firstLine="240" w:firstLineChars="50"/>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w:t>
      </w:r>
      <w:r>
        <w:rPr>
          <w:rFonts w:hint="default" w:eastAsia="黑体"/>
          <w:color w:val="auto"/>
          <w:sz w:val="48"/>
          <w:szCs w:val="48"/>
          <w:highlight w:val="none"/>
          <w:lang w:val="en"/>
        </w:rPr>
        <w:t xml:space="preserve"> </w:t>
      </w:r>
      <w:r>
        <w:rPr>
          <w:rFonts w:hint="eastAsia" w:ascii="Times New Roman" w:hAnsi="Times New Roman" w:eastAsia="黑体"/>
          <w:color w:val="auto"/>
          <w:sz w:val="48"/>
          <w:szCs w:val="48"/>
          <w:highlight w:val="none"/>
        </w:rPr>
        <w:t>录</w:t>
      </w:r>
    </w:p>
    <w:p>
      <w:pPr>
        <w:pStyle w:val="15"/>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82158"/>
        <w15:color w:val="DBDBDB"/>
        <w:docPartObj>
          <w:docPartGallery w:val="Table of Contents"/>
          <w:docPartUnique/>
        </w:docPartObj>
      </w:sdtPr>
      <w:sdtEndPr>
        <w:rPr>
          <w:rFonts w:ascii="Times New Roman" w:hAnsi="Times New Roman" w:eastAsia="宋体" w:cs="Times New Roman"/>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15"/>
            <w:tabs>
              <w:tab w:val="right" w:leader="dot" w:pos="9026"/>
              <w:tab w:val="clear" w:pos="8296"/>
            </w:tabs>
          </w:pPr>
          <w:r>
            <w:rPr>
              <w:rFonts w:ascii="Times New Roman" w:hAnsi="Times New Roman"/>
              <w:color w:val="auto"/>
              <w:highlight w:val="none"/>
            </w:rPr>
            <w:fldChar w:fldCharType="begin"/>
          </w:r>
          <w:r>
            <w:rPr>
              <w:rFonts w:ascii="Times New Roman" w:hAnsi="Times New Roman"/>
              <w:color w:val="auto"/>
              <w:highlight w:val="none"/>
            </w:rPr>
            <w:instrText xml:space="preserve">TOC \o "1-2" \h \u </w:instrText>
          </w:r>
          <w:r>
            <w:rPr>
              <w:rFonts w:ascii="Times New Roman" w:hAnsi="Times New Roman"/>
              <w:color w:val="auto"/>
              <w:highlight w:val="none"/>
            </w:rPr>
            <w:fldChar w:fldCharType="separate"/>
          </w:r>
          <w:r>
            <w:rPr>
              <w:rFonts w:ascii="Times New Roman" w:hAnsi="Times New Roman"/>
              <w:color w:val="auto"/>
              <w:highlight w:val="none"/>
            </w:rPr>
            <w:fldChar w:fldCharType="begin"/>
          </w:r>
          <w:r>
            <w:rPr>
              <w:rFonts w:ascii="Times New Roman" w:hAnsi="Times New Roman"/>
              <w:highlight w:val="none"/>
            </w:rPr>
            <w:instrText xml:space="preserve"> HYPERLINK \l _Toc31868 </w:instrText>
          </w:r>
          <w:r>
            <w:rPr>
              <w:rFonts w:ascii="Times New Roman" w:hAnsi="Times New Roman"/>
              <w:highlight w:val="none"/>
            </w:rP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bCs w:val="0"/>
              <w:highlight w:val="none"/>
            </w:rPr>
            <w:t>部门概况</w:t>
          </w:r>
          <w:r>
            <w:tab/>
          </w:r>
          <w:r>
            <w:fldChar w:fldCharType="begin"/>
          </w:r>
          <w:r>
            <w:instrText xml:space="preserve"> PAGEREF _Toc31868 \h </w:instrText>
          </w:r>
          <w:r>
            <w:fldChar w:fldCharType="separate"/>
          </w:r>
          <w:r>
            <w:t>2</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_Toc29910 </w:instrText>
          </w:r>
          <w:r>
            <w:rPr>
              <w:rFonts w:ascii="Times New Roman" w:hAnsi="Times New Roman"/>
              <w:highlight w:val="none"/>
            </w:rPr>
            <w:fldChar w:fldCharType="separate"/>
          </w:r>
          <w:r>
            <w:rPr>
              <w:rFonts w:hint="eastAsia" w:ascii="Times New Roman" w:hAnsi="Times New Roman" w:eastAsia="黑体"/>
              <w:highlight w:val="none"/>
              <w:lang w:eastAsia="zh-CN"/>
            </w:rPr>
            <w:t>一、部门职责</w:t>
          </w:r>
          <w:r>
            <w:tab/>
          </w:r>
          <w:r>
            <w:fldChar w:fldCharType="begin"/>
          </w:r>
          <w:r>
            <w:instrText xml:space="preserve"> PAGEREF _Toc29910 \h </w:instrText>
          </w:r>
          <w:r>
            <w:fldChar w:fldCharType="separate"/>
          </w:r>
          <w:r>
            <w:t>2</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_Toc15898 </w:instrText>
          </w:r>
          <w:r>
            <w:rPr>
              <w:rFonts w:ascii="Times New Roman" w:hAnsi="Times New Roman"/>
              <w:highlight w:val="none"/>
            </w:rPr>
            <w:fldChar w:fldCharType="separate"/>
          </w:r>
          <w:r>
            <w:rPr>
              <w:rFonts w:hint="eastAsia" w:ascii="Times New Roman" w:hAnsi="Times New Roman" w:eastAsia="黑体"/>
              <w:highlight w:val="none"/>
              <w:lang w:eastAsia="zh-CN"/>
            </w:rPr>
            <w:t>二、</w:t>
          </w:r>
          <w:r>
            <w:rPr>
              <w:rFonts w:hint="eastAsia" w:ascii="Times New Roman" w:hAnsi="Times New Roman" w:eastAsia="黑体"/>
              <w:highlight w:val="none"/>
            </w:rPr>
            <w:t>机</w:t>
          </w:r>
          <w:r>
            <w:rPr>
              <w:rFonts w:hint="eastAsia" w:ascii="Times New Roman" w:hAnsi="Times New Roman" w:eastAsia="黑体"/>
              <w:bCs w:val="0"/>
              <w:highlight w:val="none"/>
            </w:rPr>
            <w:t>构设置</w:t>
          </w:r>
          <w:r>
            <w:tab/>
          </w:r>
          <w:r>
            <w:fldChar w:fldCharType="begin"/>
          </w:r>
          <w:r>
            <w:instrText xml:space="preserve"> PAGEREF _Toc15898 \h </w:instrText>
          </w:r>
          <w:r>
            <w:fldChar w:fldCharType="separate"/>
          </w:r>
          <w:r>
            <w:t>4</w:t>
          </w:r>
          <w:r>
            <w:fldChar w:fldCharType="end"/>
          </w:r>
          <w:r>
            <w:rPr>
              <w:rFonts w:ascii="Times New Roman" w:hAnsi="Times New Roman"/>
              <w:color w:val="auto"/>
              <w:highlight w:val="none"/>
            </w:rPr>
            <w:fldChar w:fldCharType="end"/>
          </w:r>
        </w:p>
        <w:p>
          <w:pPr>
            <w:pStyle w:val="15"/>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_Toc964 </w:instrText>
          </w:r>
          <w:r>
            <w:rPr>
              <w:rFonts w:ascii="Times New Roman" w:hAnsi="Times New Roman"/>
              <w:highlight w:val="none"/>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ascii="Times New Roman" w:hAnsi="Times New Roman" w:eastAsia="方正小标宋简体" w:cs="方正小标宋简体"/>
              <w:highlight w:val="none"/>
            </w:rPr>
            <w:t>部门决算情况说明</w:t>
          </w:r>
          <w:r>
            <w:tab/>
          </w:r>
          <w:r>
            <w:fldChar w:fldCharType="begin"/>
          </w:r>
          <w:r>
            <w:instrText xml:space="preserve"> PAGEREF _Toc964 \h </w:instrText>
          </w:r>
          <w:r>
            <w:fldChar w:fldCharType="separate"/>
          </w:r>
          <w:r>
            <w:t>5</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_Toc25878 </w:instrText>
          </w:r>
          <w:r>
            <w:rPr>
              <w:rFonts w:ascii="Times New Roman" w:hAnsi="Times New Roman"/>
              <w:highlight w:val="none"/>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_Toc25878 \h </w:instrText>
          </w:r>
          <w:r>
            <w:fldChar w:fldCharType="separate"/>
          </w:r>
          <w:r>
            <w:t>5</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_Toc23 </w:instrText>
          </w:r>
          <w:r>
            <w:rPr>
              <w:rFonts w:ascii="Times New Roman" w:hAnsi="Times New Roman"/>
              <w:highlight w:val="none"/>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_Toc23 \h </w:instrText>
          </w:r>
          <w:r>
            <w:fldChar w:fldCharType="separate"/>
          </w:r>
          <w:r>
            <w:t>5</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_Toc13608 </w:instrText>
          </w:r>
          <w:r>
            <w:rPr>
              <w:rFonts w:ascii="Times New Roman" w:hAnsi="Times New Roman"/>
              <w:highlight w:val="none"/>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_Toc13608 \h </w:instrText>
          </w:r>
          <w:r>
            <w:fldChar w:fldCharType="separate"/>
          </w:r>
          <w:r>
            <w:t>6</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_Toc11595 </w:instrText>
          </w:r>
          <w:r>
            <w:rPr>
              <w:rFonts w:ascii="Times New Roman" w:hAnsi="Times New Roman"/>
              <w:highlight w:val="none"/>
            </w:rP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_Toc11595 \h </w:instrText>
          </w:r>
          <w:r>
            <w:fldChar w:fldCharType="separate"/>
          </w:r>
          <w:r>
            <w:t>6</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_Toc25075 </w:instrText>
          </w:r>
          <w:r>
            <w:rPr>
              <w:rFonts w:ascii="Times New Roman" w:hAnsi="Times New Roman"/>
              <w:highlight w:val="none"/>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_Toc25075 \h </w:instrText>
          </w:r>
          <w:r>
            <w:fldChar w:fldCharType="separate"/>
          </w:r>
          <w:r>
            <w:t>7</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_Toc789 </w:instrText>
          </w:r>
          <w:r>
            <w:rPr>
              <w:rFonts w:ascii="Times New Roman" w:hAnsi="Times New Roman"/>
              <w:highlight w:val="none"/>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_Toc789 \h </w:instrText>
          </w:r>
          <w:r>
            <w:fldChar w:fldCharType="separate"/>
          </w:r>
          <w:r>
            <w:t>11</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_Toc30536 </w:instrText>
          </w:r>
          <w:r>
            <w:rPr>
              <w:rFonts w:ascii="Times New Roman" w:hAnsi="Times New Roman"/>
              <w:highlight w:val="none"/>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_Toc30536 \h </w:instrText>
          </w:r>
          <w:r>
            <w:fldChar w:fldCharType="separate"/>
          </w:r>
          <w:r>
            <w:t>11</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_Toc8937 </w:instrText>
          </w:r>
          <w:r>
            <w:rPr>
              <w:rFonts w:ascii="Times New Roman" w:hAnsi="Times New Roman"/>
              <w:highlight w:val="none"/>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_Toc8937 \h </w:instrText>
          </w:r>
          <w:r>
            <w:fldChar w:fldCharType="separate"/>
          </w:r>
          <w:r>
            <w:t>13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_Toc1097 </w:instrText>
          </w:r>
          <w:r>
            <w:rPr>
              <w:rFonts w:ascii="Times New Roman" w:hAnsi="Times New Roman"/>
              <w:highlight w:val="none"/>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_Toc1097 \h </w:instrText>
          </w:r>
          <w:r>
            <w:fldChar w:fldCharType="separate"/>
          </w:r>
          <w:r>
            <w:t>13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_Toc31894 </w:instrText>
          </w:r>
          <w:r>
            <w:rPr>
              <w:rFonts w:ascii="Times New Roman" w:hAnsi="Times New Roman"/>
              <w:highlight w:val="none"/>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_Toc31894 \h </w:instrText>
          </w:r>
          <w:r>
            <w:fldChar w:fldCharType="separate"/>
          </w:r>
          <w:r>
            <w:t>14</w:t>
          </w:r>
          <w:r>
            <w:fldChar w:fldCharType="end"/>
          </w:r>
          <w:r>
            <w:rPr>
              <w:rFonts w:ascii="Times New Roman" w:hAnsi="Times New Roman"/>
              <w:color w:val="auto"/>
              <w:highlight w:val="none"/>
            </w:rPr>
            <w:fldChar w:fldCharType="end"/>
          </w:r>
        </w:p>
        <w:p>
          <w:pPr>
            <w:pStyle w:val="15"/>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_Toc8914 </w:instrText>
          </w:r>
          <w:r>
            <w:rPr>
              <w:rFonts w:ascii="Times New Roman" w:hAnsi="Times New Roman"/>
              <w:highlight w:val="none"/>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_Toc8914 \h </w:instrText>
          </w:r>
          <w:r>
            <w:fldChar w:fldCharType="separate"/>
          </w:r>
          <w:r>
            <w:t>17</w:t>
          </w:r>
          <w:r>
            <w:fldChar w:fldCharType="end"/>
          </w:r>
          <w:r>
            <w:rPr>
              <w:rFonts w:ascii="Times New Roman" w:hAnsi="Times New Roman"/>
              <w:color w:val="auto"/>
              <w:highlight w:val="none"/>
            </w:rPr>
            <w:fldChar w:fldCharType="end"/>
          </w:r>
        </w:p>
        <w:p>
          <w:pPr>
            <w:pStyle w:val="15"/>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_Toc5473 </w:instrText>
          </w:r>
          <w:r>
            <w:rPr>
              <w:rFonts w:ascii="Times New Roman" w:hAnsi="Times New Roman"/>
              <w:highlight w:val="none"/>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_Toc5473 \h </w:instrText>
          </w:r>
          <w:r>
            <w:fldChar w:fldCharType="separate"/>
          </w:r>
          <w:r>
            <w:t>21</w:t>
          </w:r>
          <w:r>
            <w:fldChar w:fldCharType="end"/>
          </w:r>
          <w:r>
            <w:rPr>
              <w:rFonts w:ascii="Times New Roman" w:hAnsi="Times New Roman"/>
              <w:color w:val="auto"/>
              <w:highlight w:val="none"/>
            </w:rPr>
            <w:fldChar w:fldCharType="end"/>
          </w:r>
        </w:p>
        <w:p>
          <w:pPr>
            <w:pStyle w:val="15"/>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_Toc10119 </w:instrText>
          </w:r>
          <w:r>
            <w:rPr>
              <w:rFonts w:ascii="Times New Roman" w:hAnsi="Times New Roman"/>
              <w:highlight w:val="none"/>
            </w:rP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fldChar w:fldCharType="begin"/>
          </w:r>
          <w:r>
            <w:instrText xml:space="preserve"> PAGEREF _Toc10119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_Toc539 </w:instrText>
          </w:r>
          <w:r>
            <w:rPr>
              <w:rFonts w:ascii="Times New Roman" w:hAnsi="Times New Roman"/>
              <w:highlight w:val="none"/>
            </w:rPr>
            <w:fldChar w:fldCharType="separate"/>
          </w:r>
          <w:r>
            <w:rPr>
              <w:rFonts w:hint="eastAsia"/>
              <w:bCs w:val="0"/>
            </w:rPr>
            <w:t>一、收入支出决算总表</w:t>
          </w:r>
          <w:r>
            <w:tab/>
          </w:r>
          <w:r>
            <w:fldChar w:fldCharType="begin"/>
          </w:r>
          <w:r>
            <w:instrText xml:space="preserve"> PAGEREF _Toc539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_Toc13511 </w:instrText>
          </w:r>
          <w:r>
            <w:rPr>
              <w:rFonts w:ascii="Times New Roman" w:hAnsi="Times New Roman"/>
              <w:highlight w:val="none"/>
            </w:rPr>
            <w:fldChar w:fldCharType="separate"/>
          </w:r>
          <w:r>
            <w:rPr>
              <w:rFonts w:hint="eastAsia"/>
              <w:bCs w:val="0"/>
            </w:rPr>
            <w:t>二、收入决算表</w:t>
          </w:r>
          <w:r>
            <w:tab/>
          </w:r>
          <w:r>
            <w:fldChar w:fldCharType="begin"/>
          </w:r>
          <w:r>
            <w:instrText xml:space="preserve"> PAGEREF _Toc13511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_Toc10042 </w:instrText>
          </w:r>
          <w:r>
            <w:rPr>
              <w:rFonts w:ascii="Times New Roman" w:hAnsi="Times New Roman"/>
              <w:highlight w:val="none"/>
            </w:rPr>
            <w:fldChar w:fldCharType="separate"/>
          </w:r>
          <w:r>
            <w:rPr>
              <w:rFonts w:hint="eastAsia"/>
              <w:bCs w:val="0"/>
            </w:rPr>
            <w:t>三、支出决算表</w:t>
          </w:r>
          <w:r>
            <w:tab/>
          </w:r>
          <w:r>
            <w:fldChar w:fldCharType="begin"/>
          </w:r>
          <w:r>
            <w:instrText xml:space="preserve"> PAGEREF _Toc10042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_Toc31600 </w:instrText>
          </w:r>
          <w:r>
            <w:rPr>
              <w:rFonts w:ascii="Times New Roman" w:hAnsi="Times New Roman"/>
              <w:highlight w:val="none"/>
            </w:rPr>
            <w:fldChar w:fldCharType="separate"/>
          </w:r>
          <w:r>
            <w:rPr>
              <w:rFonts w:hint="eastAsia"/>
              <w:bCs w:val="0"/>
            </w:rPr>
            <w:t>四、财政拨款收入支出决算总表</w:t>
          </w:r>
          <w:r>
            <w:tab/>
          </w:r>
          <w:r>
            <w:fldChar w:fldCharType="begin"/>
          </w:r>
          <w:r>
            <w:instrText xml:space="preserve"> PAGEREF _Toc31600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_Toc23379 </w:instrText>
          </w:r>
          <w:r>
            <w:rPr>
              <w:rFonts w:ascii="Times New Roman" w:hAnsi="Times New Roman"/>
              <w:highlight w:val="none"/>
            </w:rPr>
            <w:fldChar w:fldCharType="separate"/>
          </w:r>
          <w:r>
            <w:rPr>
              <w:rFonts w:hint="eastAsia"/>
              <w:bCs w:val="0"/>
            </w:rPr>
            <w:t>五、财政拨款支出决算明细表</w:t>
          </w:r>
          <w:r>
            <w:tab/>
          </w:r>
          <w:r>
            <w:fldChar w:fldCharType="begin"/>
          </w:r>
          <w:r>
            <w:instrText xml:space="preserve"> PAGEREF _Toc23379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_Toc18568 </w:instrText>
          </w:r>
          <w:r>
            <w:rPr>
              <w:rFonts w:ascii="Times New Roman" w:hAnsi="Times New Roman"/>
              <w:highlight w:val="none"/>
            </w:rPr>
            <w:fldChar w:fldCharType="separate"/>
          </w:r>
          <w:r>
            <w:rPr>
              <w:rFonts w:hint="eastAsia"/>
              <w:bCs w:val="0"/>
            </w:rPr>
            <w:t>六、一般公共预算财政拨款支出决算表</w:t>
          </w:r>
          <w:r>
            <w:tab/>
          </w:r>
          <w:r>
            <w:fldChar w:fldCharType="begin"/>
          </w:r>
          <w:r>
            <w:instrText xml:space="preserve"> PAGEREF _Toc18568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_Toc13052 </w:instrText>
          </w:r>
          <w:r>
            <w:rPr>
              <w:rFonts w:ascii="Times New Roman" w:hAnsi="Times New Roman"/>
              <w:highlight w:val="none"/>
            </w:rPr>
            <w:fldChar w:fldCharType="separate"/>
          </w:r>
          <w:r>
            <w:rPr>
              <w:rFonts w:hint="eastAsia"/>
              <w:bCs w:val="0"/>
            </w:rPr>
            <w:t>七、一般公共预算财政拨款支出决算明细表</w:t>
          </w:r>
          <w:r>
            <w:tab/>
          </w:r>
          <w:r>
            <w:fldChar w:fldCharType="begin"/>
          </w:r>
          <w:r>
            <w:instrText xml:space="preserve"> PAGEREF _Toc13052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_Toc4947 </w:instrText>
          </w:r>
          <w:r>
            <w:rPr>
              <w:rFonts w:ascii="Times New Roman" w:hAnsi="Times New Roman"/>
              <w:highlight w:val="none"/>
            </w:rPr>
            <w:fldChar w:fldCharType="separate"/>
          </w:r>
          <w:r>
            <w:rPr>
              <w:rFonts w:hint="eastAsia"/>
              <w:bCs w:val="0"/>
            </w:rPr>
            <w:t>八、一般公共预算财政拨款基本支出决算表</w:t>
          </w:r>
          <w:r>
            <w:tab/>
          </w:r>
          <w:r>
            <w:fldChar w:fldCharType="begin"/>
          </w:r>
          <w:r>
            <w:instrText xml:space="preserve"> PAGEREF _Toc4947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_Toc12650 </w:instrText>
          </w:r>
          <w:r>
            <w:rPr>
              <w:rFonts w:ascii="Times New Roman" w:hAnsi="Times New Roman"/>
              <w:highlight w:val="none"/>
            </w:rPr>
            <w:fldChar w:fldCharType="separate"/>
          </w:r>
          <w:r>
            <w:rPr>
              <w:rFonts w:hint="eastAsia"/>
              <w:bCs w:val="0"/>
            </w:rPr>
            <w:t>九、一般公共预算财政拨款项目支出决算表</w:t>
          </w:r>
          <w:r>
            <w:tab/>
          </w:r>
          <w:r>
            <w:fldChar w:fldCharType="begin"/>
          </w:r>
          <w:r>
            <w:instrText xml:space="preserve"> PAGEREF _Toc12650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_Toc32580 </w:instrText>
          </w:r>
          <w:r>
            <w:rPr>
              <w:rFonts w:ascii="Times New Roman" w:hAnsi="Times New Roman"/>
              <w:highlight w:val="none"/>
            </w:rPr>
            <w:fldChar w:fldCharType="separate"/>
          </w:r>
          <w:r>
            <w:rPr>
              <w:rFonts w:hint="eastAsia"/>
              <w:bCs w:val="0"/>
            </w:rPr>
            <w:t>十、政府性基金预算财政拨款收入支出决算表</w:t>
          </w:r>
          <w:r>
            <w:tab/>
          </w:r>
          <w:r>
            <w:fldChar w:fldCharType="begin"/>
          </w:r>
          <w:r>
            <w:instrText xml:space="preserve"> PAGEREF _Toc32580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_Toc11525 </w:instrText>
          </w:r>
          <w:r>
            <w:rPr>
              <w:rFonts w:ascii="Times New Roman" w:hAnsi="Times New Roman"/>
              <w:highlight w:val="none"/>
            </w:rPr>
            <w:fldChar w:fldCharType="separate"/>
          </w:r>
          <w:r>
            <w:rPr>
              <w:rFonts w:hint="eastAsia"/>
              <w:bCs w:val="0"/>
            </w:rPr>
            <w:t>十一、国有资本经营预算</w:t>
          </w:r>
          <w:r>
            <w:rPr>
              <w:rFonts w:hint="eastAsia"/>
              <w:bCs w:val="0"/>
              <w:lang w:eastAsia="zh-CN"/>
            </w:rPr>
            <w:t>财政拨款收入</w:t>
          </w:r>
          <w:r>
            <w:rPr>
              <w:rFonts w:hint="eastAsia"/>
              <w:bCs w:val="0"/>
            </w:rPr>
            <w:t>支出决算表</w:t>
          </w:r>
          <w:r>
            <w:tab/>
          </w:r>
          <w:r>
            <w:fldChar w:fldCharType="begin"/>
          </w:r>
          <w:r>
            <w:instrText xml:space="preserve"> PAGEREF _Toc11525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_Toc28356 </w:instrText>
          </w:r>
          <w:r>
            <w:rPr>
              <w:rFonts w:ascii="Times New Roman" w:hAnsi="Times New Roman"/>
              <w:highlight w:val="none"/>
            </w:rPr>
            <w:fldChar w:fldCharType="separate"/>
          </w:r>
          <w:r>
            <w:rPr>
              <w:rFonts w:hint="eastAsia"/>
              <w:bCs w:val="0"/>
            </w:rPr>
            <w:t>十二、</w:t>
          </w:r>
          <w:r>
            <w:rPr>
              <w:rFonts w:hint="eastAsia"/>
              <w:bCs w:val="0"/>
              <w:lang w:eastAsia="zh-CN"/>
            </w:rPr>
            <w:t>国有资本经营预算财政拨款支出决算表</w:t>
          </w:r>
          <w:r>
            <w:tab/>
          </w:r>
          <w:r>
            <w:fldChar w:fldCharType="begin"/>
          </w:r>
          <w:r>
            <w:instrText xml:space="preserve"> PAGEREF _Toc28356 \h </w:instrText>
          </w:r>
          <w:r>
            <w:fldChar w:fldCharType="separate"/>
          </w:r>
          <w:r>
            <w:t>93</w:t>
          </w:r>
          <w:r>
            <w:fldChar w:fldCharType="end"/>
          </w:r>
          <w:r>
            <w:rPr>
              <w:rFonts w:ascii="Times New Roman" w:hAnsi="Times New Roman"/>
              <w:color w:val="auto"/>
              <w:highlight w:val="none"/>
            </w:rPr>
            <w:fldChar w:fldCharType="end"/>
          </w:r>
        </w:p>
        <w:p>
          <w:pPr>
            <w:pStyle w:val="18"/>
            <w:tabs>
              <w:tab w:val="right" w:leader="dot" w:pos="9026"/>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_Toc13525 </w:instrText>
          </w:r>
          <w:r>
            <w:rPr>
              <w:rFonts w:ascii="Times New Roman" w:hAnsi="Times New Roman"/>
              <w:highlight w:val="none"/>
            </w:rPr>
            <w:fldChar w:fldCharType="separate"/>
          </w:r>
          <w:r>
            <w:rPr>
              <w:rFonts w:hint="eastAsia"/>
              <w:bCs w:val="0"/>
            </w:rPr>
            <w:t>十三、</w:t>
          </w:r>
          <w:r>
            <w:rPr>
              <w:rFonts w:hint="eastAsia"/>
              <w:bCs w:val="0"/>
              <w:lang w:eastAsia="zh-CN"/>
            </w:rPr>
            <w:t>财政拨款“三公”经费支出决算表</w:t>
          </w:r>
          <w:r>
            <w:tab/>
          </w:r>
          <w:r>
            <w:fldChar w:fldCharType="begin"/>
          </w:r>
          <w:r>
            <w:instrText xml:space="preserve"> PAGEREF _Toc13525 \h </w:instrText>
          </w:r>
          <w:r>
            <w:fldChar w:fldCharType="separate"/>
          </w:r>
          <w:r>
            <w:t>93</w:t>
          </w:r>
          <w:r>
            <w:fldChar w:fldCharType="end"/>
          </w:r>
          <w:r>
            <w:rPr>
              <w:rFonts w:ascii="Times New Roman" w:hAnsi="Times New Roman"/>
              <w:color w:val="auto"/>
              <w:highlight w:val="none"/>
            </w:rPr>
            <w:fldChar w:fldCharType="end"/>
          </w:r>
        </w:p>
        <w:p>
          <w:pPr>
            <w:rPr>
              <w:rFonts w:hint="eastAsia" w:ascii="Times New Roman" w:hAnsi="Times New Roman" w:eastAsia="仿宋_GB2312" w:cs="仿宋_GB2312"/>
              <w:bCs/>
              <w:color w:val="auto"/>
              <w:kern w:val="44"/>
              <w:sz w:val="32"/>
              <w:szCs w:val="32"/>
              <w:highlight w:val="none"/>
            </w:rPr>
          </w:pPr>
          <w:r>
            <w:rPr>
              <w:rFonts w:ascii="Times New Roman" w:hAnsi="Times New Roman"/>
              <w:color w:val="auto"/>
              <w:highlight w:val="none"/>
            </w:rPr>
            <w:fldChar w:fldCharType="end"/>
          </w:r>
          <w:bookmarkStart w:id="6" w:name="_Toc15377196"/>
          <w:bookmarkStart w:id="7" w:name="_Toc15396599"/>
        </w:p>
      </w:sdtContent>
    </w:sdt>
    <w:p>
      <w:pPr>
        <w:pStyle w:val="4"/>
        <w:jc w:val="center"/>
        <w:rPr>
          <w:rFonts w:ascii="Times New Roman" w:hAnsi="Times New Roman" w:eastAsia="黑体"/>
          <w:color w:val="auto"/>
          <w:sz w:val="32"/>
          <w:szCs w:val="32"/>
          <w:highlight w:val="none"/>
        </w:rPr>
      </w:pPr>
      <w:bookmarkStart w:id="8" w:name="_Toc31868"/>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4"/>
          <w:rFonts w:hint="eastAsia" w:ascii="Times New Roman" w:hAnsi="Times New Roman" w:eastAsia="方正小标宋简体" w:cs="方正小标宋简体"/>
          <w:b w:val="0"/>
          <w:bCs w:val="0"/>
          <w:color w:val="auto"/>
          <w:highlight w:val="none"/>
        </w:rPr>
        <w:t>部门概况</w:t>
      </w:r>
      <w:bookmarkEnd w:id="6"/>
      <w:bookmarkEnd w:id="7"/>
      <w:bookmarkEnd w:id="8"/>
    </w:p>
    <w:p>
      <w:pPr>
        <w:pStyle w:val="5"/>
        <w:numPr>
          <w:ilvl w:val="0"/>
          <w:numId w:val="0"/>
        </w:numPr>
        <w:ind w:firstLine="320" w:firstLineChars="100"/>
        <w:rPr>
          <w:rFonts w:hint="eastAsia" w:ascii="Times New Roman" w:hAnsi="Times New Roman" w:eastAsia="黑体"/>
          <w:b w:val="0"/>
          <w:color w:val="auto"/>
          <w:highlight w:val="none"/>
          <w:lang w:eastAsia="zh-CN"/>
        </w:rPr>
      </w:pPr>
      <w:bookmarkStart w:id="9" w:name="_Toc29910"/>
      <w:r>
        <w:rPr>
          <w:rFonts w:hint="eastAsia" w:ascii="Times New Roman" w:hAnsi="Times New Roman" w:eastAsia="黑体"/>
          <w:b w:val="0"/>
          <w:color w:val="auto"/>
          <w:highlight w:val="none"/>
          <w:lang w:eastAsia="zh-CN"/>
        </w:rPr>
        <w:t>一、部门职责</w:t>
      </w:r>
      <w:bookmarkEnd w:id="9"/>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1.拟订全市科学技术发展、引进国外智力规划和政策并组织实施和监督检查。</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统筹推进全市创新体系建设和科技体制改革，会同有关部门健全技术创新激励机制，拟订促进产学研结合的政策措施，指导区域创新发展、科技资源合理布局和协同创新能力建设。优化科研体系建设，指导科研机构改革发展。推进科技基础条件平台（基地)建设和科技资源开放共享。</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牵头建立统一的全市科技管理平台和科研项目资金协调、实施、评估、监管机制。会同有关部门提出优化配置科技资源的政策措施建议，推动多元化科技投入体系建设。组织拟订市级财政科技计划（专项、基金)并监督和实施。负责本部门预算中的科技经费预决算及经费使用的监督管理。</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4.编制全市重大科技专项方案并组织实施，组织协调全市重大基础研究、应用基础研究，统筹关键共性技术、前沿引领技术、现代工程技术、颠覆性技术研发和创新，牵头组织重大技术攻关和成果应用示范。</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组织拟订高新技术发展及产业化的规划、政策和措施，开展工业重点领域技术发展需求分析，提出重大任务并组织实施。负责组织高新技术单位、科技型中小单位申报和市科技型中小单位认定，推动单位科技创新能力建设。指导高新技术产业园区、基地建设，对高新技术产业园区、基地的安全生产和职业健康工作实施行业监督管理。承担推进科技军民融合发展相关工作。</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组织拟订科技促进农业农村和社会事业发展的规划、政策和措施，开展农业农村重点领域技术发展需求分析，提出重大任务并组织实施。指导农业科技园区建设，促进以改善民生为重点的农村建设和社会事业发展。</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牵头全市技术转移体系建设，拟订科技成果转移转化、科技奖励、科技服务业的相关政策措施并组织实施。负责科技成果管理工作，组织相关重大科技成果应用示范。负责全市科学技术奖的评审组织工作。指导科技服务业、技术市场和科技中介组织发展。</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8.组织拟订科学技术普及和科学传播规划、政策，牵头组织科普活动和科技宣传工作，推进全市科普能力建设。推进全市重大科技决策咨询制度建设，承担科技统计工作。</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9.负责科技监督评价体系建设和相关科技评估管理，指导科技评价机制改革，统筹科研诚信建设。组织实施全市创新调查和科技报告制度，指导全市科技保密相关工作。</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组织拟订科技对外交流、创新能力开放合作及引进国外智力的规划、政策和措施并组织实施。组织开展重点领域技术需求分析和国际科技合作与科技人才交流，提出重大任务并组织实施，指导相关部门和地方对外科技合作与科技人才交流工作。拟订全市重点引进外国专家总体规划、计划，建立外国顶尖科学、团队吸引集聚机制和重点外国专家联系服务机制。会同有关部门制定外国人来广工作政策、办理相关外国人工作许可。</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11.会同有关部门拟订创新创业、科技人才队伍建设规划和政策，建立健全科技人才评价和激励机制，组织实施科技人才计划，推动高端科技人才队伍建设。</w:t>
      </w:r>
    </w:p>
    <w:p>
      <w:pPr>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12.负责职责范围内的安全生产和职业健康、生态环境保护、审批服务便民化等工作。</w:t>
      </w:r>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13.完成市委、市政府交办的其他任务。</w:t>
      </w:r>
    </w:p>
    <w:p>
      <w:pPr>
        <w:numPr>
          <w:ilvl w:val="0"/>
          <w:numId w:val="0"/>
        </w:numPr>
        <w:rPr>
          <w:rFonts w:hint="eastAsia"/>
          <w:lang w:eastAsia="zh-CN"/>
        </w:rPr>
      </w:pPr>
    </w:p>
    <w:p>
      <w:pPr>
        <w:pStyle w:val="5"/>
        <w:numPr>
          <w:ilvl w:val="0"/>
          <w:numId w:val="0"/>
        </w:numPr>
        <w:ind w:firstLine="640" w:firstLineChars="200"/>
        <w:rPr>
          <w:rStyle w:val="25"/>
          <w:rFonts w:hint="eastAsia" w:ascii="Times New Roman" w:hAnsi="Times New Roman" w:eastAsia="黑体"/>
          <w:b w:val="0"/>
          <w:bCs w:val="0"/>
          <w:color w:val="auto"/>
          <w:highlight w:val="none"/>
        </w:rPr>
      </w:pPr>
      <w:bookmarkStart w:id="10" w:name="_Toc15377200"/>
      <w:bookmarkStart w:id="11" w:name="_Toc15898"/>
      <w:bookmarkStart w:id="12" w:name="_Toc15396601"/>
      <w:r>
        <w:rPr>
          <w:rFonts w:hint="eastAsia" w:ascii="Times New Roman" w:hAnsi="Times New Roman" w:eastAsia="黑体"/>
          <w:b w:val="0"/>
          <w:color w:val="auto"/>
          <w:highlight w:val="none"/>
          <w:lang w:eastAsia="zh-CN"/>
        </w:rPr>
        <w:t>二、</w:t>
      </w:r>
      <w:r>
        <w:rPr>
          <w:rFonts w:hint="eastAsia" w:ascii="Times New Roman" w:hAnsi="Times New Roman" w:eastAsia="黑体"/>
          <w:b w:val="0"/>
          <w:color w:val="auto"/>
          <w:highlight w:val="none"/>
        </w:rPr>
        <w:t>机</w:t>
      </w:r>
      <w:r>
        <w:rPr>
          <w:rStyle w:val="25"/>
          <w:rFonts w:hint="eastAsia" w:ascii="Times New Roman" w:hAnsi="Times New Roman" w:eastAsia="黑体"/>
          <w:b w:val="0"/>
          <w:bCs w:val="0"/>
          <w:color w:val="auto"/>
          <w:highlight w:val="none"/>
        </w:rPr>
        <w:t>构设置</w:t>
      </w:r>
      <w:bookmarkEnd w:id="10"/>
      <w:bookmarkEnd w:id="11"/>
      <w:bookmarkEnd w:id="12"/>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广元市科学技术局下属二级单位3个，其中参照公务员法管理的事业单位1个，其他事业单位2个，3个二级事业单位均未独立核算。</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纳入广元市科学技术局202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年度部门决算编制范围的二级预算单位包括：</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广元市科学技术局</w:t>
      </w:r>
    </w:p>
    <w:p>
      <w:pPr>
        <w:pStyle w:val="4"/>
        <w:jc w:val="center"/>
        <w:rPr>
          <w:rFonts w:hint="eastAsia" w:ascii="Times New Roman" w:hAnsi="Times New Roman" w:eastAsia="方正小标宋简体" w:cs="方正小标宋简体"/>
          <w:b w:val="0"/>
          <w:color w:val="auto"/>
          <w:highlight w:val="none"/>
        </w:rPr>
      </w:pPr>
      <w:bookmarkStart w:id="13" w:name="_Toc15396602"/>
      <w:bookmarkStart w:id="14" w:name="_Toc15377204"/>
      <w:bookmarkStart w:id="15" w:name="_Toc96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3"/>
      <w:bookmarkEnd w:id="14"/>
      <w:bookmarkEnd w:id="15"/>
    </w:p>
    <w:p>
      <w:pPr>
        <w:rPr>
          <w:rFonts w:ascii="Times New Roman" w:hAnsi="Times New Roman"/>
          <w:color w:val="auto"/>
          <w:highlight w:val="none"/>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5"/>
          <w:rFonts w:hint="eastAsia" w:ascii="Times New Roman" w:hAnsi="Times New Roman" w:eastAsia="黑体"/>
          <w:b w:val="0"/>
          <w:color w:val="auto"/>
          <w:highlight w:val="none"/>
        </w:rPr>
      </w:pPr>
      <w:bookmarkStart w:id="16" w:name="_Toc15396603"/>
      <w:bookmarkStart w:id="17" w:name="_Toc15377205"/>
      <w:bookmarkStart w:id="18" w:name="_Toc25878"/>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5"/>
          <w:rFonts w:hint="eastAsia" w:ascii="Times New Roman" w:hAnsi="Times New Roman" w:eastAsia="黑体"/>
          <w:b w:val="0"/>
          <w:color w:val="auto"/>
          <w:highlight w:val="none"/>
        </w:rPr>
        <w:t>入支出决算总体情况说明</w:t>
      </w:r>
      <w:bookmarkEnd w:id="16"/>
      <w:bookmarkEnd w:id="17"/>
      <w:bookmarkEnd w:id="18"/>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2024年度收入、支出总计均为1299.58万元。与2023年度相比，收入、支出总计各增加25.22万元，增长1.98%。主要变动原因是科技经费投入增加。</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ascii="仿宋_GB2312" w:hAnsi="仿宋_GB2312" w:eastAsia="仿宋_GB2312" w:cs="仿宋_GB2312"/>
          <w:color w:val="auto"/>
          <w:sz w:val="32"/>
          <w:szCs w:val="32"/>
          <w:highlight w:val="none"/>
          <w:lang w:val="en-US" w:eastAsia="zh-CN"/>
        </w:rPr>
      </w:pPr>
      <w:bookmarkStart w:id="19" w:name="_Toc9765"/>
      <w:r>
        <w:rPr>
          <w:rFonts w:hint="eastAsia" w:ascii="仿宋_GB2312" w:hAnsi="仿宋_GB2312" w:eastAsia="仿宋_GB2312" w:cs="仿宋_GB2312"/>
          <w:color w:val="auto"/>
          <w:sz w:val="32"/>
          <w:szCs w:val="32"/>
          <w:highlight w:val="none"/>
          <w:lang w:val="en-US" w:eastAsia="zh-CN"/>
        </w:rPr>
        <w:drawing>
          <wp:inline distT="0" distB="0" distL="114300" distR="114300">
            <wp:extent cx="4736465" cy="2755265"/>
            <wp:effectExtent l="0" t="0" r="6985" b="698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8"/>
                    <a:stretch>
                      <a:fillRect/>
                    </a:stretch>
                  </pic:blipFill>
                  <pic:spPr>
                    <a:xfrm>
                      <a:off x="0" y="0"/>
                      <a:ext cx="4736465" cy="2755265"/>
                    </a:xfrm>
                    <a:prstGeom prst="rect">
                      <a:avLst/>
                    </a:prstGeom>
                  </pic:spPr>
                </pic:pic>
              </a:graphicData>
            </a:graphic>
          </wp:inline>
        </w:drawing>
      </w:r>
      <w:bookmarkEnd w:id="19"/>
    </w:p>
    <w:p>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r>
        <w:rPr>
          <w:rFonts w:hint="eastAsia" w:eastAsia="仿宋_GB2312" w:cs="仿宋_GB2312"/>
          <w:color w:val="auto"/>
          <w:sz w:val="32"/>
          <w:szCs w:val="32"/>
          <w:highlight w:val="none"/>
          <w:lang w:eastAsia="zh-CN"/>
        </w:rPr>
        <w:t>单位：万元</w:t>
      </w:r>
      <w:r>
        <w:rPr>
          <w:rFonts w:hint="eastAsia" w:ascii="Times New Roman" w:hAnsi="Times New Roman" w:eastAsia="仿宋_GB2312" w:cs="仿宋_GB2312"/>
          <w:color w:val="auto"/>
          <w:sz w:val="32"/>
          <w:szCs w:val="32"/>
          <w:highlight w:val="none"/>
        </w:rPr>
        <w:t>）</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bookmarkStart w:id="22" w:name="_Toc23"/>
      <w:r>
        <w:rPr>
          <w:rFonts w:hint="eastAsia" w:ascii="Times New Roman" w:hAnsi="Times New Roman" w:eastAsia="黑体"/>
          <w:color w:val="auto"/>
          <w:sz w:val="32"/>
          <w:szCs w:val="32"/>
          <w:highlight w:val="none"/>
          <w:lang w:eastAsia="zh-CN"/>
        </w:rPr>
        <w:t>二、收入决算情况说明</w:t>
      </w:r>
      <w:bookmarkEnd w:id="20"/>
      <w:bookmarkEnd w:id="21"/>
      <w:bookmarkEnd w:id="22"/>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2024年度本年收入合计1299.58万元，其中：一般公共预算财政拨款收入1299.58万元，占100%。</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23" w:name="_Toc30287"/>
      <w:r>
        <w:rPr>
          <w:rFonts w:hint="eastAsia" w:ascii="仿宋_GB2312" w:hAnsi="仿宋_GB2312" w:eastAsia="仿宋_GB2312" w:cs="仿宋_GB2312"/>
          <w:color w:val="auto"/>
          <w:sz w:val="32"/>
          <w:szCs w:val="32"/>
          <w:highlight w:val="none"/>
          <w:lang w:eastAsia="zh-CN"/>
        </w:rPr>
        <w:drawing>
          <wp:inline distT="0" distB="0" distL="114300" distR="114300">
            <wp:extent cx="4584065" cy="2755265"/>
            <wp:effectExtent l="0" t="0" r="6985" b="6985"/>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9"/>
                    <a:stretch>
                      <a:fillRect/>
                    </a:stretch>
                  </pic:blipFill>
                  <pic:spPr>
                    <a:xfrm>
                      <a:off x="0" y="0"/>
                      <a:ext cx="4584065" cy="2755265"/>
                    </a:xfrm>
                    <a:prstGeom prst="rect">
                      <a:avLst/>
                    </a:prstGeom>
                  </pic:spPr>
                </pic:pic>
              </a:graphicData>
            </a:graphic>
          </wp:inline>
        </w:drawing>
      </w:r>
      <w:bookmarkEnd w:id="23"/>
    </w:p>
    <w:p>
      <w:pPr>
        <w:ind w:firstLine="2400" w:firstLineChars="7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5"/>
          <w:rFonts w:hint="eastAsia" w:ascii="Times New Roman" w:hAnsi="Times New Roman" w:eastAsia="黑体"/>
          <w:b w:val="0"/>
          <w:color w:val="auto"/>
          <w:highlight w:val="none"/>
        </w:rPr>
      </w:pPr>
      <w:bookmarkStart w:id="24" w:name="_Toc15396605"/>
      <w:bookmarkStart w:id="25" w:name="_Toc13608"/>
      <w:bookmarkStart w:id="26"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5"/>
          <w:rFonts w:hint="eastAsia" w:ascii="Times New Roman" w:hAnsi="Times New Roman" w:eastAsia="黑体"/>
          <w:b w:val="0"/>
          <w:color w:val="auto"/>
          <w:highlight w:val="none"/>
        </w:rPr>
        <w:t>出决算情况说明</w:t>
      </w:r>
      <w:bookmarkEnd w:id="24"/>
      <w:bookmarkEnd w:id="25"/>
      <w:bookmarkEnd w:id="26"/>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2024年度本年支出合计1299.58万元，其中：基本支出1018.8万元，占78.39%；项目支出280.78万元，占21.61%。</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27" w:name="_Toc19211"/>
      <w:r>
        <w:rPr>
          <w:rFonts w:hint="eastAsia" w:ascii="仿宋_GB2312" w:hAnsi="仿宋_GB2312" w:eastAsia="仿宋_GB2312" w:cs="仿宋_GB2312"/>
          <w:color w:val="auto"/>
          <w:sz w:val="32"/>
          <w:szCs w:val="32"/>
          <w:highlight w:val="none"/>
          <w:lang w:eastAsia="zh-CN"/>
        </w:rPr>
        <w:drawing>
          <wp:inline distT="0" distB="0" distL="114300" distR="114300">
            <wp:extent cx="4584065" cy="2755265"/>
            <wp:effectExtent l="0" t="0" r="6985" b="6985"/>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10"/>
                    <a:stretch>
                      <a:fillRect/>
                    </a:stretch>
                  </pic:blipFill>
                  <pic:spPr>
                    <a:xfrm>
                      <a:off x="0" y="0"/>
                      <a:ext cx="4584065" cy="2755265"/>
                    </a:xfrm>
                    <a:prstGeom prst="rect">
                      <a:avLst/>
                    </a:prstGeom>
                  </pic:spPr>
                </pic:pic>
              </a:graphicData>
            </a:graphic>
          </wp:inline>
        </w:drawing>
      </w:r>
      <w:bookmarkEnd w:id="27"/>
    </w:p>
    <w:p>
      <w:pPr>
        <w:ind w:firstLine="2400" w:firstLineChars="7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spacing w:line="600" w:lineRule="exact"/>
        <w:ind w:firstLine="640" w:firstLineChars="200"/>
        <w:outlineLvl w:val="1"/>
        <w:rPr>
          <w:rStyle w:val="25"/>
          <w:rFonts w:ascii="Times New Roman" w:hAnsi="Times New Roman" w:eastAsia="黑体"/>
          <w:b w:val="0"/>
          <w:color w:val="auto"/>
          <w:highlight w:val="none"/>
        </w:rPr>
      </w:pPr>
      <w:bookmarkStart w:id="28" w:name="_Toc11595"/>
      <w:bookmarkStart w:id="29" w:name="_Toc15396606"/>
      <w:bookmarkStart w:id="30" w:name="_Toc15377208"/>
      <w:r>
        <w:rPr>
          <w:rFonts w:hint="eastAsia" w:ascii="Times New Roman" w:hAnsi="Times New Roman" w:eastAsia="黑体"/>
          <w:color w:val="auto"/>
          <w:sz w:val="32"/>
          <w:szCs w:val="32"/>
          <w:highlight w:val="none"/>
        </w:rPr>
        <w:t>四、财</w:t>
      </w:r>
      <w:r>
        <w:rPr>
          <w:rStyle w:val="25"/>
          <w:rFonts w:hint="eastAsia" w:ascii="Times New Roman" w:hAnsi="Times New Roman" w:eastAsia="黑体"/>
          <w:b w:val="0"/>
          <w:color w:val="auto"/>
          <w:highlight w:val="none"/>
        </w:rPr>
        <w:t>政拨款收入支出决算总体情况说明</w:t>
      </w:r>
      <w:bookmarkEnd w:id="28"/>
      <w:bookmarkEnd w:id="29"/>
      <w:bookmarkEnd w:id="30"/>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2024年度财政拨款收入、支出总计均为1299.58万元。与2023年度相比，财政拨款收入总计、支出总计各增加25.22万元，增长1.98%。主要变动原因是科技经费投入增加。</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lang w:val="en-US" w:eastAsia="zh-CN"/>
        </w:rPr>
      </w:pPr>
      <w:bookmarkStart w:id="31" w:name="_Toc2367"/>
      <w:r>
        <w:rPr>
          <w:rFonts w:hint="eastAsia" w:ascii="仿宋_GB2312" w:hAnsi="仿宋_GB2312" w:eastAsia="仿宋_GB2312" w:cs="仿宋_GB2312"/>
          <w:color w:val="auto"/>
          <w:sz w:val="32"/>
          <w:szCs w:val="32"/>
          <w:highlight w:val="none"/>
          <w:lang w:val="en-US" w:eastAsia="zh-CN"/>
        </w:rPr>
        <w:drawing>
          <wp:inline distT="0" distB="0" distL="114300" distR="114300">
            <wp:extent cx="4584065" cy="2755265"/>
            <wp:effectExtent l="0" t="0" r="6985" b="6985"/>
            <wp:docPr id="6" name="图片 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2"/>
                    <pic:cNvPicPr>
                      <a:picLocks noChangeAspect="1"/>
                    </pic:cNvPicPr>
                  </pic:nvPicPr>
                  <pic:blipFill>
                    <a:blip r:embed="rId8"/>
                    <a:stretch>
                      <a:fillRect/>
                    </a:stretch>
                  </pic:blipFill>
                  <pic:spPr>
                    <a:xfrm>
                      <a:off x="0" y="0"/>
                      <a:ext cx="4584065" cy="2755265"/>
                    </a:xfrm>
                    <a:prstGeom prst="rect">
                      <a:avLst/>
                    </a:prstGeom>
                  </pic:spPr>
                </pic:pic>
              </a:graphicData>
            </a:graphic>
          </wp:inline>
        </w:drawing>
      </w:r>
      <w:bookmarkEnd w:id="31"/>
    </w:p>
    <w:p>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r>
        <w:rPr>
          <w:rFonts w:hint="eastAsia" w:eastAsia="仿宋_GB2312" w:cs="仿宋_GB2312"/>
          <w:color w:val="auto"/>
          <w:kern w:val="2"/>
          <w:sz w:val="32"/>
          <w:szCs w:val="32"/>
          <w:highlight w:val="none"/>
          <w:lang w:val="en-US" w:eastAsia="zh-CN" w:bidi="ar-SA"/>
        </w:rPr>
        <w:t>单位：万元</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firstLineChars="200"/>
        <w:outlineLvl w:val="1"/>
        <w:rPr>
          <w:rStyle w:val="25"/>
          <w:rFonts w:ascii="Times New Roman" w:hAnsi="Times New Roman" w:eastAsia="黑体"/>
          <w:b w:val="0"/>
          <w:color w:val="auto"/>
          <w:highlight w:val="none"/>
        </w:rPr>
      </w:pPr>
      <w:bookmarkStart w:id="32" w:name="_Toc15377209"/>
      <w:bookmarkStart w:id="33" w:name="_Toc15396607"/>
      <w:bookmarkStart w:id="34" w:name="_Toc25075"/>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5"/>
          <w:rFonts w:hint="eastAsia" w:ascii="Times New Roman" w:hAnsi="Times New Roman" w:eastAsia="黑体"/>
          <w:b w:val="0"/>
          <w:color w:val="auto"/>
          <w:highlight w:val="none"/>
        </w:rPr>
        <w:t>般公共预算财政拨款支出决算情况说明</w:t>
      </w:r>
      <w:bookmarkEnd w:id="32"/>
      <w:bookmarkEnd w:id="33"/>
      <w:bookmarkEnd w:id="34"/>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5"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5"/>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2024年度一般公共预算财政拨款支出1299.58万元，占本年支出合计的100%。与2023年度相比，一般公共预算财政拨款支出增加25.22万元，增长1.98%。主要变动原因是科技经费投入增加。</w:t>
      </w:r>
    </w:p>
    <w:p>
      <w:pPr>
        <w:pStyle w:val="3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ascii="仿宋_GB2312" w:hAnsi="仿宋_GB2312" w:eastAsia="仿宋_GB2312" w:cs="仿宋_GB2312"/>
          <w:color w:val="auto"/>
          <w:sz w:val="32"/>
          <w:szCs w:val="32"/>
          <w:highlight w:val="none"/>
          <w:lang w:val="en-US" w:eastAsia="zh-CN"/>
        </w:rPr>
      </w:pPr>
      <w:bookmarkStart w:id="36" w:name="_Toc29721"/>
      <w:r>
        <w:rPr>
          <w:rFonts w:hint="eastAsia" w:ascii="仿宋_GB2312" w:hAnsi="仿宋_GB2312" w:eastAsia="仿宋_GB2312" w:cs="仿宋_GB2312"/>
          <w:color w:val="auto"/>
          <w:sz w:val="32"/>
          <w:szCs w:val="32"/>
          <w:highlight w:val="none"/>
          <w:lang w:val="en-US" w:eastAsia="zh-CN"/>
        </w:rPr>
        <w:drawing>
          <wp:inline distT="0" distB="0" distL="114300" distR="114300">
            <wp:extent cx="4584065" cy="2755265"/>
            <wp:effectExtent l="0" t="0" r="6985" b="6985"/>
            <wp:docPr id="7" name="图片 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2"/>
                    <pic:cNvPicPr>
                      <a:picLocks noChangeAspect="1"/>
                    </pic:cNvPicPr>
                  </pic:nvPicPr>
                  <pic:blipFill>
                    <a:blip r:embed="rId8"/>
                    <a:stretch>
                      <a:fillRect/>
                    </a:stretch>
                  </pic:blipFill>
                  <pic:spPr>
                    <a:xfrm>
                      <a:off x="0" y="0"/>
                      <a:ext cx="4584065" cy="2755265"/>
                    </a:xfrm>
                    <a:prstGeom prst="rect">
                      <a:avLst/>
                    </a:prstGeom>
                  </pic:spPr>
                </pic:pic>
              </a:graphicData>
            </a:graphic>
          </wp:inline>
        </w:drawing>
      </w:r>
      <w:bookmarkEnd w:id="3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7"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7"/>
    </w:p>
    <w:p>
      <w:pPr>
        <w:ind w:firstLine="480" w:firstLineChars="15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2024年度一般公共预算财政拨款支出1299.58万元，主要用于以下方面：科学技术支出1069.21万元，占82.27%；社会保障和就业支出134.41万元，占10.34%；卫生健康支出27.26万元，占2.1%；住房保障支出68.7万元，占5.29%。</w:t>
      </w:r>
    </w:p>
    <w:p>
      <w:pPr>
        <w:spacing w:line="240" w:lineRule="auto"/>
        <w:ind w:firstLine="640"/>
        <w:rPr>
          <w:rFonts w:hint="default" w:ascii="Times New Roman" w:hAnsi="Times New Roman" w:eastAsia="仿宋_GB2312" w:cs="仿宋_GB2312"/>
          <w:b/>
          <w:bCs/>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 xml:space="preserve"> </w:t>
      </w:r>
      <w:r>
        <w:rPr>
          <w:rFonts w:hint="default" w:ascii="Times New Roman" w:hAnsi="Times New Roman" w:eastAsia="仿宋_GB2312" w:cs="仿宋_GB2312"/>
          <w:b/>
          <w:bCs/>
          <w:color w:val="auto"/>
          <w:kern w:val="2"/>
          <w:sz w:val="32"/>
          <w:szCs w:val="32"/>
          <w:highlight w:val="none"/>
          <w:lang w:val="en-US" w:eastAsia="zh-CN" w:bidi="ar-SA"/>
        </w:rPr>
        <w:drawing>
          <wp:inline distT="0" distB="0" distL="114300" distR="114300">
            <wp:extent cx="4584065" cy="2755265"/>
            <wp:effectExtent l="0" t="0" r="6985" b="6985"/>
            <wp:docPr id="8" name="图片 8"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5"/>
                    <pic:cNvPicPr>
                      <a:picLocks noChangeAspect="1"/>
                    </pic:cNvPicPr>
                  </pic:nvPicPr>
                  <pic:blipFill>
                    <a:blip r:embed="rId11"/>
                    <a:stretch>
                      <a:fillRect/>
                    </a:stretch>
                  </pic:blipFill>
                  <pic:spPr>
                    <a:xfrm>
                      <a:off x="0" y="0"/>
                      <a:ext cx="4584065" cy="2755265"/>
                    </a:xfrm>
                    <a:prstGeom prst="rect">
                      <a:avLst/>
                    </a:prstGeom>
                  </pic:spPr>
                </pic:pic>
              </a:graphicData>
            </a:graphic>
          </wp:inline>
        </w:drawing>
      </w:r>
    </w:p>
    <w:p>
      <w:pPr>
        <w:spacing w:line="600" w:lineRule="exact"/>
        <w:ind w:firstLine="1292" w:firstLineChars="404"/>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8"/>
    </w:p>
    <w:p>
      <w:pPr>
        <w:ind w:firstLine="480" w:firstLineChars="150"/>
        <w:rPr>
          <w:rFonts w:hint="eastAsia" w:ascii="仿宋_GB2312" w:hAnsi="仿宋_GB2312" w:eastAsia="仿宋_GB2312" w:cs="仿宋_GB2312"/>
          <w:color w:val="auto"/>
          <w:sz w:val="32"/>
          <w:szCs w:val="32"/>
          <w:highlight w:val="none"/>
          <w:lang w:val="en-US" w:eastAsia="zh-CN"/>
        </w:rPr>
      </w:pPr>
      <w:bookmarkStart w:id="39" w:name="_Toc15377213"/>
      <w:bookmarkStart w:id="40" w:name="_Toc15378460"/>
      <w:bookmarkStart w:id="41" w:name="_Toc15377444"/>
      <w:r>
        <w:rPr>
          <w:rFonts w:hint="eastAsia" w:ascii="仿宋_GB2312" w:hAnsi="仿宋_GB2312" w:eastAsia="仿宋_GB2312" w:cs="仿宋_GB2312"/>
          <w:color w:val="auto"/>
          <w:sz w:val="32"/>
          <w:szCs w:val="32"/>
          <w:highlight w:val="none"/>
          <w:lang w:val="en-US" w:eastAsia="zh-CN"/>
        </w:rPr>
        <w:t>2024年度一般公共预算财政拨款支出决算数为1299.58，完成预算100%。其中：</w:t>
      </w:r>
      <w:bookmarkEnd w:id="39"/>
      <w:bookmarkEnd w:id="40"/>
      <w:bookmarkEnd w:id="41"/>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1.科学技术（类）科学技术管理事务（款）行政运行（项）： </w:t>
      </w:r>
      <w:r>
        <w:rPr>
          <w:rFonts w:hint="eastAsia" w:ascii="仿宋_GB2312" w:hAnsi="仿宋_GB2312" w:eastAsia="仿宋_GB2312" w:cs="仿宋_GB2312"/>
          <w:color w:val="auto"/>
          <w:sz w:val="32"/>
          <w:szCs w:val="32"/>
          <w:highlight w:val="none"/>
          <w:lang w:val="en-US" w:eastAsia="zh-CN"/>
        </w:rPr>
        <w:t>支出决算为：486.25万元，完成预算100%。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2.科学技术（类）科学技术管理事务（款）一般行政管理事务（项）： </w:t>
      </w:r>
      <w:r>
        <w:rPr>
          <w:rFonts w:hint="eastAsia" w:ascii="仿宋_GB2312" w:hAnsi="仿宋_GB2312" w:eastAsia="仿宋_GB2312" w:cs="仿宋_GB2312"/>
          <w:color w:val="auto"/>
          <w:sz w:val="32"/>
          <w:szCs w:val="32"/>
          <w:highlight w:val="none"/>
          <w:lang w:val="en-US" w:eastAsia="zh-CN"/>
        </w:rPr>
        <w:t>支出决算为148.02万元，完成预算100%。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3.科学技术（类）科学技术管理事务（款）其他科学技术管理事务（项）： </w:t>
      </w:r>
      <w:r>
        <w:rPr>
          <w:rFonts w:hint="eastAsia" w:ascii="仿宋_GB2312" w:hAnsi="仿宋_GB2312" w:eastAsia="仿宋_GB2312" w:cs="仿宋_GB2312"/>
          <w:color w:val="auto"/>
          <w:sz w:val="32"/>
          <w:szCs w:val="32"/>
          <w:highlight w:val="none"/>
          <w:lang w:val="en-US" w:eastAsia="zh-CN"/>
        </w:rPr>
        <w:t>支出决算为33.14万元，完成预算100%。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pPr>
      <w:r>
        <w:rPr>
          <w:rFonts w:hint="eastAsia" w:ascii="仿宋_GB2312" w:hAnsi="仿宋_GB2312" w:eastAsia="仿宋_GB2312" w:cs="仿宋_GB2312"/>
          <w:b/>
          <w:bCs/>
          <w:color w:val="auto"/>
          <w:sz w:val="32"/>
          <w:szCs w:val="32"/>
          <w:highlight w:val="none"/>
          <w:lang w:val="en-US" w:eastAsia="zh-CN"/>
        </w:rPr>
        <w:t>4.科学技术（类）基础研究（款）机构运行（项）： </w:t>
      </w:r>
      <w:r>
        <w:rPr>
          <w:rFonts w:hint="eastAsia" w:ascii="仿宋" w:hAnsi="仿宋" w:eastAsia="仿宋" w:cs="仿宋"/>
          <w:i w:val="0"/>
          <w:caps w:val="0"/>
          <w:color w:val="000000"/>
          <w:spacing w:val="0"/>
          <w:kern w:val="0"/>
          <w:sz w:val="32"/>
          <w:szCs w:val="32"/>
          <w:lang w:val="en-US" w:eastAsia="zh-CN" w:bidi="ar"/>
        </w:rPr>
        <w:t>支出决算为302.9万元，完成预算100%。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5.科学技术（类）技术研究与开发（款）科技成果转化与扩散（项）： </w:t>
      </w:r>
      <w:r>
        <w:rPr>
          <w:rFonts w:hint="eastAsia" w:ascii="仿宋_GB2312" w:hAnsi="仿宋_GB2312" w:eastAsia="仿宋_GB2312" w:cs="仿宋_GB2312"/>
          <w:color w:val="auto"/>
          <w:sz w:val="32"/>
          <w:szCs w:val="32"/>
          <w:highlight w:val="none"/>
          <w:lang w:val="en-US" w:eastAsia="zh-CN"/>
        </w:rPr>
        <w:t>支出决算为42.15万元，完成预算100%。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6.科学技术（类）技术研究与开发（款）其他技术研究与开发支出（项）： </w:t>
      </w:r>
      <w:r>
        <w:rPr>
          <w:rFonts w:hint="eastAsia" w:ascii="仿宋_GB2312" w:hAnsi="仿宋_GB2312" w:eastAsia="仿宋_GB2312" w:cs="仿宋_GB2312"/>
          <w:color w:val="auto"/>
          <w:sz w:val="32"/>
          <w:szCs w:val="32"/>
          <w:highlight w:val="none"/>
          <w:lang w:val="en-US" w:eastAsia="zh-CN"/>
        </w:rPr>
        <w:t>支出决算为2.56万元，完成预算100%。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7.科学技术（类）科技条件与服务（款）其他科技条件与服务支出（项）： </w:t>
      </w:r>
      <w:r>
        <w:rPr>
          <w:rFonts w:hint="eastAsia" w:ascii="仿宋_GB2312" w:hAnsi="仿宋_GB2312" w:eastAsia="仿宋_GB2312" w:cs="仿宋_GB2312"/>
          <w:color w:val="auto"/>
          <w:sz w:val="32"/>
          <w:szCs w:val="32"/>
          <w:highlight w:val="none"/>
          <w:lang w:val="en-US" w:eastAsia="zh-CN"/>
        </w:rPr>
        <w:t>支出决算为37.22万元，完成预算100%。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8.科学技术（类）科技重大项目（款）重点研发计划（项）： </w:t>
      </w:r>
      <w:r>
        <w:rPr>
          <w:rFonts w:hint="eastAsia" w:ascii="仿宋_GB2312" w:hAnsi="仿宋_GB2312" w:eastAsia="仿宋_GB2312" w:cs="仿宋_GB2312"/>
          <w:color w:val="auto"/>
          <w:sz w:val="32"/>
          <w:szCs w:val="32"/>
          <w:highlight w:val="none"/>
          <w:lang w:val="en-US" w:eastAsia="zh-CN"/>
        </w:rPr>
        <w:t>支出决算为2万元，完成预算100%。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9.科学技术（类）其他科学技术支出（款）其他科学技术支出（项）：</w:t>
      </w:r>
      <w:r>
        <w:rPr>
          <w:rFonts w:hint="eastAsia" w:ascii="仿宋_GB2312" w:hAnsi="仿宋_GB2312" w:eastAsia="仿宋_GB2312" w:cs="仿宋_GB2312"/>
          <w:color w:val="auto"/>
          <w:sz w:val="32"/>
          <w:szCs w:val="32"/>
          <w:highlight w:val="none"/>
          <w:lang w:val="en-US" w:eastAsia="zh-CN"/>
        </w:rPr>
        <w:t>支出决算为14.98万元，完成预算100%。</w:t>
      </w:r>
    </w:p>
    <w:p>
      <w:pPr>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450" w:lineRule="atLeast"/>
        <w:ind w:left="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10.社会保障和就业支出（类）人力资源和社会保障管理事务（款）人才引进费用（项）： </w:t>
      </w:r>
      <w:r>
        <w:rPr>
          <w:rFonts w:hint="eastAsia" w:ascii="仿宋_GB2312" w:hAnsi="仿宋_GB2312" w:eastAsia="仿宋_GB2312" w:cs="仿宋_GB2312"/>
          <w:color w:val="auto"/>
          <w:sz w:val="32"/>
          <w:szCs w:val="32"/>
          <w:highlight w:val="none"/>
          <w:lang w:val="en-US" w:eastAsia="zh-CN"/>
        </w:rPr>
        <w:t>支出决算为35.45万元，完成预算100%。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11.社会保障和就业支出（类）行政事业单位养老支出（款）行政单位离退休（项）：</w:t>
      </w:r>
      <w:r>
        <w:rPr>
          <w:rFonts w:hint="eastAsia" w:ascii="仿宋" w:hAnsi="仿宋" w:eastAsia="仿宋" w:cs="仿宋"/>
          <w:b/>
          <w:i w:val="0"/>
          <w:caps w:val="0"/>
          <w:color w:val="000000"/>
          <w:spacing w:val="0"/>
          <w:kern w:val="0"/>
          <w:sz w:val="32"/>
          <w:szCs w:val="32"/>
          <w:lang w:val="en-US" w:eastAsia="zh-CN" w:bidi="ar"/>
        </w:rPr>
        <w:t> </w:t>
      </w:r>
      <w:r>
        <w:rPr>
          <w:rFonts w:hint="eastAsia" w:ascii="仿宋_GB2312" w:hAnsi="仿宋_GB2312" w:eastAsia="仿宋_GB2312" w:cs="仿宋_GB2312"/>
          <w:color w:val="auto"/>
          <w:sz w:val="32"/>
          <w:szCs w:val="32"/>
          <w:highlight w:val="none"/>
          <w:lang w:val="en-US" w:eastAsia="zh-CN"/>
        </w:rPr>
        <w:t>支出决算为2.09万元，完成预算100%。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12.社会保障和就业支出（类）行政事业单位养老支出（款） 机关事业单位职业年金缴费支出（项）： </w:t>
      </w:r>
      <w:r>
        <w:rPr>
          <w:rFonts w:hint="eastAsia" w:ascii="仿宋_GB2312" w:hAnsi="仿宋_GB2312" w:eastAsia="仿宋_GB2312" w:cs="仿宋_GB2312"/>
          <w:color w:val="auto"/>
          <w:sz w:val="32"/>
          <w:szCs w:val="32"/>
          <w:highlight w:val="none"/>
          <w:lang w:val="en-US" w:eastAsia="zh-CN"/>
        </w:rPr>
        <w:t>支出决算为13.6万元，完成预算100%。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13.社会保障和就业支出（类）行政事业单位养老支出（款）机关事业单位基本养老保险缴费支出（项）： </w:t>
      </w:r>
      <w:r>
        <w:rPr>
          <w:rFonts w:hint="eastAsia" w:ascii="仿宋_GB2312" w:hAnsi="仿宋_GB2312" w:eastAsia="仿宋_GB2312" w:cs="仿宋_GB2312"/>
          <w:color w:val="auto"/>
          <w:sz w:val="32"/>
          <w:szCs w:val="32"/>
          <w:highlight w:val="none"/>
          <w:lang w:val="en-US" w:eastAsia="zh-CN"/>
        </w:rPr>
        <w:t>支出决算为80.77万元，完成预算100%。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14.社会保障和就业支出（类）其他社会保障和就业支出（款）其他社会保障和就业支出（项）： </w:t>
      </w:r>
      <w:r>
        <w:rPr>
          <w:rFonts w:hint="eastAsia" w:ascii="仿宋_GB2312" w:hAnsi="仿宋_GB2312" w:eastAsia="仿宋_GB2312" w:cs="仿宋_GB2312"/>
          <w:color w:val="auto"/>
          <w:sz w:val="32"/>
          <w:szCs w:val="32"/>
          <w:highlight w:val="none"/>
          <w:lang w:val="en-US" w:eastAsia="zh-CN"/>
        </w:rPr>
        <w:t>支出决算为2.5万元，完成预算100%。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15.卫生健康支出（类）行政事业单位医疗（款）行政单位医疗（项）：</w:t>
      </w:r>
      <w:r>
        <w:rPr>
          <w:rFonts w:hint="eastAsia" w:ascii="仿宋_GB2312" w:hAnsi="仿宋_GB2312" w:eastAsia="仿宋_GB2312" w:cs="仿宋_GB2312"/>
          <w:color w:val="auto"/>
          <w:sz w:val="32"/>
          <w:szCs w:val="32"/>
          <w:highlight w:val="none"/>
          <w:lang w:val="en-US" w:eastAsia="zh-CN"/>
        </w:rPr>
        <w:t>支出决算为27.26万元，完成预算100%。</w:t>
      </w:r>
    </w:p>
    <w:p>
      <w:pPr>
        <w:keepNext w:val="0"/>
        <w:keepLines w:val="0"/>
        <w:widowControl/>
        <w:suppressLineNumbers w:val="0"/>
        <w:spacing w:before="210" w:beforeAutospacing="0" w:after="210" w:afterAutospacing="0" w:line="450" w:lineRule="atLeast"/>
        <w:ind w:right="0" w:firstLine="642"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16.住房保障支出（类）住房改革支出（款）住房公积金（项）：</w:t>
      </w:r>
      <w:r>
        <w:rPr>
          <w:rFonts w:hint="eastAsia" w:ascii="仿宋_GB2312" w:hAnsi="仿宋_GB2312" w:eastAsia="仿宋_GB2312" w:cs="仿宋_GB2312"/>
          <w:color w:val="auto"/>
          <w:sz w:val="32"/>
          <w:szCs w:val="32"/>
          <w:highlight w:val="none"/>
          <w:lang w:val="en-US" w:eastAsia="zh-CN"/>
        </w:rPr>
        <w:t>支出决算为68.7万元，完成预算100%。</w:t>
      </w:r>
    </w:p>
    <w:p>
      <w:pPr>
        <w:tabs>
          <w:tab w:val="right" w:pos="8306"/>
        </w:tabs>
        <w:spacing w:line="600" w:lineRule="exact"/>
        <w:ind w:firstLine="640"/>
        <w:outlineLvl w:val="1"/>
        <w:rPr>
          <w:rStyle w:val="25"/>
          <w:rFonts w:ascii="Times New Roman" w:hAnsi="Times New Roman"/>
          <w:color w:val="auto"/>
          <w:highlight w:val="none"/>
        </w:rPr>
      </w:pPr>
      <w:bookmarkStart w:id="42" w:name="_Toc15396608"/>
      <w:bookmarkStart w:id="43" w:name="_Toc789"/>
      <w:bookmarkStart w:id="44"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5"/>
          <w:rFonts w:hint="eastAsia" w:ascii="Times New Roman" w:hAnsi="Times New Roman" w:eastAsia="黑体"/>
          <w:b w:val="0"/>
          <w:color w:val="auto"/>
          <w:highlight w:val="none"/>
        </w:rPr>
        <w:t>般公共预算财政拨款基本支出决算情况说明</w:t>
      </w:r>
      <w:bookmarkEnd w:id="42"/>
      <w:bookmarkEnd w:id="43"/>
      <w:bookmarkEnd w:id="44"/>
      <w:r>
        <w:rPr>
          <w:rStyle w:val="25"/>
          <w:rFonts w:ascii="Times New Roman" w:hAnsi="Times New Roman" w:eastAsia="黑体"/>
          <w:b w:val="0"/>
          <w:color w:val="auto"/>
          <w:highlight w:val="none"/>
        </w:rPr>
        <w:tab/>
      </w:r>
    </w:p>
    <w:p>
      <w:pPr>
        <w:keepNext w:val="0"/>
        <w:keepLines w:val="0"/>
        <w:widowControl/>
        <w:suppressLineNumbers w:val="0"/>
        <w:spacing w:before="210" w:beforeAutospacing="0" w:after="210" w:afterAutospacing="0" w:line="450" w:lineRule="atLeast"/>
        <w:ind w:right="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2024年度一般公共预算财政拨款基本支出1018.8万元，其中：</w:t>
      </w:r>
    </w:p>
    <w:p>
      <w:pPr>
        <w:keepNext w:val="0"/>
        <w:keepLines w:val="0"/>
        <w:widowControl/>
        <w:suppressLineNumbers w:val="0"/>
        <w:spacing w:before="210" w:beforeAutospacing="0" w:after="210" w:afterAutospacing="0" w:line="450" w:lineRule="atLeast"/>
        <w:ind w:right="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人员经费907.09万元，主要包括：基本工资、津贴补贴、奖金、绩效工资、机关事业单位基本养老保险缴费、职业年金缴费、职工基本医疗保险缴费、其他社会保障缴费、住房公积金、生活补助、奖励金、其他对个人和家庭的补助支出。</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公用经费111.71万元，主要包括：办公费、印刷费、咨询费、水费、电费、邮电费、物业管理费、差旅费、维修（护）费、公务接待费、劳务费、工会经费、福利费、公务用车运行维护费、其他交通费用、其他商品和服务支出。</w:t>
      </w:r>
    </w:p>
    <w:p>
      <w:pPr>
        <w:spacing w:line="600" w:lineRule="exact"/>
        <w:ind w:firstLine="640"/>
        <w:outlineLvl w:val="1"/>
        <w:rPr>
          <w:rStyle w:val="25"/>
          <w:rFonts w:ascii="Times New Roman" w:hAnsi="Times New Roman" w:eastAsia="黑体"/>
          <w:b w:val="0"/>
          <w:color w:val="auto"/>
          <w:highlight w:val="none"/>
        </w:rPr>
      </w:pPr>
      <w:bookmarkStart w:id="45" w:name="_Toc15396609"/>
      <w:bookmarkStart w:id="46" w:name="_Toc15377215"/>
      <w:bookmarkStart w:id="47" w:name="_Toc30536"/>
      <w:r>
        <w:rPr>
          <w:rFonts w:hint="eastAsia" w:ascii="Times New Roman" w:hAnsi="Times New Roman" w:eastAsia="黑体"/>
          <w:color w:val="auto"/>
          <w:sz w:val="32"/>
          <w:szCs w:val="32"/>
          <w:highlight w:val="none"/>
        </w:rPr>
        <w:t>七、</w:t>
      </w:r>
      <w:r>
        <w:rPr>
          <w:rStyle w:val="25"/>
          <w:rFonts w:hint="eastAsia" w:ascii="Times New Roman" w:hAnsi="Times New Roman" w:eastAsia="黑体"/>
          <w:b w:val="0"/>
          <w:color w:val="auto"/>
          <w:highlight w:val="none"/>
        </w:rPr>
        <w:t>财政拨款</w:t>
      </w:r>
      <w:r>
        <w:rPr>
          <w:rStyle w:val="25"/>
          <w:rFonts w:hint="eastAsia" w:ascii="Times New Roman" w:hAnsi="Times New Roman" w:eastAsia="黑体"/>
          <w:color w:val="auto"/>
          <w:highlight w:val="none"/>
        </w:rPr>
        <w:t>“</w:t>
      </w:r>
      <w:r>
        <w:rPr>
          <w:rStyle w:val="25"/>
          <w:rFonts w:hint="eastAsia" w:ascii="Times New Roman" w:hAnsi="Times New Roman" w:eastAsia="黑体"/>
          <w:b w:val="0"/>
          <w:color w:val="auto"/>
          <w:highlight w:val="none"/>
        </w:rPr>
        <w:t>三公”经费支出决算情况说明</w:t>
      </w:r>
      <w:bookmarkEnd w:id="45"/>
      <w:bookmarkEnd w:id="46"/>
      <w:bookmarkEnd w:id="4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8"/>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2024年度“三公”经费财政拨款支出决算为4.09万元，完成预算100%，较上年度减少22.87万元，下降84.83%。决算数与预算数持平。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9"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9"/>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2024年度“三公”经费财政拨款支出决算中，因公出国（境）费支出决算0万元，占0%；公务用车购置及运行维护费支出决算2.87万元，占70.17%；公务接待费支出决算1.22万元，占29.83%。具体情况如下：</w:t>
      </w:r>
    </w:p>
    <w:p>
      <w:pPr>
        <w:pStyle w:val="17"/>
        <w:rPr>
          <w:rFonts w:hint="eastAsia"/>
          <w:lang w:val="en-US" w:eastAsia="zh-CN"/>
        </w:rPr>
      </w:pPr>
      <w:r>
        <w:rPr>
          <w:rFonts w:hint="eastAsia"/>
          <w:lang w:val="en-US" w:eastAsia="zh-CN"/>
        </w:rPr>
        <w:drawing>
          <wp:inline distT="0" distB="0" distL="114300" distR="114300">
            <wp:extent cx="4584065" cy="2755265"/>
            <wp:effectExtent l="0" t="0" r="6985" b="6985"/>
            <wp:docPr id="9" name="图片 9"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6"/>
                    <pic:cNvPicPr>
                      <a:picLocks noChangeAspect="1"/>
                    </pic:cNvPicPr>
                  </pic:nvPicPr>
                  <pic:blipFill>
                    <a:blip r:embed="rId12"/>
                    <a:stretch>
                      <a:fillRect/>
                    </a:stretch>
                  </pic:blipFill>
                  <pic:spPr>
                    <a:xfrm>
                      <a:off x="0" y="0"/>
                      <a:ext cx="4584065" cy="2755265"/>
                    </a:xfrm>
                    <a:prstGeom prst="rect">
                      <a:avLst/>
                    </a:prstGeom>
                  </pic:spPr>
                </pic:pic>
              </a:graphicData>
            </a:graphic>
          </wp:inline>
        </w:drawing>
      </w:r>
    </w:p>
    <w:p>
      <w:pPr>
        <w:spacing w:line="600" w:lineRule="exact"/>
        <w:ind w:firstLine="1292" w:firstLineChars="404"/>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numPr>
          <w:ilvl w:val="0"/>
          <w:numId w:val="0"/>
        </w:numPr>
        <w:spacing w:line="600" w:lineRule="exact"/>
        <w:ind w:firstLine="642" w:firstLineChars="200"/>
        <w:rPr>
          <w:rFonts w:hint="eastAsia" w:ascii="Times New Roman" w:hAnsi="Times New Roman" w:eastAsia="仿宋_GB2312" w:cs="仿宋_GB2312"/>
          <w:b/>
          <w:bCs/>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1.</w:t>
      </w:r>
      <w:r>
        <w:rPr>
          <w:rFonts w:hint="eastAsia" w:ascii="Times New Roman" w:hAnsi="Times New Roman" w:eastAsia="仿宋_GB2312" w:cs="仿宋_GB2312"/>
          <w:b/>
          <w:bCs/>
          <w:color w:val="auto"/>
          <w:kern w:val="2"/>
          <w:sz w:val="32"/>
          <w:szCs w:val="32"/>
          <w:highlight w:val="none"/>
          <w:lang w:val="en-US" w:eastAsia="zh-CN" w:bidi="ar-SA"/>
        </w:rPr>
        <w:t>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万元，年初未安排预</w:t>
      </w:r>
    </w:p>
    <w:p>
      <w:pPr>
        <w:spacing w:line="600" w:lineRule="exact"/>
        <w:ind w:firstLine="640" w:firstLineChars="200"/>
        <w:outlineLvl w:val="2"/>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全年安排因公出国（境）团组0次，出国（境）0人。因公出国（境）支出决算比2023年减少4.27万元，下降100%。主要原因是2024年无出国预算。</w:t>
      </w:r>
    </w:p>
    <w:p>
      <w:pPr>
        <w:spacing w:line="600" w:lineRule="exact"/>
        <w:ind w:firstLine="642" w:firstLineChars="200"/>
        <w:outlineLvl w:val="2"/>
        <w:rPr>
          <w:rFonts w:hint="default" w:ascii="仿宋_GB2312" w:hAnsi="仿宋_GB2312" w:eastAsia="仿宋_GB2312" w:cs="仿宋_GB2312"/>
          <w:color w:val="auto"/>
          <w:sz w:val="32"/>
          <w:szCs w:val="32"/>
          <w:highlight w:val="none"/>
          <w:lang w:val="en-US" w:eastAsia="zh-CN"/>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2.87万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lang w:val="en-US" w:eastAsia="zh-CN"/>
        </w:rPr>
        <w:t>公务用车购置及运行维护费支出决算比2023年度减少18.01万元，下降86.25%。主要原因是2024年无公务车购置预算。</w:t>
      </w:r>
    </w:p>
    <w:p>
      <w:pPr>
        <w:spacing w:line="600" w:lineRule="exact"/>
        <w:ind w:firstLine="640" w:firstLineChars="200"/>
        <w:outlineLvl w:val="2"/>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val="en-US" w:eastAsia="zh-CN"/>
        </w:rPr>
        <w:t>其中：公务用车购置支出0万元，未购置公务用车。</w:t>
      </w:r>
      <w:r>
        <w:rPr>
          <w:rFonts w:hint="eastAsia" w:ascii="仿宋_GB2312" w:hAnsi="仿宋_GB2312" w:eastAsia="仿宋_GB2312" w:cs="仿宋_GB2312"/>
          <w:color w:val="auto"/>
          <w:sz w:val="32"/>
          <w:szCs w:val="32"/>
          <w:highlight w:val="none"/>
        </w:rPr>
        <w:t>截至</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辆，其中：轿车</w:t>
      </w:r>
      <w:r>
        <w:rPr>
          <w:rFonts w:hint="default" w:ascii="仿宋_GB2312" w:hAnsi="仿宋_GB2312" w:eastAsia="仿宋_GB2312" w:cs="仿宋_GB2312"/>
          <w:color w:val="auto"/>
          <w:sz w:val="32"/>
          <w:szCs w:val="32"/>
          <w:highlight w:val="none"/>
          <w:lang w:val="en"/>
        </w:rPr>
        <w:t>1</w:t>
      </w:r>
      <w:r>
        <w:rPr>
          <w:rFonts w:hint="eastAsia" w:ascii="仿宋_GB2312" w:hAnsi="仿宋_GB2312" w:eastAsia="仿宋_GB2312" w:cs="仿宋_GB2312"/>
          <w:color w:val="auto"/>
          <w:sz w:val="32"/>
          <w:szCs w:val="32"/>
          <w:highlight w:val="none"/>
        </w:rPr>
        <w:t>辆。</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务用车运行维护费支出2.87万元。主要用于抢险救灾、处置突发事件、局领导参加紧急会议、重要会议、重点活动等，办理涉及国家安全、保密、机要通信等所需的公务用车燃料费、维修费、过路过桥费、保险费等支出。</w:t>
      </w:r>
    </w:p>
    <w:p>
      <w:pPr>
        <w:spacing w:line="600" w:lineRule="exact"/>
        <w:ind w:firstLine="642" w:firstLineChars="200"/>
        <w:outlineLvl w:val="2"/>
        <w:rPr>
          <w:rFonts w:hint="eastAsia" w:ascii="仿宋_GB2312" w:hAnsi="仿宋_GB2312" w:eastAsia="仿宋_GB2312" w:cs="仿宋_GB2312"/>
          <w:color w:val="auto"/>
          <w:sz w:val="32"/>
          <w:szCs w:val="32"/>
          <w:highlight w:val="none"/>
          <w:lang w:val="en-US" w:eastAsia="zh-CN"/>
        </w:rPr>
      </w:pPr>
      <w:r>
        <w:rPr>
          <w:rFonts w:hint="eastAsia" w:eastAsia="仿宋_GB2312" w:cs="仿宋_GB2312"/>
          <w:b/>
          <w:bCs/>
          <w:color w:val="auto"/>
          <w:kern w:val="2"/>
          <w:sz w:val="32"/>
          <w:szCs w:val="32"/>
          <w:highlight w:val="none"/>
          <w:lang w:val="en-US" w:eastAsia="zh-CN" w:bidi="ar-SA"/>
        </w:rPr>
        <w:t>3.</w:t>
      </w:r>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ascii="仿宋_GB2312" w:hAnsi="仿宋_GB2312" w:eastAsia="仿宋_GB2312" w:cs="仿宋_GB2312"/>
          <w:b/>
          <w:bCs/>
          <w:color w:val="auto"/>
          <w:kern w:val="2"/>
          <w:sz w:val="32"/>
          <w:szCs w:val="32"/>
          <w:highlight w:val="none"/>
          <w:lang w:val="en-US" w:eastAsia="zh-CN" w:bidi="ar-SA"/>
        </w:rPr>
        <w:t>1.22万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lang w:val="en-US" w:eastAsia="zh-CN"/>
        </w:rPr>
        <w:t>公务接待费支出决算比2023年度减少0.59万元，下降32.59%。主要原因是厉行节约。其中：</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国内公务接待支出1.22万元，主要用于异地单位来广考察调研、执行任务、学习交流、检查指导、请示汇报等工作开支的用餐费。国内公务接待12批次，66人次（不包括陪同人员），共计支出1.22万元，具体内容包括：省科技厅来广4次产生接待费0.33万元，浙江省金华市科技局来广1次产生接待费0.15万元，德阳决咨委来广1次产生接待费0.20万元，南充市科技局来广1次产生接待费0.24万元，省生产力促进中心来广1次产生接待费0.08万元，省保密局检查正版软件来广1次产生接待费0.08万元，省科技档案馆来广2次产生接待费0.14万元。</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外事接待支出0万元。</w:t>
      </w:r>
      <w:bookmarkStart w:id="50" w:name="_Toc15396610"/>
      <w:bookmarkStart w:id="51" w:name="_Toc15377218"/>
    </w:p>
    <w:p>
      <w:pPr>
        <w:spacing w:line="600" w:lineRule="exact"/>
        <w:ind w:firstLine="640"/>
        <w:outlineLvl w:val="1"/>
        <w:rPr>
          <w:rStyle w:val="25"/>
          <w:rFonts w:ascii="Times New Roman" w:hAnsi="Times New Roman" w:eastAsia="黑体"/>
          <w:color w:val="auto"/>
          <w:highlight w:val="none"/>
        </w:rPr>
      </w:pPr>
      <w:bookmarkStart w:id="52" w:name="_Toc8937"/>
      <w:r>
        <w:rPr>
          <w:rFonts w:hint="eastAsia" w:ascii="Times New Roman" w:hAnsi="Times New Roman" w:eastAsia="黑体"/>
          <w:color w:val="auto"/>
          <w:sz w:val="32"/>
          <w:szCs w:val="32"/>
          <w:highlight w:val="none"/>
        </w:rPr>
        <w:t>八、</w:t>
      </w:r>
      <w:r>
        <w:rPr>
          <w:rStyle w:val="25"/>
          <w:rFonts w:hint="eastAsia" w:ascii="Times New Roman" w:hAnsi="Times New Roman" w:eastAsia="黑体"/>
          <w:b w:val="0"/>
          <w:color w:val="auto"/>
          <w:highlight w:val="none"/>
        </w:rPr>
        <w:t>政府性基金预算支出决算情况说明</w:t>
      </w:r>
      <w:bookmarkEnd w:id="50"/>
      <w:bookmarkEnd w:id="51"/>
      <w:bookmarkEnd w:id="52"/>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2024年度政府性基金预算财政拨款支出0万元。</w:t>
      </w:r>
    </w:p>
    <w:p>
      <w:pPr>
        <w:numPr>
          <w:ilvl w:val="0"/>
          <w:numId w:val="0"/>
        </w:numPr>
        <w:spacing w:line="600" w:lineRule="exact"/>
        <w:ind w:left="630" w:leftChars="0"/>
        <w:outlineLvl w:val="1"/>
        <w:rPr>
          <w:rStyle w:val="25"/>
          <w:rFonts w:ascii="Times New Roman" w:hAnsi="Times New Roman" w:eastAsia="黑体"/>
          <w:b w:val="0"/>
          <w:color w:val="auto"/>
          <w:highlight w:val="none"/>
        </w:rPr>
      </w:pPr>
      <w:bookmarkStart w:id="53" w:name="_Toc15377219"/>
      <w:bookmarkStart w:id="54" w:name="_Toc1097"/>
      <w:bookmarkStart w:id="55" w:name="_Toc15396611"/>
      <w:r>
        <w:rPr>
          <w:rStyle w:val="25"/>
          <w:rFonts w:hint="eastAsia" w:ascii="Times New Roman" w:hAnsi="Times New Roman" w:eastAsia="黑体"/>
          <w:b w:val="0"/>
          <w:color w:val="auto"/>
          <w:highlight w:val="none"/>
          <w:lang w:eastAsia="zh-CN"/>
        </w:rPr>
        <w:t>九、</w:t>
      </w:r>
      <w:r>
        <w:rPr>
          <w:rStyle w:val="25"/>
          <w:rFonts w:hint="eastAsia" w:ascii="Times New Roman" w:hAnsi="Times New Roman" w:eastAsia="黑体"/>
          <w:b w:val="0"/>
          <w:color w:val="auto"/>
          <w:highlight w:val="none"/>
        </w:rPr>
        <w:t>国有资本经营预算支出决算情况说明</w:t>
      </w:r>
      <w:bookmarkEnd w:id="53"/>
      <w:bookmarkEnd w:id="54"/>
      <w:bookmarkEnd w:id="55"/>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2024年度国有资本经营预算财政拨款支出0万元。</w:t>
      </w:r>
    </w:p>
    <w:p>
      <w:pPr>
        <w:numPr>
          <w:ilvl w:val="0"/>
          <w:numId w:val="0"/>
        </w:numPr>
        <w:spacing w:line="600" w:lineRule="exact"/>
        <w:ind w:left="630" w:leftChars="0"/>
        <w:outlineLvl w:val="1"/>
        <w:rPr>
          <w:rStyle w:val="25"/>
          <w:rFonts w:hint="eastAsia" w:ascii="Times New Roman" w:hAnsi="Times New Roman" w:eastAsia="黑体"/>
          <w:b w:val="0"/>
          <w:color w:val="auto"/>
          <w:highlight w:val="none"/>
        </w:rPr>
      </w:pPr>
      <w:bookmarkStart w:id="56" w:name="_Toc15377221"/>
      <w:bookmarkStart w:id="57" w:name="_Toc15396612"/>
      <w:bookmarkStart w:id="58" w:name="_Toc31894"/>
      <w:r>
        <w:rPr>
          <w:rStyle w:val="25"/>
          <w:rFonts w:hint="eastAsia" w:ascii="Times New Roman" w:hAnsi="Times New Roman" w:eastAsia="黑体"/>
          <w:b w:val="0"/>
          <w:color w:val="auto"/>
          <w:highlight w:val="none"/>
          <w:lang w:eastAsia="zh-CN"/>
        </w:rPr>
        <w:t>十、</w:t>
      </w:r>
      <w:r>
        <w:rPr>
          <w:rStyle w:val="25"/>
          <w:rFonts w:hint="eastAsia" w:ascii="Times New Roman" w:hAnsi="Times New Roman" w:eastAsia="黑体"/>
          <w:b w:val="0"/>
          <w:color w:val="auto"/>
          <w:highlight w:val="none"/>
        </w:rPr>
        <w:t>其他重要事项的情况说明</w:t>
      </w:r>
      <w:bookmarkEnd w:id="56"/>
      <w:bookmarkEnd w:id="57"/>
      <w:bookmarkEnd w:id="58"/>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9" w:name="_Toc15377222"/>
      <w:r>
        <w:rPr>
          <w:rFonts w:hint="eastAsia" w:ascii="Times New Roman" w:hAnsi="Times New Roman" w:eastAsia="楷体_GB2312" w:cs="楷体_GB2312"/>
          <w:b/>
          <w:color w:val="auto"/>
          <w:sz w:val="32"/>
          <w:szCs w:val="32"/>
          <w:highlight w:val="none"/>
        </w:rPr>
        <w:t>（一）机关运行经费支出情况</w:t>
      </w:r>
      <w:bookmarkEnd w:id="59"/>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2024年度，广元市科学技术局机关运行经费支出111.71万元，比2023年度减少5.98万元，下降5.08%。主要原因是严控一般性支出。</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lang w:val="en-US" w:eastAsia="zh-CN"/>
        </w:rPr>
      </w:pPr>
      <w:bookmarkStart w:id="60" w:name="_Toc15377223"/>
      <w:r>
        <w:rPr>
          <w:rFonts w:hint="eastAsia" w:ascii="Times New Roman" w:hAnsi="Times New Roman" w:eastAsia="楷体_GB2312" w:cs="楷体_GB2312"/>
          <w:b/>
          <w:color w:val="auto"/>
          <w:sz w:val="32"/>
          <w:szCs w:val="32"/>
          <w:highlight w:val="none"/>
          <w:lang w:val="en-US" w:eastAsia="zh-CN"/>
        </w:rPr>
        <w:t>（二）政府采购支出情况</w:t>
      </w:r>
      <w:bookmarkEnd w:id="60"/>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广元市科学技术局政府采购支出总额4.44万元，其中：政府采购货物支出4.44万元。主要用于科技系统文件资料的打印。授予中小企业合同金额4.45万元，占政府采购支出总额的100%，其中：授予小微企业合同金额4.44万元，占政府采购支出总额的100%。</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1" w:name="_Toc15377224"/>
      <w:r>
        <w:rPr>
          <w:rFonts w:hint="eastAsia" w:ascii="Times New Roman" w:hAnsi="Times New Roman" w:eastAsia="楷体_GB2312" w:cs="楷体_GB2312"/>
          <w:b/>
          <w:color w:val="auto"/>
          <w:sz w:val="32"/>
          <w:szCs w:val="32"/>
          <w:highlight w:val="none"/>
        </w:rPr>
        <w:t>（三）国有资产占有使用情况</w:t>
      </w:r>
      <w:bookmarkEnd w:id="61"/>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广元市科学技术局共有车辆1辆，其中：其他用车1辆，其他用车主要用于抢险救灾、处置突发事件，局领导参加紧急会议、重要会议、重点活动等，办理涉及国家安全、保密、机要通信等保障工作。单价100万元以上设备（不含车辆）0台（套）。</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firstLineChars="200"/>
        <w:outlineLvl w:val="2"/>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根据预算绩效管理要求，本部门在2024年度预算编制阶段，无年度新增50万元部门预算项目和增幅达到20%部门预算项目。</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组织对2024年度一般公共预算资金全面开展绩效自评，形成广元市科学技术局部门整体（含部门预算项目）绩效自评报告、科技拔尖人才2024年度岗位激励资金等专项预算项目绩效自评报告，其中，</w:t>
      </w:r>
      <w:r>
        <w:rPr>
          <w:rFonts w:hint="eastAsia" w:eastAsia="仿宋_GB2312" w:cs="仿宋_GB2312"/>
          <w:b/>
          <w:bCs/>
          <w:color w:val="auto"/>
          <w:kern w:val="2"/>
          <w:sz w:val="32"/>
          <w:szCs w:val="32"/>
          <w:highlight w:val="none"/>
          <w:lang w:val="en-US" w:eastAsia="zh-CN" w:bidi="ar-SA"/>
        </w:rPr>
        <w:t>广元市科学技术局</w:t>
      </w:r>
      <w:r>
        <w:rPr>
          <w:rFonts w:hint="eastAsia" w:ascii="Times New Roman" w:hAnsi="Times New Roman" w:eastAsia="仿宋_GB2312" w:cs="仿宋_GB2312"/>
          <w:b/>
          <w:bCs/>
          <w:color w:val="auto"/>
          <w:kern w:val="2"/>
          <w:sz w:val="32"/>
          <w:szCs w:val="32"/>
          <w:highlight w:val="none"/>
          <w:lang w:val="en-US" w:eastAsia="zh-CN" w:bidi="ar-SA"/>
        </w:rPr>
        <w:t>部门整体</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lang w:val="en-US" w:eastAsia="zh-CN"/>
        </w:rPr>
        <w:t>含部门预算项目）绩效自评得分为94.63分，绩效自评综述：我局2024年绩效目标设置明确、预算编制较准确、项目预算执行较好</w:t>
      </w:r>
      <w:r>
        <w:rPr>
          <w:rFonts w:hint="eastAsia" w:ascii="仿宋_GB2312" w:hAnsi="仿宋_GB2312" w:eastAsia="仿宋_GB2312" w:cs="仿宋_GB2312"/>
          <w:color w:val="auto"/>
          <w:sz w:val="32"/>
          <w:szCs w:val="32"/>
          <w:highlight w:val="none"/>
          <w:lang w:val="zh-CN" w:eastAsia="zh-CN"/>
        </w:rPr>
        <w:t>，按照计划完成年度工作任务，实现了年度绩效目标</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eastAsia="仿宋_GB2312" w:cs="仿宋_GB2312"/>
          <w:b/>
          <w:bCs/>
          <w:color w:val="auto"/>
          <w:kern w:val="2"/>
          <w:sz w:val="32"/>
          <w:szCs w:val="32"/>
          <w:highlight w:val="none"/>
          <w:lang w:val="en-US" w:eastAsia="zh-CN" w:bidi="ar-SA"/>
        </w:rPr>
        <w:t>科技拔尖人才2024年度岗位激励资金专项</w:t>
      </w:r>
      <w:r>
        <w:rPr>
          <w:rFonts w:hint="eastAsia" w:ascii="仿宋_GB2312" w:hAnsi="仿宋_GB2312" w:eastAsia="仿宋_GB2312" w:cs="仿宋_GB2312"/>
          <w:color w:val="auto"/>
          <w:sz w:val="32"/>
          <w:szCs w:val="32"/>
          <w:highlight w:val="none"/>
          <w:lang w:val="en-US" w:eastAsia="zh-CN"/>
        </w:rPr>
        <w:t>预算项目绩效自评得分为100分，绩效自评综述：</w:t>
      </w:r>
      <w:r>
        <w:rPr>
          <w:rFonts w:hint="eastAsia" w:ascii="仿宋_GB2312" w:hAnsi="仿宋_GB2312" w:eastAsia="仿宋_GB2312" w:cs="仿宋_GB2312"/>
          <w:color w:val="auto"/>
          <w:sz w:val="32"/>
          <w:szCs w:val="32"/>
          <w:highlight w:val="none"/>
          <w:lang w:val="zh-CN" w:eastAsia="zh-CN"/>
        </w:rPr>
        <w:t>项目管理严格，总体进度良好，效益明显，完成了各项预定的目标和任务，达到了预期的经济和社会效益；</w:t>
      </w:r>
      <w:r>
        <w:rPr>
          <w:rFonts w:hint="eastAsia" w:ascii="Times New Roman" w:hAnsi="Times New Roman" w:eastAsia="仿宋_GB2312" w:cs="仿宋_GB2312"/>
          <w:b/>
          <w:bCs/>
          <w:color w:val="auto"/>
          <w:kern w:val="2"/>
          <w:sz w:val="32"/>
          <w:szCs w:val="32"/>
          <w:highlight w:val="none"/>
          <w:lang w:val="en-US" w:eastAsia="zh-CN" w:bidi="ar-SA"/>
        </w:rPr>
        <w:t>广元推动“四区”振兴发展科普能力提升专项</w:t>
      </w:r>
      <w:r>
        <w:rPr>
          <w:rFonts w:hint="eastAsia" w:ascii="仿宋_GB2312" w:hAnsi="仿宋_GB2312" w:eastAsia="仿宋_GB2312" w:cs="仿宋_GB2312"/>
          <w:color w:val="auto"/>
          <w:sz w:val="32"/>
          <w:szCs w:val="32"/>
          <w:highlight w:val="none"/>
          <w:lang w:val="en-US" w:eastAsia="zh-CN"/>
        </w:rPr>
        <w:t>预算项目绩效自评得分为99分，绩效自评综述：</w:t>
      </w:r>
      <w:r>
        <w:rPr>
          <w:rFonts w:hint="eastAsia" w:ascii="仿宋_GB2312" w:hAnsi="仿宋_GB2312" w:eastAsia="仿宋_GB2312" w:cs="仿宋_GB2312"/>
          <w:color w:val="auto"/>
          <w:sz w:val="32"/>
          <w:szCs w:val="32"/>
          <w:highlight w:val="none"/>
          <w:lang w:val="zh-CN" w:eastAsia="zh-CN"/>
        </w:rPr>
        <w:t>项目管理严格，总体进度良好，效益明显。正在逐步完成各项预定的目标和任务，有一定的经济和社会效益；</w:t>
      </w:r>
      <w:r>
        <w:rPr>
          <w:rFonts w:hint="eastAsia" w:ascii="Times New Roman" w:hAnsi="Times New Roman" w:eastAsia="仿宋_GB2312" w:cs="仿宋_GB2312"/>
          <w:b/>
          <w:bCs/>
          <w:color w:val="auto"/>
          <w:kern w:val="2"/>
          <w:sz w:val="32"/>
          <w:szCs w:val="32"/>
          <w:highlight w:val="none"/>
          <w:lang w:val="en-US" w:eastAsia="zh-CN" w:bidi="ar-SA"/>
        </w:rPr>
        <w:t>市本级</w:t>
      </w:r>
      <w:r>
        <w:rPr>
          <w:rFonts w:hint="eastAsia" w:eastAsia="仿宋_GB2312" w:cs="仿宋_GB2312"/>
          <w:b/>
          <w:bCs/>
          <w:color w:val="auto"/>
          <w:kern w:val="2"/>
          <w:sz w:val="32"/>
          <w:szCs w:val="32"/>
          <w:highlight w:val="none"/>
          <w:lang w:val="en-US" w:eastAsia="zh-CN" w:bidi="ar-SA"/>
        </w:rPr>
        <w:t>“两新”组织</w:t>
      </w:r>
      <w:r>
        <w:rPr>
          <w:rFonts w:hint="eastAsia" w:ascii="Times New Roman" w:hAnsi="Times New Roman" w:eastAsia="仿宋_GB2312" w:cs="仿宋_GB2312"/>
          <w:b/>
          <w:bCs/>
          <w:color w:val="auto"/>
          <w:kern w:val="2"/>
          <w:sz w:val="32"/>
          <w:szCs w:val="32"/>
          <w:highlight w:val="none"/>
          <w:lang w:val="en-US" w:eastAsia="zh-CN" w:bidi="ar-SA"/>
        </w:rPr>
        <w:t>党建工作经费专项</w:t>
      </w:r>
      <w:r>
        <w:rPr>
          <w:rFonts w:hint="eastAsia" w:ascii="仿宋_GB2312" w:hAnsi="仿宋_GB2312" w:eastAsia="仿宋_GB2312" w:cs="仿宋_GB2312"/>
          <w:color w:val="auto"/>
          <w:sz w:val="32"/>
          <w:szCs w:val="32"/>
          <w:highlight w:val="none"/>
          <w:lang w:val="en-US" w:eastAsia="zh-CN"/>
        </w:rPr>
        <w:t>预算项目无法自评打分，原因是</w:t>
      </w:r>
      <w:r>
        <w:rPr>
          <w:rFonts w:hint="eastAsia" w:ascii="仿宋_GB2312" w:hAnsi="仿宋_GB2312" w:eastAsia="仿宋_GB2312" w:cs="仿宋_GB2312"/>
          <w:color w:val="auto"/>
          <w:sz w:val="32"/>
          <w:szCs w:val="32"/>
          <w:highlight w:val="none"/>
          <w:lang w:val="zh-CN" w:eastAsia="zh-CN"/>
        </w:rPr>
        <w:t>项目资金用于</w:t>
      </w:r>
      <w:r>
        <w:rPr>
          <w:rFonts w:hint="eastAsia" w:ascii="仿宋_GB2312" w:hAnsi="仿宋_GB2312" w:eastAsia="仿宋_GB2312" w:cs="仿宋_GB2312"/>
          <w:color w:val="auto"/>
          <w:sz w:val="32"/>
          <w:szCs w:val="32"/>
          <w:highlight w:val="none"/>
          <w:lang w:val="en-US" w:eastAsia="zh-CN"/>
        </w:rPr>
        <w:t>2025年春节慰问困难党员和打造党建示范点，尚未开展慰问；</w:t>
      </w:r>
      <w:r>
        <w:rPr>
          <w:rFonts w:hint="eastAsia" w:ascii="Times New Roman" w:hAnsi="Times New Roman" w:eastAsia="仿宋_GB2312" w:cs="仿宋_GB2312"/>
          <w:b/>
          <w:bCs/>
          <w:color w:val="auto"/>
          <w:kern w:val="2"/>
          <w:sz w:val="32"/>
          <w:szCs w:val="32"/>
          <w:highlight w:val="none"/>
          <w:lang w:val="en-US" w:eastAsia="zh-CN" w:bidi="ar-SA"/>
        </w:rPr>
        <w:t>中央转移支付“三区”科技人才专项</w:t>
      </w:r>
      <w:r>
        <w:rPr>
          <w:rFonts w:hint="eastAsia" w:ascii="仿宋_GB2312" w:hAnsi="仿宋_GB2312" w:eastAsia="仿宋_GB2312" w:cs="仿宋_GB2312"/>
          <w:color w:val="auto"/>
          <w:sz w:val="32"/>
          <w:szCs w:val="32"/>
          <w:highlight w:val="none"/>
          <w:lang w:val="en-US" w:eastAsia="zh-CN"/>
        </w:rPr>
        <w:t>预算项目绩效自评得分为100分，绩效自评综述：</w:t>
      </w:r>
      <w:r>
        <w:rPr>
          <w:rFonts w:hint="eastAsia" w:ascii="仿宋_GB2312" w:hAnsi="仿宋_GB2312" w:eastAsia="仿宋_GB2312" w:cs="仿宋_GB2312"/>
          <w:color w:val="auto"/>
          <w:sz w:val="32"/>
          <w:szCs w:val="32"/>
          <w:highlight w:val="none"/>
          <w:lang w:val="zh-CN" w:eastAsia="zh-CN"/>
        </w:rPr>
        <w:t>提高了当地优势特色产品的核心竞争力，带动项目区产业发展，实现项目区产业兴旺，为乡村振兴奠定科技支撑；</w:t>
      </w:r>
      <w:r>
        <w:rPr>
          <w:rFonts w:hint="eastAsia" w:ascii="Times New Roman" w:hAnsi="Times New Roman" w:eastAsia="仿宋_GB2312" w:cs="仿宋_GB2312"/>
          <w:b/>
          <w:bCs/>
          <w:color w:val="auto"/>
          <w:kern w:val="2"/>
          <w:sz w:val="32"/>
          <w:szCs w:val="32"/>
          <w:highlight w:val="none"/>
          <w:lang w:val="en-US" w:eastAsia="zh-CN" w:bidi="ar-SA"/>
        </w:rPr>
        <w:t>广元“十五五”时期全面提升科技创新能力课题研究报告专项</w:t>
      </w:r>
      <w:r>
        <w:rPr>
          <w:rFonts w:hint="eastAsia" w:ascii="仿宋_GB2312" w:hAnsi="仿宋_GB2312" w:eastAsia="仿宋_GB2312" w:cs="仿宋_GB2312"/>
          <w:color w:val="auto"/>
          <w:sz w:val="32"/>
          <w:szCs w:val="32"/>
          <w:highlight w:val="none"/>
          <w:lang w:val="en-US" w:eastAsia="zh-CN"/>
        </w:rPr>
        <w:t>预算项目绩效自评得分为99分，绩效自评综述：</w:t>
      </w:r>
      <w:r>
        <w:rPr>
          <w:rFonts w:hint="eastAsia" w:ascii="仿宋_GB2312" w:hAnsi="仿宋_GB2312" w:eastAsia="仿宋_GB2312" w:cs="仿宋_GB2312"/>
          <w:color w:val="auto"/>
          <w:sz w:val="32"/>
          <w:szCs w:val="32"/>
          <w:highlight w:val="none"/>
          <w:lang w:val="zh-CN" w:eastAsia="zh-CN"/>
        </w:rPr>
        <w:t>项目管理严格，总体进度良好，效益明显。正在逐步完成各项预定的目标和任务</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eastAsia="仿宋_GB2312" w:cs="仿宋_GB2312"/>
          <w:b/>
          <w:bCs/>
          <w:color w:val="auto"/>
          <w:kern w:val="2"/>
          <w:sz w:val="32"/>
          <w:szCs w:val="32"/>
          <w:highlight w:val="none"/>
          <w:lang w:val="en-US" w:eastAsia="zh-CN" w:bidi="ar-SA"/>
        </w:rPr>
        <w:t>广元市第二批“蜀道英才培育计划”创新创业领军人才培养经费专项</w:t>
      </w:r>
      <w:r>
        <w:rPr>
          <w:rFonts w:hint="eastAsia" w:ascii="仿宋_GB2312" w:hAnsi="仿宋_GB2312" w:eastAsia="仿宋_GB2312" w:cs="仿宋_GB2312"/>
          <w:color w:val="auto"/>
          <w:sz w:val="32"/>
          <w:szCs w:val="32"/>
          <w:highlight w:val="none"/>
          <w:lang w:val="en-US" w:eastAsia="zh-CN"/>
        </w:rPr>
        <w:t>预算项目绩效自评得分为100分，绩效自评综述：</w:t>
      </w:r>
      <w:r>
        <w:rPr>
          <w:rFonts w:hint="eastAsia" w:ascii="仿宋_GB2312" w:hAnsi="仿宋_GB2312" w:eastAsia="仿宋_GB2312" w:cs="仿宋_GB2312"/>
          <w:color w:val="auto"/>
          <w:sz w:val="32"/>
          <w:szCs w:val="32"/>
          <w:highlight w:val="none"/>
          <w:lang w:val="zh-CN" w:eastAsia="zh-CN"/>
        </w:rPr>
        <w:t>项目管理严格，总体进度良好，效益明显，完成了各项预定的目标和任务，达到了预期的经济和社会效益；</w:t>
      </w:r>
      <w:r>
        <w:rPr>
          <w:rFonts w:hint="eastAsia" w:ascii="Times New Roman" w:hAnsi="Times New Roman" w:eastAsia="仿宋_GB2312" w:cs="仿宋_GB2312"/>
          <w:b/>
          <w:bCs/>
          <w:color w:val="auto"/>
          <w:kern w:val="2"/>
          <w:sz w:val="32"/>
          <w:szCs w:val="32"/>
          <w:highlight w:val="none"/>
          <w:lang w:val="en-US" w:eastAsia="zh-CN" w:bidi="ar-SA"/>
        </w:rPr>
        <w:t>天麻集约化栽培技术研究与示范专项</w:t>
      </w:r>
      <w:r>
        <w:rPr>
          <w:rFonts w:hint="eastAsia" w:ascii="Times New Roman" w:hAnsi="Times New Roman" w:eastAsia="仿宋_GB2312" w:cs="仿宋_GB2312"/>
          <w:color w:val="auto"/>
          <w:kern w:val="2"/>
          <w:sz w:val="32"/>
          <w:szCs w:val="32"/>
          <w:highlight w:val="none"/>
          <w:lang w:val="en-US" w:eastAsia="zh-CN" w:bidi="ar-SA"/>
        </w:rPr>
        <w:t>暂</w:t>
      </w:r>
      <w:r>
        <w:rPr>
          <w:rFonts w:hint="eastAsia" w:ascii="仿宋_GB2312" w:hAnsi="仿宋_GB2312" w:eastAsia="仿宋_GB2312" w:cs="仿宋_GB2312"/>
          <w:color w:val="auto"/>
          <w:sz w:val="32"/>
          <w:szCs w:val="32"/>
          <w:highlight w:val="none"/>
          <w:lang w:val="en-US" w:eastAsia="zh-CN"/>
        </w:rPr>
        <w:t>无法自评打分，该专项资金指标下达时间为2024年12月30日，截至12月31日资金未使用，目前项目正处于实施初期阶段。</w:t>
      </w:r>
      <w:r>
        <w:rPr>
          <w:rFonts w:hint="eastAsia" w:ascii="Times New Roman" w:hAnsi="Times New Roman" w:eastAsia="仿宋_GB2312" w:cs="仿宋_GB2312"/>
          <w:b/>
          <w:bCs/>
          <w:color w:val="auto"/>
          <w:kern w:val="2"/>
          <w:sz w:val="32"/>
          <w:szCs w:val="32"/>
          <w:highlight w:val="none"/>
          <w:lang w:val="en-US" w:eastAsia="zh-CN" w:bidi="ar-SA"/>
        </w:rPr>
        <w:t>广元市“四川科技扶贫在线”平台建设与运行维护专项</w:t>
      </w:r>
      <w:r>
        <w:rPr>
          <w:rFonts w:hint="eastAsia" w:ascii="仿宋_GB2312" w:hAnsi="仿宋_GB2312" w:eastAsia="仿宋_GB2312" w:cs="仿宋_GB2312"/>
          <w:color w:val="auto"/>
          <w:sz w:val="32"/>
          <w:szCs w:val="32"/>
          <w:highlight w:val="none"/>
          <w:lang w:val="en-US" w:eastAsia="zh-CN"/>
        </w:rPr>
        <w:t>预算项目绩效自评得分为99分，绩效自评综述</w:t>
      </w:r>
      <w:r>
        <w:rPr>
          <w:rFonts w:hint="eastAsia" w:ascii="仿宋_GB2312" w:hAnsi="仿宋_GB2312" w:eastAsia="仿宋_GB2312" w:cs="仿宋_GB2312"/>
          <w:color w:val="auto"/>
          <w:sz w:val="32"/>
          <w:szCs w:val="32"/>
          <w:highlight w:val="none"/>
          <w:lang w:val="zh-CN" w:eastAsia="zh-CN"/>
        </w:rPr>
        <w:t>：为全市农户、涉农企业、专合社、家庭农场、种养殖大户等涉农团体解决农业技术需求，</w:t>
      </w:r>
      <w:r>
        <w:rPr>
          <w:rFonts w:hint="eastAsia" w:ascii="仿宋_GB2312" w:hAnsi="仿宋_GB2312" w:eastAsia="仿宋_GB2312" w:cs="仿宋_GB2312"/>
          <w:color w:val="auto"/>
          <w:sz w:val="32"/>
          <w:szCs w:val="32"/>
          <w:highlight w:val="none"/>
          <w:lang w:val="en-US" w:eastAsia="zh-CN"/>
        </w:rPr>
        <w:t>不断增强种植户“科技兴村”意识，提升种植户专业技术能力和农业产业收入，群众满意度达99%以上；</w:t>
      </w:r>
      <w:r>
        <w:rPr>
          <w:rFonts w:hint="eastAsia" w:ascii="仿宋_GB2312" w:hAnsi="宋体" w:eastAsia="仿宋_GB2312" w:cs="Times New Roman"/>
          <w:b/>
          <w:bCs/>
          <w:color w:val="auto"/>
          <w:kern w:val="2"/>
          <w:sz w:val="32"/>
          <w:szCs w:val="32"/>
          <w:lang w:val="en-US" w:eastAsia="zh-CN" w:bidi="ar-SA"/>
        </w:rPr>
        <w:t>2024年软科学研究—广元市机械电子产业技术创新研究</w:t>
      </w:r>
      <w:r>
        <w:rPr>
          <w:rFonts w:hint="eastAsia" w:ascii="Times New Roman" w:hAnsi="Times New Roman" w:eastAsia="仿宋_GB2312" w:cs="仿宋_GB2312"/>
          <w:b/>
          <w:bCs/>
          <w:color w:val="auto"/>
          <w:kern w:val="2"/>
          <w:sz w:val="32"/>
          <w:szCs w:val="32"/>
          <w:highlight w:val="none"/>
          <w:lang w:val="en-US" w:eastAsia="zh-CN" w:bidi="ar-SA"/>
        </w:rPr>
        <w:t>专项</w:t>
      </w:r>
      <w:r>
        <w:rPr>
          <w:rFonts w:hint="eastAsia" w:ascii="Times New Roman" w:hAnsi="Times New Roman" w:eastAsia="仿宋_GB2312" w:cs="仿宋_GB2312"/>
          <w:color w:val="auto"/>
          <w:kern w:val="2"/>
          <w:sz w:val="32"/>
          <w:szCs w:val="32"/>
          <w:highlight w:val="none"/>
          <w:lang w:val="en-US" w:eastAsia="zh-CN" w:bidi="ar-SA"/>
        </w:rPr>
        <w:t>预</w:t>
      </w:r>
      <w:r>
        <w:rPr>
          <w:rFonts w:hint="eastAsia" w:ascii="仿宋_GB2312" w:hAnsi="仿宋_GB2312" w:eastAsia="仿宋_GB2312" w:cs="仿宋_GB2312"/>
          <w:color w:val="auto"/>
          <w:sz w:val="32"/>
          <w:szCs w:val="32"/>
          <w:highlight w:val="none"/>
          <w:lang w:val="en-US" w:eastAsia="zh-CN"/>
        </w:rPr>
        <w:t>算项目绩效自评无法自评打分。该专项资金指标下达时间为2024年12月30日，截至12月31日资金未使用，课题未完成；</w:t>
      </w:r>
      <w:r>
        <w:rPr>
          <w:rFonts w:hint="eastAsia" w:ascii="仿宋_GB2312" w:hAnsi="仿宋_GB2312" w:eastAsia="仿宋_GB2312" w:cs="仿宋_GB2312"/>
          <w:b/>
          <w:bCs/>
          <w:kern w:val="0"/>
          <w:position w:val="0"/>
          <w:sz w:val="32"/>
          <w:szCs w:val="32"/>
          <w:highlight w:val="none"/>
          <w:lang w:val="en-US" w:eastAsia="zh-CN" w:bidi="ar-SA"/>
        </w:rPr>
        <w:t>市级科技项目评审费专项</w:t>
      </w:r>
      <w:r>
        <w:rPr>
          <w:rFonts w:hint="eastAsia" w:ascii="仿宋_GB2312" w:hAnsi="仿宋_GB2312" w:eastAsia="仿宋_GB2312" w:cs="仿宋_GB2312"/>
          <w:color w:val="auto"/>
          <w:sz w:val="32"/>
          <w:szCs w:val="32"/>
          <w:highlight w:val="none"/>
          <w:lang w:val="en-US" w:eastAsia="zh-CN"/>
        </w:rPr>
        <w:t>预算项目绩效自评得分为100分，绩效自评综述：</w:t>
      </w:r>
      <w:r>
        <w:rPr>
          <w:rFonts w:hint="eastAsia" w:ascii="仿宋_GB2312" w:hAnsi="仿宋_GB2312" w:eastAsia="仿宋_GB2312" w:cs="仿宋_GB2312"/>
          <w:color w:val="auto"/>
          <w:sz w:val="32"/>
          <w:szCs w:val="32"/>
          <w:highlight w:val="none"/>
          <w:lang w:val="zh-CN" w:eastAsia="zh-CN"/>
        </w:rPr>
        <w:t>本单位从预期目标的制定、项目的组织实施到完成情况，进行了认真总结与综合评价，我局科技合作交流项目严格按照要求实施，所有项目按时高质量完成目标值；</w:t>
      </w:r>
      <w:r>
        <w:rPr>
          <w:rFonts w:hint="eastAsia" w:ascii="仿宋_GB2312" w:hAnsi="宋体" w:eastAsia="仿宋_GB2312" w:cs="Times New Roman"/>
          <w:b/>
          <w:bCs/>
          <w:color w:val="auto"/>
          <w:kern w:val="2"/>
          <w:sz w:val="32"/>
          <w:szCs w:val="32"/>
          <w:lang w:val="en-US" w:eastAsia="zh-CN" w:bidi="ar-SA"/>
        </w:rPr>
        <w:t>2024重点产业专班—装备制造业专班经费</w:t>
      </w:r>
      <w:r>
        <w:rPr>
          <w:rFonts w:hint="eastAsia" w:ascii="仿宋_GB2312" w:hAnsi="仿宋_GB2312" w:eastAsia="仿宋_GB2312" w:cs="仿宋_GB2312"/>
          <w:b/>
          <w:bCs/>
          <w:kern w:val="0"/>
          <w:position w:val="0"/>
          <w:sz w:val="32"/>
          <w:szCs w:val="32"/>
          <w:highlight w:val="none"/>
          <w:lang w:val="en-US" w:eastAsia="zh-CN" w:bidi="ar-SA"/>
        </w:rPr>
        <w:t>专项</w:t>
      </w:r>
      <w:r>
        <w:rPr>
          <w:rFonts w:hint="eastAsia" w:ascii="仿宋_GB2312" w:hAnsi="仿宋_GB2312" w:eastAsia="仿宋_GB2312" w:cs="仿宋_GB2312"/>
          <w:color w:val="auto"/>
          <w:sz w:val="32"/>
          <w:szCs w:val="32"/>
          <w:highlight w:val="none"/>
          <w:lang w:val="en-US" w:eastAsia="zh-CN"/>
        </w:rPr>
        <w:t>预算项目绩效自评得分为100分，绩效自评综述：</w:t>
      </w:r>
      <w:r>
        <w:rPr>
          <w:rFonts w:hint="eastAsia" w:ascii="仿宋_GB2312" w:hAnsi="仿宋_GB2312" w:eastAsia="仿宋_GB2312" w:cs="仿宋_GB2312"/>
          <w:color w:val="auto"/>
          <w:sz w:val="32"/>
          <w:szCs w:val="32"/>
          <w:highlight w:val="none"/>
          <w:lang w:val="zh-CN" w:eastAsia="zh-CN"/>
        </w:rPr>
        <w:t>项目管理严格，总体进度良好，效益明显。完成了各项预定的目标和任务的</w:t>
      </w:r>
      <w:r>
        <w:rPr>
          <w:rFonts w:hint="eastAsia" w:ascii="仿宋_GB2312" w:hAnsi="仿宋_GB2312" w:eastAsia="仿宋_GB2312" w:cs="仿宋_GB2312"/>
          <w:color w:val="auto"/>
          <w:sz w:val="32"/>
          <w:szCs w:val="32"/>
          <w:highlight w:val="none"/>
          <w:lang w:val="en-US" w:eastAsia="zh-CN"/>
        </w:rPr>
        <w:t>100%以上</w:t>
      </w:r>
      <w:r>
        <w:rPr>
          <w:rFonts w:hint="eastAsia" w:ascii="仿宋_GB2312" w:hAnsi="仿宋_GB2312" w:eastAsia="仿宋_GB2312" w:cs="仿宋_GB2312"/>
          <w:color w:val="auto"/>
          <w:sz w:val="32"/>
          <w:szCs w:val="32"/>
          <w:highlight w:val="none"/>
          <w:lang w:val="zh-CN" w:eastAsia="zh-CN"/>
        </w:rPr>
        <w:t>，达到了预期的经济和社会效益。</w:t>
      </w:r>
      <w:r>
        <w:rPr>
          <w:rFonts w:hint="eastAsia" w:ascii="仿宋_GB2312" w:hAnsi="仿宋_GB2312" w:eastAsia="仿宋_GB2312" w:cs="仿宋_GB2312"/>
          <w:color w:val="auto"/>
          <w:sz w:val="32"/>
          <w:szCs w:val="32"/>
          <w:highlight w:val="none"/>
          <w:lang w:val="en-US" w:eastAsia="zh-CN"/>
        </w:rPr>
        <w:t>绩效自评报告详见附件。</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62" w:name="_Toc8914"/>
      <w:bookmarkStart w:id="63" w:name="_Toc15396613"/>
      <w:bookmarkStart w:id="64" w:name="_Toc15377225"/>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62"/>
      <w:bookmarkEnd w:id="63"/>
      <w:bookmarkEnd w:id="64"/>
    </w:p>
    <w:p>
      <w:pPr>
        <w:spacing w:line="600" w:lineRule="exact"/>
        <w:jc w:val="left"/>
        <w:rPr>
          <w:rFonts w:ascii="Times New Roman" w:hAnsi="Times New Roman"/>
          <w:b/>
          <w:color w:val="auto"/>
          <w:sz w:val="44"/>
          <w:szCs w:val="44"/>
          <w:highlight w:val="none"/>
        </w:rPr>
      </w:pP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财政拨款收入：指单位从同级财政部门取得的财政预算资金。</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科学技术支出（类）科学技术管理事务（款）行政运行（项）： 反映行政单位（包括实行公务员管理的事业单位）的基本支出。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科学技术支出（类）科学技术管理事务（款）一般行政管理事务（项）： 反映行政单位（包括实行公务员管理的事业单位）未独立设置项级科目的其他项目支出。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科学技术支出（类）科学技术管理事务（款）其他科学技术管理事务（项）： 反映除上述项目以外其他用于科学技术管理事务方面的支出。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科学技术支出（类）基础研究（款）机构运行（项）： 反映从事基础研究和近期无法取得实用价值的应用基础研究机构的基本支出。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科学技术支出（类）技术研究与开发（款）科技成果转化与扩散（项）： 反映促进科技成果转化为现实生产力的应用、推广和引导性支出，以及基本建设支出中用于支持企业科技自主创新的支出。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科学技术支出（类）技术研究与开发（款）其他技术研究与开发支出（项）： 反映除上述项目以外其他用于技术研究与开发方面的支出。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科学技术支出（类）科技条件与服务（款）其他科技条件与服务支出（项）：反映除上述项目以外其他用于科技条件与服务方面的支出。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科学技术支出（类）科技重大项目（款）重点研发计划（项）：反映用于重点研发计划的有关经费支出。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科学技术支出（类）其他科学技术（款）其他科学技术支出（项）：反映其他科学技术支出中除以上各项外用于科技方面的支出。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社会保障和就业支出（类）人力资源和社会保障管理事务（款）引进人才费用（项）： 反映用于引进外国专家补助、引智成果推广等方面的支出。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社会保障和就业支出（类）行政事业单位养老支出（款）行政单位离退休（项）： 反映行政单位（包括实行公务员管理的事业单位）开支的离退休经费。</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社会保障和就业支出（类）行政事业单位养老支出（款）机关事业单位基本养老保险缴费支出（项）：  反映机关事业单位实施养老保险制度由单位实际缴纳的基本养老保险支出。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社会保障和就业支出（类）行政事业单位养老支出（款） 机关事业单位职业年金缴费支出（项）： 反映机关事业单位实施养老保险制度由单位实际缴纳的职业年金支出。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社会保障和就业支出（类）其他社会保障和就业支出（款）其他社会保障和就业支出（项）：  反映除上述项目以外其他用于社会保障和就业方面支出。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基本支出：指为保障机构正常运转、完成日常工作任务而发生的人员支出和公用支出。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项目支出：指在基本支出之外为完成特定行政任务和事业发展目标所发生的支出。 </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1"/>
        </w:numPr>
        <w:spacing w:line="600" w:lineRule="exact"/>
        <w:ind w:left="0" w:leftChars="0" w:firstLine="400" w:firstLineChars="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bidi w:val="0"/>
        <w:jc w:val="center"/>
        <w:rPr>
          <w:rStyle w:val="24"/>
          <w:rFonts w:hint="eastAsia" w:ascii="Times New Roman" w:hAnsi="Times New Roman" w:eastAsia="黑体"/>
          <w:b w:val="0"/>
          <w:bCs/>
          <w:color w:val="auto"/>
          <w:highlight w:val="none"/>
          <w:lang w:eastAsia="zh-CN"/>
        </w:rPr>
      </w:pPr>
      <w:bookmarkStart w:id="65" w:name="_Toc15377226"/>
      <w:r>
        <w:rPr>
          <w:rFonts w:hint="eastAsia" w:ascii="仿宋_GB2312" w:hAnsi="仿宋_GB2312" w:eastAsia="仿宋_GB2312" w:cs="仿宋_GB2312"/>
          <w:color w:val="auto"/>
          <w:sz w:val="32"/>
          <w:szCs w:val="32"/>
          <w:highlight w:val="none"/>
          <w:lang w:val="en-US" w:eastAsia="zh-CN"/>
        </w:rPr>
        <w:br w:type="page"/>
      </w:r>
      <w:bookmarkStart w:id="66" w:name="_Toc15396614"/>
      <w:bookmarkStart w:id="67" w:name="_Toc5473"/>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66"/>
      <w:bookmarkEnd w:id="67"/>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default" w:ascii="Times New Roman" w:hAnsi="Times New Roman" w:eastAsia="方正小标宋简体" w:cs="Times New Roman"/>
          <w:b w:val="0"/>
          <w:bCs/>
          <w:sz w:val="44"/>
          <w:szCs w:val="44"/>
          <w:highlight w:val="none"/>
          <w:shd w:val="clear" w:color="auto" w:fill="FFFFFF"/>
        </w:rPr>
      </w:pPr>
      <w:bookmarkStart w:id="68" w:name="_Toc5601"/>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68"/>
    </w:p>
    <w:p>
      <w:pPr>
        <w:spacing w:line="576" w:lineRule="exact"/>
        <w:contextualSpacing/>
        <w:rPr>
          <w:rFonts w:hint="eastAsia" w:ascii="黑体" w:hAnsi="黑体" w:eastAsia="黑体" w:cs="黑体"/>
          <w:szCs w:val="32"/>
          <w:lang w:val="zh-CN" w:eastAsia="zh-CN"/>
        </w:rPr>
      </w:pPr>
    </w:p>
    <w:p>
      <w:pPr>
        <w:suppressAutoHyphens/>
        <w:spacing w:line="576" w:lineRule="exact"/>
        <w:jc w:val="center"/>
        <w:rPr>
          <w:rFonts w:eastAsia="宋体"/>
          <w:b/>
          <w:sz w:val="44"/>
          <w:szCs w:val="44"/>
          <w:shd w:val="clear" w:color="auto" w:fill="FFFFFF"/>
        </w:rPr>
      </w:pPr>
      <w:r>
        <w:rPr>
          <w:rFonts w:hint="eastAsia" w:ascii="方正小标宋简体" w:hAnsi="方正小标宋简体" w:eastAsia="方正小标宋简体" w:cs="方正小标宋简体"/>
          <w:bCs/>
          <w:sz w:val="44"/>
          <w:szCs w:val="44"/>
        </w:rPr>
        <w:t>广元市科学技术局</w:t>
      </w:r>
    </w:p>
    <w:p>
      <w:pPr>
        <w:spacing w:line="576" w:lineRule="exact"/>
        <w:ind w:firstLine="880" w:firstLineChars="200"/>
        <w:contextualSpacing/>
        <w:jc w:val="left"/>
        <w:rPr>
          <w:rFonts w:hint="eastAsia" w:ascii="楷体_GB2312" w:hAnsi="楷体_GB2312" w:eastAsia="楷体_GB2312" w:cs="楷体_GB2312"/>
          <w:szCs w:val="32"/>
          <w:shd w:val="clear" w:color="auto" w:fill="FFFFFF"/>
        </w:rPr>
      </w:pPr>
      <w:r>
        <w:rPr>
          <w:rFonts w:hint="eastAsia" w:eastAsia="方正小标宋简体"/>
          <w:bCs/>
          <w:sz w:val="44"/>
          <w:szCs w:val="44"/>
          <w:shd w:val="clear" w:color="auto" w:fill="FFFFFF"/>
        </w:rPr>
        <w:t>202</w:t>
      </w:r>
      <w:r>
        <w:rPr>
          <w:rFonts w:hint="eastAsia" w:eastAsia="方正小标宋简体"/>
          <w:bCs/>
          <w:sz w:val="44"/>
          <w:szCs w:val="44"/>
          <w:shd w:val="clear" w:color="auto" w:fill="FFFFFF"/>
          <w:lang w:val="en-US" w:eastAsia="zh-CN"/>
        </w:rPr>
        <w:t>4</w:t>
      </w:r>
      <w:r>
        <w:rPr>
          <w:rFonts w:hint="eastAsia" w:eastAsia="方正小标宋简体"/>
          <w:bCs/>
          <w:sz w:val="44"/>
          <w:szCs w:val="44"/>
          <w:shd w:val="clear" w:color="auto" w:fill="FFFFFF"/>
        </w:rPr>
        <w:t>年度</w:t>
      </w:r>
      <w:r>
        <w:rPr>
          <w:rFonts w:eastAsia="方正小标宋简体"/>
          <w:bCs/>
          <w:sz w:val="44"/>
          <w:szCs w:val="44"/>
          <w:shd w:val="clear" w:color="auto" w:fill="FFFFFF"/>
        </w:rPr>
        <w:t>部门</w:t>
      </w:r>
      <w:r>
        <w:rPr>
          <w:rFonts w:hint="eastAsia" w:eastAsia="方正小标宋简体"/>
          <w:bCs/>
          <w:sz w:val="44"/>
          <w:szCs w:val="44"/>
          <w:shd w:val="clear" w:color="auto" w:fill="FFFFFF"/>
        </w:rPr>
        <w:t>整体</w:t>
      </w:r>
      <w:r>
        <w:rPr>
          <w:rFonts w:eastAsia="方正小标宋简体"/>
          <w:bCs/>
          <w:sz w:val="44"/>
          <w:szCs w:val="44"/>
          <w:shd w:val="clear" w:color="auto" w:fill="FFFFFF"/>
        </w:rPr>
        <w:t>预算绩效</w:t>
      </w:r>
      <w:r>
        <w:rPr>
          <w:rFonts w:hint="eastAsia" w:eastAsia="方正小标宋简体"/>
          <w:bCs/>
          <w:sz w:val="44"/>
          <w:szCs w:val="44"/>
          <w:shd w:val="clear" w:color="auto" w:fill="FFFFFF"/>
        </w:rPr>
        <w:t>评价</w:t>
      </w:r>
      <w:r>
        <w:rPr>
          <w:rFonts w:eastAsia="方正小标宋简体"/>
          <w:bCs/>
          <w:sz w:val="44"/>
          <w:szCs w:val="44"/>
          <w:shd w:val="clear" w:color="auto" w:fill="FFFFFF"/>
        </w:rPr>
        <w:t>报告</w:t>
      </w:r>
      <w:r>
        <w:rPr>
          <w:rFonts w:hint="eastAsia" w:eastAsia="方正小标宋简体"/>
          <w:bCs/>
          <w:sz w:val="44"/>
          <w:szCs w:val="44"/>
          <w:shd w:val="clear" w:color="auto" w:fill="FFFFFF"/>
        </w:rPr>
        <w:t xml:space="preserve">                                                        </w:t>
      </w:r>
    </w:p>
    <w:p>
      <w:pPr>
        <w:adjustRightInd w:val="0"/>
        <w:snapToGrid w:val="0"/>
        <w:spacing w:line="576" w:lineRule="exact"/>
        <w:ind w:firstLine="480" w:firstLineChars="200"/>
        <w:contextualSpacing/>
        <w:jc w:val="left"/>
        <w:rPr>
          <w:rFonts w:eastAsia="黑体"/>
          <w:color w:val="000000"/>
          <w:kern w:val="0"/>
          <w:sz w:val="24"/>
          <w:szCs w:val="32"/>
          <w:shd w:val="clear" w:color="auto" w:fill="FFFFFF"/>
        </w:rPr>
      </w:pP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rPr>
      </w:pPr>
      <w:bookmarkStart w:id="69" w:name="_Toc13323"/>
      <w:r>
        <w:rPr>
          <w:rFonts w:hint="eastAsia" w:ascii="黑体" w:hAnsi="黑体" w:eastAsia="黑体" w:cs="Times New Roman"/>
          <w:color w:val="auto"/>
          <w:sz w:val="32"/>
          <w:szCs w:val="32"/>
          <w:highlight w:val="none"/>
          <w:lang w:val="zh-CN"/>
        </w:rPr>
        <w:t>一、部门（单位）基本情况</w:t>
      </w:r>
      <w:bookmarkEnd w:id="69"/>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0" w:name="_Toc16892"/>
      <w:r>
        <w:rPr>
          <w:rFonts w:hint="eastAsia" w:ascii="黑体" w:hAnsi="黑体" w:eastAsia="黑体" w:cs="Times New Roman"/>
          <w:color w:val="auto"/>
          <w:sz w:val="32"/>
          <w:szCs w:val="32"/>
          <w:highlight w:val="none"/>
          <w:lang w:val="zh-CN"/>
        </w:rPr>
        <w:t>（一）机构组成</w:t>
      </w:r>
      <w:bookmarkEnd w:id="70"/>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广元市科学技术局是广元市人民政府的工作部门，正县级。下设7个科室和3个直属事业单位，其中行政机关1个，参公事业单位1个，其他全额拨款事业单位2个。</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1" w:name="_Toc18574"/>
      <w:r>
        <w:rPr>
          <w:rFonts w:hint="eastAsia" w:ascii="黑体" w:hAnsi="黑体" w:eastAsia="黑体" w:cs="Times New Roman"/>
          <w:color w:val="auto"/>
          <w:sz w:val="32"/>
          <w:szCs w:val="32"/>
          <w:highlight w:val="none"/>
          <w:lang w:val="zh-CN"/>
        </w:rPr>
        <w:t>（二）机构职能</w:t>
      </w:r>
      <w:bookmarkEnd w:id="71"/>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1.拟订全市科学技术发展、引进国外智力规划和政策并组织实施和监督检查。</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统筹推进全市创新体系建设和科技体制改革，会同有关部门健全技术创新激励机制，拟订促进产学研结合的政策措施，指导区域创新发展、科技资源合理布局和协同创新能力建设。优化科研体系建设，指导科研机构改革发展。推进科技基础条件平台（基地）建设和科技资源开放共享。</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牵头建立统一的全市科技管理平台和科研项目资金协调、实施、评估、监管机制。会同有关部门提出优化配置科技资源的政策措施建议，推动多元化科技投入体系建设。组织拟订市级财政科技计划（专项、基金）并监督和实施。负责本部门预算中的科技经费预决算及经费使用的监督管理。</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4.编制全市重大科技专项方案并组织实施，统筹全市重大基础研究、应用基础研究、关键共性技术、前沿引领技术、现代工程技术、颠覆性技术研发和创新，牵头组织重大技术攻关和成果应用示范。</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组织拟订高新技术发展及产业化的规划、政策和措施，开展工业重点领域技术发展需求分析，提出重大任务并组织实施。负责组织高新技术企业、科技型中小企业申报和市科技型中小企业认定，推动企业科技创新能力建设。</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组织拟订科技促进农业农村和社会事业发展的规划、政策和措施，开展农业农村重点领域技术发展需求分析，提出重大任务并组织实施。指导农业科技园区建设，促进以改善民生为重点的农村建设和社会事业发展。</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牵头全市技术转移体系建设，拟订科技成果转移转化、科技奖励、科技服务业的相关政策措施并组织实施。负责科技成果管理工作，组织相关重大科技成果应用示范。负责全市科学技术奖的评审组织工作。指导科技服务业、技术市场和科技中介组织发展。</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8.组织拟订科学技术普及和科学传播规划、政策，牵头组织科普活动和科技宣传工作，推进全市科普能力建设。推进全市重大科技决策咨询制度建设。承担科技统计工作。</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9.负责科技监督评价体系建设和相关科技评估管理，指导科技评价机制改革，统筹科研诚信建设。组织实施全市创新调查和科技报告制度，指导全市科技保密相关工作。 </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组织拟订科技对外交往、创新能力开放合作及引进国外智力的规划、政策和措施并组织实施。组织开展重点领域技术需求分析和国际科技合作与科技人才交流，提出重大任务并组织实施，指导相关部门和地方对外科技合作与科技人才交流工作。拟订全市重点引进外国专家总体规划、计划，建立外国顶尖科学家、团队吸引集聚机制和重点外国专家联系服务机制。会同有关部门制定外国人来广工作政策、办理相关外国人工作许可。</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11.会同有关部门拟订创新创业、科技人才队伍建设规划和政策，建立健全科技人才评价和激励机制，组织实施科技人才计划，推动高端科技人才队伍建设。</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12.负责职责范围内的安全生产和职业健康、生态环境保护、审批服务便民化等工作。</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13.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建立公开统一的全市科技管理平台，减少科技计划项目重复、分散、封闭、低效和资源配置“碎片化”的现象。对科研机构组建和调整事项不再进行审核，重在加强规划布局和绩效评价。进一步改进科技人才评价机制，建立健全以创新能力、质量、贡献、绩效为导向的科技人才评价体系和激励政策，统筹全市科技人才队伍建设和引进国外智力工作。</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2" w:name="_Toc9882"/>
      <w:r>
        <w:rPr>
          <w:rFonts w:hint="eastAsia" w:ascii="黑体" w:hAnsi="黑体" w:eastAsia="黑体" w:cs="Times New Roman"/>
          <w:color w:val="auto"/>
          <w:sz w:val="32"/>
          <w:szCs w:val="32"/>
          <w:highlight w:val="none"/>
          <w:lang w:val="zh-CN"/>
        </w:rPr>
        <w:t>（三）人员概况。</w:t>
      </w:r>
      <w:bookmarkEnd w:id="72"/>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截至2024年末，全局编制人数50人，其中公务员编制16人，工勤编制2人，参公事业编制2人，其他事业编制30人；全局实有人数45人，其中公务员13人，机关工勤2人，参公事业2人，其他事业人员28人。</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3" w:name="_Toc28250"/>
      <w:r>
        <w:rPr>
          <w:rFonts w:hint="eastAsia" w:ascii="黑体" w:hAnsi="黑体" w:eastAsia="黑体" w:cs="Times New Roman"/>
          <w:color w:val="auto"/>
          <w:sz w:val="32"/>
          <w:szCs w:val="32"/>
          <w:highlight w:val="none"/>
          <w:lang w:val="zh-CN"/>
        </w:rPr>
        <w:t>二、部门资金收支情况</w:t>
      </w:r>
      <w:bookmarkEnd w:id="73"/>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4" w:name="_Toc3039"/>
      <w:r>
        <w:rPr>
          <w:rFonts w:hint="eastAsia" w:ascii="黑体" w:hAnsi="黑体" w:eastAsia="黑体" w:cs="Times New Roman"/>
          <w:color w:val="auto"/>
          <w:sz w:val="32"/>
          <w:szCs w:val="32"/>
          <w:highlight w:val="none"/>
          <w:lang w:val="zh-CN"/>
        </w:rPr>
        <w:t>（一）收入情况。</w:t>
      </w:r>
      <w:bookmarkEnd w:id="74"/>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我局2024年初一般公共财政拨款预算收入1002.56万元，年中追加一般公共财政拨款预算收入297.02万元，全年一般公共财政拨款预算收入总计1299.58万元。我局2024年度无其他预算收入。</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5" w:name="_Toc17842"/>
      <w:r>
        <w:rPr>
          <w:rFonts w:hint="eastAsia" w:ascii="黑体" w:hAnsi="黑体" w:eastAsia="黑体" w:cs="Times New Roman"/>
          <w:color w:val="auto"/>
          <w:sz w:val="32"/>
          <w:szCs w:val="32"/>
          <w:highlight w:val="none"/>
          <w:lang w:val="zh-CN"/>
        </w:rPr>
        <w:t>（二）支出情况。</w:t>
      </w:r>
      <w:bookmarkEnd w:id="75"/>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我局2024年度部门支出总计1299.58万元，财政拨款支出1299.58万元，其中人员经费支出907.09万元，日常公用经费支出111.71万元，专项经费支出280.78万元。</w:t>
      </w:r>
    </w:p>
    <w:p>
      <w:pPr>
        <w:adjustRightInd w:val="0"/>
        <w:snapToGrid w:val="0"/>
        <w:spacing w:line="576"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（三）结转结余情况。</w:t>
      </w:r>
    </w:p>
    <w:p>
      <w:pPr>
        <w:spacing w:line="600" w:lineRule="exact"/>
        <w:ind w:firstLine="640" w:firstLineChars="200"/>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我局2024年决算报表无结转结余金额。</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6" w:name="_Toc20226"/>
      <w:r>
        <w:rPr>
          <w:rFonts w:hint="eastAsia" w:ascii="黑体" w:hAnsi="黑体" w:eastAsia="黑体" w:cs="Times New Roman"/>
          <w:color w:val="auto"/>
          <w:sz w:val="32"/>
          <w:szCs w:val="32"/>
          <w:highlight w:val="none"/>
          <w:lang w:val="zh-CN"/>
        </w:rPr>
        <w:t>三、部门预算绩效分析</w:t>
      </w:r>
      <w:bookmarkEnd w:id="76"/>
    </w:p>
    <w:p>
      <w:pPr>
        <w:adjustRightInd w:val="0"/>
        <w:snapToGrid w:val="0"/>
        <w:spacing w:line="576" w:lineRule="exact"/>
        <w:ind w:firstLine="640" w:firstLineChars="200"/>
        <w:contextualSpacing/>
        <w:jc w:val="left"/>
        <w:rPr>
          <w:rFonts w:hint="eastAsia" w:ascii="仿宋_GB2312" w:hAnsi="仿宋_GB2312" w:eastAsia="仿宋_GB2312" w:cs="仿宋_GB2312"/>
          <w:color w:val="auto"/>
          <w:kern w:val="0"/>
          <w:sz w:val="32"/>
          <w:szCs w:val="32"/>
          <w:shd w:val="clear" w:color="auto" w:fill="FFFFFF"/>
          <w:lang w:val="en"/>
        </w:rPr>
      </w:pPr>
      <w:r>
        <w:rPr>
          <w:rFonts w:hint="eastAsia" w:ascii="黑体" w:hAnsi="黑体" w:eastAsia="黑体" w:cs="Times New Roman"/>
          <w:color w:val="auto"/>
          <w:kern w:val="2"/>
          <w:sz w:val="32"/>
          <w:szCs w:val="32"/>
          <w:highlight w:val="none"/>
          <w:lang w:val="zh-CN" w:eastAsia="zh-CN" w:bidi="ar-SA"/>
        </w:rPr>
        <w:t>（一）部门预算总体绩效分析。（</w:t>
      </w:r>
      <w:r>
        <w:rPr>
          <w:rFonts w:hint="eastAsia" w:ascii="仿宋_GB2312" w:hAnsi="仿宋_GB2312" w:eastAsia="仿宋_GB2312" w:cs="仿宋_GB2312"/>
          <w:color w:val="auto"/>
          <w:kern w:val="0"/>
          <w:sz w:val="32"/>
          <w:szCs w:val="32"/>
          <w:shd w:val="clear" w:color="auto" w:fill="FFFFFF"/>
          <w:lang w:val="zh-CN"/>
        </w:rPr>
        <w:t>分值</w:t>
      </w:r>
      <w:r>
        <w:rPr>
          <w:rFonts w:hint="eastAsia" w:ascii="仿宋_GB2312" w:hAnsi="仿宋_GB2312" w:eastAsia="仿宋_GB2312" w:cs="仿宋_GB2312"/>
          <w:color w:val="auto"/>
          <w:kern w:val="0"/>
          <w:sz w:val="32"/>
          <w:szCs w:val="32"/>
          <w:shd w:val="clear" w:color="auto" w:fill="FFFFFF"/>
          <w:lang w:val="en"/>
        </w:rPr>
        <w:t>65</w:t>
      </w:r>
      <w:r>
        <w:rPr>
          <w:rFonts w:hint="eastAsia" w:ascii="仿宋_GB2312" w:hAnsi="仿宋_GB2312" w:eastAsia="仿宋_GB2312" w:cs="仿宋_GB2312"/>
          <w:color w:val="auto"/>
          <w:kern w:val="0"/>
          <w:sz w:val="32"/>
          <w:szCs w:val="32"/>
          <w:shd w:val="clear" w:color="auto" w:fill="FFFFFF"/>
        </w:rPr>
        <w:t>分，单位自评</w:t>
      </w:r>
      <w:r>
        <w:rPr>
          <w:rFonts w:hint="eastAsia" w:ascii="仿宋_GB2312" w:hAnsi="仿宋_GB2312" w:eastAsia="仿宋_GB2312" w:cs="仿宋_GB2312"/>
          <w:color w:val="auto"/>
          <w:kern w:val="0"/>
          <w:sz w:val="32"/>
          <w:szCs w:val="32"/>
          <w:shd w:val="clear" w:color="auto" w:fill="FFFFFF"/>
          <w:lang w:val="zh-CN"/>
        </w:rPr>
        <w:t>得分</w:t>
      </w:r>
      <w:r>
        <w:rPr>
          <w:rFonts w:hint="eastAsia" w:ascii="仿宋_GB2312" w:hAnsi="仿宋_GB2312" w:eastAsia="仿宋_GB2312" w:cs="仿宋_GB2312"/>
          <w:color w:val="auto"/>
          <w:kern w:val="0"/>
          <w:sz w:val="32"/>
          <w:szCs w:val="32"/>
          <w:shd w:val="clear" w:color="auto" w:fill="FFFFFF"/>
          <w:lang w:val="en-US" w:eastAsia="zh-CN"/>
        </w:rPr>
        <w:t>60.52</w:t>
      </w:r>
      <w:r>
        <w:rPr>
          <w:rFonts w:hint="eastAsia" w:ascii="仿宋_GB2312" w:hAnsi="仿宋_GB2312" w:eastAsia="仿宋_GB2312" w:cs="仿宋_GB2312"/>
          <w:color w:val="auto"/>
          <w:kern w:val="0"/>
          <w:sz w:val="32"/>
          <w:szCs w:val="32"/>
          <w:shd w:val="clear" w:color="auto" w:fill="FFFFFF"/>
        </w:rPr>
        <w:t>分</w:t>
      </w:r>
      <w:r>
        <w:rPr>
          <w:rFonts w:hint="eastAsia" w:ascii="仿宋_GB2312" w:hAnsi="仿宋_GB2312" w:eastAsia="仿宋_GB2312" w:cs="仿宋_GB2312"/>
          <w:color w:val="auto"/>
          <w:kern w:val="0"/>
          <w:sz w:val="32"/>
          <w:szCs w:val="32"/>
          <w:shd w:val="clear" w:color="auto" w:fill="FFFFFF"/>
          <w:lang w:val="en"/>
        </w:rPr>
        <w:t>)</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履职效能分值</w:t>
      </w:r>
      <w:r>
        <w:rPr>
          <w:rFonts w:hint="eastAsia" w:ascii="仿宋_GB2312" w:hAnsi="仿宋_GB2312" w:eastAsia="仿宋_GB2312" w:cs="仿宋_GB2312"/>
          <w:sz w:val="32"/>
          <w:szCs w:val="32"/>
        </w:rPr>
        <w:t>15分，自评</w:t>
      </w:r>
      <w:r>
        <w:rPr>
          <w:rFonts w:hint="eastAsia" w:ascii="仿宋_GB2312" w:hAnsi="仿宋_GB2312" w:eastAsia="仿宋_GB2312" w:cs="仿宋_GB2312"/>
          <w:sz w:val="32"/>
          <w:szCs w:val="32"/>
          <w:lang w:val="zh-CN"/>
        </w:rPr>
        <w:t>得分</w:t>
      </w:r>
      <w:r>
        <w:rPr>
          <w:rFonts w:hint="eastAsia" w:ascii="仿宋_GB2312" w:hAnsi="仿宋_GB2312" w:eastAsia="仿宋_GB2312" w:cs="仿宋_GB2312"/>
          <w:sz w:val="32"/>
          <w:szCs w:val="32"/>
        </w:rPr>
        <w:t>15分。</w:t>
      </w:r>
    </w:p>
    <w:p>
      <w:pPr>
        <w:suppressAutoHyphens/>
        <w:spacing w:line="576" w:lineRule="exact"/>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rPr>
        <w:t>通过全面实施预算绩效评价，突出结果导向，保证了全局</w:t>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lang w:val="zh-CN"/>
        </w:rPr>
        <w:t>名在职和</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名退休干部职工报酬总额合理发放到位，提升了干部职工的工作积极性。</w:t>
      </w:r>
      <w:r>
        <w:rPr>
          <w:rFonts w:hint="eastAsia" w:ascii="仿宋_GB2312" w:hAnsi="仿宋_GB2312" w:eastAsia="仿宋_GB2312" w:cs="仿宋_GB2312"/>
          <w:b/>
          <w:bCs/>
          <w:sz w:val="32"/>
          <w:szCs w:val="32"/>
          <w:lang w:val="zh-CN"/>
        </w:rPr>
        <w:t>一是</w:t>
      </w:r>
      <w:r>
        <w:rPr>
          <w:rFonts w:hint="eastAsia" w:ascii="仿宋_GB2312" w:hAnsi="仿宋_GB2312" w:eastAsia="仿宋_GB2312" w:cs="仿宋_GB2312"/>
          <w:sz w:val="32"/>
          <w:szCs w:val="32"/>
          <w:lang w:val="zh-CN"/>
        </w:rPr>
        <w:t>强化政治、组织和党纪建设，</w:t>
      </w:r>
      <w:r>
        <w:rPr>
          <w:rFonts w:hint="eastAsia" w:ascii="仿宋_GB2312" w:hAnsi="仿宋_GB2312" w:eastAsia="仿宋_GB2312" w:cs="仿宋_GB2312"/>
          <w:sz w:val="32"/>
          <w:szCs w:val="32"/>
          <w:lang w:val="en-US" w:eastAsia="zh-CN"/>
        </w:rPr>
        <w:t>坚定理想信念，稳固战斗堡垒，营造良好政治生态</w:t>
      </w:r>
      <w:r>
        <w:rPr>
          <w:rFonts w:hint="eastAsia" w:ascii="仿宋_GB2312" w:hAnsi="仿宋_GB2312" w:eastAsia="仿宋_GB2312" w:cs="仿宋_GB2312"/>
          <w:sz w:val="32"/>
          <w:szCs w:val="32"/>
          <w:lang w:val="zh-CN"/>
        </w:rPr>
        <w:t>；</w:t>
      </w:r>
      <w:r>
        <w:rPr>
          <w:rFonts w:hint="eastAsia" w:ascii="仿宋_GB2312" w:hAnsi="仿宋_GB2312" w:eastAsia="仿宋_GB2312" w:cs="仿宋_GB2312"/>
          <w:b/>
          <w:bCs/>
          <w:sz w:val="32"/>
          <w:szCs w:val="32"/>
          <w:lang w:val="zh-CN"/>
        </w:rPr>
        <w:t>二是</w:t>
      </w:r>
      <w:r>
        <w:rPr>
          <w:rFonts w:hint="eastAsia" w:ascii="仿宋_GB2312" w:hAnsi="仿宋_GB2312" w:eastAsia="仿宋_GB2312" w:cs="仿宋_GB2312"/>
          <w:sz w:val="32"/>
          <w:szCs w:val="32"/>
          <w:lang w:val="en-US" w:eastAsia="zh-CN"/>
        </w:rPr>
        <w:t>深化科技体制改革，实施重大“揭榜挂帅”项目2项。深入推行“高企特派员、科技服务先锋队”+“线上科易达、线下科惠达”的“2+2”科技服务模式，选派高企特派员40名</w:t>
      </w:r>
      <w:r>
        <w:rPr>
          <w:rFonts w:hint="eastAsia" w:ascii="仿宋_GB2312" w:hAnsi="仿宋_GB2312" w:eastAsia="仿宋_GB2312" w:cs="仿宋_GB2312"/>
          <w:sz w:val="32"/>
          <w:szCs w:val="32"/>
          <w:lang w:val="zh-CN"/>
        </w:rPr>
        <w:t>；</w:t>
      </w:r>
      <w:r>
        <w:rPr>
          <w:rFonts w:hint="eastAsia" w:ascii="仿宋_GB2312" w:hAnsi="仿宋_GB2312" w:eastAsia="仿宋_GB2312" w:cs="仿宋_GB2312"/>
          <w:b/>
          <w:bCs/>
          <w:sz w:val="32"/>
          <w:szCs w:val="32"/>
          <w:lang w:val="zh-CN"/>
        </w:rPr>
        <w:t>三是</w:t>
      </w:r>
      <w:r>
        <w:rPr>
          <w:rFonts w:hint="eastAsia" w:ascii="仿宋_GB2312" w:hAnsi="仿宋_GB2312" w:eastAsia="仿宋_GB2312" w:cs="仿宋_GB2312"/>
          <w:sz w:val="32"/>
          <w:szCs w:val="32"/>
          <w:lang w:val="en-US" w:eastAsia="zh-CN"/>
        </w:rPr>
        <w:t>强化关键技术攻关，实施铝基新材料、机械电子等产业关键技术攻关10项，组织申报省级科技计划项目125项，向上争取资金3357万元</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b/>
          <w:bCs/>
          <w:sz w:val="32"/>
          <w:szCs w:val="32"/>
          <w:lang w:val="zh-CN"/>
        </w:rPr>
        <w:t>四是</w:t>
      </w:r>
      <w:r>
        <w:rPr>
          <w:rFonts w:hint="eastAsia" w:ascii="仿宋_GB2312" w:hAnsi="仿宋_GB2312" w:eastAsia="仿宋_GB2312" w:cs="仿宋_GB2312"/>
          <w:color w:val="auto"/>
          <w:sz w:val="32"/>
          <w:szCs w:val="32"/>
          <w:lang w:val="en-US" w:eastAsia="zh-CN" w:bidi="ar-SA"/>
        </w:rPr>
        <w:t>着</w:t>
      </w:r>
      <w:r>
        <w:rPr>
          <w:rFonts w:hint="eastAsia" w:ascii="仿宋_GB2312" w:hAnsi="仿宋_GB2312" w:eastAsia="仿宋_GB2312" w:cs="仿宋_GB2312"/>
          <w:sz w:val="32"/>
          <w:szCs w:val="32"/>
          <w:lang w:val="en-US" w:eastAsia="zh-CN"/>
        </w:rPr>
        <w:t>力创新主体培育，全市有效高新技术企业86家，增幅26%，新增国家科技型中小企业85家，增幅31%</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b/>
          <w:bCs/>
          <w:sz w:val="32"/>
          <w:szCs w:val="32"/>
          <w:lang w:val="zh-CN"/>
        </w:rPr>
        <w:t>五是</w:t>
      </w:r>
      <w:r>
        <w:rPr>
          <w:rFonts w:hint="eastAsia" w:ascii="仿宋_GB2312" w:hAnsi="仿宋_GB2312" w:eastAsia="仿宋_GB2312" w:cs="仿宋_GB2312"/>
          <w:sz w:val="32"/>
          <w:szCs w:val="32"/>
          <w:lang w:val="en-US" w:eastAsia="zh-CN"/>
        </w:rPr>
        <w:t>加速科技成果转化，登记科技成果93项，实现成果转化产值342.12亿元，认定登记技术合同145项，成交额首次突破5亿大关，达到5.65亿元，同比增长79.93%</w:t>
      </w:r>
      <w:r>
        <w:rPr>
          <w:rFonts w:hint="eastAsia" w:ascii="仿宋_GB2312" w:hAnsi="仿宋_GB2312" w:eastAsia="仿宋_GB2312" w:cs="仿宋_GB2312"/>
          <w:sz w:val="32"/>
          <w:szCs w:val="32"/>
          <w:lang w:val="zh-CN" w:eastAsia="zh-CN"/>
        </w:rPr>
        <w:t>。</w:t>
      </w:r>
    </w:p>
    <w:p>
      <w:pPr>
        <w:suppressAutoHyphens/>
        <w:spacing w:line="576" w:lineRule="exact"/>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zh-CN"/>
        </w:rPr>
        <w:t>预算管理分值</w:t>
      </w:r>
      <w:r>
        <w:rPr>
          <w:rFonts w:hint="eastAsia" w:ascii="仿宋_GB2312" w:hAnsi="仿宋_GB2312" w:eastAsia="仿宋_GB2312" w:cs="仿宋_GB2312"/>
          <w:color w:val="auto"/>
          <w:sz w:val="32"/>
          <w:szCs w:val="32"/>
        </w:rPr>
        <w:t>25分，自评得分</w:t>
      </w:r>
      <w:r>
        <w:rPr>
          <w:rFonts w:hint="eastAsia" w:ascii="仿宋_GB2312" w:hAnsi="仿宋_GB2312" w:eastAsia="仿宋_GB2312" w:cs="仿宋_GB2312"/>
          <w:color w:val="auto"/>
          <w:sz w:val="32"/>
          <w:szCs w:val="32"/>
          <w:lang w:val="en-US" w:eastAsia="zh-CN"/>
        </w:rPr>
        <w:t>20.52</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）预算编制质量，分值</w:t>
      </w:r>
      <w:r>
        <w:rPr>
          <w:rFonts w:hint="eastAsia" w:ascii="仿宋_GB2312" w:hAnsi="仿宋_GB2312" w:eastAsia="仿宋_GB2312" w:cs="仿宋_GB2312"/>
          <w:sz w:val="32"/>
          <w:szCs w:val="32"/>
        </w:rPr>
        <w:t>8分，</w:t>
      </w:r>
      <w:r>
        <w:rPr>
          <w:rFonts w:hint="eastAsia" w:ascii="仿宋_GB2312" w:hAnsi="仿宋_GB2312" w:eastAsia="仿宋_GB2312" w:cs="仿宋_GB2312"/>
          <w:sz w:val="32"/>
          <w:szCs w:val="32"/>
          <w:lang w:val="zh-CN"/>
        </w:rPr>
        <w:t>自评得分</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
        </w:rPr>
        <w:t>97</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我局严格按要求编制年初部门预算，保证了年初预算编制的科学性和准确性，资产配置、政府采购预算无偏离，预算编制质量较高。</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项目为</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val="zh-CN"/>
        </w:rPr>
        <w:t>预算执行有偏离度，</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val="zh-CN"/>
        </w:rPr>
        <w:t>专项经费执行期</w:t>
      </w:r>
      <w:r>
        <w:rPr>
          <w:rFonts w:hint="eastAsia" w:ascii="仿宋_GB2312" w:hAnsi="仿宋_GB2312" w:eastAsia="仿宋_GB2312" w:cs="仿宋_GB2312"/>
          <w:sz w:val="32"/>
          <w:szCs w:val="32"/>
        </w:rPr>
        <w:t>2年，年末</w:t>
      </w:r>
      <w:r>
        <w:rPr>
          <w:rFonts w:hint="eastAsia" w:ascii="仿宋_GB2312" w:hAnsi="仿宋_GB2312" w:eastAsia="仿宋_GB2312" w:cs="仿宋_GB2312"/>
          <w:sz w:val="32"/>
          <w:szCs w:val="32"/>
          <w:lang w:eastAsia="zh-CN"/>
        </w:rPr>
        <w:t>须预留指标</w:t>
      </w:r>
      <w:r>
        <w:rPr>
          <w:rFonts w:hint="eastAsia" w:ascii="仿宋_GB2312" w:hAnsi="仿宋_GB2312" w:eastAsia="仿宋_GB2312" w:cs="仿宋_GB2312"/>
          <w:sz w:val="32"/>
          <w:szCs w:val="32"/>
        </w:rPr>
        <w:t>第二年按进度</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）支出执行进度分值</w:t>
      </w:r>
      <w:r>
        <w:rPr>
          <w:rFonts w:hint="eastAsia" w:ascii="仿宋_GB2312" w:hAnsi="仿宋_GB2312" w:eastAsia="仿宋_GB2312" w:cs="仿宋_GB2312"/>
          <w:sz w:val="32"/>
          <w:szCs w:val="32"/>
        </w:rPr>
        <w:t>6分，</w:t>
      </w:r>
      <w:r>
        <w:rPr>
          <w:rFonts w:hint="eastAsia" w:ascii="仿宋_GB2312" w:hAnsi="仿宋_GB2312" w:eastAsia="仿宋_GB2312" w:cs="仿宋_GB2312"/>
          <w:sz w:val="32"/>
          <w:szCs w:val="32"/>
          <w:lang w:val="zh-CN"/>
        </w:rPr>
        <w:t>自评得分</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
        </w:rPr>
        <w:t>8</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其中：我局1至6月部门预算数</w:t>
      </w:r>
      <w:r>
        <w:rPr>
          <w:rFonts w:hint="eastAsia" w:ascii="仿宋_GB2312" w:hAnsi="仿宋_GB2312" w:eastAsia="仿宋_GB2312" w:cs="仿宋_GB2312"/>
          <w:sz w:val="32"/>
          <w:szCs w:val="32"/>
          <w:lang w:val="en-US" w:eastAsia="zh-CN"/>
        </w:rPr>
        <w:t>1207.13万元，</w:t>
      </w:r>
      <w:r>
        <w:rPr>
          <w:rFonts w:hint="eastAsia" w:ascii="仿宋_GB2312" w:hAnsi="仿宋_GB2312" w:eastAsia="仿宋_GB2312" w:cs="仿宋_GB2312"/>
          <w:sz w:val="32"/>
          <w:szCs w:val="32"/>
          <w:lang w:val="zh-CN"/>
        </w:rPr>
        <w:t>预算执行数</w:t>
      </w:r>
      <w:r>
        <w:rPr>
          <w:rFonts w:hint="eastAsia" w:ascii="仿宋_GB2312" w:hAnsi="仿宋_GB2312" w:eastAsia="仿宋_GB2312" w:cs="仿宋_GB2312"/>
          <w:sz w:val="32"/>
          <w:szCs w:val="32"/>
          <w:lang w:val="en-US" w:eastAsia="zh-CN"/>
        </w:rPr>
        <w:t>667.37万元，无违规支付和预警支付，1-6月支出执行进度自评得3.21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1至</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zh-CN"/>
        </w:rPr>
        <w:t>月部门预算数</w:t>
      </w:r>
      <w:r>
        <w:rPr>
          <w:rFonts w:hint="eastAsia" w:ascii="仿宋_GB2312" w:hAnsi="仿宋_GB2312" w:eastAsia="仿宋_GB2312" w:cs="仿宋_GB2312"/>
          <w:sz w:val="32"/>
          <w:szCs w:val="32"/>
          <w:lang w:val="en-US" w:eastAsia="zh-CN"/>
        </w:rPr>
        <w:t>1424.56万元，</w:t>
      </w:r>
      <w:r>
        <w:rPr>
          <w:rFonts w:hint="eastAsia" w:ascii="仿宋_GB2312" w:hAnsi="仿宋_GB2312" w:eastAsia="仿宋_GB2312" w:cs="仿宋_GB2312"/>
          <w:sz w:val="32"/>
          <w:szCs w:val="32"/>
          <w:lang w:val="zh-CN"/>
        </w:rPr>
        <w:t>预算执行数</w:t>
      </w:r>
      <w:r>
        <w:rPr>
          <w:rFonts w:hint="eastAsia" w:ascii="仿宋_GB2312" w:hAnsi="仿宋_GB2312" w:eastAsia="仿宋_GB2312" w:cs="仿宋_GB2312"/>
          <w:sz w:val="32"/>
          <w:szCs w:val="32"/>
          <w:lang w:val="en-US" w:eastAsia="zh-CN"/>
        </w:rPr>
        <w:t>990.32万元，无违规支付和预警支付，1-10月支出执行进度自评得2.68</w:t>
      </w:r>
      <w:r>
        <w:rPr>
          <w:rFonts w:hint="eastAsia" w:ascii="仿宋_GB2312" w:hAnsi="仿宋_GB2312" w:eastAsia="仿宋_GB2312" w:cs="仿宋_GB2312"/>
          <w:sz w:val="32"/>
          <w:szCs w:val="32"/>
        </w:rPr>
        <w:t>分。扣分原因是</w:t>
      </w:r>
      <w:r>
        <w:rPr>
          <w:rFonts w:hint="eastAsia" w:ascii="仿宋_GB2312" w:hAnsi="仿宋_GB2312" w:eastAsia="仿宋_GB2312" w:cs="仿宋_GB2312"/>
          <w:sz w:val="32"/>
          <w:szCs w:val="32"/>
          <w:lang w:val="zh-CN"/>
        </w:rPr>
        <w:t>专项经费执行期</w:t>
      </w:r>
      <w:r>
        <w:rPr>
          <w:rFonts w:hint="eastAsia" w:ascii="仿宋_GB2312" w:hAnsi="仿宋_GB2312" w:eastAsia="仿宋_GB2312" w:cs="仿宋_GB2312"/>
          <w:sz w:val="32"/>
          <w:szCs w:val="32"/>
        </w:rPr>
        <w:t>2年，当年按任务书进度支付导致财政拨款</w:t>
      </w:r>
      <w:r>
        <w:rPr>
          <w:rFonts w:hint="eastAsia" w:ascii="仿宋_GB2312" w:hAnsi="仿宋_GB2312" w:eastAsia="仿宋_GB2312" w:cs="仿宋_GB2312"/>
          <w:sz w:val="32"/>
          <w:szCs w:val="32"/>
          <w:lang w:val="zh-CN"/>
        </w:rPr>
        <w:t>预算执行未达市财政考核标准。</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4）预算年终结余</w:t>
      </w:r>
      <w:r>
        <w:rPr>
          <w:rFonts w:hint="eastAsia" w:ascii="仿宋_GB2312" w:hAnsi="仿宋_GB2312" w:eastAsia="仿宋_GB2312" w:cs="仿宋_GB2312"/>
          <w:sz w:val="32"/>
          <w:szCs w:val="32"/>
          <w:lang w:val="zh-CN"/>
        </w:rPr>
        <w:t>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单位自评得分</w:t>
      </w:r>
      <w:r>
        <w:rPr>
          <w:rFonts w:hint="eastAsia" w:ascii="仿宋_GB2312" w:hAnsi="仿宋_GB2312" w:eastAsia="仿宋_GB2312" w:cs="仿宋_GB2312"/>
          <w:sz w:val="32"/>
          <w:szCs w:val="32"/>
          <w:lang w:val="en-US" w:eastAsia="zh-CN"/>
        </w:rPr>
        <w:t>4.66</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。截至</w:t>
      </w:r>
      <w:r>
        <w:rPr>
          <w:rFonts w:hint="eastAsia" w:ascii="仿宋_GB2312" w:hAnsi="仿宋_GB2312" w:eastAsia="仿宋_GB2312" w:cs="仿宋_GB2312"/>
          <w:sz w:val="32"/>
          <w:szCs w:val="32"/>
          <w:lang w:val="en-US" w:eastAsia="zh-CN"/>
        </w:rPr>
        <w:t>12月31日正常年度预算1208.50万元，预算执行数1125.38万元，部门整体预算结余率6.87%，结转</w:t>
      </w:r>
      <w:r>
        <w:rPr>
          <w:rFonts w:hint="eastAsia" w:ascii="仿宋_GB2312" w:hAnsi="仿宋_GB2312" w:eastAsia="仿宋_GB2312" w:cs="仿宋_GB2312"/>
          <w:sz w:val="32"/>
          <w:szCs w:val="32"/>
          <w:lang w:val="zh-CN"/>
        </w:rPr>
        <w:t>专项经费用于</w:t>
      </w:r>
      <w:r>
        <w:rPr>
          <w:rFonts w:hint="eastAsia" w:ascii="仿宋_GB2312" w:hAnsi="仿宋_GB2312" w:eastAsia="仿宋_GB2312" w:cs="仿宋_GB2312"/>
          <w:sz w:val="32"/>
          <w:szCs w:val="32"/>
        </w:rPr>
        <w:t>第二年按进度</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rPr>
        <w:t>5）严控一般性支出分值</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分，自评得分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扣分原因是为响应国省市加强调查研究相关文件精神，</w:t>
      </w:r>
      <w:r>
        <w:rPr>
          <w:rFonts w:hint="eastAsia" w:ascii="仿宋_GB2312" w:hAnsi="仿宋_GB2312" w:eastAsia="仿宋_GB2312" w:cs="仿宋_GB2312"/>
          <w:color w:val="auto"/>
          <w:sz w:val="32"/>
          <w:szCs w:val="32"/>
        </w:rPr>
        <w:t>我局</w:t>
      </w:r>
      <w:r>
        <w:rPr>
          <w:rFonts w:hint="eastAsia" w:ascii="仿宋_GB2312" w:hAnsi="仿宋_GB2312" w:eastAsia="仿宋_GB2312" w:cs="仿宋_GB2312"/>
          <w:color w:val="auto"/>
          <w:sz w:val="32"/>
          <w:szCs w:val="32"/>
          <w:lang w:val="en-US" w:eastAsia="zh-CN"/>
        </w:rPr>
        <w:t>2024年差旅费、培训费和会议费较</w:t>
      </w:r>
      <w:r>
        <w:rPr>
          <w:rFonts w:hint="eastAsia" w:ascii="仿宋_GB2312" w:hAnsi="仿宋_GB2312" w:eastAsia="仿宋_GB2312" w:cs="仿宋_GB2312"/>
          <w:color w:val="auto"/>
          <w:sz w:val="32"/>
          <w:szCs w:val="32"/>
          <w:lang w:val="en" w:eastAsia="zh-CN"/>
        </w:rPr>
        <w:t>202</w:t>
      </w:r>
      <w:r>
        <w:rPr>
          <w:rFonts w:hint="eastAsia" w:ascii="仿宋_GB2312" w:hAnsi="仿宋_GB2312" w:eastAsia="仿宋_GB2312" w:cs="仿宋_GB2312"/>
          <w:color w:val="auto"/>
          <w:sz w:val="32"/>
          <w:szCs w:val="32"/>
          <w:lang w:val="en-US" w:eastAsia="zh-CN"/>
        </w:rPr>
        <w:t>3年相比未能实现压减</w:t>
      </w:r>
      <w:r>
        <w:rPr>
          <w:rFonts w:hint="eastAsia" w:ascii="仿宋_GB2312" w:hAnsi="仿宋_GB2312" w:eastAsia="仿宋_GB2312" w:cs="仿宋_GB2312"/>
          <w:color w:val="auto"/>
          <w:sz w:val="32"/>
          <w:szCs w:val="32"/>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财务管理分值</w:t>
      </w:r>
      <w:r>
        <w:rPr>
          <w:rFonts w:hint="eastAsia" w:ascii="仿宋_GB2312" w:hAnsi="仿宋_GB2312" w:eastAsia="仿宋_GB2312" w:cs="仿宋_GB2312"/>
          <w:sz w:val="32"/>
          <w:szCs w:val="32"/>
        </w:rPr>
        <w:t>10分，自评得分10分</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局建立了财务管理制度，涵盖了财务审批、会计核算、财务分析、财务审计等各个环节。制度中明确了各岗位的职责和权限，规定了具体的操作流程和标准，有效保障了财务工作的有序进行。在资金使用方面注重效率，通过合理的资金计划、严格的预算控制和有效的资金管理，确保了资金有效利用。</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zh-CN"/>
        </w:rPr>
        <w:t>资产管理分值</w:t>
      </w:r>
      <w:r>
        <w:rPr>
          <w:rFonts w:hint="eastAsia" w:ascii="仿宋_GB2312" w:hAnsi="仿宋_GB2312" w:eastAsia="仿宋_GB2312" w:cs="仿宋_GB2312"/>
          <w:sz w:val="32"/>
          <w:szCs w:val="32"/>
        </w:rPr>
        <w:t>9分，自评得分9分</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我局在人均资产变化率、资产利用率、资产盘活率等方面均表现出较好的绩效水平</w:t>
      </w:r>
      <w:r>
        <w:rPr>
          <w:rFonts w:hint="eastAsia" w:ascii="仿宋_GB2312" w:hAnsi="仿宋_GB2312" w:eastAsia="仿宋_GB2312" w:cs="仿宋_GB2312"/>
          <w:sz w:val="32"/>
          <w:szCs w:val="32"/>
          <w:lang w:val="zh-CN"/>
        </w:rPr>
        <w:t>，最近两年人均资产无大的变化，资产利用率整体处于较高水平，无超最低使用年限的办公家具，全局无闲置资产</w:t>
      </w:r>
      <w:r>
        <w:rPr>
          <w:rFonts w:hint="eastAsia" w:ascii="仿宋_GB2312" w:hAnsi="仿宋_GB2312" w:eastAsia="仿宋_GB2312" w:cs="仿宋_GB2312"/>
          <w:sz w:val="32"/>
          <w:szCs w:val="32"/>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zh-CN"/>
        </w:rPr>
        <w:t>采购管理分值</w:t>
      </w:r>
      <w:r>
        <w:rPr>
          <w:rFonts w:hint="eastAsia" w:ascii="仿宋_GB2312" w:hAnsi="仿宋_GB2312" w:eastAsia="仿宋_GB2312" w:cs="仿宋_GB2312"/>
          <w:sz w:val="32"/>
          <w:szCs w:val="32"/>
        </w:rPr>
        <w:t>6分，自评得分6分</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zh-CN"/>
        </w:rPr>
        <w:t>我局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政府</w:t>
      </w:r>
      <w:r>
        <w:rPr>
          <w:rFonts w:hint="eastAsia" w:ascii="仿宋_GB2312" w:hAnsi="仿宋_GB2312" w:eastAsia="仿宋_GB2312" w:cs="仿宋_GB2312"/>
          <w:sz w:val="32"/>
          <w:szCs w:val="32"/>
        </w:rPr>
        <w:t>采购支出</w:t>
      </w:r>
      <w:r>
        <w:rPr>
          <w:rFonts w:hint="eastAsia" w:ascii="仿宋_GB2312" w:hAnsi="仿宋_GB2312" w:eastAsia="仿宋_GB2312" w:cs="仿宋_GB2312"/>
          <w:sz w:val="32"/>
          <w:szCs w:val="32"/>
          <w:lang w:val="en-US" w:eastAsia="zh-CN"/>
        </w:rPr>
        <w:t>4.44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与当年政府采购预算数相等，</w:t>
      </w:r>
      <w:r>
        <w:rPr>
          <w:rFonts w:hint="eastAsia" w:ascii="仿宋_GB2312" w:hAnsi="仿宋_GB2312" w:eastAsia="仿宋_GB2312" w:cs="仿宋_GB2312"/>
          <w:sz w:val="32"/>
          <w:szCs w:val="32"/>
        </w:rPr>
        <w:t>其中授予中小企业合同金额</w:t>
      </w:r>
      <w:r>
        <w:rPr>
          <w:rFonts w:hint="eastAsia" w:ascii="仿宋_GB2312" w:hAnsi="仿宋_GB2312" w:eastAsia="仿宋_GB2312" w:cs="仿宋_GB2312"/>
          <w:sz w:val="32"/>
          <w:szCs w:val="32"/>
          <w:lang w:val="en-US" w:eastAsia="zh-CN"/>
        </w:rPr>
        <w:t>4.44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adjustRightInd w:val="0"/>
        <w:snapToGrid w:val="0"/>
        <w:spacing w:line="576" w:lineRule="exact"/>
        <w:ind w:firstLine="640" w:firstLineChars="200"/>
        <w:contextualSpacing/>
        <w:jc w:val="left"/>
        <w:rPr>
          <w:rFonts w:hint="eastAsia" w:ascii="仿宋_GB2312" w:hAnsi="仿宋_GB2312" w:eastAsia="仿宋_GB2312" w:cs="仿宋_GB2312"/>
          <w:color w:val="auto"/>
          <w:kern w:val="0"/>
          <w:sz w:val="32"/>
          <w:szCs w:val="32"/>
          <w:shd w:val="clear" w:color="auto" w:fill="FFFFFF"/>
          <w:lang w:val="en"/>
        </w:rPr>
      </w:pPr>
      <w:r>
        <w:rPr>
          <w:rFonts w:hint="eastAsia" w:ascii="黑体" w:hAnsi="黑体" w:eastAsia="黑体" w:cs="Times New Roman"/>
          <w:color w:val="auto"/>
          <w:kern w:val="2"/>
          <w:sz w:val="32"/>
          <w:szCs w:val="32"/>
          <w:highlight w:val="none"/>
          <w:lang w:val="zh-CN" w:eastAsia="zh-CN" w:bidi="ar-SA"/>
        </w:rPr>
        <w:t>（二）部门预算项目绩效分析。（</w:t>
      </w:r>
      <w:r>
        <w:rPr>
          <w:rFonts w:hint="eastAsia" w:ascii="仿宋_GB2312" w:hAnsi="仿宋_GB2312" w:eastAsia="仿宋_GB2312" w:cs="仿宋_GB2312"/>
          <w:color w:val="auto"/>
          <w:kern w:val="0"/>
          <w:sz w:val="32"/>
          <w:szCs w:val="32"/>
          <w:shd w:val="clear" w:color="auto" w:fill="FFFFFF"/>
          <w:lang w:val="zh-CN"/>
        </w:rPr>
        <w:t>分值</w:t>
      </w:r>
      <w:r>
        <w:rPr>
          <w:rFonts w:hint="eastAsia" w:ascii="仿宋_GB2312" w:hAnsi="仿宋_GB2312" w:eastAsia="仿宋_GB2312" w:cs="仿宋_GB2312"/>
          <w:color w:val="auto"/>
          <w:kern w:val="0"/>
          <w:sz w:val="32"/>
          <w:szCs w:val="32"/>
          <w:shd w:val="clear" w:color="auto" w:fill="FFFFFF"/>
        </w:rPr>
        <w:t>35分，单位自评</w:t>
      </w:r>
      <w:r>
        <w:rPr>
          <w:rFonts w:hint="eastAsia" w:ascii="仿宋_GB2312" w:hAnsi="仿宋_GB2312" w:eastAsia="仿宋_GB2312" w:cs="仿宋_GB2312"/>
          <w:color w:val="auto"/>
          <w:kern w:val="0"/>
          <w:sz w:val="32"/>
          <w:szCs w:val="32"/>
          <w:shd w:val="clear" w:color="auto" w:fill="FFFFFF"/>
          <w:lang w:val="zh-CN"/>
        </w:rPr>
        <w:t>得分</w:t>
      </w:r>
      <w:r>
        <w:rPr>
          <w:rFonts w:hint="eastAsia" w:ascii="仿宋_GB2312" w:hAnsi="仿宋_GB2312" w:eastAsia="仿宋_GB2312" w:cs="仿宋_GB2312"/>
          <w:color w:val="auto"/>
          <w:kern w:val="0"/>
          <w:sz w:val="32"/>
          <w:szCs w:val="32"/>
          <w:shd w:val="clear" w:color="auto" w:fill="FFFFFF"/>
        </w:rPr>
        <w:t xml:space="preserve"> 分34.</w:t>
      </w:r>
      <w:r>
        <w:rPr>
          <w:rFonts w:hint="eastAsia" w:ascii="仿宋_GB2312" w:hAnsi="仿宋_GB2312" w:eastAsia="仿宋_GB2312" w:cs="仿宋_GB2312"/>
          <w:color w:val="auto"/>
          <w:kern w:val="0"/>
          <w:sz w:val="32"/>
          <w:szCs w:val="32"/>
          <w:shd w:val="clear" w:color="auto" w:fill="FFFFFF"/>
          <w:lang w:val="en"/>
        </w:rPr>
        <w:t>11</w:t>
      </w:r>
      <w:r>
        <w:rPr>
          <w:rFonts w:hint="eastAsia" w:ascii="仿宋_GB2312" w:hAnsi="仿宋_GB2312" w:eastAsia="仿宋_GB2312" w:cs="仿宋_GB2312"/>
          <w:color w:val="auto"/>
          <w:kern w:val="0"/>
          <w:sz w:val="32"/>
          <w:szCs w:val="32"/>
          <w:shd w:val="clear" w:color="auto" w:fill="FFFFFF"/>
        </w:rPr>
        <w:t>分</w:t>
      </w:r>
      <w:r>
        <w:rPr>
          <w:rFonts w:hint="eastAsia" w:ascii="仿宋_GB2312" w:hAnsi="仿宋_GB2312" w:eastAsia="仿宋_GB2312" w:cs="仿宋_GB2312"/>
          <w:color w:val="auto"/>
          <w:kern w:val="0"/>
          <w:sz w:val="32"/>
          <w:szCs w:val="32"/>
          <w:shd w:val="clear" w:color="auto" w:fill="FFFFFF"/>
          <w:lang w:val="e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contextualSpacing/>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auto"/>
          <w:kern w:val="0"/>
          <w:position w:val="0"/>
          <w:sz w:val="32"/>
          <w:szCs w:val="32"/>
          <w:highlight w:val="none"/>
          <w:lang w:val="en-US" w:eastAsia="zh-CN" w:bidi="ar-SA"/>
        </w:rPr>
        <w:t>2024年常年项目绩效</w:t>
      </w:r>
      <w:r>
        <w:rPr>
          <w:rFonts w:hint="eastAsia" w:ascii="仿宋_GB2312" w:hAnsi="仿宋_GB2312" w:eastAsia="仿宋_GB2312" w:cs="仿宋_GB2312"/>
          <w:b w:val="0"/>
          <w:bCs w:val="0"/>
          <w:color w:val="auto"/>
          <w:kern w:val="0"/>
          <w:position w:val="0"/>
          <w:sz w:val="32"/>
          <w:szCs w:val="32"/>
          <w:highlight w:val="none"/>
          <w:lang w:val="zh-CN" w:eastAsia="zh-CN" w:bidi="ar-SA"/>
        </w:rPr>
        <w:t>总数</w:t>
      </w:r>
      <w:r>
        <w:rPr>
          <w:rFonts w:hint="eastAsia" w:ascii="仿宋_GB2312" w:hAnsi="仿宋_GB2312" w:eastAsia="仿宋_GB2312" w:cs="仿宋_GB2312"/>
          <w:b w:val="0"/>
          <w:bCs w:val="0"/>
          <w:color w:val="auto"/>
          <w:kern w:val="0"/>
          <w:position w:val="0"/>
          <w:sz w:val="32"/>
          <w:szCs w:val="32"/>
          <w:highlight w:val="none"/>
          <w:lang w:val="en-US" w:eastAsia="zh-CN" w:bidi="ar-SA"/>
        </w:rPr>
        <w:t>9</w:t>
      </w:r>
      <w:r>
        <w:rPr>
          <w:rFonts w:hint="eastAsia" w:ascii="仿宋_GB2312" w:hAnsi="仿宋_GB2312" w:eastAsia="仿宋_GB2312" w:cs="仿宋_GB2312"/>
          <w:b w:val="0"/>
          <w:bCs w:val="0"/>
          <w:color w:val="auto"/>
          <w:kern w:val="0"/>
          <w:position w:val="0"/>
          <w:sz w:val="32"/>
          <w:szCs w:val="32"/>
          <w:highlight w:val="none"/>
          <w:lang w:val="zh-CN" w:eastAsia="zh-CN" w:bidi="ar-SA"/>
        </w:rPr>
        <w:t>个，涉及预算总金额</w:t>
      </w:r>
      <w:r>
        <w:rPr>
          <w:rFonts w:hint="eastAsia" w:ascii="仿宋_GB2312" w:hAnsi="仿宋_GB2312" w:eastAsia="仿宋_GB2312" w:cs="仿宋_GB2312"/>
          <w:b w:val="0"/>
          <w:bCs w:val="0"/>
          <w:color w:val="auto"/>
          <w:kern w:val="0"/>
          <w:position w:val="0"/>
          <w:sz w:val="32"/>
          <w:szCs w:val="32"/>
          <w:highlight w:val="none"/>
          <w:lang w:val="en-US" w:eastAsia="zh-CN" w:bidi="ar-SA"/>
        </w:rPr>
        <w:t>137.52</w:t>
      </w:r>
      <w:r>
        <w:rPr>
          <w:rFonts w:hint="eastAsia" w:ascii="仿宋_GB2312" w:hAnsi="仿宋_GB2312" w:eastAsia="仿宋_GB2312" w:cs="仿宋_GB2312"/>
          <w:b w:val="0"/>
          <w:bCs w:val="0"/>
          <w:color w:val="auto"/>
          <w:kern w:val="0"/>
          <w:position w:val="0"/>
          <w:sz w:val="32"/>
          <w:szCs w:val="32"/>
          <w:highlight w:val="none"/>
          <w:lang w:val="zh-CN" w:eastAsia="zh-CN" w:bidi="ar-SA"/>
        </w:rPr>
        <w:t>万元，1—1</w:t>
      </w: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月预算执行总体进度为</w:t>
      </w:r>
      <w:r>
        <w:rPr>
          <w:rFonts w:hint="eastAsia" w:ascii="仿宋_GB2312" w:hAnsi="仿宋_GB2312" w:eastAsia="仿宋_GB2312" w:cs="仿宋_GB2312"/>
          <w:b w:val="0"/>
          <w:bCs w:val="0"/>
          <w:color w:val="auto"/>
          <w:kern w:val="0"/>
          <w:position w:val="0"/>
          <w:sz w:val="32"/>
          <w:szCs w:val="32"/>
          <w:highlight w:val="none"/>
          <w:lang w:val="en-US" w:eastAsia="zh-CN" w:bidi="ar-SA"/>
        </w:rPr>
        <w:t>77.20</w:t>
      </w:r>
      <w:r>
        <w:rPr>
          <w:rFonts w:hint="eastAsia" w:ascii="仿宋_GB2312" w:hAnsi="仿宋_GB2312" w:eastAsia="仿宋_GB2312" w:cs="仿宋_GB2312"/>
          <w:b w:val="0"/>
          <w:bCs w:val="0"/>
          <w:color w:val="auto"/>
          <w:kern w:val="0"/>
          <w:position w:val="0"/>
          <w:sz w:val="32"/>
          <w:szCs w:val="32"/>
          <w:highlight w:val="none"/>
          <w:lang w:val="zh-CN" w:eastAsia="zh-CN" w:bidi="ar-SA"/>
        </w:rPr>
        <w:t>%，其中：预算结余率大于</w:t>
      </w:r>
      <w:r>
        <w:rPr>
          <w:rFonts w:hint="eastAsia" w:ascii="仿宋_GB2312" w:hAnsi="仿宋_GB2312" w:eastAsia="仿宋_GB2312" w:cs="仿宋_GB2312"/>
          <w:b w:val="0"/>
          <w:bCs w:val="0"/>
          <w:color w:val="auto"/>
          <w:kern w:val="0"/>
          <w:position w:val="0"/>
          <w:sz w:val="32"/>
          <w:szCs w:val="32"/>
          <w:highlight w:val="none"/>
          <w:lang w:val="en-US" w:eastAsia="zh-CN" w:bidi="ar-SA"/>
        </w:rPr>
        <w:t>10%</w:t>
      </w:r>
      <w:r>
        <w:rPr>
          <w:rFonts w:hint="eastAsia" w:ascii="仿宋_GB2312" w:hAnsi="仿宋_GB2312" w:eastAsia="仿宋_GB2312" w:cs="仿宋_GB2312"/>
          <w:b w:val="0"/>
          <w:bCs w:val="0"/>
          <w:color w:val="auto"/>
          <w:kern w:val="0"/>
          <w:position w:val="0"/>
          <w:sz w:val="32"/>
          <w:szCs w:val="32"/>
          <w:highlight w:val="none"/>
          <w:lang w:val="zh-CN" w:eastAsia="zh-CN" w:bidi="ar-SA"/>
        </w:rPr>
        <w:t>的项目共计</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4</w:t>
      </w:r>
      <w:r>
        <w:rPr>
          <w:rFonts w:hint="eastAsia" w:ascii="仿宋_GB2312" w:hAnsi="仿宋_GB2312" w:eastAsia="仿宋_GB2312" w:cs="仿宋_GB2312"/>
          <w:b w:val="0"/>
          <w:bCs w:val="0"/>
          <w:color w:val="auto"/>
          <w:kern w:val="0"/>
          <w:position w:val="0"/>
          <w:sz w:val="32"/>
          <w:szCs w:val="32"/>
          <w:highlight w:val="none"/>
          <w:lang w:val="zh-CN" w:eastAsia="zh-CN" w:bidi="ar-SA"/>
        </w:rPr>
        <w:t>个；</w:t>
      </w:r>
      <w:r>
        <w:rPr>
          <w:rFonts w:hint="eastAsia" w:ascii="仿宋_GB2312" w:hAnsi="仿宋_GB2312" w:eastAsia="仿宋_GB2312" w:cs="仿宋_GB2312"/>
          <w:b w:val="0"/>
          <w:bCs w:val="0"/>
          <w:color w:val="auto"/>
          <w:kern w:val="0"/>
          <w:position w:val="0"/>
          <w:sz w:val="32"/>
          <w:szCs w:val="32"/>
          <w:highlight w:val="none"/>
          <w:lang w:val="en-US" w:eastAsia="zh-CN" w:bidi="ar-SA"/>
        </w:rPr>
        <w:t>阶段（含一次性）项目绩效</w:t>
      </w:r>
      <w:r>
        <w:rPr>
          <w:rFonts w:hint="eastAsia" w:ascii="仿宋_GB2312" w:hAnsi="仿宋_GB2312" w:eastAsia="仿宋_GB2312" w:cs="仿宋_GB2312"/>
          <w:b w:val="0"/>
          <w:bCs w:val="0"/>
          <w:color w:val="auto"/>
          <w:kern w:val="0"/>
          <w:position w:val="0"/>
          <w:sz w:val="32"/>
          <w:szCs w:val="32"/>
          <w:highlight w:val="none"/>
          <w:lang w:val="zh-CN" w:eastAsia="zh-CN" w:bidi="ar-SA"/>
        </w:rPr>
        <w:t>总数</w:t>
      </w:r>
      <w:r>
        <w:rPr>
          <w:rFonts w:hint="eastAsia" w:ascii="仿宋_GB2312" w:hAnsi="仿宋_GB2312" w:eastAsia="仿宋_GB2312" w:cs="仿宋_GB2312"/>
          <w:b w:val="0"/>
          <w:bCs w:val="0"/>
          <w:color w:val="auto"/>
          <w:kern w:val="0"/>
          <w:position w:val="0"/>
          <w:sz w:val="32"/>
          <w:szCs w:val="32"/>
          <w:highlight w:val="none"/>
          <w:lang w:val="en-US" w:eastAsia="zh-CN" w:bidi="ar-SA"/>
        </w:rPr>
        <w:t>0</w:t>
      </w:r>
      <w:r>
        <w:rPr>
          <w:rFonts w:hint="eastAsia" w:ascii="仿宋_GB2312" w:hAnsi="仿宋_GB2312" w:eastAsia="仿宋_GB2312" w:cs="仿宋_GB2312"/>
          <w:b w:val="0"/>
          <w:bCs w:val="0"/>
          <w:color w:val="auto"/>
          <w:kern w:val="0"/>
          <w:position w:val="0"/>
          <w:sz w:val="32"/>
          <w:szCs w:val="32"/>
          <w:highlight w:val="none"/>
          <w:lang w:val="zh-CN" w:eastAsia="zh-CN" w:bidi="ar-SA"/>
        </w:rPr>
        <w:t>个。</w:t>
      </w:r>
      <w:r>
        <w:rPr>
          <w:rFonts w:hint="eastAsia" w:ascii="仿宋_GB2312" w:hAnsi="仿宋_GB2312" w:eastAsia="仿宋_GB2312" w:cs="仿宋_GB2312"/>
          <w:b w:val="0"/>
          <w:bCs w:val="0"/>
          <w:color w:val="auto"/>
          <w:kern w:val="0"/>
          <w:position w:val="0"/>
          <w:sz w:val="32"/>
          <w:szCs w:val="32"/>
          <w:highlight w:val="none"/>
          <w:lang w:val="en-US" w:eastAsia="zh-CN" w:bidi="ar-SA"/>
        </w:rPr>
        <w:t>4个</w:t>
      </w:r>
      <w:r>
        <w:rPr>
          <w:rFonts w:hint="eastAsia" w:ascii="仿宋_GB2312" w:hAnsi="仿宋_GB2312" w:eastAsia="仿宋_GB2312" w:cs="仿宋_GB2312"/>
          <w:sz w:val="32"/>
          <w:szCs w:val="32"/>
          <w:lang w:val="zh-CN"/>
        </w:rPr>
        <w:t>项目预算结余率大于</w:t>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zh-CN"/>
        </w:rPr>
        <w:t>的原因是</w:t>
      </w:r>
      <w:r>
        <w:rPr>
          <w:rFonts w:hint="eastAsia" w:ascii="仿宋_GB2312" w:hAnsi="仿宋_GB2312" w:eastAsia="仿宋_GB2312" w:cs="仿宋_GB2312"/>
          <w:sz w:val="32"/>
          <w:szCs w:val="32"/>
          <w:lang w:val="en-US" w:eastAsia="zh-CN"/>
        </w:rPr>
        <w:t>2个</w:t>
      </w:r>
      <w:r>
        <w:rPr>
          <w:rFonts w:hint="eastAsia" w:ascii="仿宋_GB2312" w:hAnsi="仿宋_GB2312" w:eastAsia="仿宋_GB2312" w:cs="仿宋_GB2312"/>
          <w:sz w:val="32"/>
          <w:szCs w:val="32"/>
        </w:rPr>
        <w:t>市级科技计划项目指标下达时间为202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年12月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导致无法在当年支付</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项目决策分值</w:t>
      </w:r>
      <w:r>
        <w:rPr>
          <w:rFonts w:hint="eastAsia" w:ascii="仿宋_GB2312" w:hAnsi="仿宋_GB2312" w:eastAsia="仿宋_GB2312" w:cs="仿宋_GB2312"/>
          <w:sz w:val="32"/>
          <w:szCs w:val="32"/>
        </w:rPr>
        <w:t>12分，自评得分12分</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（1）决策程序分值4分，自评得分4分。202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年度本部门无新增50万元及以上项目，也无增幅20%以上延续性项目，预算项目不涉及事前评估程序。</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（2）目标设置分值4分，自评得分4分。部门预算项目绩效目标与计划期内的任务量、预算安排的资金量相匹配，绩效目标设置科学合理、规范完整、量化细化。</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（3）项目入库分值4分，自评得分4分。</w:t>
      </w:r>
      <w:r>
        <w:rPr>
          <w:rFonts w:hint="eastAsia" w:ascii="仿宋_GB2312" w:hAnsi="仿宋_GB2312" w:eastAsia="仿宋_GB2312" w:cs="仿宋_GB2312"/>
          <w:sz w:val="32"/>
          <w:szCs w:val="32"/>
          <w:lang w:val="zh-CN"/>
        </w:rPr>
        <w:t>我局部门预算所有项目严格按规定履行评估论证、申报程序，部门预算项目均在规定时间完成项目入库。</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2.项目执行</w:t>
      </w:r>
      <w:r>
        <w:rPr>
          <w:rFonts w:hint="eastAsia" w:ascii="仿宋_GB2312" w:hAnsi="仿宋_GB2312" w:eastAsia="仿宋_GB2312" w:cs="仿宋_GB2312"/>
          <w:sz w:val="32"/>
          <w:szCs w:val="32"/>
          <w:lang w:val="zh-CN"/>
        </w:rPr>
        <w:t>分值</w:t>
      </w:r>
      <w:r>
        <w:rPr>
          <w:rFonts w:hint="eastAsia" w:ascii="仿宋_GB2312" w:hAnsi="仿宋_GB2312" w:eastAsia="仿宋_GB2312" w:cs="仿宋_GB2312"/>
          <w:sz w:val="32"/>
          <w:szCs w:val="32"/>
        </w:rPr>
        <w:t>12分，自评得分11.</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zh-CN"/>
        </w:rPr>
        <w:t>。</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）执行同向分值</w:t>
      </w:r>
      <w:r>
        <w:rPr>
          <w:rFonts w:hint="eastAsia" w:ascii="仿宋_GB2312" w:hAnsi="仿宋_GB2312" w:eastAsia="仿宋_GB2312" w:cs="仿宋_GB2312"/>
          <w:sz w:val="32"/>
          <w:szCs w:val="32"/>
        </w:rPr>
        <w:t>4分，自评得分4分</w:t>
      </w:r>
      <w:r>
        <w:rPr>
          <w:rFonts w:hint="eastAsia" w:ascii="仿宋_GB2312" w:hAnsi="仿宋_GB2312" w:eastAsia="仿宋_GB2312" w:cs="仿宋_GB2312"/>
          <w:sz w:val="32"/>
          <w:szCs w:val="32"/>
          <w:lang w:val="zh-CN"/>
        </w:rPr>
        <w:t>。我局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zh-CN"/>
        </w:rPr>
        <w:t>部门预算项目实际列支内容与绩效目标设置方向相符。</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）项目调整分值</w:t>
      </w:r>
      <w:r>
        <w:rPr>
          <w:rFonts w:hint="eastAsia" w:ascii="仿宋_GB2312" w:hAnsi="仿宋_GB2312" w:eastAsia="仿宋_GB2312" w:cs="仿宋_GB2312"/>
          <w:sz w:val="32"/>
          <w:szCs w:val="32"/>
        </w:rPr>
        <w:t>4分，自评得分4分。</w:t>
      </w:r>
      <w:r>
        <w:rPr>
          <w:rFonts w:hint="eastAsia" w:ascii="仿宋_GB2312" w:hAnsi="仿宋_GB2312" w:eastAsia="仿宋_GB2312" w:cs="仿宋_GB2312"/>
          <w:sz w:val="32"/>
          <w:szCs w:val="32"/>
          <w:lang w:val="zh-CN"/>
        </w:rPr>
        <w:t>我局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年无应采取未采取收回预算、调整目标等处置措施的部门预算特定目标类项目。</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（3）执行结果分值4分，自评得分</w:t>
      </w:r>
      <w:r>
        <w:rPr>
          <w:rFonts w:hint="eastAsia" w:ascii="仿宋_GB2312" w:hAnsi="仿宋_GB2312" w:eastAsia="仿宋_GB2312" w:cs="仿宋_GB2312"/>
          <w:sz w:val="32"/>
          <w:szCs w:val="32"/>
          <w:lang w:val="en-US" w:eastAsia="zh-CN"/>
        </w:rPr>
        <w:t>3.11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市本级预算项目</w:t>
      </w:r>
      <w:r>
        <w:rPr>
          <w:rFonts w:hint="eastAsia" w:ascii="仿宋_GB2312" w:hAnsi="仿宋_GB2312" w:eastAsia="仿宋_GB2312" w:cs="仿宋_GB2312"/>
          <w:sz w:val="32"/>
          <w:szCs w:val="32"/>
          <w:lang w:val="zh-CN"/>
        </w:rPr>
        <w:t>结余率大于</w:t>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zh-CN"/>
        </w:rPr>
        <w:t>的项目共计</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个，</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个市级科技计划项目财政指标下达时间为202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年12月，不应计入本部门当年度预算执行不达标项目，故预算结余率</w:t>
      </w:r>
      <w:r>
        <w:rPr>
          <w:rFonts w:hint="eastAsia" w:ascii="仿宋_GB2312" w:hAnsi="仿宋_GB2312" w:eastAsia="仿宋_GB2312" w:cs="仿宋_GB2312"/>
          <w:sz w:val="32"/>
          <w:szCs w:val="32"/>
          <w:lang w:val="zh-CN"/>
        </w:rPr>
        <w:t>大于</w:t>
      </w:r>
      <w:r>
        <w:rPr>
          <w:rFonts w:hint="eastAsia" w:ascii="仿宋_GB2312" w:hAnsi="仿宋_GB2312" w:eastAsia="仿宋_GB2312" w:cs="仿宋_GB2312"/>
          <w:sz w:val="32"/>
          <w:szCs w:val="32"/>
        </w:rPr>
        <w:t>10%的项目数量调整为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w:t>
      </w:r>
    </w:p>
    <w:p>
      <w:pPr>
        <w:suppressAutoHyphens/>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目标实现分值</w:t>
      </w:r>
      <w:r>
        <w:rPr>
          <w:rFonts w:hint="eastAsia" w:ascii="仿宋_GB2312" w:hAnsi="仿宋_GB2312" w:eastAsia="仿宋_GB2312" w:cs="仿宋_GB2312"/>
          <w:sz w:val="32"/>
          <w:szCs w:val="32"/>
        </w:rPr>
        <w:t>11分，自评得分11分。</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）目标完成分值</w:t>
      </w:r>
      <w:r>
        <w:rPr>
          <w:rFonts w:hint="eastAsia" w:ascii="仿宋_GB2312" w:hAnsi="仿宋_GB2312" w:eastAsia="仿宋_GB2312" w:cs="仿宋_GB2312"/>
          <w:sz w:val="32"/>
          <w:szCs w:val="32"/>
        </w:rPr>
        <w:t>4分，自评得分4分，</w:t>
      </w:r>
      <w:r>
        <w:rPr>
          <w:rFonts w:hint="eastAsia" w:ascii="仿宋_GB2312" w:hAnsi="仿宋_GB2312" w:eastAsia="仿宋_GB2312" w:cs="仿宋_GB2312"/>
          <w:sz w:val="32"/>
          <w:szCs w:val="32"/>
          <w:lang w:val="zh-CN"/>
        </w:rPr>
        <w:t>部门预算项目绩效目标数量指标全面完成。</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）目标偏离分值</w:t>
      </w:r>
      <w:r>
        <w:rPr>
          <w:rFonts w:hint="eastAsia" w:ascii="仿宋_GB2312" w:hAnsi="仿宋_GB2312" w:eastAsia="仿宋_GB2312" w:cs="仿宋_GB2312"/>
          <w:sz w:val="32"/>
          <w:szCs w:val="32"/>
        </w:rPr>
        <w:t>4分，自评得分4分，绩效指标全部完成年初设定目标值，</w:t>
      </w:r>
      <w:r>
        <w:rPr>
          <w:rFonts w:hint="eastAsia" w:ascii="仿宋_GB2312" w:hAnsi="仿宋_GB2312" w:eastAsia="仿宋_GB2312" w:cs="仿宋_GB2312"/>
          <w:sz w:val="32"/>
          <w:szCs w:val="32"/>
          <w:lang w:val="zh-CN"/>
        </w:rPr>
        <w:t>无偏离。</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）实现效果分值</w:t>
      </w:r>
      <w:r>
        <w:rPr>
          <w:rFonts w:hint="eastAsia" w:ascii="仿宋_GB2312" w:hAnsi="仿宋_GB2312" w:eastAsia="仿宋_GB2312" w:cs="仿宋_GB2312"/>
          <w:sz w:val="32"/>
          <w:szCs w:val="32"/>
        </w:rPr>
        <w:t>3分，自评得分3分，</w:t>
      </w:r>
      <w:r>
        <w:rPr>
          <w:rFonts w:hint="eastAsia" w:ascii="仿宋_GB2312" w:hAnsi="仿宋_GB2312" w:eastAsia="仿宋_GB2312" w:cs="仿宋_GB2312"/>
          <w:sz w:val="32"/>
          <w:szCs w:val="32"/>
          <w:lang w:val="zh-CN"/>
        </w:rPr>
        <w:t>部门预算项目绩效目标效益指标基本完成，实施效果较好。</w:t>
      </w:r>
    </w:p>
    <w:p>
      <w:pPr>
        <w:adjustRightInd w:val="0"/>
        <w:snapToGrid w:val="0"/>
        <w:spacing w:line="576" w:lineRule="exact"/>
        <w:ind w:firstLine="640" w:firstLineChars="200"/>
        <w:contextualSpacing/>
        <w:jc w:val="left"/>
        <w:rPr>
          <w:rFonts w:hint="eastAsia" w:ascii="黑体" w:hAnsi="黑体" w:eastAsia="黑体" w:cs="Times New Roman"/>
          <w:color w:val="auto"/>
          <w:kern w:val="2"/>
          <w:sz w:val="32"/>
          <w:szCs w:val="32"/>
          <w:highlight w:val="none"/>
          <w:lang w:val="en" w:eastAsia="zh-CN" w:bidi="ar-SA"/>
        </w:rPr>
      </w:pPr>
      <w:r>
        <w:rPr>
          <w:rFonts w:hint="eastAsia" w:ascii="黑体" w:hAnsi="黑体" w:eastAsia="黑体" w:cs="Times New Roman"/>
          <w:color w:val="auto"/>
          <w:kern w:val="2"/>
          <w:sz w:val="32"/>
          <w:szCs w:val="32"/>
          <w:highlight w:val="none"/>
          <w:lang w:val="zh-CN" w:eastAsia="zh-CN" w:bidi="ar-SA"/>
        </w:rPr>
        <w:t>（三）重点领域绩效分析。</w:t>
      </w:r>
    </w:p>
    <w:p>
      <w:pPr>
        <w:suppressAutoHyphens/>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本部门不涉及</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zh-CN"/>
        </w:rPr>
        <w:t>国有资本、行政事业性国有资产、债券资金和政府购买服务等重点领域。本部门</w:t>
      </w:r>
      <w:r>
        <w:rPr>
          <w:rFonts w:hint="eastAsia" w:ascii="仿宋_GB2312" w:hAnsi="仿宋_GB2312" w:eastAsia="仿宋_GB2312" w:cs="仿宋_GB2312"/>
          <w:sz w:val="32"/>
          <w:szCs w:val="32"/>
          <w:lang w:val="en-US" w:eastAsia="zh-CN"/>
        </w:rPr>
        <w:t>2024年政府采购金额4.44万元，主要用于购买大型复印设备，专门面向中小企业采购。</w:t>
      </w:r>
    </w:p>
    <w:p>
      <w:pPr>
        <w:adjustRightInd w:val="0"/>
        <w:snapToGrid w:val="0"/>
        <w:spacing w:line="576"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黑体" w:hAnsi="黑体" w:eastAsia="黑体" w:cs="Times New Roman"/>
          <w:color w:val="auto"/>
          <w:kern w:val="2"/>
          <w:sz w:val="32"/>
          <w:szCs w:val="32"/>
          <w:highlight w:val="none"/>
          <w:lang w:val="zh-CN" w:eastAsia="zh-CN" w:bidi="ar-SA"/>
        </w:rPr>
        <w:t>（四）绩效结果应用情况。</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我局将内设机构绩效自评纳入考核体系，建立了对内设机构预算与绩效挂钩机制，并</w:t>
      </w:r>
      <w:r>
        <w:rPr>
          <w:rFonts w:hint="eastAsia" w:ascii="仿宋_GB2312" w:hAnsi="仿宋_GB2312" w:eastAsia="仿宋_GB2312" w:cs="仿宋_GB2312"/>
          <w:sz w:val="32"/>
          <w:szCs w:val="32"/>
        </w:rPr>
        <w:t>严格按要求将部门整体绩效自评情况和自行组织的评价情况在电子政务外网和局官网进行公布。</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77" w:name="_Toc1258"/>
      <w:r>
        <w:rPr>
          <w:rFonts w:hint="eastAsia" w:ascii="黑体" w:hAnsi="黑体" w:eastAsia="黑体" w:cs="Times New Roman"/>
          <w:color w:val="auto"/>
          <w:sz w:val="32"/>
          <w:szCs w:val="32"/>
          <w:highlight w:val="none"/>
          <w:lang w:val="zh-CN"/>
        </w:rPr>
        <w:t>四、评价结论及建议</w:t>
      </w:r>
      <w:bookmarkEnd w:id="77"/>
    </w:p>
    <w:p>
      <w:pPr>
        <w:adjustRightInd w:val="0"/>
        <w:snapToGrid w:val="0"/>
        <w:spacing w:line="576" w:lineRule="exact"/>
        <w:ind w:firstLine="640" w:firstLineChars="200"/>
        <w:contextualSpacing/>
        <w:jc w:val="left"/>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（一）评价结论。</w:t>
      </w:r>
    </w:p>
    <w:p>
      <w:pPr>
        <w:suppressAutoHyphens/>
        <w:spacing w:line="576" w:lineRule="exact"/>
        <w:ind w:firstLine="640" w:firstLineChars="200"/>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rPr>
        <w:t>我局202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年绩效目标设置明确、预算编制较准确、项目预算执行较好</w:t>
      </w:r>
      <w:r>
        <w:rPr>
          <w:rFonts w:hint="eastAsia" w:ascii="仿宋_GB2312" w:hAnsi="仿宋_GB2312" w:eastAsia="仿宋_GB2312" w:cs="仿宋_GB2312"/>
          <w:sz w:val="32"/>
          <w:szCs w:val="32"/>
          <w:lang w:val="zh-CN"/>
        </w:rPr>
        <w:t>，按照计划完成年度工作任务，实现了年度绩效目标。按照市级部门整体支出绩效评价指标和计分标准，</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年部门支出整体绩效评价得分</w:t>
      </w:r>
      <w:r>
        <w:rPr>
          <w:rFonts w:hint="eastAsia" w:ascii="仿宋_GB2312" w:hAnsi="仿宋_GB2312" w:eastAsia="仿宋_GB2312" w:cs="仿宋_GB2312"/>
          <w:sz w:val="32"/>
          <w:szCs w:val="32"/>
          <w:lang w:val="en-US" w:eastAsia="zh-CN"/>
        </w:rPr>
        <w:t>94.63</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val="zh-CN"/>
        </w:rPr>
        <w:t>部门预算总体绩效分析</w:t>
      </w:r>
      <w:r>
        <w:rPr>
          <w:rFonts w:hint="eastAsia" w:ascii="仿宋_GB2312" w:hAnsi="仿宋_GB2312" w:eastAsia="仿宋_GB2312" w:cs="仿宋_GB2312"/>
          <w:sz w:val="32"/>
          <w:szCs w:val="32"/>
        </w:rPr>
        <w:t>自评</w:t>
      </w:r>
      <w:r>
        <w:rPr>
          <w:rFonts w:hint="eastAsia" w:ascii="仿宋_GB2312" w:hAnsi="仿宋_GB2312" w:eastAsia="仿宋_GB2312" w:cs="仿宋_GB2312"/>
          <w:sz w:val="32"/>
          <w:szCs w:val="32"/>
          <w:lang w:val="zh-CN"/>
        </w:rPr>
        <w:t>得</w:t>
      </w:r>
      <w:r>
        <w:rPr>
          <w:rFonts w:hint="eastAsia" w:ascii="仿宋_GB2312" w:hAnsi="仿宋_GB2312" w:eastAsia="仿宋_GB2312" w:cs="仿宋_GB2312"/>
          <w:sz w:val="32"/>
          <w:szCs w:val="32"/>
          <w:lang w:val="en-US" w:eastAsia="zh-CN"/>
        </w:rPr>
        <w:t>60.52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
        </w:rPr>
        <w:t>，</w:t>
      </w:r>
      <w:r>
        <w:rPr>
          <w:rFonts w:hint="eastAsia" w:ascii="仿宋_GB2312" w:hAnsi="仿宋_GB2312" w:eastAsia="仿宋_GB2312" w:cs="仿宋_GB2312"/>
          <w:sz w:val="32"/>
          <w:szCs w:val="32"/>
          <w:lang w:val="zh-CN"/>
        </w:rPr>
        <w:t>部门预算项目绩效分析</w:t>
      </w:r>
      <w:r>
        <w:rPr>
          <w:rFonts w:hint="eastAsia" w:ascii="仿宋_GB2312" w:hAnsi="仿宋_GB2312" w:eastAsia="仿宋_GB2312" w:cs="仿宋_GB2312"/>
          <w:sz w:val="32"/>
          <w:szCs w:val="32"/>
        </w:rPr>
        <w:t>自评</w:t>
      </w:r>
      <w:r>
        <w:rPr>
          <w:rFonts w:hint="eastAsia" w:ascii="仿宋_GB2312" w:hAnsi="仿宋_GB2312" w:eastAsia="仿宋_GB2312" w:cs="仿宋_GB2312"/>
          <w:sz w:val="32"/>
          <w:szCs w:val="32"/>
          <w:lang w:val="zh-CN"/>
        </w:rPr>
        <w:t>得</w:t>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分。</w:t>
      </w:r>
    </w:p>
    <w:p>
      <w:pPr>
        <w:adjustRightInd w:val="0"/>
        <w:snapToGrid w:val="0"/>
        <w:spacing w:line="576" w:lineRule="exact"/>
        <w:ind w:firstLine="640" w:firstLineChars="200"/>
        <w:contextualSpacing/>
        <w:jc w:val="left"/>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（二）存在问题。</w:t>
      </w:r>
    </w:p>
    <w:p>
      <w:pPr>
        <w:suppressAutoHyphens/>
        <w:spacing w:line="576"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“三公”经费、会议、培训、差旅、办节办展、办公设备购置、信息网络及软件购置更新、课题经费等8项一般性支出</w:t>
      </w:r>
      <w:r>
        <w:rPr>
          <w:rFonts w:hint="eastAsia" w:ascii="仿宋_GB2312" w:hAnsi="仿宋_GB2312" w:eastAsia="仿宋_GB2312" w:cs="仿宋_GB2312"/>
          <w:color w:val="auto"/>
          <w:sz w:val="32"/>
          <w:szCs w:val="32"/>
          <w:lang w:eastAsia="zh-CN"/>
        </w:rPr>
        <w:t>同比上年支出金额有较大幅度增加；</w:t>
      </w:r>
      <w:r>
        <w:rPr>
          <w:rFonts w:hint="eastAsia" w:ascii="仿宋_GB2312" w:hAnsi="仿宋_GB2312" w:eastAsia="仿宋_GB2312" w:cs="仿宋_GB2312"/>
          <w:color w:val="auto"/>
          <w:sz w:val="32"/>
          <w:szCs w:val="32"/>
        </w:rPr>
        <w:t>部门预算执行进度未达到规定进度，部分专项资金年末结转结余率较大。</w:t>
      </w:r>
    </w:p>
    <w:p>
      <w:pPr>
        <w:adjustRightInd w:val="0"/>
        <w:snapToGrid w:val="0"/>
        <w:spacing w:line="576" w:lineRule="exact"/>
        <w:ind w:firstLine="640" w:firstLineChars="200"/>
        <w:contextualSpacing/>
        <w:jc w:val="left"/>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（三）改进建议。</w:t>
      </w:r>
    </w:p>
    <w:p>
      <w:pPr>
        <w:suppressAutoHyphens/>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实行“双监控”机制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lang w:eastAsia="zh-CN"/>
        </w:rPr>
        <w:t>强化过程管理，建立月度和季度执行进度预警机制；</w:t>
      </w:r>
    </w:p>
    <w:p>
      <w:pPr>
        <w:suppressAutoHyphens/>
        <w:spacing w:line="576"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2.提升技术能力，‌加强专业培训。‌针对预算绩效评价的技术能力不足问题，‌通过培训内部专业力量、‌增进外部行业实力，‌提高绩效评价的专业性和准确性。</w:t>
      </w:r>
    </w:p>
    <w:p>
      <w:pPr>
        <w:pStyle w:val="9"/>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9"/>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379"/>
        <w:gridCol w:w="1174"/>
        <w:gridCol w:w="1535"/>
        <w:gridCol w:w="396"/>
        <w:gridCol w:w="1106"/>
        <w:gridCol w:w="396"/>
        <w:gridCol w:w="861"/>
        <w:gridCol w:w="486"/>
        <w:gridCol w:w="486"/>
        <w:gridCol w:w="8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51080022T000000386053-机关综合服务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高新技术产业发展、农业农村科技发展、科技社会事业发展和科技项目管理等科技领域会议、安全和保卫等机关综合服务。</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高新技术产业发展、农业农村科技发展、科技社会事业发展和科技项目管理等科技领域会议、安全和保卫等机关综合服务。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高新技术产业发展、农业农村科技发展、科技社会事业发展和科技项目管理等科技领域会议、安全和保卫等机关综合服务。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服务面积</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1960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平方米</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会议设施正常运转率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会议室等公共区域环境卫生达标率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会议、安全和保卫服务质量</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社会效益反映</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项目持续长期发挥影响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项目自评得分１００分。通过购买优质的门卫服务、会议服务和保洁服务，提高了全局干部职工的工作和生活质量。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51080022T000000386145-优化营商环境、科普活动、创新主体培育、科技计划管理及新冠疫情防控等经费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优化营商环境、科普活动、创新主体培育、科技计划项目管理和新冠疫情防控等事业得到长足发展。</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优化营商环境、科普活动、创新主体培育、科技计划项目管理和新冠疫情防控等事业得到长足发展。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优化营商环境、科普活动、创新主体培育、科技计划项目管理和新冠疫情防控等事业得到长足发展。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32.18</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32.18</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32.18</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32.18</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实施科技成果转化项目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实施国省科技项目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净增高新技术企业</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选派市级农业科技特派员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全市科技型中小企业年度评价入库数量</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新培育认定市级以上科普基地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产出科技成果</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实现高新技术产业主营业务收入</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亿元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完成技术合同登记交易额</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亿元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各项科技事业高效长足发展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项目长期持续高效发挥影响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办公、印刷、差旅和车辆租赁等</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32.18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自评得分100分。项目的实施积极支持科技型中小企业研发，2024年全市科技型中小企业入库260家，净增高新技术企业5家。完成技术合同登记交易额2.6亿元，实现高新技术产业主营业务收入300亿元，倡导健康文明的生活方式，服务地区防治重大传染病，推进健康广元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51080022T000000386171-乡村振兴驻村工作经费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基层党组织建设更有活力、持续推动巩固拓展脱贫攻坚成果、产业发展效益不断提升、基层治理水平不断提升、为民办事服务满意度不断提升。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基层党组织建设更有活力、持续推动巩固拓展脱贫攻坚成果、产业发展效益不断提升、基层治理水平不断提升、为民办事服务满意度不断提升。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基层党组织建设更有活力、持续推动巩固拓展脱贫攻坚成果、产业发展效益不断提升、基层治理水平不断提升、为民办事服务满意度不断提升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开展各类培训活动</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扶持项目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到户帮扶</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市、县乡村振兴有关考核</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项目验收合格率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技术培训合格率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群众收入明显提高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脱贫攻坚和乡村振兴衔接</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生态效益指标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农村人居环境不断改善</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建设宜居宜业的美丽家园</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为民办事服务满意度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基层党组织建设更有活力、持续推动巩固拓展脱贫攻坚成果、产业发展效益不断提升、基层治理水平不断提升、为民办事服务满意度不断提升。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51080022T000005456285-省级科技计划项目资金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不断加强科普工作，建立和完善科普工作制度，加强科普人才库的建设，创新开展区域科普活动，不断缩小城乡人民科普素质差距。</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不断加强科普工作，建立和完善科普工作制度，加强科普人才库的建设，创新开展区域科普活动，不断缩小城乡人民科普素质差距。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不断加强科普工作，建立和完善科普工作制度，加强科普人才库的建设，创新开展区域科普活动，不断缩小城乡人民科普素质差距。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26.76</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65.12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58.04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89.13%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预算执行得分调整原因：项目资金指标下达时间为2024年6月，到期时间2026年6月，按任务书工作安排，资金使用时间大多集中在2025年度。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26.76</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65.12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58.04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89.13%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项目覆盖县</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项目覆盖区</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项目质量</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促进社会科技事业发展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持续影响科技事业发展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补助企业满意度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项目管理严格，总体进度良好，效益明显。正在逐步完成各项预定的目标和任务，有一定的经济和社会效益。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51080022T000005456744-市级科技项目专项资金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30"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技创新券专项、广元市激励企业加大研发投入后补助专项、国家高新技术和瞪羚企业认定补助专项、国家科技型中小企业入库补助专项、广元市科技创新平台补助专项、科技服务企业上规入统补助专项、高新技术企业科技特派员补助专项、农业科技特派员补助专项、省级乡村振兴服务补助专项配套、广元市科技计划专项、广元市科技合作交流专项。</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广元市科技创新券专项、广元市激励企业加大研发投入后补助专项、国家高新技术和瞪羚企业认定补助专项、国家科技型中小企业入库补助专项、广元市科技创新平台补助专项、科技服务企业上规入统补助专项、高新技术企业科技特派员补助专项、农业科技特派员补助专项、省级乡村振兴服务补助专项配套、广元市科技计划专项、广元市科技合作交流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技创新券专项、广元市激励企业加大研发投入后补助专项、国家高新技术和瞪羚企业认定补助专项、国家科技型中小企业入库补助专项、广元市科技创新平台补助专项、科技服务企业上规入统补助专项、高新技术企业科技特派员补助专项、农业科技特派员补助专项、省级乡村振兴服务补助专项配套、广元市科技计划专项、广元市科技合作交流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87.82</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87.82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84.53</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96.26%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87.82</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87.82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84.53</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96.26%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技术咨询服务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培育规上科技服务企业</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选派高新技术企业科技特派员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选派农业科技特派员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区域科技合作</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创建市级科技研发平台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市校合作</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科技展览展示</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科技成果产出</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科技合作协议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2.7</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各项考核验收</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组织企业参加科技展览展示完成时间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开展市校合作完成时间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开展区域合作完成时间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组织签订科技合作协议完成时间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选派农业科技特派员完成时间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选派高新技术科技特派员完成时间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完成技术咨询服务时间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培育规上科技服务业完成时间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科技成果产出完成时间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创建市级科技研发平台完成时间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科技成果转化</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亿元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全社会RD投入强度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0.48</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有效国家高新技术企业</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入库国家科技型中小企业</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登记技术合同金额</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亿元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促进全社会科技创新能力提升情况</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服务市场主体满意度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科技创新券补助成本</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重点研发、科技成果转移转化引导、科技创新基地（平台）和人才项目成本）</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高新技术企业科技特派员补助</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“揭榜挂帅“项目成本</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科技合作交流资金</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省衔接推进乡村振兴科技信息员、专家服务补助专项</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企业研发后补助</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科技特派员补助</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科技创新主体培育补助</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项目管理严格，总体进度良好，效益明显，完成了各项预定的目标和任务，达到了预期的经济和社会效益。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51080022T000006555179-省级科技计划项目资金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完成广元市科技创新公共服务大数据平台——广元市科技服务直通车测试，建立科技创新公共服务体系，推动科技服务信息化。</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完成广元市科技创新公共服务大数据平台——广元市科技服务直通车测试，建立科技创新公共服务体系，推动科技服务信息化。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完成广元市科技创新公共服务大数据平台——广元市科技服务直通车测试，建立科技创新公共服务体系，推动科技服务信息化。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70.23</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21.51</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30.63%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预算执行得分调整原因：项目资金指标下达时间为2024年6月，到期时间2026年6月，按任务书工作安排，资金使用时间大多集中在2025年度。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70.23</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21.51</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30.63%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软著、论文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报告</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职称晋升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人/户</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平台具有可操作性、软件生命周期适中</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平台是否按时完成开发测试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技术及产品应用形成的公益性贡献和价值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平台是否可以长期稳定使用</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服务企业、科研人员等满意度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项目管理严格，总体进度良好，效益明显。正在逐步完成各项预定的目标和任务，有一定的经济和社会效益。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经费执行较慢。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2025年度加快预算执行。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51080022T000006795049-“三区”科技人才支持计划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涉农科技人员，更好地巩固拓展脱贫攻坚成果和全面推进乡村振兴战略</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项目支持方向主要为高等院校、科研院所、科技特派团成员、等专业技术人员到基层开展技术帮扶服务。</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涉农科技人员，更好地巩固拓展脱贫攻坚成果和全面推进乡村振兴战略</w:t>
            </w:r>
            <w:r>
              <w:rPr>
                <w:rFonts w:hint="eastAsia" w:ascii="黑体" w:hAnsi="黑体" w:eastAsia="黑体" w:cs="黑体"/>
                <w:i w:val="0"/>
                <w:color w:val="000000"/>
                <w:kern w:val="0"/>
                <w:sz w:val="18"/>
                <w:szCs w:val="18"/>
                <w:u w:val="none"/>
                <w:lang w:val="en-US" w:eastAsia="zh-CN" w:bidi="ar"/>
              </w:rPr>
              <w:t>，</w:t>
            </w:r>
            <w:r>
              <w:rPr>
                <w:rFonts w:hint="default" w:ascii="黑体" w:hAnsi="黑体" w:eastAsia="黑体" w:cs="黑体"/>
                <w:i w:val="0"/>
                <w:color w:val="000000"/>
                <w:kern w:val="0"/>
                <w:sz w:val="18"/>
                <w:szCs w:val="18"/>
                <w:u w:val="none"/>
                <w:lang w:val="en-US" w:eastAsia="zh-CN" w:bidi="ar"/>
              </w:rPr>
              <w:t>项目支持方向主要为高等院校、科研院所、科技特派团成员、等专业技术人员到基层开展技术帮扶服务。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涉农科技人员，更好地巩固拓展脱贫攻坚成果和全面推进乡村振兴战略</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项目支持方向主要为高等院校、科研院所、科技特派团成员、等专业技术人员到基层开展技术帮扶服务。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0.08</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帮扶广福村、毛坝村和桂花村</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广福村帮助川贝引种示范</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桂花村引进水果新品种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毛坝村帮助藿香、半夏和蔬菜</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平方米</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存活率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推动经济质量发展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从业带动能力</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持续推动经济质量发展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项目管理严格，总体进度良好，效益明显，完成了各项预定的目标和任务，达到了预期的经济和社会效益。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51080023T000008557091-市本级</w:t>
            </w:r>
            <w:r>
              <w:rPr>
                <w:rFonts w:hint="eastAsia" w:ascii="宋体" w:hAnsi="宋体" w:cs="宋体"/>
                <w:i w:val="0"/>
                <w:color w:val="000000"/>
                <w:kern w:val="0"/>
                <w:sz w:val="18"/>
                <w:szCs w:val="18"/>
                <w:u w:val="none"/>
                <w:lang w:val="en-US" w:eastAsia="zh-CN" w:bidi="ar"/>
              </w:rPr>
              <w:t>“两新”组织</w:t>
            </w:r>
            <w:r>
              <w:rPr>
                <w:rFonts w:ascii="宋体" w:hAnsi="宋体" w:eastAsia="宋体" w:cs="宋体"/>
                <w:i w:val="0"/>
                <w:color w:val="000000"/>
                <w:kern w:val="0"/>
                <w:sz w:val="18"/>
                <w:szCs w:val="18"/>
                <w:u w:val="none"/>
                <w:lang w:val="en-US" w:eastAsia="zh-CN" w:bidi="ar"/>
              </w:rPr>
              <w:t>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实施市科技创新综合党委，实施成果转化示范行动，实施协同创新行动，实施创新生态优化行动。</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预算执行得分调整原因：剩余项目资金用途为2025年春节慰问困难党员和打造党建示范点，尚未开展慰问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0.50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春节慰问困难党员</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通过市两新工委对行业党委的考核</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慰问完成时间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市科技型企业健康稳定发展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慰问金额</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项目管理严格，总体进度良好，效益明显，完成了各项预定的目标和任务，达到了预期的经济和社会效益。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51080023T000008691218-蜀道英才工程入选者2022年度岗位激励奖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“蜀道英才培育计划”创新创业领军人才24名，入选者所在单位一次性发放1万元人才培养经费，用与人才培养。</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“蜀道英才培育计划”创新创业领军人才24名，入选者所在单位一次性发放1万元人才培养经费，用与人才培养。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“蜀道英才培育计划”创新创业领军人才24名，入选者所在单位一次性发放1万元人才培养经费，用与人才培养。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奖励人数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奖励兑现时间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持续推动科技人才事业发展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奖励对象满意度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奖励总金额</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项目管理严格，总体进度良好，效益明显。完成了各项预定的目标和任务的100%以上，达到了预期的经济和社会效益。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51080023T000008702422-科技拔尖人才2022年度岗位激励资金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根据市委办、市政府办《关于印发&lt;关于实施新时代“蜀道英才计划”的三十八条措施&gt;的通知》文件规定，评选市科技拔尖人才55名（市科技局负责发放1名），发放岗位激励资金0.72万元。</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项目管理严格，总体进度良好，效益明显。完成了各项预定的目标和任务的100%以上，达到了预期的经济和社会效益。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项目管理严格，总体进度良好，效益明显。完成了各项预定的目标和任务的100%以上，达到了预期的经济和社会效益。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0.72</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w:t>
            </w:r>
            <w:r>
              <w:rPr>
                <w:rFonts w:hint="eastAsia" w:ascii="黑体" w:hAnsi="黑体" w:eastAsia="黑体" w:cs="黑体"/>
                <w:i/>
                <w:color w:val="000000"/>
                <w:kern w:val="0"/>
                <w:sz w:val="18"/>
                <w:szCs w:val="18"/>
                <w:u w:val="none"/>
                <w:lang w:val="en-US" w:eastAsia="zh-CN" w:bidi="ar"/>
              </w:rPr>
              <w:t>，</w:t>
            </w:r>
            <w:r>
              <w:rPr>
                <w:rFonts w:hint="default" w:ascii="黑体" w:hAnsi="黑体" w:eastAsia="黑体" w:cs="黑体"/>
                <w:i/>
                <w:color w:val="000000"/>
                <w:kern w:val="0"/>
                <w:sz w:val="18"/>
                <w:szCs w:val="18"/>
                <w:u w:val="none"/>
                <w:lang w:val="en-US" w:eastAsia="zh-CN" w:bidi="ar"/>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0.72</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0.72</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奖励人数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促进科技人才高质量增长</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奖励对象满意度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奖励金额</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项目管理严格，总体进度良好，效益明显。完成了各项预定的目标和任务的100%以上，达到了预期的经济和社会效益。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51080023T000009760351-2023重点产业专班—装备制造业专班经费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统筹我市装备制造产业新旧动能转换，通过产业提档升级和招商引资，促进产业强链、补链、延链，引领产业实现高质量发展，推动产业迈向价值链中高端，助力广元经济社会高质量发展。</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本单位从预期目标的制定、项目的组织实施到完成情况，进行了认真总结与综合评价，我局科技合作交流项目严格按照要求实施，所有项目按时高质量完成目标值。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本单位从预期目标的制定、项目的组织实施到完成情况，进行了认真总结与综合评价，我局科技合作交流项目严格按照要求实施，所有项目按时高质量完成目标值。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55.93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55.93</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30.41</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54.37%</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项目资金执行期2年，到期日为2025年12月31日。已完成2024年预算执行进度。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55.93</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55.93</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30.41</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54.37%</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招商洽谈</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签约项目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装备制造产业高效长足发展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打造欣欣向上的装备制造产业发展环境</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企业家满意率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1.开展招商引资活动：专班工作人员外出招商住宿、交通、差旅补贴等费用，接待企业、院所来广考察相关费用。2.专班日常活动开展：调研走访企业相关费用、专班会议资料打印费用等。</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300000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本单位从预期目标的制定、项目的组织实施到完成情况，进行了认真总结与综合评价，我局科技合作交流项目严格按照要求实施，所有项目按时高质量完成目标值。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51080025T000012243317-“三区”科技人才支持计划（中央）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涉农科技人员，更好地巩固拓展脱贫攻坚成果和全面推进乡村振兴战略</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项目支持方向主要为高等院校、科研院所、科技特派团成员、等专业技术人员到基层开展技术帮扶服务。</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涉农科技人员，更好地巩固拓展脱贫攻坚成果和全面推进乡村振兴战略</w:t>
            </w:r>
            <w:r>
              <w:rPr>
                <w:rFonts w:hint="eastAsia" w:ascii="黑体" w:hAnsi="黑体" w:eastAsia="黑体" w:cs="黑体"/>
                <w:i w:val="0"/>
                <w:color w:val="000000"/>
                <w:kern w:val="0"/>
                <w:sz w:val="18"/>
                <w:szCs w:val="18"/>
                <w:u w:val="none"/>
                <w:lang w:val="en-US" w:eastAsia="zh-CN" w:bidi="ar"/>
              </w:rPr>
              <w:t>，</w:t>
            </w:r>
            <w:r>
              <w:rPr>
                <w:rFonts w:hint="default" w:ascii="黑体" w:hAnsi="黑体" w:eastAsia="黑体" w:cs="黑体"/>
                <w:i w:val="0"/>
                <w:color w:val="000000"/>
                <w:kern w:val="0"/>
                <w:sz w:val="18"/>
                <w:szCs w:val="18"/>
                <w:u w:val="none"/>
                <w:lang w:val="en-US" w:eastAsia="zh-CN" w:bidi="ar"/>
              </w:rPr>
              <w:t>项目支持方向主要为高等院校、科研院所、科技特派团成员、等专业技术人员到基层开展技术帮扶服务。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涉农科技人员，更好地巩固拓展脱贫攻坚成果和全面推进乡村振兴战略</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项目支持方向主要为高等院校、科研院所、科技特派团成员、等专业技术人员到基层开展技术帮扶服务。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98.40%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98.40%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苍溪县金垭粮蔬园推广新产品</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帮扶村</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到朝天桃树村入户指导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旺苍县广福村购买营养钵</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旺苍县广福村购买菌种</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3500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苍溪县金垭粮蔬园土壤改良面积</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亩</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各项检查验收通过率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月</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帮扶村持续发展</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帮扶村满意度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帮扶成本</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该项目为“三区”科技人才项目，实施以来严格按照“三区”人才管理办法执行，主要体现在以下几个方面：一是高效完成目标任务，按量完成人才补助、积极服务目标乡村，开展多场技术培训，并且无偿赠送种子、化肥等农用物资，完成率为100%。二是建成了天麻、水果及蔬菜三个科技服务基地，带动本地产业高质量发展。三是科研成果丰硕，完成天麻新品系基源鉴定1个，发表科技论文2篇；完成省级科技成果1项，完成蔬菜新品种试验2项，完成试验报告2篇；施肥新方法1个，形成栽培新技术1套；完成蔬菜新品种试验2项，完成试验报告2篇。提高了当地优势特色产品的核心竞争力，带动项目区产业发展，实现项目区产业兴旺，为乡村振兴奠定科技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由于资金量少，仅能从事一些技术培训和生产资料，无法开展深入性研究，服务广度和深度受到很大的限制。同时受2024年7月连降阴雨，8-9月长达80天的干旱，部分天麻腐烂、蔬菜生长受阻，增收受限，影响了项目效益发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希望主管部门适当增加项目经费，给予“三区”更大更多的支持。鼓励科技人员和受援单位开展深入的应用技术研究，把更多的实用技术用于经济建设。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51080025T000012275188-市级科技计划项目和科技合作交流资金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保障省级科技计划项目申报遴选评审及中期评估，市级科技计划项目专家评审、科技创新券补助评审、科技创新平台申报评审及考核评估等工作。</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保障省级科技计划项目申报遴选评审及中期评估，市级科技计划项目专家评审、科技创新券补助评审、科技创新平台申报评审及考核评估等工作。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保障省级科技计划项目申报遴选评审及中期评估，市级科技计划项目专家评审、科技创新券补助评审、科技创新平台申报评审及考核评估等工作。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31.16</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23.41%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项目执行期两年，部分指标下达时间为2024年12月30日，预算执行分应得满分。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31.16</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23.41%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实施重点研发项目</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新增市级科技创新平台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开发新产品、新技术、新工艺</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成果转化产值</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对科技创新工作的满意度</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财政资金</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12.16</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本单位从预期目标的制定、项目的组织实施到完成情况，进行了认真总结与综合评价，我局科技合作交流项目严格按照要求实施，所有项目按时高质量完成目标值。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0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899"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8"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34"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1"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93"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396" w:type="pct"/>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51080025T000012972320-广元“”十五五“”时期全面提升科技创新能力课题研究报告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10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广元市科学技术局部门</w:t>
            </w:r>
          </w:p>
        </w:tc>
        <w:tc>
          <w:tcPr>
            <w:tcW w:w="43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8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十五五”科技创新规划研究前期重大课题调研，形成《广元“”十五五“”时期全面提升科技创新能力课题研究报告》，主要包括摸清“十四五”科技创新现状及主要成效，深入分析“”“十五五”发展新质生产力的影响因素和机遇挑战，提出未来五年科技发展总体思路与目标，明确未来五年科技创新重点任务和举措，全面梳理重大事项、重大改革、重大政策、重大项目清单。通过本调研课题的实施，为广元“十五五”科技创新规划编制了参考依据。</w:t>
            </w:r>
          </w:p>
        </w:tc>
        <w:tc>
          <w:tcPr>
            <w:tcW w:w="12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开展“”“十五五”科技创新规划研究前期重大课题调研，形成《广元“”十五五“”时期全面提升科技创新能力课题研究报告》，主要包括摸清“十四五”科技创新现状及主要成效，深入分析“”“十五五”发展新质生产力的影响因素和机遇挑战，提出未来五年科技发展总体思路与目标，明确未来五年科技创新重点任务和举措，全面梳理重大事项、重大改革、重大政策、重大项目清单。通过本调研课题的实施，为广元“十五五”科技创新规划编制了参考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1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十五五”科技创新规划研究前期重大课题调研，形成《广元“”十五五“”时期全面提升科技创新能力课题研究报告》，主要包括摸清“十四五”科技创新现状及主要成效，深入分析“”“十五五”发展新质生产力的影响因素和机遇挑战，提出未来五年科技发展总体思路与目标，明确未来五年科技创新重点任务和举措，全面梳理重大事项、重大改革、重大政策、重大项目清单。通过本调研课题的实施，为广元“十五五”科技创新规划编制了参考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0.73</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24.45%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预算执行得分调整理由：指标下达时间为2024年12月，项目执行期2年，预算执行得分按调整后计算。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0.73</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24.45%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10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形成调研报告</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篇</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科技创新能力提升</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科技创新主体</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项目经费</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20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形成《广元“十五五”时期全面提升科技创新能力课题研究报告》定稿。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课题经费执行较慢。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7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 xml:space="preserve"> 建议按照相关要求，围绕“十五五”时期科技创新能力提升和“十五五”科技创新规划编制等工作，合理合规加快使用课题结余费用。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p>
        </w:tc>
        <w:tc>
          <w:tcPr>
            <w:tcW w:w="21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p>
        </w:tc>
      </w:tr>
    </w:tbl>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199"/>
        <w:gridCol w:w="1018"/>
        <w:gridCol w:w="1338"/>
        <w:gridCol w:w="396"/>
        <w:gridCol w:w="953"/>
        <w:gridCol w:w="396"/>
        <w:gridCol w:w="861"/>
        <w:gridCol w:w="486"/>
        <w:gridCol w:w="486"/>
        <w:gridCol w:w="15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16.60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2.09</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2.09</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2.09</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2.09</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42.00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72.87</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72.87</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72.87</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72.87</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2022高层次人才工作补助和安家补助</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2022高层次人才工作补助和安家补助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2022高层次人才工作补助和安家补助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21.40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17.65</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82.48%</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bdr w:val="none" w:color="auto" w:sz="0" w:space="0"/>
                <w:lang w:val="en-US" w:eastAsia="zh-CN" w:bidi="ar"/>
              </w:rPr>
              <w:t>，预算执行率未达到90%的需说明原因：预算下达晚。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21.40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17.65</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82.48%</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工作补助人数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安家补助人数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人</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可持续影响指标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持续发展科技事业</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定性</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优</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级</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满意度指标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补助人员满意度</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安家补助和工作补助金额</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10.1</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万元</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184.98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198.58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192.11</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96.74%</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184.98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198.58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192.11</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96.74%</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206.35</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196.93</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196.93</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206.35</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196.93</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196.93</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93.58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71.74</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71.74</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70.85</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98.77%</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71.74</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71.74</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70.85</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98.77%</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83.16</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161.01</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161.01</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160.70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99.81%</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161.01</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161.01</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160.70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99.81%</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0.54</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10.88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28.50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28.50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28.36</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99.49%</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28.50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28.50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28.36</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99.49%</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724"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3"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9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8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9"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72"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广元市科学技术局部门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广元市科学技术局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31.46</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31.46</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30.47</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96.84%</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31.46</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31.46</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30.47</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96.84%</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7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7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18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w:t>
            </w:r>
          </w:p>
        </w:tc>
      </w:tr>
    </w:tbl>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9"/>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2"/>
        <w:rPr>
          <w:rFonts w:hint="eastAsia" w:ascii="Times New Roman" w:hAnsi="Times New Roman" w:cs="宋体"/>
          <w:color w:val="FF0000"/>
          <w:kern w:val="0"/>
          <w:sz w:val="32"/>
          <w:szCs w:val="32"/>
          <w:highlight w:val="yellow"/>
          <w:shd w:val="clear" w:color="auto" w:fill="FFFFFF"/>
          <w:lang w:val="zh-CN"/>
        </w:rPr>
      </w:pPr>
    </w:p>
    <w:p>
      <w:pPr>
        <w:pStyle w:val="3"/>
        <w:rPr>
          <w:rFonts w:hint="eastAsia" w:ascii="Times New Roman" w:hAnsi="Times New Roman" w:cs="宋体"/>
          <w:color w:val="FF0000"/>
          <w:kern w:val="0"/>
          <w:sz w:val="32"/>
          <w:szCs w:val="32"/>
          <w:highlight w:val="yellow"/>
          <w:shd w:val="clear" w:color="auto" w:fill="FFFFFF"/>
          <w:lang w:val="zh-CN"/>
        </w:rPr>
      </w:pPr>
    </w:p>
    <w:p>
      <w:pPr>
        <w:pStyle w:val="3"/>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pStyle w:val="2"/>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（科技拔尖人才202</w:t>
      </w:r>
      <w:r>
        <w:rPr>
          <w:rFonts w:hint="eastAsia" w:ascii="仿宋_GB2312" w:hAnsi="宋体" w:cs="Times New Roman"/>
          <w:color w:val="auto"/>
          <w:kern w:val="2"/>
          <w:sz w:val="32"/>
          <w:szCs w:val="32"/>
          <w:lang w:val="en-US" w:eastAsia="zh-CN" w:bidi="ar-SA"/>
        </w:rPr>
        <w:t>4</w:t>
      </w:r>
      <w:r>
        <w:rPr>
          <w:rFonts w:hint="eastAsia" w:ascii="仿宋_GB2312" w:hAnsi="宋体" w:eastAsia="仿宋_GB2312" w:cs="Times New Roman"/>
          <w:color w:val="auto"/>
          <w:kern w:val="2"/>
          <w:sz w:val="32"/>
          <w:szCs w:val="32"/>
          <w:lang w:val="en-US" w:eastAsia="zh-CN" w:bidi="ar-SA"/>
        </w:rPr>
        <w:t>年度岗位激励资金）</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78" w:name="_Toc19223"/>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78"/>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2" w:firstLineChars="200"/>
        <w:contextualSpacing/>
        <w:jc w:val="left"/>
        <w:textAlignment w:val="auto"/>
        <w:rPr>
          <w:rFonts w:hint="eastAsia" w:ascii="仿宋_GB2312" w:hAnsi="仿宋_GB2312" w:eastAsia="仿宋_GB2312" w:cs="仿宋_GB2312"/>
          <w:b/>
          <w:color w:val="auto"/>
          <w:sz w:val="32"/>
          <w:szCs w:val="32"/>
          <w:highlight w:val="none"/>
          <w:u w:val="none"/>
          <w:lang w:val="zh-CN"/>
        </w:rPr>
      </w:pPr>
      <w:r>
        <w:rPr>
          <w:rFonts w:hint="eastAsia" w:ascii="仿宋_GB2312" w:hAnsi="仿宋_GB2312" w:eastAsia="仿宋_GB2312" w:cs="仿宋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40" w:lineRule="exact"/>
        <w:ind w:firstLine="72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根据《广元市科学技术局职能配置、内设机构和人员编制规定》</w:t>
      </w:r>
      <w:r>
        <w:rPr>
          <w:rFonts w:hint="eastAsia" w:ascii="仿宋_GB2312" w:hAnsi="仿宋_GB2312" w:eastAsia="仿宋_GB2312" w:cs="仿宋_GB2312"/>
          <w:sz w:val="32"/>
          <w:szCs w:val="32"/>
          <w:lang w:val="zh-CN" w:eastAsia="zh-CN"/>
        </w:rPr>
        <w:t>广委办函〔201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lang w:val="zh-CN" w:eastAsia="zh-CN"/>
        </w:rPr>
        <w:t>号精神，该项目在我局职能中描述：</w:t>
      </w:r>
      <w:r>
        <w:rPr>
          <w:rFonts w:hint="eastAsia" w:ascii="仿宋_GB2312" w:hAnsi="仿宋_GB2312" w:eastAsia="仿宋_GB2312" w:cs="仿宋_GB2312"/>
          <w:sz w:val="32"/>
          <w:szCs w:val="32"/>
          <w:lang w:val="zh-CN"/>
        </w:rPr>
        <w:t>会同有关部门拟订创新创业、科技人才队伍建设规划和政策，建立健全科技人才评价和激励机制，组织实施科技人才计划，推动高端科技人才队伍建设。</w:t>
      </w:r>
    </w:p>
    <w:p>
      <w:pPr>
        <w:keepNext w:val="0"/>
        <w:keepLines w:val="0"/>
        <w:pageBreakBefore w:val="0"/>
        <w:numPr>
          <w:ilvl w:val="0"/>
          <w:numId w:val="2"/>
        </w:numPr>
        <w:kinsoku/>
        <w:wordWrap/>
        <w:overflowPunct/>
        <w:topLinePunct w:val="0"/>
        <w:autoSpaceDE/>
        <w:autoSpaceDN/>
        <w:bidi w:val="0"/>
        <w:adjustRightInd w:val="0"/>
        <w:snapToGrid w:val="0"/>
        <w:spacing w:line="540" w:lineRule="exact"/>
        <w:ind w:left="0" w:leftChars="0" w:firstLine="642" w:firstLineChars="200"/>
        <w:textAlignment w:val="auto"/>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adjustRightInd w:val="0"/>
        <w:snapToGrid w:val="0"/>
        <w:spacing w:line="540" w:lineRule="exact"/>
        <w:ind w:firstLine="72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rPr>
        <w:t>根据市委办、市政府办《关于印发</w:t>
      </w:r>
      <w:r>
        <w:rPr>
          <w:rFonts w:hint="eastAsia" w:ascii="仿宋_GB2312" w:hAnsi="仿宋_GB2312" w:eastAsia="仿宋_GB2312" w:cs="仿宋_GB2312"/>
          <w:sz w:val="32"/>
          <w:szCs w:val="32"/>
          <w:lang w:val="en-US" w:eastAsia="zh-CN"/>
        </w:rPr>
        <w:t>&lt;关于实施新时代“蜀道英才计划”的三十八条措施&gt;的通知》</w:t>
      </w:r>
      <w:r>
        <w:rPr>
          <w:rFonts w:hint="eastAsia" w:ascii="仿宋_GB2312" w:hAnsi="仿宋_GB2312" w:eastAsia="仿宋_GB2312" w:cs="仿宋_GB2312"/>
          <w:sz w:val="32"/>
          <w:szCs w:val="32"/>
          <w:lang w:val="zh-CN"/>
        </w:rPr>
        <w:t>文件</w:t>
      </w:r>
      <w:r>
        <w:rPr>
          <w:rFonts w:hint="eastAsia" w:ascii="仿宋_GB2312" w:hAnsi="仿宋_GB2312" w:eastAsia="仿宋_GB2312" w:cs="仿宋_GB2312"/>
          <w:sz w:val="32"/>
          <w:szCs w:val="32"/>
          <w:lang w:val="zh-CN" w:eastAsia="zh-CN"/>
        </w:rPr>
        <w:t>规定，评选市科技拔尖人才</w:t>
      </w:r>
      <w:r>
        <w:rPr>
          <w:rFonts w:hint="eastAsia" w:ascii="仿宋_GB2312" w:hAnsi="仿宋_GB2312" w:eastAsia="仿宋_GB2312" w:cs="仿宋_GB2312"/>
          <w:sz w:val="32"/>
          <w:szCs w:val="32"/>
          <w:lang w:val="en-US" w:eastAsia="zh-CN"/>
        </w:rPr>
        <w:t>55名（市科技局负责发放1名）</w:t>
      </w:r>
      <w:r>
        <w:rPr>
          <w:rFonts w:hint="eastAsia" w:ascii="仿宋_GB2312" w:hAnsi="仿宋_GB2312" w:eastAsia="仿宋_GB2312" w:cs="仿宋_GB2312"/>
          <w:sz w:val="32"/>
          <w:szCs w:val="32"/>
          <w:lang w:val="zh-CN" w:eastAsia="zh-CN"/>
        </w:rPr>
        <w:t>，发放</w:t>
      </w:r>
      <w:r>
        <w:rPr>
          <w:rFonts w:hint="eastAsia" w:ascii="仿宋_GB2312" w:hAnsi="仿宋_GB2312" w:eastAsia="仿宋_GB2312" w:cs="仿宋_GB2312"/>
          <w:sz w:val="32"/>
          <w:szCs w:val="32"/>
          <w:lang w:val="en-US" w:eastAsia="zh-CN"/>
        </w:rPr>
        <w:t>岗位激励资金0.72万元</w:t>
      </w:r>
      <w:r>
        <w:rPr>
          <w:rFonts w:hint="eastAsia" w:ascii="仿宋_GB2312" w:hAnsi="仿宋_GB2312" w:eastAsia="仿宋_GB2312" w:cs="仿宋_GB2312"/>
          <w:sz w:val="32"/>
          <w:szCs w:val="32"/>
          <w:lang w:val="zh-CN"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2" w:firstLineChars="200"/>
        <w:contextualSpacing/>
        <w:jc w:val="left"/>
        <w:textAlignment w:val="auto"/>
        <w:rPr>
          <w:rFonts w:hint="eastAsia" w:ascii="仿宋_GB2312" w:hAnsi="仿宋_GB2312" w:eastAsia="仿宋_GB2312" w:cs="仿宋_GB2312"/>
          <w:b/>
          <w:color w:val="auto"/>
          <w:sz w:val="32"/>
          <w:szCs w:val="32"/>
          <w:highlight w:val="none"/>
          <w:u w:val="none"/>
          <w:lang w:val="zh-CN" w:eastAsia="zh-CN"/>
        </w:rPr>
      </w:pPr>
      <w:r>
        <w:rPr>
          <w:rFonts w:hint="eastAsia" w:ascii="仿宋_GB2312" w:hAnsi="仿宋_GB2312" w:eastAsia="仿宋_GB2312" w:cs="仿宋_GB2312"/>
          <w:b/>
          <w:color w:val="auto"/>
          <w:sz w:val="32"/>
          <w:szCs w:val="32"/>
          <w:highlight w:val="none"/>
          <w:u w:val="none"/>
          <w:lang w:val="zh-CN" w:eastAsia="zh-CN"/>
        </w:rPr>
        <w:t>（三）</w:t>
      </w:r>
      <w:r>
        <w:rPr>
          <w:rFonts w:hint="eastAsia" w:ascii="仿宋_GB2312" w:hAnsi="仿宋_GB2312" w:eastAsia="仿宋_GB2312" w:cs="仿宋_GB2312"/>
          <w:b/>
          <w:color w:val="auto"/>
          <w:sz w:val="32"/>
          <w:szCs w:val="32"/>
          <w:highlight w:val="none"/>
          <w:u w:val="none"/>
          <w:lang w:val="en-US" w:eastAsia="zh-CN"/>
        </w:rPr>
        <w:t>预算安排及分配管理</w:t>
      </w:r>
      <w:r>
        <w:rPr>
          <w:rFonts w:hint="eastAsia" w:ascii="仿宋_GB2312" w:hAnsi="仿宋_GB2312" w:eastAsia="仿宋_GB2312" w:cs="仿宋_GB2312"/>
          <w:b/>
          <w:color w:val="auto"/>
          <w:sz w:val="32"/>
          <w:szCs w:val="32"/>
          <w:highlight w:val="none"/>
          <w:u w:val="none"/>
          <w:lang w:val="zh-CN" w:eastAsia="zh-CN"/>
        </w:rPr>
        <w:t>。</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广元市第十届科技拔尖人才</w:t>
      </w:r>
      <w:r>
        <w:rPr>
          <w:rFonts w:hint="eastAsia" w:ascii="仿宋_GB2312" w:hAnsi="仿宋_GB2312" w:eastAsia="仿宋_GB2312" w:cs="仿宋_GB2312"/>
          <w:sz w:val="32"/>
          <w:szCs w:val="32"/>
          <w:lang w:val="en-US" w:eastAsia="zh-CN"/>
        </w:rPr>
        <w:t>2024年度岗位激励资金0.72万元。</w:t>
      </w:r>
    </w:p>
    <w:p>
      <w:pPr>
        <w:keepNext w:val="0"/>
        <w:keepLines w:val="0"/>
        <w:pageBreakBefore w:val="0"/>
        <w:kinsoku/>
        <w:wordWrap/>
        <w:overflowPunct/>
        <w:topLinePunct w:val="0"/>
        <w:autoSpaceDE/>
        <w:autoSpaceDN/>
        <w:bidi w:val="0"/>
        <w:adjustRightInd w:val="0"/>
        <w:snapToGrid w:val="0"/>
        <w:spacing w:line="540" w:lineRule="exact"/>
        <w:ind w:left="0" w:leftChars="0" w:firstLine="642" w:firstLineChars="200"/>
        <w:textAlignment w:val="auto"/>
        <w:rPr>
          <w:rFonts w:hint="eastAsia" w:ascii="仿宋_GB2312" w:hAnsi="仿宋_GB2312" w:eastAsia="仿宋_GB2312" w:cs="仿宋_GB2312"/>
          <w:b/>
          <w:color w:val="auto"/>
          <w:sz w:val="32"/>
          <w:szCs w:val="32"/>
          <w:highlight w:val="none"/>
          <w:u w:val="none"/>
          <w:lang w:val="zh-CN" w:eastAsia="zh-CN"/>
        </w:rPr>
      </w:pPr>
      <w:r>
        <w:rPr>
          <w:rFonts w:hint="eastAsia" w:ascii="仿宋_GB2312" w:hAnsi="仿宋_GB2312" w:eastAsia="仿宋_GB2312" w:cs="仿宋_GB2312"/>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1.</w:t>
      </w:r>
      <w:r>
        <w:rPr>
          <w:rFonts w:hint="eastAsia" w:ascii="仿宋_GB2312" w:hAnsi="仿宋_GB2312" w:eastAsia="仿宋_GB2312" w:cs="仿宋_GB2312"/>
          <w:sz w:val="32"/>
          <w:szCs w:val="32"/>
          <w:lang w:val="zh-CN"/>
        </w:rPr>
        <w:t>广元市第十届科技拔尖人才</w:t>
      </w:r>
      <w:r>
        <w:rPr>
          <w:rFonts w:hint="eastAsia" w:ascii="仿宋_GB2312" w:hAnsi="仿宋_GB2312" w:eastAsia="仿宋_GB2312" w:cs="仿宋_GB2312"/>
          <w:sz w:val="32"/>
          <w:szCs w:val="32"/>
          <w:lang w:val="en-US" w:eastAsia="zh-CN"/>
        </w:rPr>
        <w:t>2023年度岗位激励资金。</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2.</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项目自评工作开展情况。项目自评采用总体评价的方法，项目管理严格，总体进度良好，效益明显。完成了各项预定的目标和任务的</w:t>
      </w:r>
      <w:r>
        <w:rPr>
          <w:rFonts w:hint="eastAsia" w:ascii="仿宋_GB2312" w:hAnsi="仿宋_GB2312" w:eastAsia="仿宋_GB2312" w:cs="仿宋_GB2312"/>
          <w:color w:val="auto"/>
          <w:kern w:val="0"/>
          <w:sz w:val="32"/>
          <w:szCs w:val="32"/>
          <w:highlight w:val="none"/>
          <w:u w:val="none"/>
          <w:shd w:val="clear" w:color="auto" w:fill="FFFFFF"/>
          <w:lang w:val="en-US" w:eastAsia="zh-CN"/>
        </w:rPr>
        <w:t>100%以上</w:t>
      </w:r>
      <w:r>
        <w:rPr>
          <w:rFonts w:hint="eastAsia" w:ascii="仿宋_GB2312" w:hAnsi="仿宋_GB2312" w:eastAsia="仿宋_GB2312" w:cs="仿宋_GB2312"/>
          <w:color w:val="auto"/>
          <w:kern w:val="0"/>
          <w:sz w:val="32"/>
          <w:szCs w:val="32"/>
          <w:highlight w:val="none"/>
          <w:u w:val="none"/>
          <w:shd w:val="clear" w:color="auto" w:fill="FFFFFF"/>
          <w:lang w:val="zh-CN" w:eastAsia="zh-CN"/>
        </w:rPr>
        <w:t>，达到了预期的经济和社会效益。评价组综合评定为优，得分</w:t>
      </w:r>
      <w:r>
        <w:rPr>
          <w:rFonts w:hint="eastAsia" w:ascii="仿宋_GB2312" w:hAnsi="仿宋_GB2312" w:eastAsia="仿宋_GB2312" w:cs="仿宋_GB2312"/>
          <w:color w:val="auto"/>
          <w:kern w:val="0"/>
          <w:sz w:val="32"/>
          <w:szCs w:val="32"/>
          <w:highlight w:val="none"/>
          <w:u w:val="none"/>
          <w:shd w:val="clear" w:color="auto" w:fill="FFFFFF"/>
          <w:lang w:val="en-US" w:eastAsia="zh-CN"/>
        </w:rPr>
        <w:t>100</w:t>
      </w:r>
      <w:r>
        <w:rPr>
          <w:rFonts w:hint="eastAsia" w:ascii="仿宋_GB2312" w:hAnsi="仿宋_GB2312" w:eastAsia="仿宋_GB2312" w:cs="仿宋_GB2312"/>
          <w:color w:val="auto"/>
          <w:kern w:val="0"/>
          <w:sz w:val="32"/>
          <w:szCs w:val="32"/>
          <w:highlight w:val="none"/>
          <w:u w:val="none"/>
          <w:shd w:val="clear" w:color="auto" w:fill="FFFFFF"/>
          <w:lang w:val="zh-CN" w:eastAsia="zh-CN"/>
        </w:rPr>
        <w:t>分。</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79" w:name="_Toc26767"/>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79"/>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自评查找出项目实施中存在的问题。</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2"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（二）预设问题及评价重点。</w:t>
      </w:r>
      <w:r>
        <w:rPr>
          <w:rFonts w:hint="eastAsia" w:ascii="仿宋_GB2312" w:hAnsi="仿宋_GB2312" w:eastAsia="仿宋_GB2312" w:cs="仿宋_GB2312"/>
          <w:sz w:val="32"/>
          <w:szCs w:val="32"/>
          <w:lang w:eastAsia="zh-CN"/>
        </w:rPr>
        <w:t>项目资金的使用是否按进度按照要求合法合规使用。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2" w:firstLineChars="200"/>
        <w:textAlignment w:val="auto"/>
        <w:outlineLvl w:val="9"/>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color w:val="auto"/>
          <w:sz w:val="32"/>
          <w:szCs w:val="32"/>
          <w:highlight w:val="none"/>
          <w:u w:val="none"/>
          <w:lang w:val="zh-CN"/>
        </w:rPr>
        <w:t>（三）评价选点。</w:t>
      </w:r>
      <w:r>
        <w:rPr>
          <w:rFonts w:hint="eastAsia" w:ascii="仿宋_GB2312" w:hAnsi="仿宋_GB2312" w:eastAsia="仿宋_GB2312" w:cs="仿宋_GB2312"/>
          <w:sz w:val="32"/>
          <w:szCs w:val="32"/>
          <w:lang w:val="zh-CN" w:eastAsia="zh-CN"/>
        </w:rPr>
        <w:t>项目绩效自评抽取</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lang w:val="zh-CN" w:eastAsia="zh-CN"/>
        </w:rPr>
        <w:t>点位。</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（四）评价方法。</w:t>
      </w:r>
      <w:r>
        <w:rPr>
          <w:rFonts w:hint="eastAsia" w:ascii="仿宋_GB2312" w:hAnsi="仿宋_GB2312" w:eastAsia="仿宋_GB2312" w:cs="仿宋_GB2312"/>
          <w:sz w:val="32"/>
          <w:szCs w:val="32"/>
          <w:lang w:val="zh-CN"/>
        </w:rPr>
        <w:t>主要</w:t>
      </w:r>
      <w:r>
        <w:rPr>
          <w:rFonts w:hint="eastAsia" w:ascii="仿宋_GB2312" w:hAnsi="仿宋_GB2312" w:eastAsia="仿宋_GB2312" w:cs="仿宋_GB2312"/>
          <w:sz w:val="32"/>
          <w:szCs w:val="32"/>
        </w:rPr>
        <w:t>采用单位自评法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color w:val="auto"/>
          <w:sz w:val="32"/>
          <w:szCs w:val="32"/>
          <w:highlight w:val="none"/>
          <w:u w:val="none"/>
          <w:lang w:val="zh-CN"/>
        </w:rPr>
        <w:t>（五）评价组织。</w:t>
      </w:r>
      <w:r>
        <w:rPr>
          <w:rFonts w:hint="eastAsia" w:ascii="仿宋_GB2312" w:hAnsi="仿宋_GB2312" w:eastAsia="仿宋_GB2312" w:cs="仿宋_GB2312"/>
          <w:sz w:val="32"/>
          <w:szCs w:val="32"/>
        </w:rPr>
        <w:t>评价组人员</w:t>
      </w:r>
      <w:r>
        <w:rPr>
          <w:rFonts w:hint="eastAsia" w:ascii="仿宋_GB2312" w:hAnsi="仿宋_GB2312" w:eastAsia="仿宋_GB2312" w:cs="仿宋_GB2312"/>
          <w:sz w:val="32"/>
          <w:szCs w:val="32"/>
          <w:lang w:eastAsia="zh-CN"/>
        </w:rPr>
        <w:t>重要由项目承担单位负责人、项目负责人、财务人员组成。</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en-US" w:eastAsia="zh-CN"/>
        </w:rPr>
      </w:pPr>
      <w:bookmarkStart w:id="80" w:name="_Toc2335"/>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80"/>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zh-CN"/>
        </w:rPr>
        <w:t>（一）</w:t>
      </w:r>
      <w:r>
        <w:rPr>
          <w:rFonts w:hint="eastAsia" w:ascii="仿宋_GB2312" w:hAnsi="仿宋_GB2312" w:eastAsia="仿宋_GB2312" w:cs="仿宋_GB2312"/>
          <w:b/>
          <w:color w:val="auto"/>
          <w:sz w:val="32"/>
          <w:szCs w:val="32"/>
          <w:highlight w:val="none"/>
          <w:u w:val="none"/>
          <w:lang w:val="en-US" w:eastAsia="zh-CN"/>
        </w:rPr>
        <w:t>通用指标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项目决策。围绕决策程序、规划论证、资金投向进行绩效分析。</w:t>
      </w:r>
    </w:p>
    <w:p>
      <w:pPr>
        <w:pStyle w:val="7"/>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color w:val="auto"/>
          <w:kern w:val="2"/>
          <w:sz w:val="32"/>
          <w:szCs w:val="32"/>
        </w:rPr>
        <w:t>制定了《广元市科学技术局财务管理制度（2014）》《广元市科学技术局经费支出审批及报销管理制度》（广科发〔2017〕68号）、《广元市科学技术局预算管理暂行办法》等，从资金来源、预算批复、资金使用、政府采购、资产管理等方面进行全方位的事前、事中、事后监管。</w:t>
      </w:r>
      <w:r>
        <w:rPr>
          <w:rFonts w:hint="eastAsia" w:ascii="仿宋_GB2312" w:hAnsi="仿宋_GB2312" w:eastAsia="仿宋_GB2312" w:cs="仿宋_GB2312"/>
          <w:color w:val="auto"/>
          <w:kern w:val="2"/>
          <w:sz w:val="32"/>
          <w:szCs w:val="32"/>
          <w:lang w:eastAsia="zh-CN"/>
        </w:rPr>
        <w:t>该</w:t>
      </w:r>
      <w:r>
        <w:rPr>
          <w:rFonts w:hint="eastAsia" w:ascii="仿宋_GB2312" w:hAnsi="仿宋_GB2312" w:eastAsia="仿宋_GB2312" w:cs="仿宋_GB2312"/>
          <w:color w:val="auto"/>
          <w:sz w:val="32"/>
          <w:szCs w:val="32"/>
          <w:lang w:val="zh-CN"/>
        </w:rPr>
        <w:t>项目严格按照管理办法执行。</w:t>
      </w:r>
    </w:p>
    <w:p>
      <w:pPr>
        <w:pStyle w:val="7"/>
        <w:keepNext w:val="0"/>
        <w:keepLines w:val="0"/>
        <w:pageBreakBefore w:val="0"/>
        <w:numPr>
          <w:ilvl w:val="0"/>
          <w:numId w:val="0"/>
        </w:numPr>
        <w:kinsoku/>
        <w:wordWrap/>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auto"/>
          <w:sz w:val="32"/>
          <w:szCs w:val="32"/>
          <w:lang w:val="zh-CN"/>
        </w:rPr>
        <w:t>项目实施以来，局财务对项目立项、实施和问题研究等全程进行了参与，确保项目实施每个环节规范有序，符合相关要求；财政局国库科严把资金审核关，对我局提请支付的每笔项目支出严格审核，从严把握资金安全；通过相关部门的通力合作，整个项目高质量推进，实现了项目立项目标，得到了社会好评，取得了良好的社会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outlineLvl w:val="9"/>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sz w:val="32"/>
          <w:szCs w:val="32"/>
          <w:lang w:val="en-US" w:eastAsia="zh-CN"/>
        </w:rPr>
        <w:t>发放</w:t>
      </w:r>
      <w:r>
        <w:rPr>
          <w:rFonts w:hint="eastAsia" w:ascii="仿宋_GB2312" w:hAnsi="仿宋_GB2312" w:eastAsia="仿宋_GB2312" w:cs="仿宋_GB2312"/>
          <w:sz w:val="32"/>
          <w:szCs w:val="32"/>
          <w:lang w:val="zh-CN"/>
        </w:rPr>
        <w:t>广元市第十届科技拔尖人才</w:t>
      </w:r>
      <w:r>
        <w:rPr>
          <w:rFonts w:hint="eastAsia" w:ascii="仿宋_GB2312" w:hAnsi="仿宋_GB2312" w:eastAsia="仿宋_GB2312" w:cs="仿宋_GB2312"/>
          <w:sz w:val="32"/>
          <w:szCs w:val="32"/>
          <w:lang w:val="en-US" w:eastAsia="zh-CN"/>
        </w:rPr>
        <w:t>2024年度岗位激励资金0.72万元。</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color w:val="auto"/>
          <w:sz w:val="32"/>
          <w:szCs w:val="32"/>
          <w:highlight w:val="none"/>
          <w:u w:val="none"/>
          <w:lang w:val="zh-CN"/>
        </w:rPr>
        <w:t>（二）</w:t>
      </w:r>
      <w:r>
        <w:rPr>
          <w:rFonts w:hint="eastAsia" w:ascii="仿宋_GB2312" w:hAnsi="仿宋_GB2312" w:eastAsia="仿宋_GB2312" w:cs="仿宋_GB2312"/>
          <w:b/>
          <w:color w:val="auto"/>
          <w:sz w:val="32"/>
          <w:szCs w:val="32"/>
          <w:highlight w:val="none"/>
          <w:u w:val="none"/>
          <w:lang w:val="en-US" w:eastAsia="zh-CN"/>
        </w:rPr>
        <w:t>专用指标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color w:val="auto"/>
          <w:sz w:val="32"/>
          <w:szCs w:val="32"/>
          <w:lang w:eastAsia="zh-CN"/>
        </w:rPr>
        <w:t>围绕符合性、成长性、经济性进行绩效分析。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highlight w:val="none"/>
          <w:u w:val="none"/>
          <w:lang w:val="zh-CN"/>
        </w:rPr>
        <w:t>（三）</w:t>
      </w:r>
      <w:r>
        <w:rPr>
          <w:rFonts w:hint="eastAsia" w:ascii="仿宋_GB2312" w:hAnsi="仿宋_GB2312" w:eastAsia="仿宋_GB2312" w:cs="仿宋_GB2312"/>
          <w:b/>
          <w:color w:val="auto"/>
          <w:sz w:val="32"/>
          <w:szCs w:val="32"/>
          <w:highlight w:val="none"/>
          <w:u w:val="none"/>
          <w:lang w:val="en-US" w:eastAsia="zh-CN"/>
        </w:rPr>
        <w:t>个性指标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81" w:name="_Toc8632"/>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81"/>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100分，其中，通用指标得分54分，专用指标得分30分，个性指标得分16分。</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项目管理严格，总体进度良好，效益明显。完成了各项预定的目标和任务的</w:t>
      </w:r>
      <w:r>
        <w:rPr>
          <w:rFonts w:hint="eastAsia" w:ascii="仿宋_GB2312" w:hAnsi="仿宋_GB2312" w:eastAsia="仿宋_GB2312" w:cs="仿宋_GB2312"/>
          <w:color w:val="auto"/>
          <w:kern w:val="0"/>
          <w:sz w:val="32"/>
          <w:szCs w:val="32"/>
          <w:highlight w:val="none"/>
          <w:u w:val="none"/>
          <w:shd w:val="clear" w:color="auto" w:fill="FFFFFF"/>
          <w:lang w:val="en-US" w:eastAsia="zh-CN"/>
        </w:rPr>
        <w:t>100%以上</w:t>
      </w:r>
      <w:r>
        <w:rPr>
          <w:rFonts w:hint="eastAsia" w:ascii="仿宋_GB2312" w:hAnsi="仿宋_GB2312" w:eastAsia="仿宋_GB2312" w:cs="仿宋_GB2312"/>
          <w:color w:val="auto"/>
          <w:kern w:val="0"/>
          <w:sz w:val="32"/>
          <w:szCs w:val="32"/>
          <w:highlight w:val="none"/>
          <w:u w:val="none"/>
          <w:shd w:val="clear" w:color="auto" w:fill="FFFFFF"/>
          <w:lang w:val="zh-CN" w:eastAsia="zh-CN"/>
        </w:rPr>
        <w:t>，达到了预期的经济和社会效益。</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82" w:name="_Toc31104"/>
      <w:r>
        <w:rPr>
          <w:rFonts w:hint="eastAsia" w:ascii="黑体" w:hAnsi="黑体" w:eastAsia="黑体" w:cs="Times New Roman"/>
          <w:color w:val="auto"/>
          <w:sz w:val="32"/>
          <w:szCs w:val="32"/>
          <w:highlight w:val="none"/>
          <w:lang w:eastAsia="zh-CN"/>
        </w:rPr>
        <w:t>五、存在主要问题</w:t>
      </w:r>
      <w:bookmarkEnd w:id="82"/>
    </w:p>
    <w:p>
      <w:pPr>
        <w:pStyle w:val="2"/>
        <w:keepNext w:val="0"/>
        <w:keepLines w:val="0"/>
        <w:pageBreakBefore w:val="0"/>
        <w:numPr>
          <w:ilvl w:val="0"/>
          <w:numId w:val="0"/>
        </w:numPr>
        <w:tabs>
          <w:tab w:val="left" w:pos="2160"/>
        </w:tabs>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83" w:name="_Toc7198"/>
      <w:r>
        <w:rPr>
          <w:rFonts w:hint="eastAsia" w:ascii="黑体" w:hAnsi="黑体" w:eastAsia="黑体" w:cs="Times New Roman"/>
          <w:color w:val="auto"/>
          <w:sz w:val="32"/>
          <w:szCs w:val="32"/>
          <w:highlight w:val="none"/>
          <w:lang w:val="zh-CN" w:eastAsia="zh-CN"/>
        </w:rPr>
        <w:t>六、改进建议</w:t>
      </w:r>
      <w:bookmarkEnd w:id="83"/>
    </w:p>
    <w:p>
      <w:pPr>
        <w:keepNext w:val="0"/>
        <w:keepLines w:val="0"/>
        <w:pageBreakBefore w:val="0"/>
        <w:tabs>
          <w:tab w:val="left" w:pos="1911"/>
        </w:tabs>
        <w:kinsoku/>
        <w:wordWrap/>
        <w:overflowPunct/>
        <w:topLinePunct w:val="0"/>
        <w:autoSpaceDE/>
        <w:autoSpaceDN/>
        <w:bidi w:val="0"/>
        <w:spacing w:line="540" w:lineRule="exact"/>
        <w:ind w:firstLine="640"/>
        <w:jc w:val="left"/>
        <w:textAlignment w:val="auto"/>
        <w:rPr>
          <w:rFonts w:hint="eastAsia" w:ascii="仿宋_GB2312" w:hAnsi="仿宋_GB2312" w:eastAsia="仿宋_GB2312" w:cs="仿宋_GB2312"/>
          <w:b w:val="0"/>
          <w:bCs w:val="0"/>
          <w:kern w:val="0"/>
          <w:position w:val="0"/>
          <w:sz w:val="32"/>
          <w:szCs w:val="32"/>
          <w:highlight w:val="none"/>
          <w:lang w:val="en-US" w:eastAsia="zh-CN" w:bidi="ar-SA"/>
        </w:rPr>
      </w:pPr>
      <w:bookmarkStart w:id="84" w:name="_Hlk110546638"/>
      <w:r>
        <w:rPr>
          <w:rFonts w:hint="eastAsia" w:ascii="仿宋_GB2312" w:hAnsi="仿宋_GB2312" w:eastAsia="仿宋_GB2312" w:cs="仿宋_GB2312"/>
          <w:b w:val="0"/>
          <w:bCs w:val="0"/>
          <w:kern w:val="0"/>
          <w:position w:val="0"/>
          <w:sz w:val="32"/>
          <w:szCs w:val="32"/>
          <w:highlight w:val="none"/>
          <w:lang w:val="en-US" w:eastAsia="zh-CN" w:bidi="ar-SA"/>
        </w:rPr>
        <w:t>无</w:t>
      </w:r>
      <w:bookmarkEnd w:id="84"/>
      <w:r>
        <w:rPr>
          <w:rFonts w:hint="eastAsia" w:ascii="仿宋_GB2312" w:hAnsi="仿宋_GB2312" w:eastAsia="仿宋_GB2312" w:cs="仿宋_GB2312"/>
          <w:b w:val="0"/>
          <w:bCs w:val="0"/>
          <w:kern w:val="0"/>
          <w:position w:val="0"/>
          <w:sz w:val="32"/>
          <w:szCs w:val="32"/>
          <w:highlight w:val="none"/>
          <w:lang w:val="en-US" w:eastAsia="zh-CN" w:bidi="ar-SA"/>
        </w:rPr>
        <w:t>。</w:t>
      </w:r>
    </w:p>
    <w:p>
      <w:pPr>
        <w:pStyle w:val="2"/>
        <w:ind w:firstLine="640"/>
        <w:rPr>
          <w:rFonts w:hint="eastAsia"/>
          <w:lang w:val="zh-CN" w:eastAsia="zh-CN"/>
        </w:rPr>
      </w:pPr>
    </w:p>
    <w:p>
      <w:pPr>
        <w:pStyle w:val="3"/>
        <w:rPr>
          <w:rFonts w:hint="eastAsia"/>
          <w:lang w:val="zh-CN" w:eastAsia="zh-CN"/>
        </w:rPr>
      </w:pPr>
    </w:p>
    <w:p>
      <w:pPr>
        <w:pStyle w:val="3"/>
        <w:rPr>
          <w:rFonts w:hint="eastAsia"/>
          <w:lang w:val="zh-CN" w:eastAsia="zh-CN"/>
        </w:rPr>
      </w:pPr>
    </w:p>
    <w:p>
      <w:pPr>
        <w:pStyle w:val="3"/>
        <w:rPr>
          <w:rFonts w:hint="eastAsia"/>
          <w:lang w:val="zh-CN" w:eastAsia="zh-CN"/>
        </w:rPr>
      </w:pPr>
    </w:p>
    <w:p>
      <w:pPr>
        <w:pStyle w:val="3"/>
        <w:rPr>
          <w:rFonts w:hint="eastAsia"/>
          <w:lang w:val="zh-CN" w:eastAsia="zh-CN"/>
        </w:rPr>
      </w:pPr>
    </w:p>
    <w:p>
      <w:pPr>
        <w:pStyle w:val="3"/>
        <w:rPr>
          <w:rFonts w:hint="eastAsia"/>
          <w:lang w:val="zh-CN" w:eastAsia="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color w:val="auto"/>
          <w:sz w:val="44"/>
          <w:szCs w:val="44"/>
          <w:lang w:val="en-US" w:eastAsia="zh-CN"/>
        </w:rPr>
      </w:pPr>
      <w:r>
        <w:rPr>
          <w:rFonts w:hint="eastAsia" w:eastAsia="方正小标宋简体" w:cs="Times New Roman"/>
          <w:color w:val="auto"/>
          <w:kern w:val="2"/>
          <w:sz w:val="44"/>
          <w:szCs w:val="44"/>
          <w:lang w:val="en-US" w:eastAsia="zh-CN" w:bidi="ar-SA"/>
        </w:rPr>
        <w:t>关于广元推动“四区”振兴发展科普能力提升</w:t>
      </w:r>
      <w:r>
        <w:rPr>
          <w:rFonts w:hint="default" w:ascii="Times New Roman" w:hAnsi="Times New Roman" w:eastAsia="方正小标宋简体" w:cs="Times New Roman"/>
          <w:color w:val="auto"/>
          <w:kern w:val="2"/>
          <w:sz w:val="44"/>
          <w:szCs w:val="44"/>
          <w:lang w:val="zh-CN" w:eastAsia="zh-CN" w:bidi="ar-SA"/>
        </w:rPr>
        <w:t>项目支出绩效自评报告</w:t>
      </w:r>
    </w:p>
    <w:p>
      <w:pPr>
        <w:pStyle w:val="38"/>
        <w:keepNext w:val="0"/>
        <w:keepLines w:val="0"/>
        <w:pageBreakBefore w:val="0"/>
        <w:widowControl w:val="0"/>
        <w:kinsoku/>
        <w:wordWrap/>
        <w:overflowPunct/>
        <w:topLinePunct w:val="0"/>
        <w:autoSpaceDE/>
        <w:autoSpaceDN/>
        <w:bidi w:val="0"/>
        <w:spacing w:line="576" w:lineRule="exact"/>
        <w:jc w:val="center"/>
        <w:textAlignment w:val="auto"/>
        <w:rPr>
          <w:rFonts w:hint="eastAsia" w:ascii="楷体_GB2312" w:hAnsi="楷体_GB2312" w:eastAsia="楷体_GB2312" w:cs="楷体_GB2312"/>
          <w:color w:val="auto"/>
          <w:kern w:val="2"/>
          <w:sz w:val="32"/>
          <w:szCs w:val="32"/>
          <w:highlight w:val="none"/>
        </w:rPr>
      </w:pPr>
      <w:r>
        <w:rPr>
          <w:rFonts w:hint="eastAsia" w:ascii="楷体_GB2312" w:hAnsi="楷体_GB2312" w:eastAsia="楷体_GB2312" w:cs="楷体_GB2312"/>
          <w:color w:val="auto"/>
          <w:kern w:val="2"/>
          <w:sz w:val="32"/>
          <w:szCs w:val="32"/>
          <w:lang w:val="en-US" w:eastAsia="zh-CN" w:bidi="ar-SA"/>
        </w:rPr>
        <w:t>（省科普培训项目）</w:t>
      </w:r>
    </w:p>
    <w:p>
      <w:pPr>
        <w:keepNext w:val="0"/>
        <w:keepLines w:val="0"/>
        <w:pageBreakBefore w:val="0"/>
        <w:widowControl w:val="0"/>
        <w:kinsoku/>
        <w:wordWrap/>
        <w:overflowPunct/>
        <w:topLinePunct w:val="0"/>
        <w:autoSpaceDE/>
        <w:autoSpaceDN/>
        <w:bidi w:val="0"/>
        <w:adjustRightInd w:val="0"/>
        <w:snapToGrid w:val="0"/>
        <w:spacing w:line="540" w:lineRule="exact"/>
        <w:ind w:firstLine="420" w:firstLineChars="200"/>
        <w:jc w:val="left"/>
        <w:textAlignment w:val="auto"/>
        <w:rPr>
          <w:rFonts w:hint="eastAsia" w:ascii="黑体" w:hAnsi="宋体" w:eastAsia="黑体"/>
          <w:color w:val="auto"/>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85" w:name="_Toc19029"/>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85"/>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86" w:name="_Toc424"/>
      <w:r>
        <w:rPr>
          <w:rFonts w:hint="eastAsia" w:ascii="黑体" w:hAnsi="黑体" w:eastAsia="黑体" w:cs="Times New Roman"/>
          <w:color w:val="auto"/>
          <w:sz w:val="32"/>
          <w:szCs w:val="32"/>
          <w:highlight w:val="none"/>
          <w:lang w:val="zh-CN"/>
        </w:rPr>
        <w:t>（一）设立背景及基本情况</w:t>
      </w:r>
      <w:bookmarkEnd w:id="86"/>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党的二十大报告概括提出并深入阐述中国式现代化理论，中国式现代化是全体人民共同富裕的现代化，是物质文明和精神文明相协调的现代化，这就需要不断提高全体人民的科学文化素养素质。2016年，习近平总书记全国科技创新大会、两院院士大会、中国科协第九次全国代表大会上讲话指出：“科技创新、科学普及是实现创新发展的两翼，要把科学普及放在与科技创新同等重要的位置。”这就要求市、县两级科技工作者不断加强科普工作，建立和完善科普工作制度，加强科普人才库的建设，创新开展区域科普活动，不断缩小城乡人民科普素质差距。</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87" w:name="_Toc18749"/>
      <w:r>
        <w:rPr>
          <w:rFonts w:hint="eastAsia" w:ascii="黑体" w:hAnsi="黑体" w:eastAsia="黑体" w:cs="Times New Roman"/>
          <w:color w:val="auto"/>
          <w:sz w:val="32"/>
          <w:szCs w:val="32"/>
          <w:highlight w:val="none"/>
          <w:lang w:val="zh-CN"/>
        </w:rPr>
        <w:t>（二）</w:t>
      </w:r>
      <w:r>
        <w:rPr>
          <w:rFonts w:hint="eastAsia" w:ascii="黑体" w:hAnsi="黑体" w:eastAsia="黑体" w:cs="Times New Roman"/>
          <w:color w:val="auto"/>
          <w:sz w:val="32"/>
          <w:szCs w:val="32"/>
          <w:highlight w:val="none"/>
          <w:lang w:val="en-US" w:eastAsia="zh-CN"/>
        </w:rPr>
        <w:t>实施目的及支持方向</w:t>
      </w:r>
      <w:bookmarkEnd w:id="87"/>
    </w:p>
    <w:p>
      <w:pPr>
        <w:keepNext w:val="0"/>
        <w:keepLines w:val="0"/>
        <w:pageBreakBefore w:val="0"/>
        <w:widowControl/>
        <w:kinsoku/>
        <w:wordWrap/>
        <w:overflowPunct/>
        <w:topLinePunct w:val="0"/>
        <w:autoSpaceDE/>
        <w:autoSpaceDN w:val="0"/>
        <w:bidi w:val="0"/>
        <w:adjustRightInd w:val="0"/>
        <w:snapToGrid w:val="0"/>
        <w:spacing w:line="540" w:lineRule="exact"/>
        <w:ind w:firstLine="640" w:firstLineChars="200"/>
        <w:jc w:val="left"/>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建立科普工作联席会议制度并完善职能，形成涵盖多部门的科普工作联动机制；对广元区域内的科普资源、科普人才、科普平台进行普查与整体规划，形成融合发展格局；建立广元科普人才库，培养备案“天府科普使者”40名以上；加快科普基地建设与作用发挥，形成具有广元特色的科普基地达标体系；持续开展科普培训活动，组织开展科技活动周、科普活动月等大型科普活动4场次以上，一般性科普培训20场次以上，培训2000余人次。</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88" w:name="_Toc20356"/>
      <w:r>
        <w:rPr>
          <w:rFonts w:hint="eastAsia" w:ascii="黑体" w:hAnsi="黑体" w:eastAsia="黑体" w:cs="Times New Roman"/>
          <w:color w:val="auto"/>
          <w:sz w:val="32"/>
          <w:szCs w:val="32"/>
          <w:highlight w:val="none"/>
          <w:lang w:val="zh-CN" w:eastAsia="zh-CN"/>
        </w:rPr>
        <w:t>（三）</w:t>
      </w:r>
      <w:r>
        <w:rPr>
          <w:rFonts w:hint="eastAsia" w:ascii="黑体" w:hAnsi="黑体" w:eastAsia="黑体" w:cs="Times New Roman"/>
          <w:color w:val="auto"/>
          <w:sz w:val="32"/>
          <w:szCs w:val="32"/>
          <w:highlight w:val="none"/>
          <w:lang w:val="en-US" w:eastAsia="zh-CN"/>
        </w:rPr>
        <w:t>预算安排及分配管理</w:t>
      </w:r>
      <w:bookmarkEnd w:id="88"/>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本项目由广元市科技创新服务中心牵头实施，广元市科技信息研究所为合作单位。根据项目的计划进度和阶段目标进行预算安排及分配管理。</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89" w:name="_Toc29833"/>
      <w:r>
        <w:rPr>
          <w:rFonts w:hint="eastAsia" w:ascii="黑体" w:hAnsi="黑体" w:eastAsia="黑体" w:cs="Times New Roman"/>
          <w:color w:val="auto"/>
          <w:sz w:val="32"/>
          <w:szCs w:val="32"/>
          <w:highlight w:val="none"/>
          <w:lang w:val="zh-CN" w:eastAsia="zh-CN"/>
        </w:rPr>
        <w:t>（四）项目绩效目标设置</w:t>
      </w:r>
      <w:bookmarkEnd w:id="89"/>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1.建立科普工作联席会议制度并完善职能，形成涵盖多部门的科普工作联动机制；对广元区域内的科普资源、科普人才、科普平台进行普查与整体规划，形成融合发展格局；建立广元科普人才库，培养备案“天府科普使者”40名以上；加快科普基地建设与作用发挥，形成具有广元特色的科普基地达标体系；持续开展科普培训活动，组织开展科技活动周、科普活动月等大型科普活动4场次以上，一般性科普培训20场次以上，培训2000余人次。</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2.</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项目自评工作开展情况。项目管理严格，总体进度较为缓慢。截至</w:t>
      </w:r>
      <w:r>
        <w:rPr>
          <w:rFonts w:hint="eastAsia" w:ascii="仿宋_GB2312" w:hAnsi="仿宋_GB2312" w:eastAsia="仿宋_GB2312" w:cs="仿宋_GB2312"/>
          <w:color w:val="auto"/>
          <w:kern w:val="0"/>
          <w:sz w:val="32"/>
          <w:szCs w:val="32"/>
          <w:highlight w:val="none"/>
          <w:u w:val="none"/>
          <w:shd w:val="clear" w:color="auto" w:fill="FFFFFF"/>
          <w:lang w:val="en-US" w:eastAsia="zh-CN"/>
        </w:rPr>
        <w:t>4月15日，</w:t>
      </w:r>
      <w:r>
        <w:rPr>
          <w:rFonts w:hint="eastAsia" w:ascii="仿宋_GB2312" w:hAnsi="仿宋_GB2312" w:eastAsia="仿宋_GB2312" w:cs="仿宋_GB2312"/>
          <w:color w:val="auto"/>
          <w:kern w:val="0"/>
          <w:sz w:val="32"/>
          <w:szCs w:val="32"/>
          <w:highlight w:val="none"/>
          <w:u w:val="none"/>
          <w:shd w:val="clear" w:color="auto" w:fill="FFFFFF"/>
          <w:lang w:val="zh-CN" w:eastAsia="zh-CN"/>
        </w:rPr>
        <w:t>完成了预算的</w:t>
      </w:r>
      <w:r>
        <w:rPr>
          <w:rFonts w:hint="eastAsia" w:ascii="仿宋_GB2312" w:hAnsi="仿宋_GB2312" w:eastAsia="仿宋_GB2312" w:cs="仿宋_GB2312"/>
          <w:color w:val="auto"/>
          <w:kern w:val="0"/>
          <w:sz w:val="32"/>
          <w:szCs w:val="32"/>
          <w:highlight w:val="none"/>
          <w:u w:val="none"/>
          <w:shd w:val="clear" w:color="auto" w:fill="FFFFFF"/>
          <w:lang w:val="en-US" w:eastAsia="zh-CN"/>
        </w:rPr>
        <w:t>5.68%</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90" w:name="_Toc12569"/>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90"/>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仿宋_GB2312" w:hAnsi="仿宋_GB2312" w:eastAsia="仿宋_GB2312" w:cs="仿宋_GB2312"/>
          <w:color w:val="auto"/>
          <w:sz w:val="32"/>
          <w:szCs w:val="32"/>
        </w:rPr>
      </w:pP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color w:val="auto"/>
          <w:sz w:val="32"/>
          <w:szCs w:val="32"/>
        </w:rPr>
        <w:t>通过</w:t>
      </w: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绩效</w:t>
      </w:r>
      <w:r>
        <w:rPr>
          <w:rFonts w:hint="eastAsia" w:ascii="仿宋_GB2312" w:hAnsi="仿宋_GB2312" w:eastAsia="仿宋_GB2312" w:cs="仿宋_GB2312"/>
          <w:color w:val="auto"/>
          <w:sz w:val="32"/>
          <w:szCs w:val="32"/>
          <w:lang w:eastAsia="zh-CN"/>
        </w:rPr>
        <w:t>自评查找出项目实施中存在的问题。</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color w:val="auto"/>
          <w:sz w:val="32"/>
          <w:szCs w:val="32"/>
          <w:lang w:eastAsia="zh-CN"/>
        </w:rPr>
        <w:t>项目资金的使用是否按进度按照要求合法合规使用。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jc w:val="left"/>
        <w:textAlignment w:val="auto"/>
        <w:outlineLvl w:val="9"/>
        <w:rPr>
          <w:rFonts w:hint="eastAsia" w:ascii="仿宋_GB2312" w:hAnsi="仿宋_GB2312" w:eastAsia="仿宋_GB2312" w:cs="仿宋_GB2312"/>
          <w:b w:val="0"/>
          <w:bCs/>
          <w:color w:val="auto"/>
          <w:sz w:val="32"/>
          <w:szCs w:val="32"/>
          <w:lang w:val="zh-CN" w:eastAsia="zh-CN"/>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b w:val="0"/>
          <w:bCs/>
          <w:color w:val="auto"/>
          <w:sz w:val="32"/>
          <w:szCs w:val="32"/>
          <w:lang w:val="zh-CN" w:eastAsia="zh-CN"/>
        </w:rPr>
        <w:t>苍溪县。</w:t>
      </w:r>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仿宋_GB2312" w:hAnsi="仿宋_GB2312" w:eastAsia="仿宋_GB2312" w:cs="仿宋_GB2312"/>
          <w:b w:val="0"/>
          <w:bCs/>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b w:val="0"/>
          <w:bCs/>
          <w:color w:val="auto"/>
          <w:sz w:val="32"/>
          <w:szCs w:val="32"/>
        </w:rPr>
        <w:t>单位自评</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仿宋_GB2312" w:hAnsi="仿宋_GB2312" w:eastAsia="仿宋_GB2312" w:cs="仿宋_GB2312"/>
          <w:bCs/>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b w:val="0"/>
          <w:bCs w:val="0"/>
          <w:color w:val="auto"/>
          <w:sz w:val="32"/>
          <w:szCs w:val="32"/>
          <w:lang w:eastAsia="zh-CN"/>
        </w:rPr>
        <w:t>按</w:t>
      </w:r>
      <w:r>
        <w:rPr>
          <w:rFonts w:hint="eastAsia" w:ascii="仿宋_GB2312" w:hAnsi="仿宋_GB2312" w:eastAsia="仿宋_GB2312" w:cs="仿宋_GB2312"/>
          <w:b w:val="0"/>
          <w:bCs w:val="0"/>
          <w:color w:val="auto"/>
          <w:sz w:val="32"/>
          <w:szCs w:val="32"/>
        </w:rPr>
        <w:t>职责分工</w:t>
      </w:r>
      <w:r>
        <w:rPr>
          <w:rFonts w:hint="eastAsia" w:ascii="仿宋_GB2312" w:hAnsi="仿宋_GB2312" w:eastAsia="仿宋_GB2312" w:cs="仿宋_GB2312"/>
          <w:b w:val="0"/>
          <w:bCs w:val="0"/>
          <w:color w:val="auto"/>
          <w:sz w:val="32"/>
          <w:szCs w:val="32"/>
          <w:lang w:eastAsia="zh-CN"/>
        </w:rPr>
        <w:t>组织。</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en-US" w:eastAsia="zh-CN"/>
        </w:rPr>
      </w:pPr>
      <w:bookmarkStart w:id="91" w:name="_Toc16127"/>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91"/>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项目决策。围绕决策程序、规划论证、资金投向进行绩效分析。</w:t>
      </w:r>
    </w:p>
    <w:p>
      <w:pPr>
        <w:pStyle w:val="7"/>
        <w:keepNext w:val="0"/>
        <w:keepLines w:val="0"/>
        <w:pageBreakBefore w:val="0"/>
        <w:kinsoku/>
        <w:wordWrap/>
        <w:overflowPunct/>
        <w:topLinePunct w:val="0"/>
        <w:autoSpaceDE/>
        <w:bidi w:val="0"/>
        <w:spacing w:line="54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color w:val="auto"/>
          <w:kern w:val="2"/>
          <w:sz w:val="32"/>
          <w:szCs w:val="32"/>
        </w:rPr>
        <w:t>制定了《广元市科学技术局财务管理制度（2014）》、《广元市科学技术局经费支出审批及报销管理制度》（广科发〔2017〕68号）、《广元市科学技术局预算管理暂行办法》等，从资金来源、预算批复、资金使用、政府采购、资产管理等方面进行全方位的事前、事中、事后监管。</w:t>
      </w:r>
      <w:r>
        <w:rPr>
          <w:rFonts w:hint="eastAsia" w:ascii="仿宋_GB2312" w:hAnsi="仿宋_GB2312" w:eastAsia="仿宋_GB2312" w:cs="仿宋_GB2312"/>
          <w:color w:val="auto"/>
          <w:kern w:val="2"/>
          <w:sz w:val="32"/>
          <w:szCs w:val="32"/>
          <w:lang w:eastAsia="zh-CN"/>
        </w:rPr>
        <w:t>该</w:t>
      </w:r>
      <w:r>
        <w:rPr>
          <w:rFonts w:hint="eastAsia" w:ascii="仿宋_GB2312" w:hAnsi="仿宋_GB2312" w:eastAsia="仿宋_GB2312" w:cs="仿宋_GB2312"/>
          <w:color w:val="auto"/>
          <w:sz w:val="32"/>
          <w:szCs w:val="32"/>
          <w:lang w:val="zh-CN"/>
        </w:rPr>
        <w:t>项目严格按照管理办法执行。</w:t>
      </w:r>
    </w:p>
    <w:p>
      <w:pPr>
        <w:pStyle w:val="7"/>
        <w:keepNext w:val="0"/>
        <w:keepLines w:val="0"/>
        <w:pageBreakBefore w:val="0"/>
        <w:numPr>
          <w:ilvl w:val="0"/>
          <w:numId w:val="0"/>
        </w:numPr>
        <w:kinsoku/>
        <w:wordWrap/>
        <w:overflowPunct/>
        <w:topLinePunct w:val="0"/>
        <w:autoSpaceDE/>
        <w:bidi w:val="0"/>
        <w:spacing w:line="54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auto"/>
          <w:sz w:val="32"/>
          <w:szCs w:val="32"/>
          <w:lang w:val="zh-CN"/>
        </w:rPr>
        <w:t>项目实施以来，局财务对项目立项、实施和问题研究等全程进行了参与，确保项目实施每个环节规范有序，符合相关要求；财政局国库科严把资金审核关，对我局提请支付的每笔项目支出严格审核，从严把握资金安全；通过相关部门的通力合作，整个项目高质量推进，实现了项目立项目标，得到了社会好评，取得了良好的社会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4.项目结果。截至目前，正在完善科普工作联席会议制度，已开展科普资源普查、科普活动月、科技活动周等活动</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color w:val="auto"/>
          <w:sz w:val="32"/>
          <w:szCs w:val="32"/>
          <w:lang w:val="zh-CN" w:eastAsia="zh-CN"/>
        </w:rPr>
        <w:t>本项目涵盖四县三区，项目资金分配均衡，资金实际支持对象符合管理要求，资金实际补贴标准符合资金管理办法规定的补助标准，资金涉及相关受益群体、支持对象满意。</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left"/>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spacing w:line="540" w:lineRule="exact"/>
        <w:ind w:firstLine="640"/>
        <w:jc w:val="left"/>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个性指标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92" w:name="_Toc14146"/>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92"/>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99分，其中，通用指标得分53分，专用指标得分30分，个性指标得分16分。</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项目管理严格，总体进度良好，效益明显。正在逐步完成各项预定的目标和任务，有一定的经济和社会效益。</w:t>
      </w:r>
      <w:r>
        <w:rPr>
          <w:rFonts w:hint="eastAsia" w:ascii="仿宋_GB2312" w:hAnsi="仿宋_GB2312" w:eastAsia="仿宋_GB2312" w:cs="仿宋_GB2312"/>
          <w:b w:val="0"/>
          <w:bCs w:val="0"/>
          <w:kern w:val="0"/>
          <w:position w:val="0"/>
          <w:sz w:val="32"/>
          <w:szCs w:val="32"/>
          <w:highlight w:val="none"/>
          <w:lang w:val="en-US" w:eastAsia="zh-CN" w:bidi="ar-SA"/>
        </w:rPr>
        <w:t>扣分原因：</w:t>
      </w:r>
      <w:r>
        <w:rPr>
          <w:rFonts w:hint="eastAsia" w:ascii="仿宋_GB2312" w:hAnsi="仿宋_GB2312" w:eastAsia="仿宋_GB2312" w:cs="仿宋_GB2312"/>
          <w:color w:val="auto"/>
          <w:sz w:val="32"/>
          <w:szCs w:val="32"/>
          <w:lang w:val="en-US" w:eastAsia="zh-CN"/>
        </w:rPr>
        <w:t>因项目执行期2年，截至</w:t>
      </w:r>
      <w:r>
        <w:rPr>
          <w:rFonts w:hint="eastAsia" w:ascii="仿宋_GB2312" w:hAnsi="仿宋_GB2312" w:eastAsia="仿宋_GB2312" w:cs="仿宋_GB2312"/>
          <w:b w:val="0"/>
          <w:bCs w:val="0"/>
          <w:color w:val="auto"/>
          <w:sz w:val="32"/>
          <w:szCs w:val="32"/>
          <w:highlight w:val="none"/>
          <w:u w:val="none"/>
          <w:lang w:val="en-US" w:eastAsia="zh-CN"/>
        </w:rPr>
        <w:t>12月31日预算执行未达到财政考核要求。</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93" w:name="_Toc25223"/>
      <w:r>
        <w:rPr>
          <w:rFonts w:hint="eastAsia" w:ascii="黑体" w:hAnsi="黑体" w:eastAsia="黑体" w:cs="Times New Roman"/>
          <w:color w:val="auto"/>
          <w:sz w:val="32"/>
          <w:szCs w:val="32"/>
          <w:highlight w:val="none"/>
          <w:lang w:eastAsia="zh-CN"/>
        </w:rPr>
        <w:t>五、存在主要问题</w:t>
      </w:r>
      <w:bookmarkEnd w:id="93"/>
    </w:p>
    <w:p>
      <w:pPr>
        <w:pStyle w:val="2"/>
        <w:keepNext w:val="0"/>
        <w:keepLines w:val="0"/>
        <w:pageBreakBefore w:val="0"/>
        <w:numPr>
          <w:ilvl w:val="0"/>
          <w:numId w:val="0"/>
        </w:numPr>
        <w:tabs>
          <w:tab w:val="left" w:pos="2160"/>
        </w:tabs>
        <w:kinsoku/>
        <w:wordWrap/>
        <w:overflowPunct/>
        <w:topLinePunct w:val="0"/>
        <w:autoSpaceDE/>
        <w:autoSpaceDN/>
        <w:bidi w:val="0"/>
        <w:adjustRightInd/>
        <w:spacing w:line="540" w:lineRule="exact"/>
        <w:ind w:firstLine="640" w:firstLineChars="200"/>
        <w:jc w:val="left"/>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94" w:name="_Toc30395"/>
      <w:r>
        <w:rPr>
          <w:rFonts w:hint="eastAsia" w:ascii="黑体" w:hAnsi="黑体" w:eastAsia="黑体" w:cs="Times New Roman"/>
          <w:color w:val="auto"/>
          <w:sz w:val="32"/>
          <w:szCs w:val="32"/>
          <w:highlight w:val="none"/>
          <w:lang w:val="zh-CN" w:eastAsia="zh-CN"/>
        </w:rPr>
        <w:t>六、改进建议</w:t>
      </w:r>
      <w:bookmarkEnd w:id="94"/>
    </w:p>
    <w:p>
      <w:pPr>
        <w:keepNext w:val="0"/>
        <w:keepLines w:val="0"/>
        <w:pageBreakBefore w:val="0"/>
        <w:tabs>
          <w:tab w:val="left" w:pos="1911"/>
        </w:tabs>
        <w:kinsoku/>
        <w:wordWrap/>
        <w:overflowPunct/>
        <w:topLinePunct w:val="0"/>
        <w:autoSpaceDE/>
        <w:bidi w:val="0"/>
        <w:spacing w:line="540" w:lineRule="exact"/>
        <w:ind w:firstLine="640"/>
        <w:jc w:val="left"/>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w:t>
      </w:r>
      <w:r>
        <w:rPr>
          <w:rFonts w:hint="eastAsia" w:ascii="仿宋_GB2312" w:hAnsi="宋体" w:cs="Times New Roman"/>
          <w:color w:val="auto"/>
          <w:kern w:val="2"/>
          <w:sz w:val="32"/>
          <w:szCs w:val="32"/>
          <w:lang w:val="en-US" w:eastAsia="zh-CN" w:bidi="ar-SA"/>
        </w:rPr>
        <w:t>市本级“两新”组织党建工作经费</w:t>
      </w:r>
      <w:r>
        <w:rPr>
          <w:rFonts w:hint="eastAsia" w:ascii="仿宋_GB2312" w:hAnsi="宋体" w:eastAsia="仿宋_GB2312" w:cs="Times New Roman"/>
          <w:color w:val="auto"/>
          <w:kern w:val="2"/>
          <w:sz w:val="32"/>
          <w:szCs w:val="32"/>
          <w:lang w:val="en-US" w:eastAsia="zh-CN" w:bidi="ar-SA"/>
        </w:rPr>
        <w:t>）</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95" w:name="_Toc16771"/>
      <w:r>
        <w:rPr>
          <w:rFonts w:hint="eastAsia" w:ascii="黑体" w:hAnsi="黑体" w:eastAsia="黑体" w:cs="Times New Roman"/>
          <w:color w:val="auto"/>
          <w:sz w:val="32"/>
          <w:szCs w:val="32"/>
          <w:highlight w:val="none"/>
          <w:lang w:val="zh-CN" w:eastAsia="zh-CN"/>
        </w:rPr>
        <w:t>一、项目概况</w:t>
      </w:r>
      <w:bookmarkEnd w:id="95"/>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96" w:name="_Toc11948"/>
      <w:r>
        <w:rPr>
          <w:rFonts w:hint="eastAsia" w:ascii="黑体" w:hAnsi="黑体" w:eastAsia="黑体" w:cs="Times New Roman"/>
          <w:color w:val="auto"/>
          <w:sz w:val="32"/>
          <w:szCs w:val="32"/>
          <w:highlight w:val="none"/>
          <w:lang w:val="zh-CN" w:eastAsia="zh-CN"/>
        </w:rPr>
        <w:t>（一）设立背景及基本情况。</w:t>
      </w:r>
      <w:bookmarkEnd w:id="96"/>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为加强党对科技工作的全面领导、扩大党在科技领域的影响力号召力，2022年9月在市委的关心和支持下，市委两新工委批准设立市科技创新综合党委，主要负责统筹指导科技创新领域“两新”组织党建工作。市两新工委下拨1万元作为市科技创新综合党委工作经费。</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default" w:ascii="仿宋_GB2312" w:hAnsi="仿宋_GB2312" w:eastAsia="仿宋_GB2312" w:cs="仿宋_GB2312"/>
          <w:b w:val="0"/>
          <w:bCs w:val="0"/>
          <w:color w:val="auto"/>
          <w:kern w:val="0"/>
          <w:position w:val="0"/>
          <w:sz w:val="32"/>
          <w:szCs w:val="32"/>
          <w:highlight w:val="none"/>
          <w:lang w:val="en-US" w:eastAsia="zh-CN" w:bidi="ar-SA"/>
        </w:rPr>
        <w:t>实施目的及支持方向</w:t>
      </w:r>
      <w:r>
        <w:rPr>
          <w:rFonts w:hint="eastAsia" w:ascii="仿宋_GB2312" w:hAnsi="仿宋_GB2312" w:eastAsia="仿宋_GB2312" w:cs="仿宋_GB2312"/>
          <w:b w:val="0"/>
          <w:bCs w:val="0"/>
          <w:color w:val="auto"/>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立足“政治引领、党建覆盖、政策宣贯、业务赋能、典型培塑、能力提升”六大职能，</w:t>
      </w:r>
      <w:r>
        <w:rPr>
          <w:rFonts w:hint="eastAsia" w:ascii="仿宋_GB2312" w:hAnsi="仿宋_GB2312" w:eastAsia="仿宋_GB2312" w:cs="仿宋_GB2312"/>
          <w:b w:val="0"/>
          <w:bCs w:val="0"/>
          <w:color w:val="auto"/>
          <w:kern w:val="0"/>
          <w:position w:val="0"/>
          <w:sz w:val="32"/>
          <w:szCs w:val="32"/>
          <w:highlight w:val="none"/>
          <w:lang w:val="en-US" w:eastAsia="zh-CN" w:bidi="ar-SA"/>
        </w:rPr>
        <w:t>引导科技创新更加聚焦聚力“四个面向”，更好服务兴广战略。</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97" w:name="_Toc5025"/>
      <w:r>
        <w:rPr>
          <w:rFonts w:hint="eastAsia" w:ascii="黑体" w:hAnsi="黑体" w:eastAsia="黑体" w:cs="Times New Roman"/>
          <w:color w:val="auto"/>
          <w:sz w:val="32"/>
          <w:szCs w:val="32"/>
          <w:highlight w:val="none"/>
          <w:lang w:val="zh-CN" w:eastAsia="zh-CN"/>
        </w:rPr>
        <w:t>（二）</w:t>
      </w:r>
      <w:r>
        <w:rPr>
          <w:rFonts w:hint="default" w:ascii="黑体" w:hAnsi="黑体" w:eastAsia="黑体" w:cs="Times New Roman"/>
          <w:color w:val="auto"/>
          <w:sz w:val="32"/>
          <w:szCs w:val="32"/>
          <w:highlight w:val="none"/>
          <w:lang w:val="en-US" w:eastAsia="zh-CN"/>
        </w:rPr>
        <w:t>预算安排及分配管理</w:t>
      </w:r>
      <w:r>
        <w:rPr>
          <w:rFonts w:hint="eastAsia" w:ascii="黑体" w:hAnsi="黑体" w:eastAsia="黑体" w:cs="Times New Roman"/>
          <w:color w:val="auto"/>
          <w:sz w:val="32"/>
          <w:szCs w:val="32"/>
          <w:highlight w:val="none"/>
          <w:lang w:val="zh-CN" w:eastAsia="zh-CN"/>
        </w:rPr>
        <w:t>。</w:t>
      </w:r>
      <w:bookmarkEnd w:id="97"/>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主要用于党建示范点打造5000元，困难党员慰问5000元。</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98" w:name="_Toc24741"/>
      <w:r>
        <w:rPr>
          <w:rFonts w:hint="eastAsia" w:ascii="黑体" w:hAnsi="黑体" w:eastAsia="黑体" w:cs="Times New Roman"/>
          <w:color w:val="auto"/>
          <w:sz w:val="32"/>
          <w:szCs w:val="32"/>
          <w:highlight w:val="none"/>
          <w:lang w:val="zh-CN" w:eastAsia="zh-CN"/>
        </w:rPr>
        <w:t>（三）项目绩效目标设置。</w:t>
      </w:r>
      <w:bookmarkEnd w:id="98"/>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1.打造党建示范点1个，慰问困难党员10人。</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项目自评工作开展情况。项目资金用于</w:t>
      </w:r>
      <w:r>
        <w:rPr>
          <w:rFonts w:hint="eastAsia" w:ascii="仿宋_GB2312" w:hAnsi="仿宋_GB2312" w:eastAsia="仿宋_GB2312" w:cs="仿宋_GB2312"/>
          <w:b w:val="0"/>
          <w:bCs w:val="0"/>
          <w:color w:val="auto"/>
          <w:kern w:val="0"/>
          <w:position w:val="0"/>
          <w:sz w:val="32"/>
          <w:szCs w:val="32"/>
          <w:highlight w:val="none"/>
          <w:lang w:val="en-US" w:eastAsia="zh-CN" w:bidi="ar-SA"/>
        </w:rPr>
        <w:t>2025年春节慰问困难党员和打造党建示范点，尚未开展慰问。</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99" w:name="_Toc16989"/>
      <w:r>
        <w:rPr>
          <w:rFonts w:hint="eastAsia" w:ascii="黑体" w:hAnsi="黑体" w:eastAsia="黑体" w:cs="Times New Roman"/>
          <w:color w:val="auto"/>
          <w:sz w:val="32"/>
          <w:szCs w:val="32"/>
          <w:highlight w:val="none"/>
          <w:lang w:val="zh-CN" w:eastAsia="zh-CN"/>
        </w:rPr>
        <w:t>二、评价实施</w:t>
      </w:r>
      <w:bookmarkEnd w:id="99"/>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w:t>
      </w: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b w:val="0"/>
          <w:bCs w:val="0"/>
          <w:color w:val="auto"/>
          <w:kern w:val="0"/>
          <w:position w:val="0"/>
          <w:sz w:val="32"/>
          <w:szCs w:val="32"/>
          <w:highlight w:val="none"/>
          <w:lang w:val="zh-CN" w:eastAsia="zh-CN" w:bidi="ar-SA"/>
        </w:rPr>
        <w:t>通过项目绩效自评查找出项目实施中存在的问题。</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b w:val="0"/>
          <w:bCs w:val="0"/>
          <w:color w:val="auto"/>
          <w:kern w:val="0"/>
          <w:position w:val="0"/>
          <w:sz w:val="32"/>
          <w:szCs w:val="32"/>
          <w:highlight w:val="none"/>
          <w:lang w:val="zh-CN" w:eastAsia="zh-CN" w:bidi="ar-SA"/>
        </w:rPr>
        <w:t>项目资金于</w:t>
      </w:r>
      <w:r>
        <w:rPr>
          <w:rFonts w:hint="eastAsia" w:ascii="仿宋_GB2312" w:hAnsi="仿宋_GB2312" w:eastAsia="仿宋_GB2312" w:cs="仿宋_GB2312"/>
          <w:b w:val="0"/>
          <w:bCs w:val="0"/>
          <w:color w:val="auto"/>
          <w:kern w:val="0"/>
          <w:position w:val="0"/>
          <w:sz w:val="32"/>
          <w:szCs w:val="32"/>
          <w:highlight w:val="none"/>
          <w:lang w:val="en-US" w:eastAsia="zh-CN" w:bidi="ar-SA"/>
        </w:rPr>
        <w:t>2024年12月下达，暂未使用。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b w:val="0"/>
          <w:bCs w:val="0"/>
          <w:color w:val="auto"/>
          <w:kern w:val="0"/>
          <w:position w:val="0"/>
          <w:sz w:val="32"/>
          <w:szCs w:val="32"/>
          <w:highlight w:val="none"/>
          <w:lang w:val="zh-CN" w:eastAsia="zh-CN" w:bidi="ar-SA"/>
        </w:rPr>
        <w:t>项目绩效自评拟抽取经开区、剑阁县点位。</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b w:val="0"/>
          <w:bCs w:val="0"/>
          <w:color w:val="auto"/>
          <w:kern w:val="0"/>
          <w:position w:val="0"/>
          <w:sz w:val="32"/>
          <w:szCs w:val="32"/>
          <w:highlight w:val="none"/>
          <w:lang w:val="zh-CN" w:eastAsia="zh-CN" w:bidi="ar-SA"/>
        </w:rPr>
        <w:t>主要采用单位自评法。</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b w:val="0"/>
          <w:bCs w:val="0"/>
          <w:color w:val="auto"/>
          <w:kern w:val="0"/>
          <w:position w:val="0"/>
          <w:sz w:val="32"/>
          <w:szCs w:val="32"/>
          <w:highlight w:val="none"/>
          <w:lang w:val="zh-CN" w:eastAsia="zh-CN" w:bidi="ar-SA"/>
        </w:rPr>
        <w:t>评价组人员重要由项目承担单位负责人、项目负责人、财务人员组成。</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en-US" w:eastAsia="zh-CN"/>
        </w:rPr>
      </w:pPr>
      <w:bookmarkStart w:id="100" w:name="_Toc19868"/>
      <w:r>
        <w:rPr>
          <w:rFonts w:hint="eastAsia" w:ascii="黑体" w:hAnsi="黑体" w:eastAsia="黑体" w:cs="Times New Roman"/>
          <w:color w:val="auto"/>
          <w:sz w:val="32"/>
          <w:szCs w:val="32"/>
          <w:highlight w:val="none"/>
          <w:lang w:val="zh-CN" w:eastAsia="zh-CN"/>
        </w:rPr>
        <w:t>三、绩效分析</w:t>
      </w:r>
      <w:bookmarkEnd w:id="100"/>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default"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w:t>
      </w:r>
      <w:r>
        <w:rPr>
          <w:rFonts w:hint="eastAsia" w:ascii="仿宋_GB2312" w:hAnsi="仿宋_GB2312" w:eastAsia="仿宋_GB2312" w:cs="仿宋_GB2312"/>
          <w:b w:val="0"/>
          <w:bCs w:val="0"/>
          <w:color w:val="auto"/>
          <w:kern w:val="0"/>
          <w:position w:val="0"/>
          <w:sz w:val="32"/>
          <w:szCs w:val="32"/>
          <w:highlight w:val="none"/>
          <w:lang w:val="zh-CN" w:eastAsia="zh-CN" w:bidi="ar-SA"/>
        </w:rPr>
        <w:t>项目决策。围绕决策程序、规划论证、资金投向进行绩效分析。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项目管理。制定了《广元市科学技术局财务管理制度（2014）》、《广元市科学技术局经费支出审批及报销管理制度》（广科发〔2017〕68号）、《广元市科学技术局预算管理暂行办法》等，从资金来源、预算批复、资金使用、政府采购、资产管理等方面进行全方位的事前、事中、事后监管。该项目严格按照管理办法执行。</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3.项目实施。</w:t>
      </w:r>
      <w:r>
        <w:rPr>
          <w:rFonts w:hint="eastAsia" w:ascii="仿宋_GB2312" w:hAnsi="仿宋_GB2312" w:eastAsia="仿宋_GB2312" w:cs="仿宋_GB2312"/>
          <w:b w:val="0"/>
          <w:bCs w:val="0"/>
          <w:color w:val="auto"/>
          <w:kern w:val="0"/>
          <w:position w:val="0"/>
          <w:sz w:val="32"/>
          <w:szCs w:val="32"/>
          <w:highlight w:val="none"/>
          <w:lang w:val="zh-CN" w:eastAsia="zh-CN" w:bidi="ar-SA"/>
        </w:rPr>
        <w:t>项目资金于</w:t>
      </w:r>
      <w:r>
        <w:rPr>
          <w:rFonts w:hint="eastAsia" w:ascii="仿宋_GB2312" w:hAnsi="仿宋_GB2312" w:eastAsia="仿宋_GB2312" w:cs="仿宋_GB2312"/>
          <w:b w:val="0"/>
          <w:bCs w:val="0"/>
          <w:color w:val="auto"/>
          <w:kern w:val="0"/>
          <w:position w:val="0"/>
          <w:sz w:val="32"/>
          <w:szCs w:val="32"/>
          <w:highlight w:val="none"/>
          <w:lang w:val="en-US" w:eastAsia="zh-CN" w:bidi="ar-SA"/>
        </w:rPr>
        <w:t>2024年12月30日下达，暂未使用。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4.项目结果。无。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default"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1.产业发展。</w:t>
      </w:r>
      <w:r>
        <w:rPr>
          <w:rFonts w:hint="eastAsia" w:ascii="仿宋_GB2312" w:hAnsi="仿宋_GB2312" w:eastAsia="仿宋_GB2312" w:cs="仿宋_GB2312"/>
          <w:b w:val="0"/>
          <w:bCs w:val="0"/>
          <w:color w:val="auto"/>
          <w:kern w:val="0"/>
          <w:position w:val="0"/>
          <w:sz w:val="32"/>
          <w:szCs w:val="32"/>
          <w:highlight w:val="none"/>
          <w:lang w:val="zh-CN" w:eastAsia="zh-CN" w:bidi="ar-SA"/>
        </w:rPr>
        <w:t>围绕符合性、成长性、经济性进行绩效分析。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2.</w:t>
      </w:r>
      <w:r>
        <w:rPr>
          <w:rFonts w:hint="eastAsia" w:ascii="仿宋_GB2312" w:hAnsi="仿宋_GB2312" w:eastAsia="仿宋_GB2312" w:cs="仿宋_GB2312"/>
          <w:b w:val="0"/>
          <w:bCs w:val="0"/>
          <w:color w:val="auto"/>
          <w:kern w:val="0"/>
          <w:position w:val="0"/>
          <w:sz w:val="32"/>
          <w:szCs w:val="32"/>
          <w:highlight w:val="none"/>
          <w:lang w:val="zh-CN" w:eastAsia="zh-CN" w:bidi="ar-SA"/>
        </w:rPr>
        <w:t>民生保障。不涉及。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3.基础设施。</w:t>
      </w:r>
      <w:r>
        <w:rPr>
          <w:rFonts w:hint="eastAsia" w:ascii="仿宋_GB2312" w:hAnsi="仿宋_GB2312" w:eastAsia="仿宋_GB2312" w:cs="仿宋_GB2312"/>
          <w:b w:val="0"/>
          <w:bCs w:val="0"/>
          <w:color w:val="auto"/>
          <w:kern w:val="0"/>
          <w:position w:val="0"/>
          <w:sz w:val="32"/>
          <w:szCs w:val="32"/>
          <w:highlight w:val="none"/>
          <w:lang w:val="zh-CN" w:eastAsia="zh-CN" w:bidi="ar-SA"/>
        </w:rPr>
        <w:t>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4.</w:t>
      </w:r>
      <w:r>
        <w:rPr>
          <w:rFonts w:hint="eastAsia" w:ascii="仿宋_GB2312" w:hAnsi="仿宋_GB2312" w:eastAsia="仿宋_GB2312" w:cs="仿宋_GB2312"/>
          <w:b w:val="0"/>
          <w:bCs w:val="0"/>
          <w:color w:val="auto"/>
          <w:kern w:val="0"/>
          <w:position w:val="0"/>
          <w:sz w:val="32"/>
          <w:szCs w:val="32"/>
          <w:highlight w:val="none"/>
          <w:lang w:val="zh-CN" w:eastAsia="zh-CN" w:bidi="ar-SA"/>
        </w:rPr>
        <w:t>行政运转。不涉及。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个性指标</w:t>
      </w:r>
      <w:r>
        <w:rPr>
          <w:rFonts w:hint="default" w:ascii="黑体" w:hAnsi="黑体" w:eastAsia="黑体" w:cs="Times New Roman"/>
          <w:color w:val="auto"/>
          <w:kern w:val="2"/>
          <w:sz w:val="32"/>
          <w:szCs w:val="32"/>
          <w:highlight w:val="none"/>
          <w:lang w:val="zh-CN" w:eastAsia="zh-CN" w:bidi="ar-SA"/>
        </w:rPr>
        <w:t>绩效分析。</w:t>
      </w:r>
      <w:r>
        <w:rPr>
          <w:rFonts w:hint="eastAsia" w:ascii="仿宋_GB2312" w:hAnsi="仿宋_GB2312" w:eastAsia="仿宋_GB2312" w:cs="仿宋_GB2312"/>
          <w:b w:val="0"/>
          <w:bCs w:val="0"/>
          <w:color w:val="auto"/>
          <w:kern w:val="0"/>
          <w:position w:val="0"/>
          <w:sz w:val="32"/>
          <w:szCs w:val="32"/>
          <w:highlight w:val="none"/>
          <w:lang w:val="zh-CN"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01" w:name="_Toc15001"/>
      <w:r>
        <w:rPr>
          <w:rFonts w:hint="eastAsia" w:ascii="黑体" w:hAnsi="黑体" w:eastAsia="黑体" w:cs="Times New Roman"/>
          <w:color w:val="auto"/>
          <w:sz w:val="32"/>
          <w:szCs w:val="32"/>
          <w:highlight w:val="none"/>
          <w:lang w:val="zh-CN" w:eastAsia="zh-CN"/>
        </w:rPr>
        <w:t>四、评价结论</w:t>
      </w:r>
      <w:bookmarkEnd w:id="101"/>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无法自评打分。</w:t>
      </w:r>
      <w:r>
        <w:rPr>
          <w:rFonts w:hint="eastAsia" w:ascii="仿宋_GB2312" w:hAnsi="仿宋_GB2312" w:eastAsia="仿宋_GB2312" w:cs="仿宋_GB2312"/>
          <w:b w:val="0"/>
          <w:bCs w:val="0"/>
          <w:color w:val="auto"/>
          <w:kern w:val="0"/>
          <w:position w:val="0"/>
          <w:sz w:val="32"/>
          <w:szCs w:val="32"/>
          <w:highlight w:val="none"/>
          <w:lang w:val="zh-CN" w:eastAsia="zh-CN" w:bidi="ar-SA"/>
        </w:rPr>
        <w:t>项目资金用于</w:t>
      </w:r>
      <w:r>
        <w:rPr>
          <w:rFonts w:hint="eastAsia" w:ascii="仿宋_GB2312" w:hAnsi="仿宋_GB2312" w:eastAsia="仿宋_GB2312" w:cs="仿宋_GB2312"/>
          <w:b w:val="0"/>
          <w:bCs w:val="0"/>
          <w:color w:val="auto"/>
          <w:kern w:val="0"/>
          <w:position w:val="0"/>
          <w:sz w:val="32"/>
          <w:szCs w:val="32"/>
          <w:highlight w:val="none"/>
          <w:lang w:val="en-US" w:eastAsia="zh-CN" w:bidi="ar-SA"/>
        </w:rPr>
        <w:t>2025年春节慰问困难党员和打造党建示范点，尚未开展慰问。</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02" w:name="_Toc10146"/>
      <w:r>
        <w:rPr>
          <w:rFonts w:hint="eastAsia" w:ascii="黑体" w:hAnsi="黑体" w:eastAsia="黑体" w:cs="Times New Roman"/>
          <w:color w:val="auto"/>
          <w:sz w:val="32"/>
          <w:szCs w:val="32"/>
          <w:highlight w:val="none"/>
          <w:lang w:val="zh-CN" w:eastAsia="zh-CN"/>
        </w:rPr>
        <w:t>五、存在主要问题</w:t>
      </w:r>
      <w:bookmarkEnd w:id="102"/>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03" w:name="_Toc25589"/>
      <w:r>
        <w:rPr>
          <w:rFonts w:hint="eastAsia" w:ascii="黑体" w:hAnsi="黑体" w:eastAsia="黑体" w:cs="Times New Roman"/>
          <w:color w:val="auto"/>
          <w:sz w:val="32"/>
          <w:szCs w:val="32"/>
          <w:highlight w:val="none"/>
          <w:lang w:val="zh-CN" w:eastAsia="zh-CN"/>
        </w:rPr>
        <w:t>六、改进建议</w:t>
      </w:r>
      <w:bookmarkEnd w:id="103"/>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2"/>
        <w:rPr>
          <w:rFonts w:hint="eastAsia"/>
          <w:lang w:val="en" w:eastAsia="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黑体"/>
          <w:sz w:val="36"/>
          <w:szCs w:val="36"/>
          <w:lang w:val="en-US" w:eastAsia="zh-CN"/>
        </w:rPr>
      </w:pPr>
      <w:r>
        <w:rPr>
          <w:rFonts w:hint="eastAsia" w:ascii="黑体" w:hAnsi="黑体" w:eastAsia="黑体" w:cs="黑体"/>
          <w:color w:val="auto"/>
          <w:kern w:val="2"/>
          <w:sz w:val="36"/>
          <w:szCs w:val="36"/>
          <w:lang w:val="en-US" w:eastAsia="zh-CN" w:bidi="ar-SA"/>
        </w:rPr>
        <w:t>2024年</w:t>
      </w:r>
      <w:r>
        <w:rPr>
          <w:rFonts w:hint="eastAsia" w:ascii="黑体" w:hAnsi="黑体" w:eastAsia="黑体" w:cs="黑体"/>
          <w:color w:val="auto"/>
          <w:kern w:val="2"/>
          <w:sz w:val="36"/>
          <w:szCs w:val="36"/>
          <w:lang w:val="zh-CN" w:eastAsia="zh-CN" w:bidi="ar-SA"/>
        </w:rPr>
        <w:t>专项预算项目支出绩效自评报告</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（“三区”科技人才专项）</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04" w:name="_Toc1639"/>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04"/>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2"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b/>
          <w:color w:val="auto"/>
          <w:sz w:val="32"/>
          <w:szCs w:val="32"/>
          <w:highlight w:val="none"/>
          <w:u w:val="none"/>
          <w:lang w:val="zh-CN"/>
        </w:rPr>
        <w:t>（一）设立背景及基本情况。</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三区”人才支持计划是国家为支持边远贫困地区、边疆民族地区和革命老区人才建设而实施的人才计划，是由个人申报、县（市）推荐、市州（评审）、省科技管理部门审核通过、并与受援单位签订实施协议的一个科技专项。该项目每三年申报一次，每位“三区”科技人员每年科技支持经费2万元。工作内容与受援单位协商，签订合作协议，按照 协议内容有序开展，县（市）科技管理部门负责日常管理。</w:t>
      </w:r>
    </w:p>
    <w:p>
      <w:pPr>
        <w:keepNext w:val="0"/>
        <w:keepLines w:val="0"/>
        <w:pageBreakBefore w:val="0"/>
        <w:numPr>
          <w:ilvl w:val="0"/>
          <w:numId w:val="3"/>
        </w:numPr>
        <w:kinsoku/>
        <w:wordWrap/>
        <w:overflowPunct/>
        <w:topLinePunct w:val="0"/>
        <w:autoSpaceDE/>
        <w:autoSpaceDN/>
        <w:bidi w:val="0"/>
        <w:adjustRightInd w:val="0"/>
        <w:snapToGrid w:val="0"/>
        <w:spacing w:line="578" w:lineRule="exact"/>
        <w:ind w:left="0" w:leftChars="0" w:firstLine="642" w:firstLineChars="200"/>
        <w:textAlignment w:val="auto"/>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pPr>
      <w:r>
        <w:rPr>
          <w:rFonts w:hint="eastAsia" w:ascii="仿宋_GB2312" w:hAnsi="仿宋_GB2312" w:eastAsia="仿宋_GB2312" w:cs="仿宋_GB2312"/>
          <w:b/>
          <w:color w:val="auto"/>
          <w:sz w:val="32"/>
          <w:szCs w:val="32"/>
          <w:highlight w:val="none"/>
          <w:u w:val="none"/>
          <w:lang w:val="en-US" w:eastAsia="zh-CN"/>
        </w:rPr>
        <w:t>实施目的及支持方向。</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项目资金由科技管理和财政部门设立资金管理办法，严格按照项目任务内容开展相关工作。2024年启动新一轮“三区”科技人才项目，面向88个“三区”县选派涉农科技人员，更好地巩固拓展脱贫攻坚成果和全面推进乡村振兴战略，项目支持方向主要为高等院校、科研院所、科技特派团成员、等专业技术人员到基层开展技术帮扶服务。</w:t>
      </w:r>
    </w:p>
    <w:p>
      <w:pPr>
        <w:keepNext w:val="0"/>
        <w:keepLines w:val="0"/>
        <w:pageBreakBefore w:val="0"/>
        <w:widowControl/>
        <w:numPr>
          <w:ilvl w:val="0"/>
          <w:numId w:val="3"/>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b/>
          <w:color w:val="auto"/>
          <w:sz w:val="32"/>
          <w:szCs w:val="32"/>
          <w:highlight w:val="none"/>
          <w:u w:val="none"/>
          <w:lang w:val="en-US" w:eastAsia="zh-CN"/>
        </w:rPr>
        <w:t>预算安排及分配管理</w:t>
      </w:r>
      <w:r>
        <w:rPr>
          <w:rFonts w:hint="eastAsia" w:ascii="仿宋_GB2312" w:hAnsi="仿宋_GB2312" w:eastAsia="仿宋_GB2312" w:cs="仿宋_GB2312"/>
          <w:b/>
          <w:color w:val="auto"/>
          <w:sz w:val="32"/>
          <w:szCs w:val="32"/>
          <w:highlight w:val="none"/>
          <w:u w:val="none"/>
          <w:lang w:val="zh-CN" w:eastAsia="zh-CN"/>
        </w:rPr>
        <w:t>。</w:t>
      </w:r>
    </w:p>
    <w:p>
      <w:pPr>
        <w:pStyle w:val="2"/>
        <w:tabs>
          <w:tab w:val="left" w:pos="2160"/>
        </w:tabs>
        <w:spacing w:before="154" w:line="307" w:lineRule="auto"/>
        <w:ind w:right="210" w:firstLine="640"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广元市</w:t>
      </w:r>
      <w:r>
        <w:rPr>
          <w:rFonts w:hint="eastAsia" w:ascii="仿宋_GB2312" w:hAnsi="仿宋_GB2312" w:eastAsia="仿宋_GB2312" w:cs="仿宋_GB2312"/>
          <w:color w:val="auto"/>
          <w:kern w:val="0"/>
          <w:position w:val="0"/>
          <w:sz w:val="32"/>
          <w:szCs w:val="32"/>
          <w:highlight w:val="none"/>
          <w:u w:val="none"/>
          <w:shd w:val="clear" w:color="auto" w:fill="FFFFFF"/>
          <w:lang w:val="zh-CN" w:eastAsia="zh-CN" w:bidi="ar-SA"/>
        </w:rPr>
        <w:t>“三区”科技人</w:t>
      </w: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才共计89名</w:t>
      </w:r>
      <w:r>
        <w:rPr>
          <w:rFonts w:hint="eastAsia" w:ascii="仿宋_GB2312" w:hAnsi="仿宋_GB2312" w:eastAsia="仿宋_GB2312" w:cs="仿宋_GB2312"/>
          <w:color w:val="auto"/>
          <w:kern w:val="0"/>
          <w:position w:val="0"/>
          <w:sz w:val="32"/>
          <w:szCs w:val="32"/>
          <w:highlight w:val="none"/>
          <w:u w:val="none"/>
          <w:shd w:val="clear" w:color="auto" w:fill="FFFFFF"/>
          <w:lang w:val="zh-CN" w:eastAsia="zh-CN" w:bidi="ar-SA"/>
        </w:rPr>
        <w:t>，</w:t>
      </w: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市科技局选派王正前、张实一、吴尚宾3人，其中王正前服务于旺苍县水磨镇广福村、张实一服务于苍溪县陵江镇金垭粮油蔬菜园区，吴尚宾服务于朝天区临溪乡桃树村</w:t>
      </w:r>
      <w:r>
        <w:rPr>
          <w:rFonts w:hint="eastAsia" w:ascii="仿宋_GB2312" w:hAnsi="仿宋_GB2312" w:eastAsia="仿宋_GB2312" w:cs="仿宋_GB2312"/>
          <w:color w:val="auto"/>
          <w:kern w:val="0"/>
          <w:position w:val="0"/>
          <w:sz w:val="32"/>
          <w:szCs w:val="32"/>
          <w:highlight w:val="none"/>
          <w:u w:val="none"/>
          <w:shd w:val="clear" w:color="auto" w:fill="FFFFFF"/>
          <w:lang w:val="zh-CN" w:eastAsia="zh-CN" w:bidi="ar-SA"/>
        </w:rPr>
        <w:t>。</w:t>
      </w: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每位“三区”科技人才每年支持项目经费2万元，主要用于购买产业发展的天麻蜜环菌、水溶肥料、种子及地膜料等农资和技术培训资料等支出。</w:t>
      </w:r>
    </w:p>
    <w:p>
      <w:pPr>
        <w:keepNext w:val="0"/>
        <w:keepLines w:val="0"/>
        <w:pageBreakBefore w:val="0"/>
        <w:numPr>
          <w:ilvl w:val="0"/>
          <w:numId w:val="3"/>
        </w:numPr>
        <w:kinsoku/>
        <w:wordWrap/>
        <w:overflowPunct/>
        <w:topLinePunct w:val="0"/>
        <w:autoSpaceDE/>
        <w:autoSpaceDN/>
        <w:bidi w:val="0"/>
        <w:adjustRightInd w:val="0"/>
        <w:snapToGrid w:val="0"/>
        <w:spacing w:line="578" w:lineRule="exact"/>
        <w:ind w:left="0" w:leftChars="0" w:firstLine="642"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b/>
          <w:color w:val="auto"/>
          <w:sz w:val="32"/>
          <w:szCs w:val="32"/>
          <w:highlight w:val="none"/>
          <w:u w:val="none"/>
          <w:lang w:val="zh-CN" w:eastAsia="zh-CN"/>
        </w:rPr>
        <w:t>项目绩效目标设置。</w:t>
      </w:r>
    </w:p>
    <w:tbl>
      <w:tblPr>
        <w:tblStyle w:val="20"/>
        <w:tblW w:w="8703" w:type="dxa"/>
        <w:tblInd w:w="93" w:type="dxa"/>
        <w:tblLayout w:type="fixed"/>
        <w:tblCellMar>
          <w:top w:w="0" w:type="dxa"/>
          <w:left w:w="108" w:type="dxa"/>
          <w:bottom w:w="0" w:type="dxa"/>
          <w:right w:w="108" w:type="dxa"/>
        </w:tblCellMar>
      </w:tblPr>
      <w:tblGrid>
        <w:gridCol w:w="3003"/>
        <w:gridCol w:w="2619"/>
        <w:gridCol w:w="3081"/>
      </w:tblGrid>
      <w:tr>
        <w:tblPrEx>
          <w:tblCellMar>
            <w:top w:w="0" w:type="dxa"/>
            <w:left w:w="108" w:type="dxa"/>
            <w:bottom w:w="0" w:type="dxa"/>
            <w:right w:w="108" w:type="dxa"/>
          </w:tblCellMar>
        </w:tblPrEx>
        <w:trPr>
          <w:trHeight w:val="479" w:hRule="atLeast"/>
        </w:trPr>
        <w:tc>
          <w:tcPr>
            <w:tcW w:w="300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三级指标</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预期指标值</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实际完成指标值</w:t>
            </w:r>
          </w:p>
        </w:tc>
      </w:tr>
      <w:tr>
        <w:tblPrEx>
          <w:tblCellMar>
            <w:top w:w="0" w:type="dxa"/>
            <w:left w:w="108" w:type="dxa"/>
            <w:bottom w:w="0" w:type="dxa"/>
            <w:right w:w="108" w:type="dxa"/>
          </w:tblCellMar>
        </w:tblPrEx>
        <w:trPr>
          <w:trHeight w:val="36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补助人数</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640" w:firstLineChars="200"/>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3人</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640" w:firstLineChars="200"/>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3人</w:t>
            </w:r>
          </w:p>
        </w:tc>
      </w:tr>
      <w:tr>
        <w:tblPrEx>
          <w:tblCellMar>
            <w:top w:w="0" w:type="dxa"/>
            <w:left w:w="108" w:type="dxa"/>
            <w:bottom w:w="0" w:type="dxa"/>
            <w:right w:w="108" w:type="dxa"/>
          </w:tblCellMar>
        </w:tblPrEx>
        <w:trPr>
          <w:trHeight w:val="36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旺苍水磨广福村</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天麻</w:t>
            </w:r>
            <w:r>
              <w:rPr>
                <w:rFonts w:hint="eastAsia" w:ascii="仿宋_GB2312" w:hAnsi="仿宋_GB2312" w:eastAsia="仿宋_GB2312" w:cs="仿宋_GB2312"/>
                <w:color w:val="auto"/>
                <w:kern w:val="0"/>
                <w:sz w:val="32"/>
                <w:szCs w:val="32"/>
                <w:lang w:val="en-US" w:eastAsia="zh-CN" w:bidi="ar"/>
              </w:rPr>
              <w:t>蜜环菌3600瓶</w:t>
            </w:r>
            <w:r>
              <w:rPr>
                <w:rFonts w:hint="eastAsia" w:ascii="仿宋_GB2312" w:hAnsi="仿宋_GB2312" w:eastAsia="仿宋_GB2312" w:cs="仿宋_GB2312"/>
                <w:color w:val="auto"/>
                <w:kern w:val="0"/>
                <w:sz w:val="32"/>
                <w:szCs w:val="32"/>
                <w:lang w:bidi="ar"/>
              </w:rPr>
              <w:t>，开展天麻培训</w:t>
            </w:r>
            <w:r>
              <w:rPr>
                <w:rFonts w:hint="eastAsia" w:ascii="仿宋_GB2312" w:hAnsi="仿宋_GB2312" w:eastAsia="仿宋_GB2312" w:cs="仿宋_GB2312"/>
                <w:color w:val="auto"/>
                <w:kern w:val="0"/>
                <w:sz w:val="32"/>
                <w:szCs w:val="32"/>
                <w:lang w:val="en-US" w:eastAsia="zh-CN" w:bidi="ar"/>
              </w:rPr>
              <w:t>2</w:t>
            </w:r>
            <w:r>
              <w:rPr>
                <w:rFonts w:hint="eastAsia" w:ascii="仿宋_GB2312" w:hAnsi="仿宋_GB2312" w:eastAsia="仿宋_GB2312" w:cs="仿宋_GB2312"/>
                <w:color w:val="auto"/>
                <w:kern w:val="0"/>
                <w:sz w:val="32"/>
                <w:szCs w:val="32"/>
                <w:lang w:bidi="ar"/>
              </w:rPr>
              <w:t>次，培训麻农</w:t>
            </w:r>
            <w:r>
              <w:rPr>
                <w:rFonts w:hint="eastAsia" w:ascii="仿宋_GB2312" w:hAnsi="仿宋_GB2312" w:eastAsia="仿宋_GB2312" w:cs="仿宋_GB2312"/>
                <w:color w:val="auto"/>
                <w:kern w:val="0"/>
                <w:sz w:val="32"/>
                <w:szCs w:val="32"/>
                <w:lang w:val="en-US" w:eastAsia="zh-CN" w:bidi="ar"/>
              </w:rPr>
              <w:t>45</w:t>
            </w:r>
            <w:r>
              <w:rPr>
                <w:rFonts w:hint="eastAsia" w:ascii="仿宋_GB2312" w:hAnsi="仿宋_GB2312" w:eastAsia="仿宋_GB2312" w:cs="仿宋_GB2312"/>
                <w:color w:val="auto"/>
                <w:kern w:val="0"/>
                <w:sz w:val="32"/>
                <w:szCs w:val="32"/>
                <w:lang w:bidi="ar"/>
              </w:rPr>
              <w:t>人</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天麻种子</w:t>
            </w:r>
            <w:r>
              <w:rPr>
                <w:rFonts w:hint="eastAsia" w:ascii="仿宋_GB2312" w:hAnsi="仿宋_GB2312" w:eastAsia="仿宋_GB2312" w:cs="仿宋_GB2312"/>
                <w:color w:val="auto"/>
                <w:kern w:val="0"/>
                <w:sz w:val="32"/>
                <w:szCs w:val="32"/>
                <w:lang w:val="en-US" w:eastAsia="zh-CN" w:bidi="ar"/>
              </w:rPr>
              <w:t>3948瓶</w:t>
            </w:r>
            <w:r>
              <w:rPr>
                <w:rFonts w:hint="eastAsia" w:ascii="仿宋_GB2312" w:hAnsi="仿宋_GB2312" w:eastAsia="仿宋_GB2312" w:cs="仿宋_GB2312"/>
                <w:color w:val="auto"/>
                <w:kern w:val="0"/>
                <w:sz w:val="32"/>
                <w:szCs w:val="32"/>
                <w:lang w:bidi="ar"/>
              </w:rPr>
              <w:t>，开展天麻培训</w:t>
            </w:r>
            <w:r>
              <w:rPr>
                <w:rFonts w:hint="eastAsia" w:ascii="仿宋_GB2312" w:hAnsi="仿宋_GB2312" w:eastAsia="仿宋_GB2312" w:cs="仿宋_GB2312"/>
                <w:color w:val="auto"/>
                <w:kern w:val="0"/>
                <w:sz w:val="32"/>
                <w:szCs w:val="32"/>
                <w:lang w:val="en-US" w:eastAsia="zh-CN" w:bidi="ar"/>
              </w:rPr>
              <w:t>2</w:t>
            </w:r>
            <w:r>
              <w:rPr>
                <w:rFonts w:hint="eastAsia" w:ascii="仿宋_GB2312" w:hAnsi="仿宋_GB2312" w:eastAsia="仿宋_GB2312" w:cs="仿宋_GB2312"/>
                <w:color w:val="auto"/>
                <w:kern w:val="0"/>
                <w:sz w:val="32"/>
                <w:szCs w:val="32"/>
                <w:lang w:bidi="ar"/>
              </w:rPr>
              <w:t>次，培训麻农</w:t>
            </w:r>
            <w:r>
              <w:rPr>
                <w:rFonts w:hint="eastAsia" w:ascii="仿宋_GB2312" w:hAnsi="仿宋_GB2312" w:eastAsia="仿宋_GB2312" w:cs="仿宋_GB2312"/>
                <w:color w:val="auto"/>
                <w:kern w:val="0"/>
                <w:sz w:val="32"/>
                <w:szCs w:val="32"/>
                <w:lang w:val="en-US" w:eastAsia="zh-CN" w:bidi="ar"/>
              </w:rPr>
              <w:t>54</w:t>
            </w:r>
            <w:r>
              <w:rPr>
                <w:rFonts w:hint="eastAsia" w:ascii="仿宋_GB2312" w:hAnsi="仿宋_GB2312" w:eastAsia="仿宋_GB2312" w:cs="仿宋_GB2312"/>
                <w:color w:val="auto"/>
                <w:kern w:val="0"/>
                <w:sz w:val="32"/>
                <w:szCs w:val="32"/>
                <w:lang w:bidi="ar"/>
              </w:rPr>
              <w:t>人次。</w:t>
            </w:r>
          </w:p>
        </w:tc>
      </w:tr>
      <w:tr>
        <w:tblPrEx>
          <w:tblCellMar>
            <w:top w:w="0" w:type="dxa"/>
            <w:left w:w="108" w:type="dxa"/>
            <w:bottom w:w="0" w:type="dxa"/>
            <w:right w:w="108" w:type="dxa"/>
          </w:tblCellMar>
        </w:tblPrEx>
        <w:trPr>
          <w:trHeight w:val="36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朝天曾家乡农资公司</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玉米60</w:t>
            </w:r>
            <w:r>
              <w:rPr>
                <w:rFonts w:hint="eastAsia" w:ascii="仿宋_GB2312" w:hAnsi="仿宋_GB2312" w:eastAsia="仿宋_GB2312" w:cs="仿宋_GB2312"/>
                <w:color w:val="auto"/>
                <w:kern w:val="0"/>
                <w:sz w:val="32"/>
                <w:szCs w:val="32"/>
                <w:lang w:bidi="ar"/>
              </w:rPr>
              <w:t>袋，复合肥</w:t>
            </w:r>
            <w:r>
              <w:rPr>
                <w:rFonts w:hint="eastAsia" w:ascii="仿宋_GB2312" w:hAnsi="仿宋_GB2312" w:eastAsia="仿宋_GB2312" w:cs="仿宋_GB2312"/>
                <w:color w:val="auto"/>
                <w:kern w:val="0"/>
                <w:sz w:val="32"/>
                <w:szCs w:val="32"/>
                <w:lang w:val="en-US" w:eastAsia="zh-CN" w:bidi="ar"/>
              </w:rPr>
              <w:t xml:space="preserve">85袋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地膜56件</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bidi="ar"/>
              </w:rPr>
              <w:t>辣椒</w:t>
            </w:r>
            <w:r>
              <w:rPr>
                <w:rFonts w:hint="eastAsia" w:ascii="仿宋_GB2312" w:hAnsi="仿宋_GB2312" w:eastAsia="仿宋_GB2312" w:cs="仿宋_GB2312"/>
                <w:color w:val="auto"/>
                <w:kern w:val="0"/>
                <w:sz w:val="32"/>
                <w:szCs w:val="32"/>
                <w:lang w:val="en-US" w:eastAsia="zh-CN" w:bidi="ar"/>
              </w:rPr>
              <w:t>及玉米种60</w:t>
            </w:r>
            <w:r>
              <w:rPr>
                <w:rFonts w:hint="eastAsia" w:ascii="仿宋_GB2312" w:hAnsi="仿宋_GB2312" w:eastAsia="仿宋_GB2312" w:cs="仿宋_GB2312"/>
                <w:color w:val="auto"/>
                <w:kern w:val="0"/>
                <w:sz w:val="32"/>
                <w:szCs w:val="32"/>
                <w:lang w:bidi="ar"/>
              </w:rPr>
              <w:t>袋，复合肥</w:t>
            </w:r>
            <w:r>
              <w:rPr>
                <w:rFonts w:hint="eastAsia" w:ascii="仿宋_GB2312" w:hAnsi="仿宋_GB2312" w:eastAsia="仿宋_GB2312" w:cs="仿宋_GB2312"/>
                <w:color w:val="auto"/>
                <w:kern w:val="0"/>
                <w:sz w:val="32"/>
                <w:szCs w:val="32"/>
                <w:lang w:val="en-US" w:eastAsia="zh-CN" w:bidi="ar"/>
              </w:rPr>
              <w:t>90包，地膜56件</w:t>
            </w:r>
          </w:p>
        </w:tc>
      </w:tr>
      <w:tr>
        <w:tblPrEx>
          <w:tblCellMar>
            <w:top w:w="0" w:type="dxa"/>
            <w:left w:w="108" w:type="dxa"/>
            <w:bottom w:w="0" w:type="dxa"/>
            <w:right w:w="108" w:type="dxa"/>
          </w:tblCellMar>
        </w:tblPrEx>
        <w:trPr>
          <w:trHeight w:val="36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昭化区磨滩镇桂花村</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0"/>
                <w:sz w:val="32"/>
                <w:szCs w:val="32"/>
                <w:lang w:val="en-US" w:eastAsia="zh-CN" w:bidi="ar"/>
              </w:rPr>
              <w:t>水溶</w:t>
            </w:r>
            <w:r>
              <w:rPr>
                <w:rFonts w:hint="eastAsia" w:ascii="仿宋_GB2312" w:hAnsi="仿宋_GB2312" w:eastAsia="仿宋_GB2312" w:cs="仿宋_GB2312"/>
                <w:color w:val="auto"/>
                <w:kern w:val="0"/>
                <w:sz w:val="32"/>
                <w:szCs w:val="32"/>
                <w:lang w:bidi="ar"/>
              </w:rPr>
              <w:t>复合肥</w:t>
            </w:r>
            <w:r>
              <w:rPr>
                <w:rFonts w:hint="eastAsia" w:ascii="仿宋_GB2312" w:hAnsi="仿宋_GB2312" w:eastAsia="仿宋_GB2312" w:cs="仿宋_GB2312"/>
                <w:color w:val="auto"/>
                <w:kern w:val="0"/>
                <w:sz w:val="32"/>
                <w:szCs w:val="32"/>
                <w:lang w:val="en-US" w:eastAsia="zh-CN" w:bidi="ar"/>
              </w:rPr>
              <w:t>2吨</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0"/>
                <w:sz w:val="32"/>
                <w:szCs w:val="32"/>
                <w:lang w:val="en-US" w:eastAsia="zh-CN" w:bidi="ar"/>
              </w:rPr>
              <w:t>腐殖酸水溶性</w:t>
            </w:r>
            <w:r>
              <w:rPr>
                <w:rFonts w:hint="eastAsia" w:ascii="仿宋_GB2312" w:hAnsi="仿宋_GB2312" w:eastAsia="仿宋_GB2312" w:cs="仿宋_GB2312"/>
                <w:color w:val="auto"/>
                <w:kern w:val="0"/>
                <w:sz w:val="32"/>
                <w:szCs w:val="32"/>
                <w:lang w:bidi="ar"/>
              </w:rPr>
              <w:t>复合肥</w:t>
            </w:r>
            <w:r>
              <w:rPr>
                <w:rFonts w:hint="eastAsia" w:ascii="仿宋_GB2312" w:hAnsi="仿宋_GB2312" w:eastAsia="仿宋_GB2312" w:cs="仿宋_GB2312"/>
                <w:color w:val="auto"/>
                <w:kern w:val="0"/>
                <w:sz w:val="32"/>
                <w:szCs w:val="32"/>
                <w:lang w:val="en-US" w:eastAsia="zh-CN" w:bidi="ar"/>
              </w:rPr>
              <w:t>2.25吨</w:t>
            </w:r>
          </w:p>
        </w:tc>
      </w:tr>
      <w:tr>
        <w:tblPrEx>
          <w:tblCellMar>
            <w:top w:w="0" w:type="dxa"/>
            <w:left w:w="108" w:type="dxa"/>
            <w:bottom w:w="0" w:type="dxa"/>
            <w:right w:w="108" w:type="dxa"/>
          </w:tblCellMar>
        </w:tblPrEx>
        <w:trPr>
          <w:trHeight w:val="38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经费支出成本</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6万元</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5.9万元</w:t>
            </w:r>
          </w:p>
        </w:tc>
      </w:tr>
      <w:tr>
        <w:tblPrEx>
          <w:tblCellMar>
            <w:top w:w="0" w:type="dxa"/>
            <w:left w:w="108" w:type="dxa"/>
            <w:bottom w:w="0" w:type="dxa"/>
            <w:right w:w="108" w:type="dxa"/>
          </w:tblCellMar>
        </w:tblPrEx>
        <w:trPr>
          <w:trHeight w:val="38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促进增收</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bidi="ar"/>
              </w:rPr>
              <w:t>农民增收</w:t>
            </w:r>
            <w:r>
              <w:rPr>
                <w:rFonts w:hint="eastAsia" w:ascii="仿宋_GB2312" w:hAnsi="仿宋_GB2312" w:eastAsia="仿宋_GB2312" w:cs="仿宋_GB2312"/>
                <w:color w:val="auto"/>
                <w:kern w:val="0"/>
                <w:sz w:val="32"/>
                <w:szCs w:val="32"/>
                <w:lang w:val="en-US" w:eastAsia="zh-CN" w:bidi="ar"/>
              </w:rPr>
              <w:t>35万元</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总增收</w:t>
            </w:r>
            <w:r>
              <w:rPr>
                <w:rFonts w:hint="eastAsia" w:ascii="仿宋_GB2312" w:hAnsi="仿宋_GB2312" w:eastAsia="仿宋_GB2312" w:cs="仿宋_GB2312"/>
                <w:color w:val="auto"/>
                <w:kern w:val="0"/>
                <w:sz w:val="32"/>
                <w:szCs w:val="32"/>
                <w:lang w:val="en-US" w:eastAsia="zh-CN" w:bidi="ar"/>
              </w:rPr>
              <w:t>50</w:t>
            </w:r>
            <w:r>
              <w:rPr>
                <w:rFonts w:hint="eastAsia" w:ascii="仿宋_GB2312" w:hAnsi="仿宋_GB2312" w:eastAsia="仿宋_GB2312" w:cs="仿宋_GB2312"/>
                <w:color w:val="auto"/>
                <w:kern w:val="0"/>
                <w:sz w:val="32"/>
                <w:szCs w:val="32"/>
                <w:lang w:bidi="ar"/>
              </w:rPr>
              <w:t>余万元，服务区农民人均增收1</w:t>
            </w:r>
            <w:r>
              <w:rPr>
                <w:rFonts w:hint="eastAsia" w:ascii="仿宋_GB2312" w:hAnsi="仿宋_GB2312" w:eastAsia="仿宋_GB2312" w:cs="仿宋_GB2312"/>
                <w:color w:val="auto"/>
                <w:kern w:val="0"/>
                <w:sz w:val="32"/>
                <w:szCs w:val="32"/>
                <w:lang w:val="en-US" w:eastAsia="zh-CN" w:bidi="ar"/>
              </w:rPr>
              <w:t>600</w:t>
            </w:r>
            <w:r>
              <w:rPr>
                <w:rFonts w:hint="eastAsia" w:ascii="仿宋_GB2312" w:hAnsi="仿宋_GB2312" w:eastAsia="仿宋_GB2312" w:cs="仿宋_GB2312"/>
                <w:color w:val="auto"/>
                <w:kern w:val="0"/>
                <w:sz w:val="32"/>
                <w:szCs w:val="32"/>
                <w:lang w:bidi="ar"/>
              </w:rPr>
              <w:t>元</w:t>
            </w:r>
          </w:p>
        </w:tc>
      </w:tr>
      <w:tr>
        <w:tblPrEx>
          <w:tblCellMar>
            <w:top w:w="0" w:type="dxa"/>
            <w:left w:w="108" w:type="dxa"/>
            <w:bottom w:w="0" w:type="dxa"/>
            <w:right w:w="108" w:type="dxa"/>
          </w:tblCellMar>
        </w:tblPrEx>
        <w:trPr>
          <w:trHeight w:val="38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社会效益指标</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促进社会科技事业发展</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带动农民发展产业，培养学科学、用科学的习惯</w:t>
            </w:r>
          </w:p>
        </w:tc>
      </w:tr>
      <w:tr>
        <w:tblPrEx>
          <w:tblCellMar>
            <w:top w:w="0" w:type="dxa"/>
            <w:left w:w="108" w:type="dxa"/>
            <w:bottom w:w="0" w:type="dxa"/>
            <w:right w:w="108" w:type="dxa"/>
          </w:tblCellMar>
        </w:tblPrEx>
        <w:trPr>
          <w:trHeight w:val="38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可持续发展指标</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持续影响科技事业发展</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32"/>
                <w:szCs w:val="32"/>
                <w:u w:val="none"/>
                <w:lang w:val="en-US" w:eastAsia="zh-CN" w:bidi="ar-SA"/>
              </w:rPr>
            </w:pPr>
            <w:r>
              <w:rPr>
                <w:rFonts w:hint="eastAsia" w:ascii="仿宋_GB2312" w:hAnsi="仿宋_GB2312" w:eastAsia="仿宋_GB2312" w:cs="仿宋_GB2312"/>
                <w:color w:val="auto"/>
                <w:kern w:val="0"/>
                <w:sz w:val="32"/>
                <w:szCs w:val="32"/>
                <w:lang w:val="en-US" w:eastAsia="zh-CN" w:bidi="ar"/>
              </w:rPr>
              <w:t>申报新品种一个，形成优势特色产品，更具备核心竞争力</w:t>
            </w:r>
          </w:p>
        </w:tc>
      </w:tr>
      <w:tr>
        <w:tblPrEx>
          <w:tblCellMar>
            <w:top w:w="0" w:type="dxa"/>
            <w:left w:w="108" w:type="dxa"/>
            <w:bottom w:w="0" w:type="dxa"/>
            <w:right w:w="108" w:type="dxa"/>
          </w:tblCellMar>
        </w:tblPrEx>
        <w:trPr>
          <w:trHeight w:val="380" w:hRule="atLeast"/>
        </w:trPr>
        <w:tc>
          <w:tcPr>
            <w:tcW w:w="30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受补助人</w:t>
            </w:r>
            <w:r>
              <w:rPr>
                <w:rFonts w:hint="eastAsia" w:ascii="仿宋_GB2312" w:hAnsi="仿宋_GB2312" w:eastAsia="仿宋_GB2312" w:cs="仿宋_GB2312"/>
                <w:color w:val="auto"/>
                <w:kern w:val="0"/>
                <w:sz w:val="32"/>
                <w:szCs w:val="32"/>
                <w:lang w:val="en-US" w:eastAsia="zh-CN" w:bidi="ar"/>
              </w:rPr>
              <w:t>群</w:t>
            </w:r>
            <w:r>
              <w:rPr>
                <w:rFonts w:hint="eastAsia" w:ascii="仿宋_GB2312" w:hAnsi="仿宋_GB2312" w:eastAsia="仿宋_GB2312" w:cs="仿宋_GB2312"/>
                <w:color w:val="auto"/>
                <w:kern w:val="0"/>
                <w:sz w:val="32"/>
                <w:szCs w:val="32"/>
                <w:lang w:bidi="ar"/>
              </w:rPr>
              <w:t>满意度</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9</w:t>
            </w:r>
            <w:r>
              <w:rPr>
                <w:rFonts w:hint="eastAsia" w:ascii="仿宋_GB2312" w:hAnsi="仿宋_GB2312" w:eastAsia="仿宋_GB2312" w:cs="仿宋_GB2312"/>
                <w:color w:val="auto"/>
                <w:kern w:val="0"/>
                <w:sz w:val="32"/>
                <w:szCs w:val="32"/>
                <w:lang w:val="en-US" w:eastAsia="zh-CN" w:bidi="ar"/>
              </w:rPr>
              <w:t>6</w:t>
            </w:r>
            <w:r>
              <w:rPr>
                <w:rFonts w:hint="eastAsia" w:ascii="仿宋_GB2312" w:hAnsi="仿宋_GB2312" w:eastAsia="仿宋_GB2312" w:cs="仿宋_GB2312"/>
                <w:color w:val="auto"/>
                <w:kern w:val="0"/>
                <w:sz w:val="32"/>
                <w:szCs w:val="32"/>
                <w:lang w:bidi="ar"/>
              </w:rPr>
              <w:t>%</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99%</w:t>
            </w:r>
          </w:p>
        </w:tc>
      </w:tr>
    </w:tbl>
    <w:p>
      <w:pPr>
        <w:keepNext w:val="0"/>
        <w:keepLines w:val="0"/>
        <w:pageBreakBefore w:val="0"/>
        <w:numPr>
          <w:ilvl w:val="0"/>
          <w:numId w:val="0"/>
        </w:numPr>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05" w:name="_Toc13250"/>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05"/>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（一）评价目的。</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rPr>
        <w:t>目绩效评价的目的是对项目</w:t>
      </w:r>
      <w:r>
        <w:rPr>
          <w:rFonts w:hint="eastAsia" w:ascii="仿宋_GB2312" w:hAnsi="仿宋_GB2312" w:eastAsia="仿宋_GB2312" w:cs="仿宋_GB2312"/>
          <w:sz w:val="32"/>
          <w:szCs w:val="32"/>
          <w:lang w:val="en-US" w:eastAsia="zh-CN"/>
        </w:rPr>
        <w:t>设立和</w:t>
      </w:r>
      <w:r>
        <w:rPr>
          <w:rFonts w:hint="eastAsia" w:ascii="仿宋_GB2312" w:hAnsi="仿宋_GB2312" w:eastAsia="仿宋_GB2312" w:cs="仿宋_GB2312"/>
          <w:sz w:val="32"/>
          <w:szCs w:val="32"/>
        </w:rPr>
        <w:t>实施全过程进行评价，以确保项目的有效实施和资源的合理利用。 遵循独立、客观、科学、公正的原则，项目绩效应符合国家法律、法规及</w:t>
      </w:r>
      <w:r>
        <w:rPr>
          <w:rFonts w:hint="eastAsia" w:ascii="仿宋_GB2312" w:hAnsi="仿宋_GB2312" w:eastAsia="仿宋_GB2312" w:cs="仿宋_GB2312"/>
          <w:sz w:val="32"/>
          <w:szCs w:val="32"/>
          <w:lang w:val="en-US" w:eastAsia="zh-CN"/>
        </w:rPr>
        <w:t>受援单位产业发展的实际需求</w:t>
      </w:r>
      <w:r>
        <w:rPr>
          <w:rFonts w:hint="eastAsia" w:ascii="仿宋_GB2312" w:hAnsi="仿宋_GB2312" w:eastAsia="仿宋_GB2312" w:cs="仿宋_GB2312"/>
          <w:sz w:val="32"/>
          <w:szCs w:val="32"/>
        </w:rPr>
        <w:t>，并建立畅通、快捷的信息管理和反馈机制。</w:t>
      </w:r>
    </w:p>
    <w:p>
      <w:pPr>
        <w:keepNext w:val="0"/>
        <w:keepLines w:val="0"/>
        <w:pageBreakBefore w:val="0"/>
        <w:widowControl w:val="0"/>
        <w:numPr>
          <w:ilvl w:val="0"/>
          <w:numId w:val="4"/>
        </w:numPr>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ascii="仿宋_GB2312" w:hAnsi="仿宋_GB2312" w:eastAsia="仿宋_GB2312" w:cs="仿宋_GB2312"/>
          <w:b/>
          <w:color w:val="auto"/>
          <w:sz w:val="32"/>
          <w:szCs w:val="32"/>
          <w:highlight w:val="none"/>
          <w:u w:val="none"/>
          <w:lang w:val="zh-CN"/>
        </w:rPr>
      </w:pPr>
      <w:r>
        <w:rPr>
          <w:rFonts w:hint="eastAsia" w:ascii="仿宋_GB2312" w:hAnsi="仿宋_GB2312" w:eastAsia="仿宋_GB2312" w:cs="仿宋_GB2312"/>
          <w:b/>
          <w:color w:val="auto"/>
          <w:sz w:val="32"/>
          <w:szCs w:val="32"/>
          <w:highlight w:val="none"/>
          <w:u w:val="none"/>
          <w:lang w:val="zh-CN"/>
        </w:rPr>
        <w:t>预设问题及评价重点。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按照绩效评价指标体系，对资金支出使用全过程及其实施效果进行综合评价和判断</w:t>
      </w:r>
      <w:r>
        <w:rPr>
          <w:rFonts w:hint="eastAsia" w:ascii="仿宋_GB2312" w:hAnsi="仿宋_GB2312" w:eastAsia="仿宋_GB2312" w:cs="仿宋_GB2312"/>
          <w:sz w:val="32"/>
          <w:szCs w:val="32"/>
          <w:lang w:eastAsia="zh-CN"/>
        </w:rPr>
        <w:t>。</w:t>
      </w:r>
    </w:p>
    <w:p>
      <w:pPr>
        <w:pStyle w:val="7"/>
        <w:ind w:firstLine="642"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color w:val="auto"/>
          <w:sz w:val="32"/>
          <w:szCs w:val="32"/>
          <w:highlight w:val="none"/>
          <w:u w:val="none"/>
          <w:lang w:val="zh-CN"/>
        </w:rPr>
        <w:t>（三）评价选点。</w:t>
      </w:r>
    </w:p>
    <w:p>
      <w:pPr>
        <w:pStyle w:val="7"/>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color w:val="auto"/>
          <w:sz w:val="32"/>
          <w:szCs w:val="32"/>
        </w:rPr>
        <w:t>水磨镇广福村项目点从</w:t>
      </w:r>
      <w:r>
        <w:rPr>
          <w:rFonts w:hint="eastAsia" w:ascii="仿宋_GB2312" w:hAnsi="仿宋_GB2312" w:eastAsia="仿宋_GB2312" w:cs="仿宋_GB2312"/>
          <w:color w:val="auto"/>
          <w:sz w:val="32"/>
          <w:szCs w:val="32"/>
          <w:lang w:val="en-US" w:eastAsia="zh-CN"/>
        </w:rPr>
        <w:t>重庆硒旺华宝生物科技有限公司</w:t>
      </w:r>
      <w:r>
        <w:rPr>
          <w:rFonts w:hint="eastAsia" w:ascii="仿宋_GB2312" w:hAnsi="仿宋_GB2312" w:eastAsia="仿宋_GB2312" w:cs="仿宋_GB2312"/>
          <w:color w:val="auto"/>
          <w:sz w:val="32"/>
          <w:szCs w:val="32"/>
        </w:rPr>
        <w:t>购买</w:t>
      </w:r>
      <w:r>
        <w:rPr>
          <w:rFonts w:hint="eastAsia" w:ascii="仿宋_GB2312" w:hAnsi="仿宋_GB2312" w:eastAsia="仿宋_GB2312" w:cs="仿宋_GB2312"/>
          <w:color w:val="auto"/>
          <w:sz w:val="32"/>
          <w:szCs w:val="32"/>
          <w:lang w:val="en-US" w:eastAsia="zh-CN"/>
        </w:rPr>
        <w:t>天麻蜜环菌种3948瓶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在广福村</w:t>
      </w:r>
      <w:r>
        <w:rPr>
          <w:rFonts w:hint="eastAsia" w:ascii="仿宋_GB2312" w:hAnsi="仿宋_GB2312" w:eastAsia="仿宋_GB2312" w:cs="仿宋_GB2312"/>
          <w:color w:val="auto"/>
          <w:sz w:val="32"/>
          <w:szCs w:val="32"/>
          <w:lang w:val="en-US" w:eastAsia="zh-CN"/>
        </w:rPr>
        <w:t>周家</w:t>
      </w:r>
      <w:r>
        <w:rPr>
          <w:rFonts w:hint="eastAsia" w:ascii="仿宋_GB2312" w:hAnsi="仿宋_GB2312" w:eastAsia="仿宋_GB2312" w:cs="仿宋_GB2312"/>
          <w:color w:val="auto"/>
          <w:sz w:val="32"/>
          <w:szCs w:val="32"/>
        </w:rPr>
        <w:t>湾设置</w:t>
      </w:r>
      <w:r>
        <w:rPr>
          <w:rFonts w:hint="eastAsia" w:ascii="仿宋_GB2312" w:hAnsi="仿宋_GB2312" w:eastAsia="仿宋_GB2312" w:cs="仿宋_GB2312"/>
          <w:color w:val="auto"/>
          <w:sz w:val="32"/>
          <w:szCs w:val="32"/>
          <w:lang w:val="en-US" w:eastAsia="zh-CN"/>
        </w:rPr>
        <w:t>引</w:t>
      </w:r>
      <w:r>
        <w:rPr>
          <w:rFonts w:hint="eastAsia" w:ascii="仿宋_GB2312" w:hAnsi="仿宋_GB2312" w:eastAsia="仿宋_GB2312" w:cs="仿宋_GB2312"/>
          <w:color w:val="auto"/>
          <w:sz w:val="32"/>
          <w:szCs w:val="32"/>
        </w:rPr>
        <w:t>种比较试验1个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zh-CN"/>
        </w:rPr>
        <w:t>建立天麻</w:t>
      </w:r>
      <w:r>
        <w:rPr>
          <w:rFonts w:hint="eastAsia" w:ascii="仿宋_GB2312" w:hAnsi="仿宋_GB2312" w:eastAsia="仿宋_GB2312" w:cs="仿宋_GB2312"/>
          <w:color w:val="auto"/>
          <w:sz w:val="32"/>
          <w:szCs w:val="32"/>
          <w:lang w:val="en-US" w:eastAsia="zh-CN"/>
        </w:rPr>
        <w:t>钵</w:t>
      </w:r>
      <w:r>
        <w:rPr>
          <w:rFonts w:hint="eastAsia" w:ascii="仿宋_GB2312" w:hAnsi="仿宋_GB2312" w:eastAsia="仿宋_GB2312" w:cs="仿宋_GB2312"/>
          <w:color w:val="auto"/>
          <w:sz w:val="32"/>
          <w:szCs w:val="32"/>
          <w:lang w:val="zh-CN"/>
        </w:rPr>
        <w:t>栽示范基地1个，</w:t>
      </w:r>
      <w:r>
        <w:rPr>
          <w:rFonts w:hint="eastAsia" w:ascii="仿宋_GB2312" w:hAnsi="仿宋_GB2312" w:eastAsia="仿宋_GB2312" w:cs="仿宋_GB2312"/>
          <w:color w:val="auto"/>
          <w:sz w:val="32"/>
          <w:szCs w:val="32"/>
          <w:lang w:val="en-US" w:eastAsia="zh-CN"/>
        </w:rPr>
        <w:t>钵栽天麻5000钵，带动</w:t>
      </w:r>
      <w:r>
        <w:rPr>
          <w:rFonts w:hint="eastAsia" w:ascii="仿宋_GB2312" w:hAnsi="仿宋_GB2312" w:eastAsia="仿宋_GB2312" w:cs="仿宋_GB2312"/>
          <w:color w:val="auto"/>
          <w:sz w:val="32"/>
          <w:szCs w:val="32"/>
          <w:lang w:val="zh-CN"/>
        </w:rPr>
        <w:t>发展林下天麻50亩；</w:t>
      </w:r>
      <w:r>
        <w:rPr>
          <w:rFonts w:hint="eastAsia" w:ascii="仿宋_GB2312" w:hAnsi="仿宋_GB2312" w:eastAsia="仿宋_GB2312" w:cs="仿宋_GB2312"/>
          <w:color w:val="auto"/>
          <w:sz w:val="32"/>
          <w:szCs w:val="32"/>
          <w:lang w:val="en-US" w:eastAsia="zh-CN"/>
        </w:rPr>
        <w:t>在朝天临溪乡桃树村</w:t>
      </w:r>
      <w:r>
        <w:rPr>
          <w:rFonts w:hint="eastAsia" w:ascii="仿宋_GB2312" w:hAnsi="仿宋_GB2312" w:eastAsia="仿宋_GB2312" w:cs="仿宋_GB2312"/>
          <w:color w:val="auto"/>
          <w:sz w:val="32"/>
          <w:szCs w:val="32"/>
          <w:lang w:val="zh-CN"/>
        </w:rPr>
        <w:t>建立高</w:t>
      </w:r>
      <w:r>
        <w:rPr>
          <w:rFonts w:hint="eastAsia" w:ascii="仿宋_GB2312" w:hAnsi="仿宋_GB2312" w:eastAsia="仿宋_GB2312" w:cs="仿宋_GB2312"/>
          <w:color w:val="auto"/>
          <w:sz w:val="32"/>
          <w:szCs w:val="32"/>
          <w:lang w:val="en-US" w:eastAsia="zh-CN"/>
        </w:rPr>
        <w:t>寒山区玉米规范化</w:t>
      </w:r>
      <w:r>
        <w:rPr>
          <w:rFonts w:hint="eastAsia" w:ascii="仿宋_GB2312" w:hAnsi="仿宋_GB2312" w:eastAsia="仿宋_GB2312" w:cs="仿宋_GB2312"/>
          <w:color w:val="auto"/>
          <w:sz w:val="32"/>
          <w:szCs w:val="32"/>
          <w:lang w:val="zh-CN"/>
        </w:rPr>
        <w:t>种</w:t>
      </w:r>
      <w:r>
        <w:rPr>
          <w:rFonts w:hint="eastAsia" w:ascii="仿宋_GB2312" w:hAnsi="仿宋_GB2312" w:eastAsia="仿宋_GB2312" w:cs="仿宋_GB2312"/>
          <w:color w:val="auto"/>
          <w:sz w:val="32"/>
          <w:szCs w:val="32"/>
          <w:lang w:val="en-US" w:eastAsia="zh-CN"/>
        </w:rPr>
        <w:t>植</w:t>
      </w:r>
      <w:r>
        <w:rPr>
          <w:rFonts w:hint="eastAsia" w:ascii="仿宋_GB2312" w:hAnsi="仿宋_GB2312" w:eastAsia="仿宋_GB2312" w:cs="仿宋_GB2312"/>
          <w:color w:val="auto"/>
          <w:sz w:val="32"/>
          <w:szCs w:val="32"/>
          <w:lang w:val="zh-CN"/>
        </w:rPr>
        <w:t>基地1个，示范面积超过1</w:t>
      </w:r>
      <w:r>
        <w:rPr>
          <w:rFonts w:hint="eastAsia" w:ascii="仿宋_GB2312" w:hAnsi="仿宋_GB2312" w:eastAsia="仿宋_GB2312" w:cs="仿宋_GB2312"/>
          <w:color w:val="auto"/>
          <w:sz w:val="32"/>
          <w:szCs w:val="32"/>
          <w:lang w:val="en-US" w:eastAsia="zh-CN"/>
        </w:rPr>
        <w:t>00</w:t>
      </w:r>
      <w:r>
        <w:rPr>
          <w:rFonts w:hint="eastAsia" w:ascii="仿宋_GB2312" w:hAnsi="仿宋_GB2312" w:eastAsia="仿宋_GB2312" w:cs="仿宋_GB2312"/>
          <w:color w:val="auto"/>
          <w:sz w:val="32"/>
          <w:szCs w:val="32"/>
          <w:lang w:val="zh-CN"/>
        </w:rPr>
        <w:t>亩；</w:t>
      </w:r>
      <w:r>
        <w:rPr>
          <w:rFonts w:hint="eastAsia" w:ascii="仿宋_GB2312" w:hAnsi="仿宋_GB2312" w:eastAsia="仿宋_GB2312" w:cs="仿宋_GB2312"/>
          <w:color w:val="auto"/>
          <w:sz w:val="32"/>
          <w:szCs w:val="32"/>
          <w:lang w:val="en-US" w:eastAsia="zh-CN"/>
        </w:rPr>
        <w:t>在苍溪县陵江镇</w:t>
      </w:r>
      <w:r>
        <w:rPr>
          <w:rFonts w:hint="eastAsia" w:ascii="仿宋_GB2312" w:hAnsi="仿宋_GB2312" w:eastAsia="仿宋_GB2312" w:cs="仿宋_GB2312"/>
          <w:sz w:val="32"/>
          <w:szCs w:val="32"/>
          <w:lang w:eastAsia="zh-CN"/>
        </w:rPr>
        <w:t>粮蔬园区</w:t>
      </w:r>
      <w:r>
        <w:rPr>
          <w:rFonts w:hint="eastAsia" w:ascii="仿宋_GB2312" w:hAnsi="仿宋_GB2312" w:eastAsia="仿宋_GB2312" w:cs="仿宋_GB2312"/>
          <w:sz w:val="32"/>
          <w:szCs w:val="32"/>
          <w:lang w:val="en-US" w:eastAsia="zh-CN"/>
        </w:rPr>
        <w:t>建立蔬菜栽培示范基地1个，</w:t>
      </w:r>
      <w:r>
        <w:rPr>
          <w:rFonts w:hint="eastAsia" w:ascii="仿宋_GB2312" w:hAnsi="仿宋_GB2312" w:eastAsia="仿宋_GB2312" w:cs="仿宋_GB2312"/>
          <w:color w:val="auto"/>
          <w:sz w:val="32"/>
          <w:szCs w:val="32"/>
          <w:lang w:val="zh-CN"/>
        </w:rPr>
        <w:t>面积超过50亩；直接新增收入</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val="zh-CN"/>
        </w:rPr>
        <w:t>万元以上，服务区农民人均增收</w:t>
      </w:r>
      <w:r>
        <w:rPr>
          <w:rFonts w:hint="eastAsia" w:ascii="仿宋_GB2312" w:hAnsi="仿宋_GB2312" w:eastAsia="仿宋_GB2312" w:cs="仿宋_GB2312"/>
          <w:color w:val="auto"/>
          <w:sz w:val="32"/>
          <w:szCs w:val="32"/>
          <w:lang w:val="en-US" w:eastAsia="zh-CN"/>
        </w:rPr>
        <w:t>1600余</w:t>
      </w:r>
      <w:r>
        <w:rPr>
          <w:rFonts w:hint="eastAsia" w:ascii="仿宋_GB2312" w:hAnsi="仿宋_GB2312" w:eastAsia="仿宋_GB2312" w:cs="仿宋_GB2312"/>
          <w:color w:val="auto"/>
          <w:sz w:val="32"/>
          <w:szCs w:val="32"/>
          <w:lang w:val="zh-CN"/>
        </w:rPr>
        <w:t>元。</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（四）评价方法。</w:t>
      </w:r>
    </w:p>
    <w:p>
      <w:pPr>
        <w:pStyle w:val="7"/>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评价采用实地查看和使用单位座谈后，实行单位自评法，</w:t>
      </w:r>
      <w:r>
        <w:rPr>
          <w:rFonts w:hint="eastAsia" w:ascii="仿宋_GB2312" w:hAnsi="仿宋_GB2312" w:eastAsia="仿宋_GB2312" w:cs="仿宋_GB2312"/>
          <w:color w:val="auto"/>
          <w:sz w:val="32"/>
          <w:szCs w:val="32"/>
          <w:lang w:val="zh-CN"/>
        </w:rPr>
        <w:t>项目管理严格，总体进度良好，效益明显。完成了各项预定的目标和任务，达到了预期的经济和社会效益。评价组综合评定为优，得分</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zh-CN"/>
        </w:rPr>
        <w:t>分。</w:t>
      </w:r>
    </w:p>
    <w:p>
      <w:pPr>
        <w:keepNext w:val="0"/>
        <w:keepLines w:val="0"/>
        <w:pageBreakBefore w:val="0"/>
        <w:widowControl w:val="0"/>
        <w:numPr>
          <w:ilvl w:val="0"/>
          <w:numId w:val="0"/>
        </w:numPr>
        <w:kinsoku/>
        <w:wordWrap/>
        <w:overflowPunct/>
        <w:topLinePunct w:val="0"/>
        <w:autoSpaceDE/>
        <w:autoSpaceDN/>
        <w:bidi w:val="0"/>
        <w:spacing w:line="578" w:lineRule="exact"/>
        <w:ind w:left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w:t>
      </w:r>
      <w:r>
        <w:rPr>
          <w:rFonts w:hint="eastAsia" w:ascii="仿宋_GB2312" w:hAnsi="仿宋_GB2312" w:eastAsia="仿宋_GB2312" w:cs="仿宋_GB2312"/>
          <w:b/>
          <w:color w:val="auto"/>
          <w:sz w:val="32"/>
          <w:szCs w:val="32"/>
          <w:highlight w:val="none"/>
          <w:u w:val="none"/>
          <w:lang w:val="en-US" w:eastAsia="zh-CN"/>
        </w:rPr>
        <w:t>五</w:t>
      </w:r>
      <w:r>
        <w:rPr>
          <w:rFonts w:hint="eastAsia" w:ascii="仿宋_GB2312" w:hAnsi="仿宋_GB2312" w:eastAsia="仿宋_GB2312" w:cs="仿宋_GB2312"/>
          <w:b/>
          <w:color w:val="auto"/>
          <w:sz w:val="32"/>
          <w:szCs w:val="32"/>
          <w:highlight w:val="none"/>
          <w:u w:val="none"/>
          <w:lang w:val="zh-CN"/>
        </w:rPr>
        <w:t>）评价组织。</w:t>
      </w:r>
    </w:p>
    <w:p>
      <w:pPr>
        <w:pStyle w:val="7"/>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评价组人员由主管单位组织农业专家和财务人员构成，农业专家主要对基地建设、产业发展状况及增产增收效果对比开展评价，财务人员主要对项目支出展开评价，重点是对票据的合理性和程序性审核，做到</w:t>
      </w:r>
      <w:r>
        <w:rPr>
          <w:rFonts w:hint="eastAsia" w:ascii="仿宋_GB2312" w:hAnsi="仿宋_GB2312" w:eastAsia="仿宋_GB2312" w:cs="仿宋_GB2312"/>
          <w:color w:val="auto"/>
          <w:kern w:val="2"/>
          <w:sz w:val="32"/>
          <w:szCs w:val="32"/>
        </w:rPr>
        <w:t>从资金来源、预算批复、资金使用</w:t>
      </w:r>
      <w:r>
        <w:rPr>
          <w:rFonts w:hint="eastAsia" w:ascii="仿宋_GB2312" w:hAnsi="仿宋_GB2312" w:eastAsia="仿宋_GB2312" w:cs="仿宋_GB2312"/>
          <w:color w:val="auto"/>
          <w:kern w:val="2"/>
          <w:sz w:val="32"/>
          <w:szCs w:val="32"/>
          <w:lang w:val="en-US" w:eastAsia="zh-CN"/>
        </w:rPr>
        <w:t>程序</w:t>
      </w:r>
      <w:r>
        <w:rPr>
          <w:rFonts w:hint="eastAsia" w:ascii="仿宋_GB2312" w:hAnsi="仿宋_GB2312" w:eastAsia="仿宋_GB2312" w:cs="仿宋_GB2312"/>
          <w:sz w:val="32"/>
          <w:szCs w:val="32"/>
          <w:lang w:val="en-US" w:eastAsia="zh-CN"/>
        </w:rPr>
        <w:t>规范合理。</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06" w:name="_Toc23756"/>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06"/>
      <w:r>
        <w:rPr>
          <w:rFonts w:hint="eastAsia" w:ascii="黑体" w:hAnsi="黑体" w:eastAsia="黑体" w:cs="Times New Roman"/>
          <w:color w:val="auto"/>
          <w:sz w:val="32"/>
          <w:szCs w:val="32"/>
          <w:highlight w:val="none"/>
          <w:lang w:val="zh-CN"/>
        </w:rPr>
        <w:tab/>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zh-CN"/>
        </w:rPr>
        <w:t>（一）</w:t>
      </w:r>
      <w:r>
        <w:rPr>
          <w:rFonts w:hint="eastAsia" w:ascii="仿宋_GB2312" w:hAnsi="仿宋_GB2312" w:eastAsia="仿宋_GB2312" w:cs="仿宋_GB2312"/>
          <w:b/>
          <w:color w:val="auto"/>
          <w:sz w:val="32"/>
          <w:szCs w:val="32"/>
          <w:highlight w:val="none"/>
          <w:u w:val="none"/>
          <w:lang w:val="en-US" w:eastAsia="zh-CN"/>
        </w:rPr>
        <w:t>通用指标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p>
    <w:p>
      <w:pPr>
        <w:pStyle w:val="19"/>
        <w:widowControl/>
        <w:spacing w:before="0" w:beforeAutospacing="0" w:after="0" w:afterAutospacing="0" w:line="560" w:lineRule="atLeas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2"/>
          <w:sz w:val="32"/>
          <w:szCs w:val="32"/>
        </w:rPr>
        <w:t>项目设立符合市委、市政府重大决策部署和宏观政策规划，与部门职责相符，符合地方事权支出责任划分原则。资金分配的原则是</w:t>
      </w:r>
      <w:r>
        <w:rPr>
          <w:rFonts w:hint="eastAsia" w:ascii="仿宋_GB2312" w:hAnsi="仿宋_GB2312" w:eastAsia="仿宋_GB2312" w:cs="仿宋_GB2312"/>
          <w:color w:val="auto"/>
          <w:kern w:val="2"/>
          <w:sz w:val="32"/>
          <w:szCs w:val="32"/>
          <w:lang w:val="en-US" w:eastAsia="zh-CN"/>
        </w:rPr>
        <w:t>结合受援单位实际情况，</w:t>
      </w:r>
      <w:r>
        <w:rPr>
          <w:rFonts w:hint="eastAsia" w:ascii="仿宋_GB2312" w:hAnsi="仿宋_GB2312" w:eastAsia="仿宋_GB2312" w:cs="仿宋_GB2312"/>
          <w:color w:val="auto"/>
          <w:kern w:val="2"/>
          <w:sz w:val="32"/>
          <w:szCs w:val="32"/>
        </w:rPr>
        <w:t>按照统筹兼顾、突出重点、注重实效、长足发展的原则。</w:t>
      </w:r>
    </w:p>
    <w:p>
      <w:pPr>
        <w:pStyle w:val="7"/>
        <w:numPr>
          <w:ilvl w:val="0"/>
          <w:numId w:val="5"/>
        </w:num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项目管理。</w:t>
      </w:r>
    </w:p>
    <w:p>
      <w:pPr>
        <w:pStyle w:val="7"/>
        <w:ind w:firstLine="640" w:firstLineChars="200"/>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制定了《广元市科学技术局财务管理制度（2014）》、《广元市科学技术局经费支出审批及报销管理制度》（广科发〔2017〕68号）、《广元市科学技术局预算管理暂行办法》</w:t>
      </w:r>
    </w:p>
    <w:p>
      <w:pPr>
        <w:pStyle w:val="7"/>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rPr>
        <w:t>制定了《广元市科技特派员年度考核工作方案》</w:t>
      </w:r>
      <w:r>
        <w:rPr>
          <w:rFonts w:hint="eastAsia" w:ascii="仿宋_GB2312" w:hAnsi="仿宋_GB2312" w:eastAsia="仿宋_GB2312" w:cs="仿宋_GB2312"/>
          <w:color w:val="auto"/>
          <w:kern w:val="2"/>
          <w:sz w:val="32"/>
          <w:szCs w:val="32"/>
        </w:rPr>
        <w:t>等，从资金来源、预算批复、资金使用、政府采购、资产管理等方面进行全方位的事前、事中、事后监管。</w:t>
      </w:r>
      <w:r>
        <w:rPr>
          <w:rFonts w:hint="eastAsia" w:ascii="仿宋_GB2312" w:hAnsi="仿宋_GB2312" w:eastAsia="仿宋_GB2312" w:cs="仿宋_GB2312"/>
          <w:color w:val="auto"/>
          <w:sz w:val="32"/>
          <w:szCs w:val="32"/>
          <w:lang w:val="zh-CN"/>
        </w:rPr>
        <w:t>“三区”人才项目严格按照“三区”人才管理办法执行。</w:t>
      </w:r>
      <w:r>
        <w:rPr>
          <w:rFonts w:hint="eastAsia" w:ascii="仿宋_GB2312" w:hAnsi="仿宋_GB2312" w:eastAsia="仿宋_GB2312" w:cs="仿宋_GB2312"/>
          <w:color w:val="auto"/>
          <w:sz w:val="32"/>
          <w:szCs w:val="32"/>
          <w:lang w:val="en-US" w:eastAsia="zh-CN"/>
        </w:rPr>
        <w:t>实施方案经“三区”人才自己结受援单位提出，经分管领导审核。</w:t>
      </w:r>
      <w:r>
        <w:rPr>
          <w:rFonts w:hint="eastAsia" w:ascii="仿宋_GB2312" w:hAnsi="仿宋_GB2312" w:eastAsia="仿宋_GB2312" w:cs="仿宋_GB2312"/>
          <w:color w:val="auto"/>
          <w:sz w:val="32"/>
          <w:szCs w:val="32"/>
          <w:lang w:val="zh-CN"/>
        </w:rPr>
        <w:t>按照年初计划购买所需材料，</w:t>
      </w:r>
      <w:r>
        <w:rPr>
          <w:rFonts w:hint="eastAsia" w:ascii="仿宋_GB2312" w:hAnsi="仿宋_GB2312" w:eastAsia="仿宋_GB2312" w:cs="仿宋_GB2312"/>
          <w:color w:val="auto"/>
          <w:sz w:val="32"/>
          <w:szCs w:val="32"/>
          <w:lang w:val="en-US" w:eastAsia="zh-CN"/>
        </w:rPr>
        <w:t>报帐时经财务经单位分管领导审核，方可支出。</w:t>
      </w:r>
      <w:r>
        <w:rPr>
          <w:rFonts w:hint="eastAsia" w:ascii="仿宋_GB2312" w:hAnsi="仿宋_GB2312" w:eastAsia="仿宋_GB2312" w:cs="仿宋_GB2312"/>
          <w:color w:val="auto"/>
          <w:sz w:val="32"/>
          <w:szCs w:val="32"/>
          <w:lang w:val="zh-CN"/>
        </w:rPr>
        <w:t>由于本项目涉及金额小，不采用招投标办法，由项目实施人提出计划，与受援单位协商一致同意，按照实用、节约等原则采购，采购计划和结果在受援单位内公示。</w:t>
      </w:r>
    </w:p>
    <w:p>
      <w:pPr>
        <w:pStyle w:val="7"/>
        <w:numPr>
          <w:ilvl w:val="0"/>
          <w:numId w:val="5"/>
        </w:numPr>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项目实施。</w:t>
      </w:r>
    </w:p>
    <w:p>
      <w:pPr>
        <w:pStyle w:val="7"/>
        <w:numPr>
          <w:ilvl w:val="0"/>
          <w:numId w:val="0"/>
        </w:num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项目实施以来，局</w:t>
      </w:r>
      <w:r>
        <w:rPr>
          <w:rFonts w:hint="eastAsia" w:ascii="仿宋_GB2312" w:hAnsi="仿宋_GB2312" w:eastAsia="仿宋_GB2312" w:cs="仿宋_GB2312"/>
          <w:color w:val="auto"/>
          <w:sz w:val="32"/>
          <w:szCs w:val="32"/>
          <w:lang w:val="en-US" w:eastAsia="zh-CN"/>
        </w:rPr>
        <w:t>办公室</w:t>
      </w:r>
      <w:r>
        <w:rPr>
          <w:rFonts w:hint="eastAsia" w:ascii="仿宋_GB2312" w:hAnsi="仿宋_GB2312" w:eastAsia="仿宋_GB2312" w:cs="仿宋_GB2312"/>
          <w:color w:val="auto"/>
          <w:sz w:val="32"/>
          <w:szCs w:val="32"/>
          <w:lang w:val="zh-CN"/>
        </w:rPr>
        <w:t>对项目立项、实施和问题研究等全程进行了参与，确保项目实施每个环节规范有序，符合相关要求；通过相关部门的通力合作，整个项目高质量按期完成，实现了项目立项目标，得到了相关领导和社会各界的好评，取得了良好的经济效益。</w:t>
      </w:r>
    </w:p>
    <w:p>
      <w:pPr>
        <w:pStyle w:val="19"/>
        <w:widowControl/>
        <w:spacing w:before="0" w:beforeAutospacing="0" w:after="0" w:afterAutospacing="0" w:line="560" w:lineRule="atLeast"/>
        <w:ind w:firstLine="720"/>
        <w:jc w:val="both"/>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该项目资金来源于市财政资金，年初预算为6万元，全部为财政资金。项目预算批复后，市财政局按规定时间下达全部预算资金，全部安排用于“三区”科技人才补助，实际使用5.9万元</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，未有超预算、超进度、超标准等行为发生。</w:t>
      </w:r>
    </w:p>
    <w:p>
      <w:pPr>
        <w:pStyle w:val="7"/>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4.项目结果。</w:t>
      </w:r>
    </w:p>
    <w:p>
      <w:pPr>
        <w:pStyle w:val="7"/>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zh-CN"/>
        </w:rPr>
        <w:t>项目申报内容均是与受援单位相互协商，</w:t>
      </w:r>
      <w:r>
        <w:rPr>
          <w:rFonts w:hint="eastAsia" w:ascii="仿宋_GB2312" w:hAnsi="仿宋_GB2312" w:eastAsia="仿宋_GB2312" w:cs="仿宋_GB2312"/>
          <w:color w:val="auto"/>
          <w:sz w:val="32"/>
          <w:szCs w:val="32"/>
          <w:lang w:val="en-US" w:eastAsia="zh-CN"/>
        </w:rPr>
        <w:t>按照产业发展的</w:t>
      </w:r>
      <w:r>
        <w:rPr>
          <w:rFonts w:hint="eastAsia" w:ascii="仿宋_GB2312" w:hAnsi="仿宋_GB2312" w:eastAsia="仿宋_GB2312" w:cs="仿宋_GB2312"/>
          <w:color w:val="auto"/>
          <w:sz w:val="32"/>
          <w:szCs w:val="32"/>
          <w:lang w:val="zh-CN"/>
        </w:rPr>
        <w:t>实际需求提出的具体内容，</w:t>
      </w:r>
      <w:r>
        <w:rPr>
          <w:rFonts w:hint="eastAsia" w:ascii="仿宋_GB2312" w:hAnsi="仿宋_GB2312" w:eastAsia="仿宋_GB2312" w:cs="仿宋_GB2312"/>
          <w:color w:val="auto"/>
          <w:sz w:val="32"/>
          <w:szCs w:val="32"/>
          <w:lang w:val="en-US" w:eastAsia="zh-CN"/>
        </w:rPr>
        <w:t>主要是资助受援单位天麻、玉米种子及水溶性复合肥等生产资料，同时开展技术培训，提高生产技能，受援单位满意率达到99%以上。</w:t>
      </w:r>
    </w:p>
    <w:p>
      <w:pPr>
        <w:keepNext w:val="0"/>
        <w:keepLines w:val="0"/>
        <w:pageBreakBefore w:val="0"/>
        <w:widowControl w:val="0"/>
        <w:kinsoku/>
        <w:wordWrap/>
        <w:overflowPunct/>
        <w:topLinePunct w:val="0"/>
        <w:autoSpaceDE/>
        <w:autoSpaceDN/>
        <w:bidi w:val="0"/>
        <w:adjustRightInd/>
        <w:snapToGrid/>
        <w:spacing w:line="578" w:lineRule="exact"/>
        <w:ind w:firstLine="642"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color w:val="auto"/>
          <w:sz w:val="32"/>
          <w:szCs w:val="32"/>
          <w:highlight w:val="none"/>
          <w:u w:val="none"/>
          <w:lang w:val="zh-CN"/>
        </w:rPr>
        <w:t>（二）</w:t>
      </w:r>
      <w:r>
        <w:rPr>
          <w:rFonts w:hint="eastAsia" w:ascii="仿宋_GB2312" w:hAnsi="仿宋_GB2312" w:eastAsia="仿宋_GB2312" w:cs="仿宋_GB2312"/>
          <w:b/>
          <w:color w:val="auto"/>
          <w:sz w:val="32"/>
          <w:szCs w:val="32"/>
          <w:highlight w:val="none"/>
          <w:u w:val="none"/>
          <w:lang w:val="en-US" w:eastAsia="zh-CN"/>
        </w:rPr>
        <w:t>专用指标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color w:val="auto"/>
          <w:sz w:val="32"/>
          <w:szCs w:val="32"/>
          <w:lang w:eastAsia="zh-CN"/>
        </w:rPr>
        <w:t>围绕符合性、成长性、经济性进行绩效分析。</w:t>
      </w:r>
    </w:p>
    <w:p>
      <w:pPr>
        <w:pStyle w:val="7"/>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本项目资金全部用于支持产业发展。</w:t>
      </w:r>
      <w:r>
        <w:rPr>
          <w:rFonts w:hint="eastAsia" w:ascii="仿宋_GB2312" w:hAnsi="仿宋_GB2312" w:eastAsia="仿宋_GB2312" w:cs="仿宋_GB2312"/>
          <w:color w:val="auto"/>
          <w:sz w:val="32"/>
          <w:szCs w:val="32"/>
          <w:lang w:val="zh-CN"/>
        </w:rPr>
        <w:t>项目申报内容均是与受援单位相互协商，根据生产实际需求提出的具体内容，切合实际，实施内容也均与申报内容相符，部分指标超过申报内容，超任务完成目标。</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围绕区域均衡性、对象精准性、标准合理性、群总满意度进行绩效分析。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在建项目围绕工程进度和资金拨付进行绩效分析；建成项目围绕项目验收、功能实现、后续管护进行绩效分析。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行政运转。围绕用途合规性、程序合规性、标准合规性进行绩效分析。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bCs/>
          <w:color w:val="000000"/>
          <w:kern w:val="0"/>
          <w:sz w:val="32"/>
          <w:szCs w:val="32"/>
          <w:highlight w:val="none"/>
          <w:shd w:val="clear" w:color="auto" w:fill="FFFFFF"/>
          <w:lang w:val="zh-CN"/>
        </w:rPr>
      </w:pPr>
      <w:r>
        <w:rPr>
          <w:rFonts w:hint="eastAsia" w:ascii="仿宋_GB2312" w:hAnsi="仿宋_GB2312" w:eastAsia="仿宋_GB2312" w:cs="仿宋_GB2312"/>
          <w:b/>
          <w:color w:val="auto"/>
          <w:sz w:val="32"/>
          <w:szCs w:val="32"/>
          <w:highlight w:val="none"/>
          <w:u w:val="none"/>
          <w:lang w:val="zh-CN"/>
        </w:rPr>
        <w:t>（三）</w:t>
      </w:r>
      <w:r>
        <w:rPr>
          <w:rFonts w:hint="eastAsia" w:ascii="仿宋_GB2312" w:hAnsi="仿宋_GB2312" w:eastAsia="仿宋_GB2312" w:cs="仿宋_GB2312"/>
          <w:b/>
          <w:color w:val="auto"/>
          <w:sz w:val="32"/>
          <w:szCs w:val="32"/>
          <w:highlight w:val="none"/>
          <w:u w:val="none"/>
          <w:lang w:val="en-US" w:eastAsia="zh-CN"/>
        </w:rPr>
        <w:t>个性指标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pStyle w:val="2"/>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07" w:name="_Toc16591"/>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07"/>
    </w:p>
    <w:p>
      <w:pPr>
        <w:pStyle w:val="7"/>
        <w:ind w:firstLine="640"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100分，其中，通用指标得分54分，专用指标得分30分，个性指标得分16分。</w:t>
      </w:r>
      <w:r>
        <w:rPr>
          <w:rFonts w:hint="eastAsia" w:ascii="仿宋_GB2312" w:hAnsi="仿宋_GB2312" w:eastAsia="仿宋_GB2312" w:cs="仿宋_GB2312"/>
          <w:color w:val="auto"/>
          <w:sz w:val="32"/>
          <w:szCs w:val="32"/>
          <w:lang w:val="zh-CN"/>
        </w:rPr>
        <w:t>该项目为“三区”科技人才项目，实施以来严格按照“三区”人才管理办法执行，主要体现在以下几个方面：一是</w:t>
      </w:r>
      <w:r>
        <w:rPr>
          <w:rFonts w:hint="eastAsia" w:ascii="仿宋_GB2312" w:hAnsi="仿宋_GB2312" w:eastAsia="仿宋_GB2312" w:cs="仿宋_GB2312"/>
          <w:color w:val="auto"/>
          <w:sz w:val="32"/>
          <w:szCs w:val="32"/>
          <w:lang w:val="en-US" w:eastAsia="zh-CN"/>
        </w:rPr>
        <w:t>高效完成目标任务，</w:t>
      </w:r>
      <w:r>
        <w:rPr>
          <w:rFonts w:hint="eastAsia" w:ascii="仿宋_GB2312" w:hAnsi="仿宋_GB2312" w:eastAsia="仿宋_GB2312" w:cs="仿宋_GB2312"/>
          <w:color w:val="auto"/>
          <w:sz w:val="32"/>
          <w:szCs w:val="32"/>
          <w:lang w:val="zh-CN"/>
        </w:rPr>
        <w:t>按量完成人才补助、积极服务目标乡村，</w:t>
      </w:r>
      <w:r>
        <w:rPr>
          <w:rFonts w:hint="eastAsia" w:ascii="仿宋_GB2312" w:hAnsi="仿宋_GB2312" w:eastAsia="仿宋_GB2312" w:cs="仿宋_GB2312"/>
          <w:color w:val="auto"/>
          <w:sz w:val="32"/>
          <w:szCs w:val="32"/>
          <w:lang w:val="en-US" w:eastAsia="zh-CN"/>
        </w:rPr>
        <w:t>开展多场技术培训，</w:t>
      </w:r>
      <w:r>
        <w:rPr>
          <w:rFonts w:hint="eastAsia" w:ascii="仿宋_GB2312" w:hAnsi="仿宋_GB2312" w:eastAsia="仿宋_GB2312" w:cs="仿宋_GB2312"/>
          <w:color w:val="auto"/>
          <w:sz w:val="32"/>
          <w:szCs w:val="32"/>
          <w:lang w:val="zh-CN"/>
        </w:rPr>
        <w:t>并且无偿赠送</w:t>
      </w:r>
      <w:r>
        <w:rPr>
          <w:rFonts w:hint="eastAsia" w:ascii="仿宋_GB2312" w:hAnsi="仿宋_GB2312" w:eastAsia="仿宋_GB2312" w:cs="仿宋_GB2312"/>
          <w:color w:val="auto"/>
          <w:sz w:val="32"/>
          <w:szCs w:val="32"/>
          <w:lang w:val="en-US" w:eastAsia="zh-CN"/>
        </w:rPr>
        <w:t>种子、</w:t>
      </w:r>
      <w:r>
        <w:rPr>
          <w:rFonts w:hint="eastAsia" w:ascii="仿宋_GB2312" w:hAnsi="仿宋_GB2312" w:eastAsia="仿宋_GB2312" w:cs="仿宋_GB2312"/>
          <w:color w:val="auto"/>
          <w:sz w:val="32"/>
          <w:szCs w:val="32"/>
          <w:lang w:val="zh-CN"/>
        </w:rPr>
        <w:t>化肥等</w:t>
      </w:r>
      <w:r>
        <w:rPr>
          <w:rFonts w:hint="eastAsia" w:ascii="仿宋_GB2312" w:hAnsi="仿宋_GB2312" w:eastAsia="仿宋_GB2312" w:cs="仿宋_GB2312"/>
          <w:color w:val="auto"/>
          <w:sz w:val="32"/>
          <w:szCs w:val="32"/>
          <w:lang w:val="en-US" w:eastAsia="zh-CN"/>
        </w:rPr>
        <w:t>农用</w:t>
      </w:r>
      <w:r>
        <w:rPr>
          <w:rFonts w:hint="eastAsia" w:ascii="仿宋_GB2312" w:hAnsi="仿宋_GB2312" w:eastAsia="仿宋_GB2312" w:cs="仿宋_GB2312"/>
          <w:color w:val="auto"/>
          <w:sz w:val="32"/>
          <w:szCs w:val="32"/>
          <w:lang w:val="zh-CN"/>
        </w:rPr>
        <w:t>物资，完成率为100%。二是建成了天麻、水果及蔬菜三个科技服务基地，带动本地产业高质量发展。三是</w:t>
      </w:r>
      <w:r>
        <w:rPr>
          <w:rFonts w:hint="eastAsia" w:ascii="仿宋_GB2312" w:hAnsi="仿宋_GB2312" w:eastAsia="仿宋_GB2312" w:cs="仿宋_GB2312"/>
          <w:color w:val="auto"/>
          <w:sz w:val="32"/>
          <w:szCs w:val="32"/>
          <w:lang w:val="en-US" w:eastAsia="zh-CN"/>
        </w:rPr>
        <w:t>科研成果丰硕，完成</w:t>
      </w:r>
      <w:r>
        <w:rPr>
          <w:rFonts w:hint="eastAsia" w:ascii="仿宋_GB2312" w:hAnsi="仿宋_GB2312" w:eastAsia="仿宋_GB2312" w:cs="仿宋_GB2312"/>
          <w:color w:val="auto"/>
          <w:sz w:val="32"/>
          <w:szCs w:val="32"/>
          <w:lang w:val="zh-CN"/>
        </w:rPr>
        <w:t>天麻新品</w:t>
      </w:r>
      <w:r>
        <w:rPr>
          <w:rFonts w:hint="eastAsia" w:ascii="仿宋_GB2312" w:hAnsi="仿宋_GB2312" w:eastAsia="仿宋_GB2312" w:cs="仿宋_GB2312"/>
          <w:color w:val="auto"/>
          <w:sz w:val="32"/>
          <w:szCs w:val="32"/>
          <w:lang w:val="en-US" w:eastAsia="zh-CN"/>
        </w:rPr>
        <w:t>系基源鉴定</w:t>
      </w:r>
      <w:r>
        <w:rPr>
          <w:rFonts w:hint="eastAsia" w:ascii="仿宋_GB2312" w:hAnsi="仿宋_GB2312" w:eastAsia="仿宋_GB2312" w:cs="仿宋_GB2312"/>
          <w:color w:val="auto"/>
          <w:sz w:val="32"/>
          <w:szCs w:val="32"/>
          <w:lang w:val="zh-CN"/>
        </w:rPr>
        <w:t>1个，发表科技论文2篇；完成省级科技成果1项，完成蔬菜新品种试验2项，完成试验报告2篇；施肥新方法1个，形成栽培新技术1套；完成蔬菜新品种试验2项，完成试验报告2篇。提高了当地优势特色产品的核心竞争力，带动项目区产业发展，实现项目区产业兴旺，为乡村振兴奠定科技支撑。</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08" w:name="_Toc24592"/>
      <w:r>
        <w:rPr>
          <w:rFonts w:hint="eastAsia" w:ascii="黑体" w:hAnsi="黑体" w:eastAsia="黑体" w:cs="Times New Roman"/>
          <w:color w:val="auto"/>
          <w:sz w:val="32"/>
          <w:szCs w:val="32"/>
          <w:highlight w:val="none"/>
          <w:lang w:eastAsia="zh-CN"/>
        </w:rPr>
        <w:t>五、存在主要问题</w:t>
      </w:r>
      <w:bookmarkEnd w:id="108"/>
    </w:p>
    <w:p>
      <w:pPr>
        <w:ind w:firstLine="640" w:firstLineChars="200"/>
        <w:rPr>
          <w:rFonts w:hint="eastAsia" w:ascii="仿宋_GB2312" w:hAnsi="仿宋_GB2312" w:eastAsia="仿宋_GB2312" w:cs="仿宋_GB2312"/>
          <w:color w:val="auto"/>
          <w:kern w:val="0"/>
          <w:position w:val="3"/>
          <w:sz w:val="32"/>
          <w:szCs w:val="32"/>
          <w:highlight w:val="none"/>
          <w:u w:val="none"/>
          <w:lang w:val="zh-CN" w:eastAsia="zh-CN" w:bidi="ar-SA"/>
        </w:rPr>
      </w:pPr>
      <w:r>
        <w:rPr>
          <w:rFonts w:hint="eastAsia" w:ascii="仿宋_GB2312" w:hAnsi="仿宋_GB2312" w:eastAsia="仿宋_GB2312" w:cs="仿宋_GB2312"/>
          <w:sz w:val="32"/>
          <w:szCs w:val="32"/>
          <w:lang w:val="en-US" w:eastAsia="zh-CN"/>
        </w:rPr>
        <w:t>“三区”科技人才项目规模小，每人每年项目经费2万元，科技人员在实际操作过程中由于资金量少，仅能从事一些技术培训和生产资料，无法开展深入性研究，服务广度和深度受到很大的限制。同时受2024年7月连降阴雨，8-9月长达80天的干旱，部分天麻腐烂、蔬菜生长受阻，增收受限，影响了项目效益发挥。</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09" w:name="_Toc9825"/>
      <w:r>
        <w:rPr>
          <w:rFonts w:hint="eastAsia" w:ascii="黑体" w:hAnsi="黑体" w:eastAsia="黑体" w:cs="Times New Roman"/>
          <w:color w:val="auto"/>
          <w:sz w:val="32"/>
          <w:szCs w:val="32"/>
          <w:highlight w:val="none"/>
          <w:lang w:val="zh-CN" w:eastAsia="zh-CN"/>
        </w:rPr>
        <w:t>六、改进建议</w:t>
      </w:r>
      <w:bookmarkEnd w:id="109"/>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针对“三区”科技人才项目，希望主管</w:t>
      </w:r>
      <w:r>
        <w:rPr>
          <w:rFonts w:hint="eastAsia" w:ascii="仿宋_GB2312" w:hAnsi="仿宋_GB2312" w:eastAsia="仿宋_GB2312" w:cs="仿宋_GB2312"/>
          <w:color w:val="auto"/>
          <w:sz w:val="32"/>
          <w:szCs w:val="32"/>
          <w:lang w:val="en-US" w:eastAsia="zh-CN"/>
        </w:rPr>
        <w:t>部门适当增加项目经费，</w:t>
      </w:r>
      <w:r>
        <w:rPr>
          <w:rFonts w:hint="eastAsia" w:ascii="仿宋_GB2312" w:hAnsi="仿宋_GB2312" w:eastAsia="仿宋_GB2312" w:cs="仿宋_GB2312"/>
          <w:color w:val="auto"/>
          <w:sz w:val="32"/>
          <w:szCs w:val="32"/>
        </w:rPr>
        <w:t>给予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三区”</w:t>
      </w:r>
      <w:r>
        <w:rPr>
          <w:rFonts w:hint="eastAsia" w:ascii="仿宋_GB2312" w:hAnsi="仿宋_GB2312" w:eastAsia="仿宋_GB2312" w:cs="仿宋_GB2312"/>
          <w:color w:val="auto"/>
          <w:sz w:val="32"/>
          <w:szCs w:val="32"/>
        </w:rPr>
        <w:t>更大更多的</w:t>
      </w:r>
      <w:r>
        <w:rPr>
          <w:rFonts w:hint="eastAsia" w:ascii="仿宋_GB2312" w:hAnsi="仿宋_GB2312" w:eastAsia="仿宋_GB2312" w:cs="仿宋_GB2312"/>
          <w:color w:val="auto"/>
          <w:sz w:val="32"/>
          <w:szCs w:val="32"/>
          <w:lang w:val="en-US" w:eastAsia="zh-CN"/>
        </w:rPr>
        <w:t>支持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鼓励科技人员和受援单位</w:t>
      </w:r>
      <w:r>
        <w:rPr>
          <w:rFonts w:hint="eastAsia" w:ascii="仿宋_GB2312" w:hAnsi="仿宋_GB2312" w:eastAsia="仿宋_GB2312" w:cs="仿宋_GB2312"/>
          <w:color w:val="auto"/>
          <w:sz w:val="32"/>
          <w:szCs w:val="32"/>
          <w:lang w:val="en-US" w:eastAsia="zh-CN"/>
        </w:rPr>
        <w:t>开展深入的应用技术研究，把更多的实用技术用于经济建设</w:t>
      </w:r>
      <w:r>
        <w:rPr>
          <w:rFonts w:hint="eastAsia" w:ascii="仿宋_GB2312" w:hAnsi="仿宋_GB2312" w:eastAsia="仿宋_GB2312" w:cs="仿宋_GB2312"/>
          <w:color w:val="auto"/>
          <w:sz w:val="32"/>
          <w:szCs w:val="32"/>
        </w:rPr>
        <w:t>。同时针对恶劣或极端天气等不可控因素，希望设置额外的专项经费，为各科技人员提供更大更充分的发展空间。</w:t>
      </w:r>
    </w:p>
    <w:p>
      <w:pPr>
        <w:pStyle w:val="2"/>
        <w:rPr>
          <w:rFonts w:hint="eastAsia"/>
        </w:rPr>
      </w:pPr>
    </w:p>
    <w:p>
      <w:pPr>
        <w:pStyle w:val="2"/>
        <w:rPr>
          <w:rFonts w:hint="eastAsia"/>
          <w:lang w:val="zh-CN" w:eastAsia="zh-CN"/>
        </w:rPr>
      </w:pPr>
    </w:p>
    <w:p>
      <w:pPr>
        <w:pStyle w:val="38"/>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广元“十五五”时期全面提升科技创新能力课题研究报告</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38"/>
        <w:keepNext w:val="0"/>
        <w:keepLines w:val="0"/>
        <w:pageBreakBefore w:val="0"/>
        <w:widowControl w:val="0"/>
        <w:kinsoku/>
        <w:wordWrap/>
        <w:overflowPunct/>
        <w:topLinePunct w:val="0"/>
        <w:autoSpaceDE/>
        <w:autoSpaceDN/>
        <w:bidi w:val="0"/>
        <w:spacing w:line="540" w:lineRule="exact"/>
        <w:ind w:left="0" w:leftChars="0" w:firstLine="640"/>
        <w:jc w:val="center"/>
        <w:textAlignment w:val="auto"/>
        <w:rPr>
          <w:rFonts w:hint="default" w:ascii="Times New Roman" w:hAnsi="Times New Roman" w:cs="Times New Roman"/>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10" w:name="_Toc5469"/>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10"/>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（一）设立背景及基本情况。</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根据市“十五五”规划编制工作机制办公室《关于印发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&lt;</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广元市“十五五”规划前期研究重大课题清单</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&gt;的通知</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》《关于做好“十五五”规划编制近期重点工作的通知》要求，市科技局承担的课题为“广元‘十五五’时期全面提升科技创新能力研究”，立项资金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3万元。该项目主要是研究“十四五”科技发展现状及主要成效，深入分析广元科技创新工作发展面临的机遇与挑战，初步提出未来五年发展总体思路与目标，基本明确未来五年重点任务和举措，全面梳理重大事项、重大改革、重大政策、重大项目清单。</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zh-CN"/>
        </w:rPr>
        <w:t>（</w:t>
      </w: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实施目的及支持方向。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本项目实施的目的是为编制“十五五”规划《基本思路》和科技创新规划奠定坚实基础。项目主要支持开展“十五五”时期全面提升科技创新能力调查研究工作。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预算安排及分配管理</w:t>
      </w:r>
      <w:r>
        <w:rPr>
          <w:rFonts w:hint="eastAsia" w:ascii="黑体" w:hAnsi="黑体" w:eastAsia="黑体" w:cs="Times New Roman"/>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项目预算总资金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3万元，主要用于专家论证费、材料费、差旅费等费用。</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黑体" w:hAnsi="黑体" w:eastAsia="黑体" w:cs="Times New Roman"/>
          <w:color w:val="auto"/>
          <w:kern w:val="2"/>
          <w:sz w:val="32"/>
          <w:szCs w:val="32"/>
          <w:highlight w:val="none"/>
          <w:lang w:val="zh-CN" w:eastAsia="zh-CN" w:bidi="ar-SA"/>
        </w:rPr>
        <w:t>（四）项目绩效目标设置。</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形成调研报告</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1篇</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11" w:name="_Toc14351"/>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11"/>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 w:val="0"/>
          <w:bCs w:val="0"/>
          <w:color w:val="auto"/>
          <w:sz w:val="32"/>
          <w:szCs w:val="32"/>
        </w:rPr>
      </w:pP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b w:val="0"/>
          <w:bCs w:val="0"/>
          <w:color w:val="auto"/>
          <w:sz w:val="32"/>
          <w:szCs w:val="32"/>
          <w:lang w:val="zh-CN"/>
        </w:rPr>
        <w:t>形成《广元“十五五”时期全面提升科技创新能力课题研究报告》</w:t>
      </w:r>
      <w:r>
        <w:rPr>
          <w:rFonts w:hint="eastAsia" w:ascii="仿宋_GB2312" w:hAnsi="仿宋_GB2312" w:eastAsia="仿宋_GB2312" w:cs="仿宋_GB2312"/>
          <w:b w:val="0"/>
          <w:bCs w:val="0"/>
          <w:color w:val="auto"/>
          <w:sz w:val="32"/>
          <w:szCs w:val="32"/>
          <w:lang w:val="en-US" w:eastAsia="zh-CN"/>
        </w:rPr>
        <w:t>1份</w:t>
      </w:r>
      <w:r>
        <w:rPr>
          <w:rFonts w:hint="eastAsia" w:ascii="仿宋_GB2312" w:hAnsi="仿宋_GB2312" w:eastAsia="仿宋_GB2312" w:cs="仿宋_GB2312"/>
          <w:b w:val="0"/>
          <w:bCs w:val="0"/>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b w:val="0"/>
          <w:bCs w:val="0"/>
          <w:color w:val="auto"/>
          <w:sz w:val="32"/>
          <w:szCs w:val="32"/>
          <w:lang w:val="zh-CN"/>
        </w:rPr>
        <w:t>目前项目资金已使用</w:t>
      </w:r>
      <w:r>
        <w:rPr>
          <w:rFonts w:hint="eastAsia" w:ascii="仿宋_GB2312" w:hAnsi="仿宋_GB2312" w:eastAsia="仿宋_GB2312" w:cs="仿宋_GB2312"/>
          <w:b w:val="0"/>
          <w:bCs w:val="0"/>
          <w:color w:val="auto"/>
          <w:sz w:val="32"/>
          <w:szCs w:val="32"/>
          <w:lang w:val="en-US" w:eastAsia="zh-CN"/>
        </w:rPr>
        <w:t>13983.2元，结余资金16016.8元。</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b w:val="0"/>
          <w:bCs w:val="0"/>
          <w:color w:val="auto"/>
          <w:sz w:val="32"/>
          <w:szCs w:val="32"/>
          <w:lang w:val="zh-CN"/>
        </w:rPr>
        <w:t>无。</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b w:val="0"/>
          <w:bCs w:val="0"/>
          <w:color w:val="auto"/>
          <w:sz w:val="32"/>
          <w:szCs w:val="32"/>
          <w:highlight w:val="none"/>
          <w:u w:val="none"/>
          <w:lang w:val="zh-CN"/>
        </w:rPr>
        <w:t>无</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b w:val="0"/>
          <w:bCs w:val="0"/>
          <w:color w:val="auto"/>
          <w:sz w:val="32"/>
          <w:szCs w:val="32"/>
          <w:lang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12" w:name="_Toc8380"/>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12"/>
      <w:r>
        <w:rPr>
          <w:rFonts w:hint="eastAsia" w:ascii="黑体" w:hAnsi="黑体" w:eastAsia="黑体" w:cs="Times New Roman"/>
          <w:color w:val="auto"/>
          <w:sz w:val="32"/>
          <w:szCs w:val="32"/>
          <w:highlight w:val="none"/>
          <w:lang w:val="zh-CN"/>
        </w:rPr>
        <w:tab/>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根据项目预算绩效评价指标体系“通用指标”“专用指标”“个性指标”涉及二、三级指标进行逐项绩效分析并评分</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项目决策。项目预算经费主要用于专家论证费、材料费、差旅费等费用。</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项目管理。严格按照课题研究相关文件精神执行。</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3.项目实施。</w:t>
      </w:r>
      <w:r>
        <w:rPr>
          <w:rFonts w:hint="eastAsia" w:ascii="仿宋_GB2312" w:hAnsi="仿宋_GB2312" w:eastAsia="仿宋_GB2312" w:cs="仿宋_GB2312"/>
          <w:b w:val="0"/>
          <w:bCs w:val="0"/>
          <w:color w:val="auto"/>
          <w:sz w:val="32"/>
          <w:szCs w:val="32"/>
          <w:lang w:val="zh-CN"/>
        </w:rPr>
        <w:t>目前项目资金已使用</w:t>
      </w:r>
      <w:r>
        <w:rPr>
          <w:rFonts w:hint="eastAsia" w:ascii="仿宋_GB2312" w:hAnsi="仿宋_GB2312" w:eastAsia="仿宋_GB2312" w:cs="仿宋_GB2312"/>
          <w:b w:val="0"/>
          <w:bCs w:val="0"/>
          <w:color w:val="auto"/>
          <w:sz w:val="32"/>
          <w:szCs w:val="32"/>
          <w:lang w:val="en-US" w:eastAsia="zh-CN"/>
        </w:rPr>
        <w:t>13983.2元，结余资金16016.8元</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4.项目结果。</w:t>
      </w:r>
      <w:r>
        <w:rPr>
          <w:rFonts w:hint="eastAsia" w:ascii="仿宋_GB2312" w:hAnsi="仿宋_GB2312" w:eastAsia="仿宋_GB2312" w:cs="仿宋_GB2312"/>
          <w:b w:val="0"/>
          <w:bCs w:val="0"/>
          <w:color w:val="auto"/>
          <w:sz w:val="32"/>
          <w:szCs w:val="32"/>
          <w:lang w:val="zh-CN"/>
        </w:rPr>
        <w:t>形成《广元“十五五”时期全面提升科技创新能力课题研究报告》。</w:t>
      </w:r>
    </w:p>
    <w:p>
      <w:pPr>
        <w:keepNext w:val="0"/>
        <w:keepLines w:val="0"/>
        <w:pageBreakBefore w:val="0"/>
        <w:widowControl w:val="0"/>
        <w:kinsoku/>
        <w:wordWrap/>
        <w:overflowPunct/>
        <w:topLinePunct w:val="0"/>
        <w:autoSpaceDE/>
        <w:autoSpaceDN/>
        <w:bidi w:val="0"/>
        <w:spacing w:line="540" w:lineRule="exact"/>
        <w:ind w:firstLine="64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1.产业发展类。</w:t>
      </w:r>
      <w:r>
        <w:rPr>
          <w:rFonts w:hint="eastAsia" w:ascii="仿宋_GB2312" w:hAnsi="仿宋_GB2312" w:eastAsia="仿宋_GB2312" w:cs="仿宋_GB2312"/>
          <w:b w:val="0"/>
          <w:bCs w:val="0"/>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zh-CN" w:eastAsia="zh-CN"/>
        </w:rPr>
        <w:t>民生保障</w:t>
      </w:r>
      <w:r>
        <w:rPr>
          <w:rFonts w:hint="eastAsia" w:ascii="仿宋_GB2312" w:hAnsi="仿宋_GB2312" w:eastAsia="仿宋_GB2312" w:cs="仿宋_GB2312"/>
          <w:b w:val="0"/>
          <w:bCs w:val="0"/>
          <w:color w:val="auto"/>
          <w:sz w:val="32"/>
          <w:szCs w:val="32"/>
          <w:lang w:val="en-US" w:eastAsia="zh-CN"/>
        </w:rPr>
        <w:t>类</w:t>
      </w:r>
      <w:r>
        <w:rPr>
          <w:rFonts w:hint="eastAsia" w:ascii="仿宋_GB2312" w:hAnsi="仿宋_GB2312" w:eastAsia="仿宋_GB2312" w:cs="仿宋_GB2312"/>
          <w:b w:val="0"/>
          <w:bCs w:val="0"/>
          <w:color w:val="auto"/>
          <w:sz w:val="32"/>
          <w:szCs w:val="32"/>
          <w:lang w:val="zh-CN" w:eastAsia="zh-CN"/>
        </w:rPr>
        <w:t>。</w:t>
      </w:r>
      <w:r>
        <w:rPr>
          <w:rFonts w:hint="eastAsia" w:ascii="仿宋_GB2312" w:hAnsi="仿宋_GB2312" w:eastAsia="仿宋_GB2312" w:cs="仿宋_GB2312"/>
          <w:b w:val="0"/>
          <w:bCs w:val="0"/>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3.基础设施类。</w:t>
      </w:r>
      <w:r>
        <w:rPr>
          <w:rFonts w:hint="eastAsia" w:ascii="仿宋_GB2312" w:hAnsi="仿宋_GB2312" w:eastAsia="仿宋_GB2312" w:cs="仿宋_GB2312"/>
          <w:b w:val="0"/>
          <w:bCs w:val="0"/>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lang w:val="zh-CN" w:eastAsia="zh-CN"/>
        </w:rPr>
        <w:t>行政运转</w:t>
      </w:r>
      <w:r>
        <w:rPr>
          <w:rFonts w:hint="eastAsia" w:ascii="仿宋_GB2312" w:hAnsi="仿宋_GB2312" w:eastAsia="仿宋_GB2312" w:cs="仿宋_GB2312"/>
          <w:b w:val="0"/>
          <w:bCs w:val="0"/>
          <w:color w:val="auto"/>
          <w:sz w:val="32"/>
          <w:szCs w:val="32"/>
          <w:lang w:val="en-US" w:eastAsia="zh-CN"/>
        </w:rPr>
        <w:t>类</w:t>
      </w:r>
      <w:r>
        <w:rPr>
          <w:rFonts w:hint="eastAsia" w:ascii="仿宋_GB2312" w:hAnsi="仿宋_GB2312" w:eastAsia="仿宋_GB2312" w:cs="仿宋_GB2312"/>
          <w:b w:val="0"/>
          <w:bCs w:val="0"/>
          <w:color w:val="auto"/>
          <w:sz w:val="32"/>
          <w:szCs w:val="32"/>
          <w:lang w:val="zh-CN" w:eastAsia="zh-CN"/>
        </w:rPr>
        <w:t>。严格按照课题研究相关规定执行，确保经费我使用用途合规、调研报告编制程序合规。</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highlight w:val="none"/>
          <w:u w:val="none"/>
          <w:lang w:val="zh-CN"/>
        </w:rPr>
        <w:t>（三）</w:t>
      </w:r>
      <w:r>
        <w:rPr>
          <w:rFonts w:hint="eastAsia" w:ascii="仿宋_GB2312" w:hAnsi="仿宋_GB2312" w:eastAsia="仿宋_GB2312" w:cs="仿宋_GB2312"/>
          <w:b w:val="0"/>
          <w:bCs w:val="0"/>
          <w:color w:val="auto"/>
          <w:sz w:val="32"/>
          <w:szCs w:val="32"/>
          <w:highlight w:val="none"/>
          <w:u w:val="none"/>
          <w:lang w:val="en-US" w:eastAsia="zh-CN"/>
        </w:rPr>
        <w:t>个性指标</w:t>
      </w:r>
      <w:r>
        <w:rPr>
          <w:rFonts w:hint="eastAsia" w:ascii="仿宋_GB2312" w:hAnsi="仿宋_GB2312" w:eastAsia="仿宋_GB2312" w:cs="仿宋_GB2312"/>
          <w:b w:val="0"/>
          <w:bCs w:val="0"/>
          <w:color w:val="auto"/>
          <w:kern w:val="0"/>
          <w:sz w:val="32"/>
          <w:szCs w:val="32"/>
          <w:highlight w:val="none"/>
          <w:shd w:val="clear" w:color="auto" w:fill="FFFFFF"/>
          <w:lang w:val="zh-CN"/>
        </w:rPr>
        <w:t>绩效分析。</w:t>
      </w:r>
      <w:r>
        <w:rPr>
          <w:rFonts w:hint="eastAsia" w:ascii="仿宋_GB2312" w:hAnsi="仿宋_GB2312" w:eastAsia="仿宋_GB2312" w:cs="仿宋_GB2312"/>
          <w:b w:val="0"/>
          <w:bCs w:val="0"/>
          <w:color w:val="auto"/>
          <w:sz w:val="32"/>
          <w:szCs w:val="32"/>
          <w:lang w:val="zh-CN" w:eastAsia="zh-CN"/>
        </w:rPr>
        <w:t>已完成调研报告</w:t>
      </w:r>
      <w:r>
        <w:rPr>
          <w:rFonts w:hint="eastAsia" w:ascii="仿宋_GB2312" w:hAnsi="仿宋_GB2312" w:eastAsia="仿宋_GB2312" w:cs="仿宋_GB2312"/>
          <w:b w:val="0"/>
          <w:bCs w:val="0"/>
          <w:color w:val="auto"/>
          <w:sz w:val="32"/>
          <w:szCs w:val="32"/>
          <w:lang w:val="en-US" w:eastAsia="zh-CN"/>
        </w:rPr>
        <w:t>1份</w:t>
      </w:r>
      <w:r>
        <w:rPr>
          <w:rFonts w:hint="eastAsia" w:ascii="仿宋_GB2312" w:hAnsi="仿宋_GB2312" w:eastAsia="仿宋_GB2312" w:cs="仿宋_GB2312"/>
          <w:b w:val="0"/>
          <w:bCs w:val="0"/>
          <w:color w:val="auto"/>
          <w:sz w:val="32"/>
          <w:szCs w:val="32"/>
          <w:lang w:val="zh-CN" w:eastAsia="zh-CN"/>
        </w:rPr>
        <w:t>。</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13" w:name="_Toc21849"/>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13"/>
    </w:p>
    <w:p>
      <w:pPr>
        <w:pStyle w:val="2"/>
        <w:keepNext w:val="0"/>
        <w:keepLines w:val="0"/>
        <w:pageBreakBefore w:val="0"/>
        <w:numPr>
          <w:ilvl w:val="0"/>
          <w:numId w:val="0"/>
        </w:numPr>
        <w:tabs>
          <w:tab w:val="left" w:pos="2160"/>
        </w:tabs>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b w:val="0"/>
          <w:bCs w:val="0"/>
          <w:color w:val="auto"/>
          <w:kern w:val="2"/>
          <w:position w:val="0"/>
          <w:sz w:val="32"/>
          <w:szCs w:val="32"/>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99分，其中，通用指标得分53分，专用指标得分30分，个性指标得分16分。</w:t>
      </w:r>
      <w:r>
        <w:rPr>
          <w:rFonts w:hint="eastAsia" w:ascii="仿宋_GB2312" w:hAnsi="仿宋_GB2312" w:eastAsia="仿宋_GB2312" w:cs="仿宋_GB2312"/>
          <w:b w:val="0"/>
          <w:bCs w:val="0"/>
          <w:color w:val="auto"/>
          <w:kern w:val="2"/>
          <w:position w:val="0"/>
          <w:sz w:val="32"/>
          <w:szCs w:val="32"/>
          <w:lang w:val="en-US" w:eastAsia="zh-CN" w:bidi="ar-SA"/>
        </w:rPr>
        <w:t>根据市“十五五”规划编制工作机制办公室“十五五”规划前期重大课题研究要求，在规定时间形成课题成果，完成课题评审，并经分管市领导审定，形成《广元“十五五”时期全面提升科技创新能力课题研究报告》定稿。扣分原因是项目指标下达时间为2024年12月，</w:t>
      </w:r>
      <w:r>
        <w:rPr>
          <w:rFonts w:hint="eastAsia" w:hAnsi="仿宋_GB2312" w:cs="仿宋_GB2312"/>
          <w:b w:val="0"/>
          <w:bCs w:val="0"/>
          <w:color w:val="auto"/>
          <w:kern w:val="2"/>
          <w:position w:val="0"/>
          <w:sz w:val="32"/>
          <w:szCs w:val="32"/>
          <w:lang w:val="en-US" w:eastAsia="zh-CN" w:bidi="ar-SA"/>
        </w:rPr>
        <w:t>截至</w:t>
      </w:r>
      <w:r>
        <w:rPr>
          <w:rFonts w:hint="eastAsia" w:ascii="仿宋_GB2312" w:hAnsi="仿宋_GB2312" w:eastAsia="仿宋_GB2312" w:cs="仿宋_GB2312"/>
          <w:b w:val="0"/>
          <w:bCs w:val="0"/>
          <w:color w:val="auto"/>
          <w:kern w:val="2"/>
          <w:position w:val="0"/>
          <w:sz w:val="32"/>
          <w:szCs w:val="32"/>
          <w:lang w:val="en-US" w:eastAsia="zh-CN" w:bidi="ar-SA"/>
        </w:rPr>
        <w:t>年底预算执行不达标。</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14" w:name="_Toc2241"/>
      <w:r>
        <w:rPr>
          <w:rFonts w:hint="eastAsia" w:ascii="黑体" w:hAnsi="黑体" w:eastAsia="黑体" w:cs="Times New Roman"/>
          <w:color w:val="auto"/>
          <w:sz w:val="32"/>
          <w:szCs w:val="32"/>
          <w:highlight w:val="none"/>
          <w:lang w:eastAsia="zh-CN"/>
        </w:rPr>
        <w:t>五、存在主要问题</w:t>
      </w:r>
      <w:bookmarkEnd w:id="114"/>
    </w:p>
    <w:p>
      <w:pPr>
        <w:pStyle w:val="2"/>
        <w:keepNext w:val="0"/>
        <w:keepLines w:val="0"/>
        <w:pageBreakBefore w:val="0"/>
        <w:numPr>
          <w:ilvl w:val="0"/>
          <w:numId w:val="0"/>
        </w:numPr>
        <w:tabs>
          <w:tab w:val="left" w:pos="2160"/>
        </w:tabs>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课题经费执行较慢。</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15" w:name="_Toc25404"/>
      <w:r>
        <w:rPr>
          <w:rFonts w:hint="eastAsia" w:ascii="黑体" w:hAnsi="黑体" w:eastAsia="黑体" w:cs="Times New Roman"/>
          <w:color w:val="auto"/>
          <w:sz w:val="32"/>
          <w:szCs w:val="32"/>
          <w:highlight w:val="none"/>
          <w:lang w:val="zh-CN" w:eastAsia="zh-CN"/>
        </w:rPr>
        <w:t>六、改进建议</w:t>
      </w:r>
      <w:bookmarkEnd w:id="115"/>
    </w:p>
    <w:p>
      <w:pPr>
        <w:keepNext w:val="0"/>
        <w:keepLines w:val="0"/>
        <w:pageBreakBefore w:val="0"/>
        <w:tabs>
          <w:tab w:val="left" w:pos="1911"/>
        </w:tabs>
        <w:kinsoku/>
        <w:wordWrap/>
        <w:overflowPunct/>
        <w:topLinePunct w:val="0"/>
        <w:autoSpaceDE/>
        <w:autoSpaceDN/>
        <w:bidi w:val="0"/>
        <w:spacing w:line="540" w:lineRule="exact"/>
        <w:jc w:val="left"/>
        <w:textAlignment w:val="auto"/>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建议按照相关要求，围绕“十五五”时期科技创新能力提升和“十五五”科技创新规划编制等工作，合理合规加快使用课题结余费用。</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仿宋_GB2312" w:hAnsi="仿宋_GB2312" w:eastAsia="仿宋_GB2312" w:cs="仿宋_GB2312"/>
          <w:color w:val="auto"/>
          <w:spacing w:val="-20"/>
          <w:kern w:val="2"/>
          <w:sz w:val="32"/>
          <w:szCs w:val="32"/>
          <w:lang w:val="en-US" w:eastAsia="zh-CN" w:bidi="ar-SA"/>
        </w:rPr>
      </w:pPr>
      <w:r>
        <w:rPr>
          <w:rFonts w:hint="eastAsia" w:ascii="仿宋_GB2312" w:hAnsi="仿宋_GB2312" w:eastAsia="仿宋_GB2312" w:cs="仿宋_GB2312"/>
          <w:color w:val="auto"/>
          <w:spacing w:val="-20"/>
          <w:kern w:val="2"/>
          <w:sz w:val="32"/>
          <w:szCs w:val="32"/>
          <w:lang w:val="en-US" w:eastAsia="zh-CN" w:bidi="ar-SA"/>
        </w:rPr>
        <w:t>（广元市第二批“蜀道英才培育计划”创新创业领军人才培养经费）</w:t>
      </w:r>
    </w:p>
    <w:p>
      <w:pPr>
        <w:suppressAutoHyphens/>
        <w:bidi w:val="0"/>
        <w:spacing w:line="600" w:lineRule="exact"/>
        <w:ind w:firstLine="640" w:firstLineChars="200"/>
        <w:outlineLvl w:val="1"/>
        <w:rPr>
          <w:rFonts w:hint="eastAsia" w:ascii="仿宋_GB2312" w:hAnsi="仿宋_GB2312" w:eastAsia="仿宋_GB2312" w:cs="仿宋_GB2312"/>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16" w:name="_Toc31846"/>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16"/>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atLeast"/>
        <w:ind w:left="0" w:leftChars="0" w:firstLine="642" w:firstLineChars="200"/>
        <w:contextualSpacing/>
        <w:jc w:val="left"/>
        <w:textAlignment w:val="auto"/>
        <w:rPr>
          <w:rFonts w:hint="eastAsia" w:ascii="仿宋_GB2312" w:hAnsi="仿宋_GB2312" w:eastAsia="仿宋_GB2312" w:cs="仿宋_GB2312"/>
          <w:b/>
          <w:color w:val="auto"/>
          <w:sz w:val="32"/>
          <w:szCs w:val="32"/>
          <w:highlight w:val="none"/>
          <w:u w:val="none"/>
          <w:lang w:val="zh-CN"/>
        </w:rPr>
      </w:pPr>
      <w:r>
        <w:rPr>
          <w:rFonts w:hint="eastAsia" w:ascii="仿宋_GB2312" w:hAnsi="仿宋_GB2312" w:eastAsia="仿宋_GB2312" w:cs="仿宋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80" w:lineRule="atLeast"/>
        <w:ind w:firstLine="72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根据《广元市科学技术局职能配置、内设机构和人员编制规定》</w:t>
      </w:r>
      <w:r>
        <w:rPr>
          <w:rFonts w:hint="eastAsia" w:ascii="仿宋_GB2312" w:hAnsi="仿宋_GB2312" w:eastAsia="仿宋_GB2312" w:cs="仿宋_GB2312"/>
          <w:sz w:val="32"/>
          <w:szCs w:val="32"/>
          <w:lang w:val="zh-CN" w:eastAsia="zh-CN"/>
        </w:rPr>
        <w:t>广委办函〔201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lang w:val="zh-CN" w:eastAsia="zh-CN"/>
        </w:rPr>
        <w:t>号精神，该项目在我局职能中描述：</w:t>
      </w:r>
      <w:r>
        <w:rPr>
          <w:rFonts w:hint="eastAsia" w:ascii="仿宋_GB2312" w:hAnsi="仿宋_GB2312" w:eastAsia="仿宋_GB2312" w:cs="仿宋_GB2312"/>
          <w:sz w:val="32"/>
          <w:szCs w:val="32"/>
          <w:lang w:val="zh-CN"/>
        </w:rPr>
        <w:t>会同有关部门拟订创新创业、科技人才队伍建设规划和政策，建立健全科技人才评价和激励机制，组织实施科技人才计划，推动高端科技人才队伍建设。</w:t>
      </w:r>
    </w:p>
    <w:p>
      <w:pPr>
        <w:keepNext w:val="0"/>
        <w:keepLines w:val="0"/>
        <w:pageBreakBefore w:val="0"/>
        <w:numPr>
          <w:ilvl w:val="0"/>
          <w:numId w:val="2"/>
        </w:numPr>
        <w:kinsoku/>
        <w:wordWrap/>
        <w:overflowPunct/>
        <w:topLinePunct w:val="0"/>
        <w:autoSpaceDE/>
        <w:autoSpaceDN/>
        <w:bidi w:val="0"/>
        <w:adjustRightInd w:val="0"/>
        <w:snapToGrid w:val="0"/>
        <w:spacing w:line="580" w:lineRule="atLeast"/>
        <w:ind w:left="0" w:leftChars="0" w:firstLine="642" w:firstLineChars="200"/>
        <w:textAlignment w:val="auto"/>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adjustRightInd w:val="0"/>
        <w:snapToGrid w:val="0"/>
        <w:spacing w:line="580" w:lineRule="atLeast"/>
        <w:ind w:firstLine="72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按照《广元市“蜀道英才培育计划”实施方案》规定，评选“蜀道英才培育计划”创新创业领军人才24名，将拨付给入选者所在单位每人1万元培养经费，共计24万元。</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atLeast"/>
        <w:ind w:left="0" w:leftChars="0" w:firstLine="642" w:firstLineChars="200"/>
        <w:contextualSpacing/>
        <w:jc w:val="left"/>
        <w:textAlignment w:val="auto"/>
        <w:rPr>
          <w:rFonts w:hint="eastAsia" w:ascii="仿宋_GB2312" w:hAnsi="仿宋_GB2312" w:eastAsia="仿宋_GB2312" w:cs="仿宋_GB2312"/>
          <w:b/>
          <w:color w:val="auto"/>
          <w:sz w:val="32"/>
          <w:szCs w:val="32"/>
          <w:highlight w:val="none"/>
          <w:u w:val="none"/>
          <w:lang w:val="zh-CN" w:eastAsia="zh-CN"/>
        </w:rPr>
      </w:pPr>
      <w:r>
        <w:rPr>
          <w:rFonts w:hint="eastAsia" w:ascii="仿宋_GB2312" w:hAnsi="仿宋_GB2312" w:eastAsia="仿宋_GB2312" w:cs="仿宋_GB2312"/>
          <w:b/>
          <w:color w:val="auto"/>
          <w:sz w:val="32"/>
          <w:szCs w:val="32"/>
          <w:highlight w:val="none"/>
          <w:u w:val="none"/>
          <w:lang w:val="zh-CN" w:eastAsia="zh-CN"/>
        </w:rPr>
        <w:t>（三）</w:t>
      </w:r>
      <w:r>
        <w:rPr>
          <w:rFonts w:hint="eastAsia" w:ascii="仿宋_GB2312" w:hAnsi="仿宋_GB2312" w:eastAsia="仿宋_GB2312" w:cs="仿宋_GB2312"/>
          <w:b/>
          <w:color w:val="auto"/>
          <w:sz w:val="32"/>
          <w:szCs w:val="32"/>
          <w:highlight w:val="none"/>
          <w:u w:val="none"/>
          <w:lang w:val="en-US" w:eastAsia="zh-CN"/>
        </w:rPr>
        <w:t>预算安排及分配管理</w:t>
      </w:r>
      <w:r>
        <w:rPr>
          <w:rFonts w:hint="eastAsia" w:ascii="仿宋_GB2312" w:hAnsi="仿宋_GB2312" w:eastAsia="仿宋_GB2312" w:cs="仿宋_GB2312"/>
          <w:b/>
          <w:color w:val="auto"/>
          <w:sz w:val="32"/>
          <w:szCs w:val="32"/>
          <w:highlight w:val="none"/>
          <w:u w:val="none"/>
          <w:lang w:val="zh-CN" w:eastAsia="zh-CN"/>
        </w:rPr>
        <w:t>。</w:t>
      </w:r>
    </w:p>
    <w:p>
      <w:pPr>
        <w:keepNext w:val="0"/>
        <w:keepLines w:val="0"/>
        <w:pageBreakBefore w:val="0"/>
        <w:kinsoku/>
        <w:wordWrap/>
        <w:overflowPunct/>
        <w:topLinePunct w:val="0"/>
        <w:autoSpaceDE/>
        <w:autoSpaceDN/>
        <w:bidi w:val="0"/>
        <w:adjustRightInd w:val="0"/>
        <w:snapToGrid w:val="0"/>
        <w:spacing w:line="580" w:lineRule="atLeas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“蜀道英才培育计划”创新创业领军人才24名，入选者所在单位一次性发放1万元人才培养经费，用与人才培养。</w:t>
      </w:r>
    </w:p>
    <w:p>
      <w:pPr>
        <w:keepNext w:val="0"/>
        <w:keepLines w:val="0"/>
        <w:pageBreakBefore w:val="0"/>
        <w:kinsoku/>
        <w:wordWrap/>
        <w:overflowPunct/>
        <w:topLinePunct w:val="0"/>
        <w:autoSpaceDE/>
        <w:autoSpaceDN/>
        <w:bidi w:val="0"/>
        <w:adjustRightInd w:val="0"/>
        <w:snapToGrid w:val="0"/>
        <w:spacing w:line="580" w:lineRule="atLeast"/>
        <w:ind w:left="0" w:leftChars="0" w:firstLine="642" w:firstLineChars="200"/>
        <w:textAlignment w:val="auto"/>
        <w:rPr>
          <w:rFonts w:hint="eastAsia" w:ascii="仿宋_GB2312" w:hAnsi="仿宋_GB2312" w:eastAsia="仿宋_GB2312" w:cs="仿宋_GB2312"/>
          <w:b/>
          <w:color w:val="auto"/>
          <w:sz w:val="32"/>
          <w:szCs w:val="32"/>
          <w:highlight w:val="none"/>
          <w:u w:val="none"/>
          <w:lang w:val="zh-CN" w:eastAsia="zh-CN"/>
        </w:rPr>
      </w:pPr>
      <w:r>
        <w:rPr>
          <w:rFonts w:hint="eastAsia" w:ascii="仿宋_GB2312" w:hAnsi="仿宋_GB2312" w:eastAsia="仿宋_GB2312" w:cs="仿宋_GB2312"/>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adjustRightInd w:val="0"/>
        <w:snapToGrid w:val="0"/>
        <w:spacing w:line="580" w:lineRule="atLeas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1.</w:t>
      </w:r>
      <w:r>
        <w:rPr>
          <w:rFonts w:hint="eastAsia" w:ascii="仿宋_GB2312" w:hAnsi="仿宋_GB2312" w:eastAsia="仿宋_GB2312" w:cs="仿宋_GB2312"/>
          <w:color w:val="auto"/>
          <w:sz w:val="32"/>
          <w:szCs w:val="32"/>
          <w:lang w:val="en-US" w:eastAsia="zh-CN"/>
        </w:rPr>
        <w:t>“蜀道英才培育计划”人才培养经费。</w:t>
      </w:r>
    </w:p>
    <w:p>
      <w:pPr>
        <w:keepNext w:val="0"/>
        <w:keepLines w:val="0"/>
        <w:pageBreakBefore w:val="0"/>
        <w:kinsoku/>
        <w:wordWrap/>
        <w:overflowPunct/>
        <w:topLinePunct w:val="0"/>
        <w:autoSpaceDE/>
        <w:autoSpaceDN/>
        <w:bidi w:val="0"/>
        <w:adjustRightInd w:val="0"/>
        <w:snapToGrid w:val="0"/>
        <w:spacing w:line="580" w:lineRule="atLeas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2.</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项目自评工作开展情况。项目自评采用总体评价的方法，项目管理严格，总体进度良好，效益明显。完成了各项预定的目标和任务的</w:t>
      </w:r>
      <w:r>
        <w:rPr>
          <w:rFonts w:hint="eastAsia" w:ascii="仿宋_GB2312" w:hAnsi="仿宋_GB2312" w:eastAsia="仿宋_GB2312" w:cs="仿宋_GB2312"/>
          <w:color w:val="auto"/>
          <w:kern w:val="0"/>
          <w:sz w:val="32"/>
          <w:szCs w:val="32"/>
          <w:highlight w:val="none"/>
          <w:u w:val="none"/>
          <w:shd w:val="clear" w:color="auto" w:fill="FFFFFF"/>
          <w:lang w:val="en-US" w:eastAsia="zh-CN"/>
        </w:rPr>
        <w:t>100%以上</w:t>
      </w:r>
      <w:r>
        <w:rPr>
          <w:rFonts w:hint="eastAsia" w:ascii="仿宋_GB2312" w:hAnsi="仿宋_GB2312" w:eastAsia="仿宋_GB2312" w:cs="仿宋_GB2312"/>
          <w:color w:val="auto"/>
          <w:kern w:val="0"/>
          <w:sz w:val="32"/>
          <w:szCs w:val="32"/>
          <w:highlight w:val="none"/>
          <w:u w:val="none"/>
          <w:shd w:val="clear" w:color="auto" w:fill="FFFFFF"/>
          <w:lang w:val="zh-CN" w:eastAsia="zh-CN"/>
        </w:rPr>
        <w:t>，达到了预期的经济和社会效益。评价组综合评定为优，得分</w:t>
      </w:r>
      <w:r>
        <w:rPr>
          <w:rFonts w:hint="eastAsia" w:ascii="仿宋_GB2312" w:hAnsi="仿宋_GB2312" w:eastAsia="仿宋_GB2312" w:cs="仿宋_GB2312"/>
          <w:color w:val="auto"/>
          <w:kern w:val="0"/>
          <w:sz w:val="32"/>
          <w:szCs w:val="32"/>
          <w:highlight w:val="none"/>
          <w:u w:val="none"/>
          <w:shd w:val="clear" w:color="auto" w:fill="FFFFFF"/>
          <w:lang w:val="en-US" w:eastAsia="zh-CN"/>
        </w:rPr>
        <w:t>100</w:t>
      </w:r>
      <w:r>
        <w:rPr>
          <w:rFonts w:hint="eastAsia" w:ascii="仿宋_GB2312" w:hAnsi="仿宋_GB2312" w:eastAsia="仿宋_GB2312" w:cs="仿宋_GB2312"/>
          <w:color w:val="auto"/>
          <w:kern w:val="0"/>
          <w:sz w:val="32"/>
          <w:szCs w:val="32"/>
          <w:highlight w:val="none"/>
          <w:u w:val="none"/>
          <w:shd w:val="clear" w:color="auto" w:fill="FFFFFF"/>
          <w:lang w:val="zh-CN" w:eastAsia="zh-CN"/>
        </w:rPr>
        <w:t>分。</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17" w:name="_Toc25352"/>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17"/>
    </w:p>
    <w:p>
      <w:pPr>
        <w:keepNext w:val="0"/>
        <w:keepLines w:val="0"/>
        <w:pageBreakBefore w:val="0"/>
        <w:widowControl w:val="0"/>
        <w:kinsoku/>
        <w:wordWrap/>
        <w:overflowPunct/>
        <w:topLinePunct w:val="0"/>
        <w:autoSpaceDE/>
        <w:autoSpaceDN/>
        <w:bidi w:val="0"/>
        <w:spacing w:line="580" w:lineRule="atLeast"/>
        <w:ind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自评查找出项目实施中存在的问题。</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firstLine="642"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（二）预设问题及评价重点。</w:t>
      </w:r>
      <w:r>
        <w:rPr>
          <w:rFonts w:hint="eastAsia" w:ascii="仿宋_GB2312" w:hAnsi="仿宋_GB2312" w:eastAsia="仿宋_GB2312" w:cs="仿宋_GB2312"/>
          <w:sz w:val="32"/>
          <w:szCs w:val="32"/>
          <w:lang w:eastAsia="zh-CN"/>
        </w:rPr>
        <w:t>项目资金的使用是否按进度按照要求合法合规使用。</w:t>
      </w:r>
    </w:p>
    <w:p>
      <w:pPr>
        <w:keepNext w:val="0"/>
        <w:keepLines w:val="0"/>
        <w:pageBreakBefore w:val="0"/>
        <w:widowControl w:val="0"/>
        <w:kinsoku/>
        <w:wordWrap/>
        <w:overflowPunct/>
        <w:topLinePunct w:val="0"/>
        <w:autoSpaceDE/>
        <w:autoSpaceDN/>
        <w:bidi w:val="0"/>
        <w:adjustRightInd w:val="0"/>
        <w:snapToGrid w:val="0"/>
        <w:spacing w:line="580" w:lineRule="atLeast"/>
        <w:ind w:left="0" w:leftChars="0" w:firstLine="642" w:firstLineChars="200"/>
        <w:textAlignment w:val="auto"/>
        <w:outlineLvl w:val="9"/>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color w:val="auto"/>
          <w:sz w:val="32"/>
          <w:szCs w:val="32"/>
          <w:highlight w:val="none"/>
          <w:u w:val="none"/>
          <w:lang w:val="zh-CN"/>
        </w:rPr>
        <w:t>（三）评价选点。</w:t>
      </w:r>
      <w:r>
        <w:rPr>
          <w:rFonts w:hint="eastAsia" w:ascii="仿宋_GB2312" w:hAnsi="仿宋_GB2312" w:eastAsia="仿宋_GB2312" w:cs="仿宋_GB2312"/>
          <w:sz w:val="32"/>
          <w:szCs w:val="32"/>
          <w:lang w:val="zh-CN" w:eastAsia="zh-CN"/>
        </w:rPr>
        <w:t>项目绩效自评抽取</w:t>
      </w:r>
      <w:r>
        <w:rPr>
          <w:rFonts w:hint="eastAsia" w:ascii="仿宋_GB2312" w:hAnsi="仿宋_GB2312" w:eastAsia="仿宋_GB2312" w:cs="仿宋_GB2312"/>
          <w:sz w:val="32"/>
          <w:szCs w:val="32"/>
          <w:lang w:val="en-US" w:eastAsia="zh-CN"/>
        </w:rPr>
        <w:t>3个人才所在单位核实</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80" w:lineRule="atLeas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（四）评价方法。</w:t>
      </w:r>
      <w:r>
        <w:rPr>
          <w:rFonts w:hint="eastAsia" w:ascii="仿宋_GB2312" w:hAnsi="仿宋_GB2312" w:eastAsia="仿宋_GB2312" w:cs="仿宋_GB2312"/>
          <w:sz w:val="32"/>
          <w:szCs w:val="32"/>
          <w:lang w:val="zh-CN"/>
        </w:rPr>
        <w:t>主要</w:t>
      </w:r>
      <w:r>
        <w:rPr>
          <w:rFonts w:hint="eastAsia" w:ascii="仿宋_GB2312" w:hAnsi="仿宋_GB2312" w:eastAsia="仿宋_GB2312" w:cs="仿宋_GB2312"/>
          <w:sz w:val="32"/>
          <w:szCs w:val="32"/>
        </w:rPr>
        <w:t>采用单位自评法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spacing w:line="580" w:lineRule="atLeast"/>
        <w:ind w:firstLine="640"/>
        <w:textAlignment w:val="auto"/>
        <w:outlineLvl w:val="9"/>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color w:val="auto"/>
          <w:sz w:val="32"/>
          <w:szCs w:val="32"/>
          <w:highlight w:val="none"/>
          <w:u w:val="none"/>
          <w:lang w:val="zh-CN"/>
        </w:rPr>
        <w:t>（五）评价组织。</w:t>
      </w:r>
      <w:r>
        <w:rPr>
          <w:rFonts w:hint="eastAsia" w:ascii="仿宋_GB2312" w:hAnsi="仿宋_GB2312" w:eastAsia="仿宋_GB2312" w:cs="仿宋_GB2312"/>
          <w:sz w:val="32"/>
          <w:szCs w:val="32"/>
        </w:rPr>
        <w:t>评价组人员</w:t>
      </w:r>
      <w:r>
        <w:rPr>
          <w:rFonts w:hint="eastAsia" w:ascii="仿宋_GB2312" w:hAnsi="仿宋_GB2312" w:eastAsia="仿宋_GB2312" w:cs="仿宋_GB2312"/>
          <w:sz w:val="32"/>
          <w:szCs w:val="32"/>
          <w:lang w:eastAsia="zh-CN"/>
        </w:rPr>
        <w:t>重要由项目承担单位负责人、项目负责人、财务人员组成。</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en-US" w:eastAsia="zh-CN"/>
        </w:rPr>
      </w:pPr>
      <w:bookmarkStart w:id="118" w:name="_Toc21744"/>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18"/>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zh-CN"/>
        </w:rPr>
        <w:t>（一）</w:t>
      </w:r>
      <w:r>
        <w:rPr>
          <w:rFonts w:hint="eastAsia" w:ascii="仿宋_GB2312" w:hAnsi="仿宋_GB2312" w:eastAsia="仿宋_GB2312" w:cs="仿宋_GB2312"/>
          <w:b/>
          <w:color w:val="auto"/>
          <w:sz w:val="32"/>
          <w:szCs w:val="32"/>
          <w:highlight w:val="none"/>
          <w:u w:val="none"/>
          <w:lang w:val="en-US" w:eastAsia="zh-CN"/>
        </w:rPr>
        <w:t>通用指标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项目决策。围绕决策程序、规划论证、资金投向进行绩效分析。</w:t>
      </w:r>
    </w:p>
    <w:p>
      <w:pPr>
        <w:pStyle w:val="7"/>
        <w:keepNext w:val="0"/>
        <w:keepLines w:val="0"/>
        <w:pageBreakBefore w:val="0"/>
        <w:kinsoku/>
        <w:wordWrap/>
        <w:overflowPunct/>
        <w:topLinePunct w:val="0"/>
        <w:autoSpaceDE/>
        <w:autoSpaceDN/>
        <w:bidi w:val="0"/>
        <w:spacing w:line="580" w:lineRule="atLeas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color w:val="auto"/>
          <w:kern w:val="2"/>
          <w:sz w:val="32"/>
          <w:szCs w:val="32"/>
        </w:rPr>
        <w:t>制定了《广元市科学技术局财务管理制度（2014）》、《广元市科学技术局经费支出审批及报销管理制度》（广科发〔2017〕68号）、《广元市科学技术局预算管理暂行办法》等，从资金来源、预算批复、资金使用、政府采购、资产管理等方面进行全方位的事前、事中、事后监管。</w:t>
      </w:r>
      <w:r>
        <w:rPr>
          <w:rFonts w:hint="eastAsia" w:ascii="仿宋_GB2312" w:hAnsi="仿宋_GB2312" w:eastAsia="仿宋_GB2312" w:cs="仿宋_GB2312"/>
          <w:color w:val="auto"/>
          <w:kern w:val="2"/>
          <w:sz w:val="32"/>
          <w:szCs w:val="32"/>
          <w:lang w:eastAsia="zh-CN"/>
        </w:rPr>
        <w:t>该</w:t>
      </w:r>
      <w:r>
        <w:rPr>
          <w:rFonts w:hint="eastAsia" w:ascii="仿宋_GB2312" w:hAnsi="仿宋_GB2312" w:eastAsia="仿宋_GB2312" w:cs="仿宋_GB2312"/>
          <w:color w:val="auto"/>
          <w:sz w:val="32"/>
          <w:szCs w:val="32"/>
          <w:lang w:val="zh-CN"/>
        </w:rPr>
        <w:t>项目严格按照管理办法执行。</w:t>
      </w:r>
    </w:p>
    <w:p>
      <w:pPr>
        <w:pStyle w:val="7"/>
        <w:keepNext w:val="0"/>
        <w:keepLines w:val="0"/>
        <w:pageBreakBefore w:val="0"/>
        <w:numPr>
          <w:ilvl w:val="0"/>
          <w:numId w:val="0"/>
        </w:numPr>
        <w:kinsoku/>
        <w:wordWrap/>
        <w:overflowPunct/>
        <w:topLinePunct w:val="0"/>
        <w:autoSpaceDE/>
        <w:autoSpaceDN/>
        <w:bidi w:val="0"/>
        <w:spacing w:line="580" w:lineRule="atLeast"/>
        <w:ind w:firstLine="640" w:firstLineChars="200"/>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auto"/>
          <w:sz w:val="32"/>
          <w:szCs w:val="32"/>
          <w:lang w:val="zh-CN"/>
        </w:rPr>
        <w:t>项目实施以来，局财务对项目立项、实施和问题研究等全程进行了参与，确保项目实施每个环节规范有序，符合相关要求；财政局国库科严把资金审核关，对我局提请支付的每笔项目支出严格审核，从严把握资金安全；通过相关部门的通力合作，整个项目高质量推进，实现了项目立项目标，得到了社会好评，取得了良好的社会效益。</w:t>
      </w:r>
    </w:p>
    <w:p>
      <w:pPr>
        <w:keepNext w:val="0"/>
        <w:keepLines w:val="0"/>
        <w:pageBreakBefore w:val="0"/>
        <w:kinsoku/>
        <w:wordWrap/>
        <w:overflowPunct/>
        <w:topLinePunct w:val="0"/>
        <w:autoSpaceDE/>
        <w:autoSpaceDN/>
        <w:bidi w:val="0"/>
        <w:adjustRightInd w:val="0"/>
        <w:snapToGrid w:val="0"/>
        <w:spacing w:line="580" w:lineRule="atLeas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color w:val="auto"/>
          <w:kern w:val="2"/>
          <w:sz w:val="32"/>
          <w:szCs w:val="32"/>
          <w:lang w:val="en-US" w:eastAsia="zh-CN" w:bidi="ar-SA"/>
        </w:rPr>
        <w:t>发放“蜀道英才培育计划”创新创业领军人才培养经费24万元。</w:t>
      </w:r>
    </w:p>
    <w:p>
      <w:pPr>
        <w:keepNext w:val="0"/>
        <w:keepLines w:val="0"/>
        <w:pageBreakBefore w:val="0"/>
        <w:widowControl w:val="0"/>
        <w:kinsoku/>
        <w:wordWrap/>
        <w:overflowPunct/>
        <w:topLinePunct w:val="0"/>
        <w:autoSpaceDE/>
        <w:autoSpaceDN/>
        <w:bidi w:val="0"/>
        <w:adjustRightInd/>
        <w:snapToGrid/>
        <w:spacing w:line="580" w:lineRule="atLeast"/>
        <w:ind w:firstLine="642"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color w:val="auto"/>
          <w:sz w:val="32"/>
          <w:szCs w:val="32"/>
          <w:highlight w:val="none"/>
          <w:u w:val="none"/>
          <w:lang w:val="zh-CN"/>
        </w:rPr>
        <w:t>（二）</w:t>
      </w:r>
      <w:r>
        <w:rPr>
          <w:rFonts w:hint="eastAsia" w:ascii="仿宋_GB2312" w:hAnsi="仿宋_GB2312" w:eastAsia="仿宋_GB2312" w:cs="仿宋_GB2312"/>
          <w:b/>
          <w:color w:val="auto"/>
          <w:sz w:val="32"/>
          <w:szCs w:val="32"/>
          <w:highlight w:val="none"/>
          <w:u w:val="none"/>
          <w:lang w:val="en-US" w:eastAsia="zh-CN"/>
        </w:rPr>
        <w:t>专用指标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color w:val="auto"/>
          <w:sz w:val="32"/>
          <w:szCs w:val="32"/>
          <w:lang w:eastAsia="zh-CN"/>
        </w:rPr>
        <w:t>围绕符合性、成长性、经济性进行绩效分析。</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highlight w:val="none"/>
          <w:u w:val="none"/>
          <w:lang w:val="zh-CN"/>
        </w:rPr>
        <w:t>（三）</w:t>
      </w:r>
      <w:r>
        <w:rPr>
          <w:rFonts w:hint="eastAsia" w:ascii="仿宋_GB2312" w:hAnsi="仿宋_GB2312" w:eastAsia="仿宋_GB2312" w:cs="仿宋_GB2312"/>
          <w:b/>
          <w:color w:val="auto"/>
          <w:sz w:val="32"/>
          <w:szCs w:val="32"/>
          <w:highlight w:val="none"/>
          <w:u w:val="none"/>
          <w:lang w:val="en-US" w:eastAsia="zh-CN"/>
        </w:rPr>
        <w:t>个性指标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19" w:name="_Toc6468"/>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19"/>
    </w:p>
    <w:p>
      <w:pPr>
        <w:keepNext w:val="0"/>
        <w:keepLines w:val="0"/>
        <w:pageBreakBefore w:val="0"/>
        <w:kinsoku/>
        <w:wordWrap/>
        <w:overflowPunct/>
        <w:topLinePunct w:val="0"/>
        <w:autoSpaceDE/>
        <w:autoSpaceDN/>
        <w:bidi w:val="0"/>
        <w:adjustRightInd w:val="0"/>
        <w:snapToGrid w:val="0"/>
        <w:spacing w:line="580" w:lineRule="atLeas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100分，其中，通用指标得分54分，专用指标得分30分，个性指标得分16分。</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项目管理严格，总体进度良好，效益明显。完成了各项预定的目标和任务的</w:t>
      </w:r>
      <w:r>
        <w:rPr>
          <w:rFonts w:hint="eastAsia" w:ascii="仿宋_GB2312" w:hAnsi="仿宋_GB2312" w:eastAsia="仿宋_GB2312" w:cs="仿宋_GB2312"/>
          <w:color w:val="auto"/>
          <w:kern w:val="0"/>
          <w:sz w:val="32"/>
          <w:szCs w:val="32"/>
          <w:highlight w:val="none"/>
          <w:u w:val="none"/>
          <w:shd w:val="clear" w:color="auto" w:fill="FFFFFF"/>
          <w:lang w:val="en-US" w:eastAsia="zh-CN"/>
        </w:rPr>
        <w:t>100%以上</w:t>
      </w:r>
      <w:r>
        <w:rPr>
          <w:rFonts w:hint="eastAsia" w:ascii="仿宋_GB2312" w:hAnsi="仿宋_GB2312" w:eastAsia="仿宋_GB2312" w:cs="仿宋_GB2312"/>
          <w:color w:val="auto"/>
          <w:kern w:val="0"/>
          <w:sz w:val="32"/>
          <w:szCs w:val="32"/>
          <w:highlight w:val="none"/>
          <w:u w:val="none"/>
          <w:shd w:val="clear" w:color="auto" w:fill="FFFFFF"/>
          <w:lang w:val="zh-CN" w:eastAsia="zh-CN"/>
        </w:rPr>
        <w:t>，达到了预期的经济和社会效益。</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20" w:name="_Toc7124"/>
      <w:r>
        <w:rPr>
          <w:rFonts w:hint="eastAsia" w:ascii="黑体" w:hAnsi="黑体" w:eastAsia="黑体" w:cs="Times New Roman"/>
          <w:color w:val="auto"/>
          <w:sz w:val="32"/>
          <w:szCs w:val="32"/>
          <w:highlight w:val="none"/>
          <w:lang w:eastAsia="zh-CN"/>
        </w:rPr>
        <w:t>五、存在主要问题</w:t>
      </w:r>
      <w:bookmarkEnd w:id="120"/>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atLeas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r>
        <w:rPr>
          <w:rFonts w:hint="eastAsia" w:hAnsi="仿宋_GB2312" w:cs="仿宋_GB2312"/>
          <w:b w:val="0"/>
          <w:bCs w:val="0"/>
          <w:kern w:val="0"/>
          <w:position w:val="0"/>
          <w:sz w:val="32"/>
          <w:szCs w:val="32"/>
          <w:highlight w:val="none"/>
          <w:lang w:val="en-US" w:eastAsia="zh-CN" w:bidi="ar-SA"/>
        </w:rPr>
        <w:t>。</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21" w:name="_Toc3180"/>
      <w:r>
        <w:rPr>
          <w:rFonts w:hint="eastAsia" w:ascii="黑体" w:hAnsi="黑体" w:eastAsia="黑体" w:cs="Times New Roman"/>
          <w:color w:val="auto"/>
          <w:sz w:val="32"/>
          <w:szCs w:val="32"/>
          <w:highlight w:val="none"/>
          <w:lang w:val="zh-CN" w:eastAsia="zh-CN"/>
        </w:rPr>
        <w:t>六、改进建议</w:t>
      </w:r>
      <w:bookmarkEnd w:id="121"/>
    </w:p>
    <w:p>
      <w:pPr>
        <w:keepNext w:val="0"/>
        <w:keepLines w:val="0"/>
        <w:pageBreakBefore w:val="0"/>
        <w:tabs>
          <w:tab w:val="left" w:pos="1911"/>
        </w:tabs>
        <w:kinsoku/>
        <w:wordWrap/>
        <w:overflowPunct/>
        <w:topLinePunct w:val="0"/>
        <w:autoSpaceDE/>
        <w:autoSpaceDN/>
        <w:bidi w:val="0"/>
        <w:spacing w:line="580" w:lineRule="atLeas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无。</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color w:val="auto"/>
          <w:lang w:val="en-US" w:eastAsia="zh-CN"/>
        </w:rPr>
      </w:pPr>
      <w:r>
        <w:rPr>
          <w:rFonts w:hint="eastAsia" w:ascii="方正小标宋简体" w:hAnsi="方正小标宋简体" w:eastAsia="方正小标宋简体" w:cs="方正小标宋简体"/>
          <w:color w:val="auto"/>
          <w:kern w:val="2"/>
          <w:sz w:val="40"/>
          <w:szCs w:val="40"/>
          <w:lang w:val="en-US" w:eastAsia="zh-CN" w:bidi="ar-SA"/>
        </w:rPr>
        <w:t>2024年度</w:t>
      </w:r>
      <w:r>
        <w:rPr>
          <w:rFonts w:hint="eastAsia" w:ascii="方正小标宋简体" w:hAnsi="方正小标宋简体" w:eastAsia="方正小标宋简体" w:cs="方正小标宋简体"/>
          <w:color w:val="auto"/>
          <w:kern w:val="2"/>
          <w:sz w:val="40"/>
          <w:szCs w:val="40"/>
          <w:lang w:val="zh-CN" w:eastAsia="zh-CN" w:bidi="ar-SA"/>
        </w:rPr>
        <w:t>专</w:t>
      </w:r>
      <w:r>
        <w:rPr>
          <w:rFonts w:hint="default" w:ascii="Times New Roman" w:hAnsi="Times New Roman" w:eastAsia="方正小标宋简体" w:cs="Times New Roman"/>
          <w:color w:val="auto"/>
          <w:kern w:val="2"/>
          <w:sz w:val="40"/>
          <w:szCs w:val="40"/>
          <w:lang w:val="zh-CN" w:eastAsia="zh-CN" w:bidi="ar-SA"/>
        </w:rPr>
        <w:t>项预算项目支出绩效自评报告</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（天麻集约化栽培技术研究与示范）</w:t>
      </w:r>
    </w:p>
    <w:p>
      <w:pPr>
        <w:pStyle w:val="38"/>
        <w:keepNext w:val="0"/>
        <w:keepLines w:val="0"/>
        <w:pageBreakBefore w:val="0"/>
        <w:widowControl w:val="0"/>
        <w:kinsoku/>
        <w:wordWrap/>
        <w:overflowPunct/>
        <w:topLinePunct w:val="0"/>
        <w:autoSpaceDE/>
        <w:autoSpaceDN/>
        <w:bidi w:val="0"/>
        <w:spacing w:line="576" w:lineRule="exact"/>
        <w:jc w:val="both"/>
        <w:textAlignment w:val="auto"/>
        <w:rPr>
          <w:rFonts w:hint="eastAsia" w:ascii="仿宋_GB2312" w:hAnsi="仿宋_GB2312" w:eastAsia="仿宋_GB2312" w:cs="仿宋_GB2312"/>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22" w:name="_Toc23802"/>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22"/>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23" w:name="_Toc8896"/>
      <w:r>
        <w:rPr>
          <w:rFonts w:hint="eastAsia" w:ascii="黑体" w:hAnsi="黑体" w:eastAsia="黑体" w:cs="Times New Roman"/>
          <w:color w:val="auto"/>
          <w:sz w:val="32"/>
          <w:szCs w:val="32"/>
          <w:highlight w:val="none"/>
          <w:lang w:val="zh-CN"/>
        </w:rPr>
        <w:t>（一）设立背景及基本情况。</w:t>
      </w:r>
      <w:bookmarkEnd w:id="123"/>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rPr>
        <w:t>为支持广元本土特色中药材种植及提质增效，示范带动庭院经济发展，市科技管理部门设立民生和农业农村领域重点研发项目。《天麻集约化栽培技术研究与示范项目》是根据《广元市科学技术局 广元市财政局关于发布2024年度广元市科技计划项目申报指南的通知》申请的</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财政经费15万元的一个项目。该项目</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针对高海拔地区乌天麻野外栽培种性退化、块茎腐烂严重、生产管理难度大等问题，调查及筛选地方优势抗性天麻种质资源，完成多区域品种比较试验；探索室内层架工厂化集约栽培技术，实现水分及温度智能监测。项目是由项目负责人填报，申报单位申报，归口部门推荐、市科技管理部门审核通过，按照协议内容有序开展，市科技管理部门负责日常管理。</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rPr>
      </w:pPr>
      <w:bookmarkStart w:id="124" w:name="_Toc4042"/>
      <w:r>
        <w:rPr>
          <w:rFonts w:hint="eastAsia" w:ascii="黑体" w:hAnsi="黑体" w:eastAsia="黑体" w:cs="Times New Roman"/>
          <w:color w:val="auto"/>
          <w:sz w:val="32"/>
          <w:szCs w:val="32"/>
          <w:highlight w:val="none"/>
          <w:lang w:val="en-US" w:eastAsia="zh-CN"/>
        </w:rPr>
        <w:t>（二）实施目的及支持方向。</w:t>
      </w:r>
      <w:bookmarkEnd w:id="124"/>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项目资金由科技管理和财政部门设立资金管理办法，严格按照项目任务内容开展相关工作。项目实施的主要目的是中药材种植及提质增效。支持方向是天麻新品种引进研究与示范、高海拔地区天麻试验钵装竖式栽培技术研究与示范、天麻庭院及设施栽培技术研究与示范。主要工作任务是筛选优质高抗天麻新材料1个，完成基源鉴定和区域品种比较试验；明确天麻块茎腐烂原因及野外防损及技术，建立林下钵装示范基地1个，数量≥10000钵；开展集约化室内栽培技术研究，示范数量≥1000钵。</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25" w:name="_Toc8074"/>
      <w:r>
        <w:rPr>
          <w:rFonts w:hint="eastAsia" w:ascii="黑体" w:hAnsi="黑体" w:eastAsia="黑体" w:cs="Times New Roman"/>
          <w:color w:val="auto"/>
          <w:sz w:val="32"/>
          <w:szCs w:val="32"/>
          <w:highlight w:val="none"/>
          <w:lang w:val="en-US" w:eastAsia="zh-CN"/>
        </w:rPr>
        <w:t>（三）预算安排及分配管理</w:t>
      </w:r>
      <w:r>
        <w:rPr>
          <w:rFonts w:hint="eastAsia" w:ascii="黑体" w:hAnsi="黑体" w:eastAsia="黑体" w:cs="Times New Roman"/>
          <w:color w:val="auto"/>
          <w:sz w:val="32"/>
          <w:szCs w:val="32"/>
          <w:highlight w:val="none"/>
          <w:lang w:val="zh-CN" w:eastAsia="zh-CN"/>
        </w:rPr>
        <w:t>。</w:t>
      </w:r>
      <w:bookmarkEnd w:id="125"/>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本项目预算</w:t>
      </w:r>
      <w:r>
        <w:rPr>
          <w:rFonts w:hint="eastAsia" w:ascii="仿宋_GB2312" w:hAnsi="仿宋_GB2312" w:eastAsia="仿宋_GB2312" w:cs="仿宋_GB2312"/>
          <w:color w:val="auto"/>
          <w:sz w:val="32"/>
          <w:szCs w:val="32"/>
          <w:lang w:val="en-US" w:eastAsia="zh-CN"/>
        </w:rPr>
        <w:t>15万，</w:t>
      </w:r>
      <w:r>
        <w:rPr>
          <w:rFonts w:hint="eastAsia" w:ascii="仿宋_GB2312" w:hAnsi="仿宋_GB2312" w:eastAsia="仿宋_GB2312" w:cs="仿宋_GB2312"/>
          <w:color w:val="auto"/>
          <w:sz w:val="32"/>
          <w:szCs w:val="32"/>
          <w:lang w:val="zh-CN"/>
        </w:rPr>
        <w:t>资金主要间接费用</w:t>
      </w:r>
      <w:r>
        <w:rPr>
          <w:rFonts w:hint="eastAsia" w:ascii="仿宋_GB2312" w:hAnsi="仿宋_GB2312" w:eastAsia="仿宋_GB2312" w:cs="仿宋_GB2312"/>
          <w:color w:val="auto"/>
          <w:sz w:val="32"/>
          <w:szCs w:val="32"/>
          <w:lang w:val="en-US" w:eastAsia="zh-CN"/>
        </w:rPr>
        <w:t>2万，直接费用13万。其中直接费用包含</w:t>
      </w:r>
      <w:r>
        <w:rPr>
          <w:rFonts w:hint="eastAsia" w:ascii="仿宋_GB2312" w:hAnsi="仿宋_GB2312" w:eastAsia="仿宋_GB2312" w:cs="仿宋_GB2312"/>
          <w:color w:val="auto"/>
          <w:sz w:val="32"/>
          <w:szCs w:val="32"/>
          <w:lang w:val="zh-CN"/>
        </w:rPr>
        <w:t>用于购买天麻种子、出版/文献/信息传播/知识产权事务费、劳务费。</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26" w:name="_Toc30179"/>
      <w:r>
        <w:rPr>
          <w:rFonts w:hint="eastAsia" w:ascii="黑体" w:hAnsi="黑体" w:eastAsia="黑体" w:cs="Times New Roman"/>
          <w:color w:val="auto"/>
          <w:sz w:val="32"/>
          <w:szCs w:val="32"/>
          <w:highlight w:val="none"/>
          <w:lang w:val="zh-CN" w:eastAsia="zh-CN"/>
        </w:rPr>
        <w:t>（四）项目绩效目标设置。</w:t>
      </w:r>
      <w:bookmarkEnd w:id="126"/>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本项目筛选优质高抗天麻新材料1个，完成基源鉴定和区域品种比较试验；明确天麻块茎腐烂原因及野外防损及技术，建立林下钵装示范基地1个，数量≥10000钵；开展集约化室内栽培技术研究，示范数量≥1000钵；培训栽培技术 6次，带领2户监测户、20户脱贫户、20一般户发展天麻产业，带动1个乡村振兴示范村发展天麻，村集体经济收益增加2万元以上；突破关键技术2项；制定种植技术标准1个；申报专利1项，发表研究论文1篇。</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27" w:name="_Toc890"/>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27"/>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28" w:name="_Toc1149"/>
      <w:r>
        <w:rPr>
          <w:rFonts w:hint="eastAsia" w:ascii="黑体" w:hAnsi="黑体" w:eastAsia="黑体" w:cs="Times New Roman"/>
          <w:color w:val="auto"/>
          <w:sz w:val="32"/>
          <w:szCs w:val="32"/>
          <w:highlight w:val="none"/>
          <w:lang w:val="zh-CN" w:eastAsia="zh-CN"/>
        </w:rPr>
        <w:t>（一）评价目的。</w:t>
      </w:r>
      <w:bookmarkEnd w:id="128"/>
    </w:p>
    <w:p>
      <w:pPr>
        <w:pStyle w:val="7"/>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lang w:eastAsia="zh-CN"/>
        </w:rPr>
        <w:t>项目绩效评价的目的是对项目设立和实施全过程进行评价，以确保项目的有效实施和资源的合理利用。 遵循独立、客观、科学、公正的原则，项目绩效应符合国家法律、法规及受援单位产业发展的实际需求，并建立畅通、快捷的信息管理和反馈机制。</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29" w:name="_Toc12560"/>
      <w:r>
        <w:rPr>
          <w:rFonts w:hint="eastAsia" w:ascii="黑体" w:hAnsi="黑体" w:eastAsia="黑体" w:cs="Times New Roman"/>
          <w:color w:val="auto"/>
          <w:sz w:val="32"/>
          <w:szCs w:val="32"/>
          <w:highlight w:val="none"/>
          <w:lang w:val="zh-CN" w:eastAsia="zh-CN"/>
        </w:rPr>
        <w:t>（二）预设问题及评价重点。</w:t>
      </w:r>
      <w:bookmarkEnd w:id="129"/>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按照绩效评价指标体系，对资金支出使用全过程及其实施效果进行综合评价和判断。</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30" w:name="_Toc21938"/>
      <w:r>
        <w:rPr>
          <w:rFonts w:hint="eastAsia" w:ascii="黑体" w:hAnsi="黑体" w:eastAsia="黑体" w:cs="Times New Roman"/>
          <w:color w:val="auto"/>
          <w:sz w:val="32"/>
          <w:szCs w:val="32"/>
          <w:highlight w:val="none"/>
          <w:lang w:val="zh-CN" w:eastAsia="zh-CN"/>
        </w:rPr>
        <w:t>（三）评价选点。</w:t>
      </w:r>
      <w:bookmarkEnd w:id="130"/>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在水磨镇广福村周家湾建立林下钵装示范基地1个，数量≥10000钵；在广福村境内开展集约化室内栽培技术研究，示范数量≥1000钵；带动1个乡村振兴示范村发展天麻，村集体经济收益增加2万元以上；申报专利1项，发表研究论文1篇。</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31" w:name="_Toc32044"/>
      <w:r>
        <w:rPr>
          <w:rFonts w:hint="eastAsia" w:ascii="黑体" w:hAnsi="黑体" w:eastAsia="黑体" w:cs="Times New Roman"/>
          <w:color w:val="auto"/>
          <w:sz w:val="32"/>
          <w:szCs w:val="32"/>
          <w:highlight w:val="none"/>
          <w:lang w:val="zh-CN" w:eastAsia="zh-CN"/>
        </w:rPr>
        <w:t>（四）评价方法。</w:t>
      </w:r>
      <w:bookmarkEnd w:id="131"/>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评价将采用实地查看和使用单位座谈后，实行单位自评。</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32" w:name="_Toc18762"/>
      <w:r>
        <w:rPr>
          <w:rFonts w:hint="eastAsia" w:ascii="黑体" w:hAnsi="黑体" w:eastAsia="黑体" w:cs="Times New Roman"/>
          <w:color w:val="auto"/>
          <w:sz w:val="32"/>
          <w:szCs w:val="32"/>
          <w:highlight w:val="none"/>
          <w:lang w:val="zh-CN" w:eastAsia="zh-CN"/>
        </w:rPr>
        <w:t>（五）评价组织。</w:t>
      </w:r>
      <w:bookmarkEnd w:id="132"/>
    </w:p>
    <w:p>
      <w:pPr>
        <w:pStyle w:val="7"/>
        <w:widowControl w:val="0"/>
        <w:numPr>
          <w:ilvl w:val="0"/>
          <w:numId w:val="0"/>
        </w:num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评价组人员由主管单位组织农业专家和财务人员构成，农业专家主要对基地建设、产业发展状况及增产增收效果对比开展评价。</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33" w:name="_Toc21817"/>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33"/>
      <w:r>
        <w:rPr>
          <w:rFonts w:hint="eastAsia" w:ascii="黑体" w:hAnsi="黑体" w:eastAsia="黑体" w:cs="Times New Roman"/>
          <w:color w:val="auto"/>
          <w:sz w:val="32"/>
          <w:szCs w:val="32"/>
          <w:highlight w:val="none"/>
          <w:lang w:val="zh-CN"/>
        </w:rPr>
        <w:tab/>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34" w:name="_Toc30917"/>
      <w:r>
        <w:rPr>
          <w:rFonts w:hint="eastAsia" w:ascii="黑体" w:hAnsi="黑体" w:eastAsia="黑体" w:cs="Times New Roman"/>
          <w:color w:val="auto"/>
          <w:sz w:val="32"/>
          <w:szCs w:val="32"/>
          <w:highlight w:val="none"/>
          <w:lang w:val="zh-CN" w:eastAsia="zh-CN"/>
        </w:rPr>
        <w:t>（一）</w:t>
      </w:r>
      <w:r>
        <w:rPr>
          <w:rFonts w:hint="eastAsia" w:ascii="黑体" w:hAnsi="黑体" w:eastAsia="黑体" w:cs="Times New Roman"/>
          <w:color w:val="auto"/>
          <w:sz w:val="32"/>
          <w:szCs w:val="32"/>
          <w:highlight w:val="none"/>
          <w:lang w:val="en-US" w:eastAsia="zh-CN"/>
        </w:rPr>
        <w:t>通用指标</w:t>
      </w:r>
      <w:r>
        <w:rPr>
          <w:rFonts w:hint="eastAsia" w:ascii="黑体" w:hAnsi="黑体" w:eastAsia="黑体" w:cs="Times New Roman"/>
          <w:color w:val="auto"/>
          <w:sz w:val="32"/>
          <w:szCs w:val="32"/>
          <w:highlight w:val="none"/>
          <w:lang w:val="zh-CN" w:eastAsia="zh-CN"/>
        </w:rPr>
        <w:t>绩效分析。</w:t>
      </w:r>
      <w:bookmarkEnd w:id="134"/>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项目决策。</w:t>
      </w:r>
    </w:p>
    <w:p>
      <w:pPr>
        <w:pStyle w:val="7"/>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eastAsia="zh-CN"/>
        </w:rPr>
        <w:t>项目设立符合市委、市政府重大决策部署和宏观政策规划，与部门职责相符，符合地方事权支出责任划分原则。资金分配的原则是结合受援单位实际情况，按照统筹兼顾、突出重点、注重实效、长足发展的原则。</w:t>
      </w:r>
    </w:p>
    <w:p>
      <w:pPr>
        <w:keepNext w:val="0"/>
        <w:keepLines w:val="0"/>
        <w:pageBreakBefore w:val="0"/>
        <w:widowControl w:val="0"/>
        <w:numPr>
          <w:ilvl w:val="0"/>
          <w:numId w:val="6"/>
        </w:numPr>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项目管理。</w:t>
      </w:r>
    </w:p>
    <w:p>
      <w:pPr>
        <w:pStyle w:val="7"/>
        <w:widowControl w:val="0"/>
        <w:numPr>
          <w:ilvl w:val="0"/>
          <w:numId w:val="0"/>
        </w:numPr>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按照《广元市科技计划管理办法》等文件要求，从资金来源、预算批复、资金使用、政府采购、资产管理等方面进行全方位的事前、事中、事后监管。“天麻集约化栽培技术研究与示范”项目严格按照管理办法执行。按照任务书年计划购买所需材料，由项目实施人提出计划，报承担单位同意，按照实用、节约等原则采购，采购计划和结果在市科技局官网公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3.项目实施。</w:t>
      </w:r>
      <w:r>
        <w:rPr>
          <w:rFonts w:hint="eastAsia" w:ascii="仿宋_GB2312" w:hAnsi="仿宋_GB2312" w:eastAsia="仿宋_GB2312" w:cs="仿宋_GB2312"/>
          <w:b w:val="0"/>
          <w:bCs w:val="0"/>
          <w:color w:val="auto"/>
          <w:sz w:val="32"/>
          <w:szCs w:val="32"/>
          <w:highlight w:val="none"/>
          <w:u w:val="none"/>
          <w:lang w:val="zh-CN"/>
        </w:rPr>
        <w:t>项目资金于</w:t>
      </w:r>
      <w:r>
        <w:rPr>
          <w:rFonts w:hint="eastAsia" w:ascii="仿宋_GB2312" w:hAnsi="仿宋_GB2312" w:eastAsia="仿宋_GB2312" w:cs="仿宋_GB2312"/>
          <w:b w:val="0"/>
          <w:bCs w:val="0"/>
          <w:color w:val="auto"/>
          <w:sz w:val="32"/>
          <w:szCs w:val="32"/>
          <w:highlight w:val="none"/>
          <w:u w:val="none"/>
          <w:lang w:val="en-US" w:eastAsia="zh-CN"/>
        </w:rPr>
        <w:t>2024年12月30日下达，暂未使用。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40" w:lef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color w:val="auto"/>
          <w:sz w:val="32"/>
          <w:szCs w:val="32"/>
          <w:lang w:val="en-US" w:eastAsia="zh-CN"/>
        </w:rPr>
        <w:t>4.项目结果。资金未使用，尚无结果。</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zh-CN" w:eastAsia="zh-CN"/>
        </w:rPr>
      </w:pPr>
      <w:bookmarkStart w:id="135" w:name="_Toc12171"/>
      <w:r>
        <w:rPr>
          <w:rFonts w:hint="eastAsia" w:ascii="黑体" w:hAnsi="黑体" w:eastAsia="黑体" w:cs="Times New Roman"/>
          <w:color w:val="auto"/>
          <w:sz w:val="32"/>
          <w:szCs w:val="32"/>
          <w:highlight w:val="none"/>
          <w:lang w:val="en-US" w:eastAsia="zh-CN"/>
        </w:rPr>
        <w:t>（二）专用指标</w:t>
      </w:r>
      <w:r>
        <w:rPr>
          <w:rFonts w:hint="eastAsia" w:ascii="黑体" w:hAnsi="黑体" w:eastAsia="黑体" w:cs="Times New Roman"/>
          <w:color w:val="auto"/>
          <w:sz w:val="32"/>
          <w:szCs w:val="32"/>
          <w:highlight w:val="none"/>
          <w:lang w:val="zh-CN" w:eastAsia="zh-CN"/>
        </w:rPr>
        <w:t>绩效分析。</w:t>
      </w:r>
      <w:bookmarkEnd w:id="135"/>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1.产业发展类。</w:t>
      </w:r>
    </w:p>
    <w:p>
      <w:pPr>
        <w:pStyle w:val="11"/>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本项目资金全部用于支持帮扶村天麻产业发展。项目申报内容是根据生产实际需求提出的具体内容，切合实际，实施内容也均与申报内容相符，能按照任务完成目标。</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zh-CN" w:eastAsia="zh-CN"/>
        </w:rPr>
        <w:t>民生保障</w:t>
      </w:r>
      <w:r>
        <w:rPr>
          <w:rFonts w:hint="eastAsia" w:ascii="仿宋_GB2312" w:hAnsi="仿宋_GB2312" w:eastAsia="仿宋_GB2312" w:cs="仿宋_GB2312"/>
          <w:b w:val="0"/>
          <w:bCs w:val="0"/>
          <w:color w:val="auto"/>
          <w:sz w:val="32"/>
          <w:szCs w:val="32"/>
          <w:lang w:val="en-US" w:eastAsia="zh-CN"/>
        </w:rPr>
        <w:t>类</w:t>
      </w:r>
      <w:r>
        <w:rPr>
          <w:rFonts w:hint="eastAsia" w:ascii="仿宋_GB2312" w:hAnsi="仿宋_GB2312" w:eastAsia="仿宋_GB2312" w:cs="仿宋_GB2312"/>
          <w:b w:val="0"/>
          <w:bCs w:val="0"/>
          <w:color w:val="auto"/>
          <w:sz w:val="32"/>
          <w:szCs w:val="32"/>
          <w:lang w:val="zh-CN" w:eastAsia="zh-CN"/>
        </w:rPr>
        <w:t>。</w:t>
      </w:r>
      <w:r>
        <w:rPr>
          <w:rFonts w:hint="eastAsia" w:ascii="仿宋_GB2312" w:hAnsi="仿宋_GB2312" w:eastAsia="仿宋_GB2312" w:cs="仿宋_GB2312"/>
          <w:b w:val="0"/>
          <w:bCs w:val="0"/>
          <w:color w:val="auto"/>
          <w:sz w:val="32"/>
          <w:szCs w:val="32"/>
          <w:lang w:eastAsia="zh-CN"/>
        </w:rPr>
        <w:t>不涉及。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3.基础设施类。不涉及。</w:t>
      </w:r>
    </w:p>
    <w:p>
      <w:pPr>
        <w:keepNext w:val="0"/>
        <w:keepLines w:val="0"/>
        <w:pageBreakBefore w:val="0"/>
        <w:widowControl w:val="0"/>
        <w:numPr>
          <w:ilvl w:val="0"/>
          <w:numId w:val="7"/>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行政运转</w:t>
      </w:r>
      <w:r>
        <w:rPr>
          <w:rFonts w:hint="eastAsia" w:ascii="仿宋_GB2312" w:hAnsi="仿宋_GB2312" w:eastAsia="仿宋_GB2312" w:cs="仿宋_GB2312"/>
          <w:b w:val="0"/>
          <w:bCs w:val="0"/>
          <w:color w:val="auto"/>
          <w:sz w:val="32"/>
          <w:szCs w:val="32"/>
          <w:lang w:val="en-US" w:eastAsia="zh-CN"/>
        </w:rPr>
        <w:t>类</w:t>
      </w:r>
      <w:r>
        <w:rPr>
          <w:rFonts w:hint="eastAsia" w:ascii="仿宋_GB2312" w:hAnsi="仿宋_GB2312" w:eastAsia="仿宋_GB2312" w:cs="仿宋_GB2312"/>
          <w:b w:val="0"/>
          <w:bCs w:val="0"/>
          <w:color w:val="auto"/>
          <w:sz w:val="32"/>
          <w:szCs w:val="32"/>
          <w:lang w:val="zh-CN" w:eastAsia="zh-CN"/>
        </w:rPr>
        <w:t>。不涉及</w:t>
      </w:r>
    </w:p>
    <w:p>
      <w:pPr>
        <w:pStyle w:val="34"/>
        <w:numPr>
          <w:ilvl w:val="0"/>
          <w:numId w:val="0"/>
        </w:numPr>
        <w:suppressAutoHyphens/>
        <w:bidi w:val="0"/>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36" w:name="_Toc168"/>
      <w:r>
        <w:rPr>
          <w:rFonts w:hint="eastAsia" w:ascii="黑体" w:hAnsi="黑体" w:eastAsia="黑体" w:cs="Times New Roman"/>
          <w:color w:val="auto"/>
          <w:sz w:val="32"/>
          <w:szCs w:val="32"/>
          <w:highlight w:val="none"/>
          <w:lang w:val="zh-CN" w:eastAsia="zh-CN"/>
        </w:rPr>
        <w:t>（三）</w:t>
      </w:r>
      <w:r>
        <w:rPr>
          <w:rFonts w:hint="eastAsia" w:ascii="黑体" w:hAnsi="黑体" w:eastAsia="黑体" w:cs="Times New Roman"/>
          <w:color w:val="auto"/>
          <w:sz w:val="32"/>
          <w:szCs w:val="32"/>
          <w:highlight w:val="none"/>
          <w:lang w:val="en-US" w:eastAsia="zh-CN"/>
        </w:rPr>
        <w:t>个性指标</w:t>
      </w:r>
      <w:r>
        <w:rPr>
          <w:rFonts w:hint="eastAsia" w:ascii="黑体" w:hAnsi="黑体" w:eastAsia="黑体" w:cs="Times New Roman"/>
          <w:color w:val="auto"/>
          <w:sz w:val="32"/>
          <w:szCs w:val="32"/>
          <w:highlight w:val="none"/>
          <w:lang w:val="zh-CN" w:eastAsia="zh-CN"/>
        </w:rPr>
        <w:t>绩效分析。不涉及。</w:t>
      </w:r>
      <w:bookmarkEnd w:id="136"/>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37" w:name="_Toc24561"/>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37"/>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该项目暂无法自评打分，该专项资金指标下达时间为2024年12月30日，</w:t>
      </w:r>
      <w:r>
        <w:rPr>
          <w:rFonts w:hint="eastAsia" w:hAnsi="仿宋_GB2312" w:cs="仿宋_GB2312"/>
          <w:b w:val="0"/>
          <w:bCs w:val="0"/>
          <w:color w:val="auto"/>
          <w:sz w:val="32"/>
          <w:szCs w:val="32"/>
          <w:highlight w:val="none"/>
          <w:lang w:val="en-US" w:eastAsia="zh-CN"/>
        </w:rPr>
        <w:t>截至</w:t>
      </w:r>
      <w:r>
        <w:rPr>
          <w:rFonts w:hint="eastAsia" w:ascii="仿宋_GB2312" w:hAnsi="仿宋_GB2312" w:eastAsia="仿宋_GB2312" w:cs="仿宋_GB2312"/>
          <w:b w:val="0"/>
          <w:bCs w:val="0"/>
          <w:color w:val="auto"/>
          <w:sz w:val="32"/>
          <w:szCs w:val="32"/>
          <w:highlight w:val="none"/>
          <w:lang w:val="en-US" w:eastAsia="zh-CN"/>
        </w:rPr>
        <w:t>12月31日资金未使用，目前项目正处于实施初期阶段。正计划采购天麻种子及蜜环菌种，其余按照任务书目标有序实施。</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38" w:name="_Toc29031"/>
      <w:r>
        <w:rPr>
          <w:rFonts w:hint="eastAsia" w:ascii="黑体" w:hAnsi="黑体" w:eastAsia="黑体" w:cs="Times New Roman"/>
          <w:color w:val="auto"/>
          <w:sz w:val="32"/>
          <w:szCs w:val="32"/>
          <w:highlight w:val="none"/>
          <w:lang w:eastAsia="zh-CN"/>
        </w:rPr>
        <w:t>五、存在主要问题</w:t>
      </w:r>
      <w:bookmarkEnd w:id="138"/>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目前正处于实施阶段，暂时无问题。</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39" w:name="_Toc31108"/>
      <w:r>
        <w:rPr>
          <w:rFonts w:hint="eastAsia" w:ascii="黑体" w:hAnsi="黑体" w:eastAsia="黑体" w:cs="Times New Roman"/>
          <w:color w:val="auto"/>
          <w:sz w:val="32"/>
          <w:szCs w:val="32"/>
          <w:highlight w:val="none"/>
          <w:lang w:val="zh-CN" w:eastAsia="zh-CN"/>
        </w:rPr>
        <w:t>六、改进建议</w:t>
      </w:r>
      <w:bookmarkEnd w:id="139"/>
    </w:p>
    <w:p>
      <w:pPr>
        <w:keepNext w:val="0"/>
        <w:keepLines w:val="0"/>
        <w:pageBreakBefore w:val="0"/>
        <w:tabs>
          <w:tab w:val="left" w:pos="1911"/>
        </w:tabs>
        <w:kinsoku/>
        <w:wordWrap/>
        <w:overflowPunct/>
        <w:topLinePunct w:val="0"/>
        <w:autoSpaceDE/>
        <w:autoSpaceDN/>
        <w:bidi w:val="0"/>
        <w:spacing w:line="576" w:lineRule="exact"/>
        <w:ind w:firstLine="640"/>
        <w:jc w:val="left"/>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暂无。</w:t>
      </w:r>
    </w:p>
    <w:p>
      <w:pPr>
        <w:pStyle w:val="2"/>
        <w:rPr>
          <w:rFonts w:hint="eastAsia"/>
          <w:lang w:val="en" w:eastAsia="zh-CN"/>
        </w:rPr>
      </w:pPr>
    </w:p>
    <w:p>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广元市“四川科技扶贫在线”平台建设</w:t>
      </w:r>
    </w:p>
    <w:p>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与运行维护</w:t>
      </w: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40" w:name="_Toc3164"/>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40"/>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firstLine="642"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根据《广元市科学技术局职能配置、内设机构和人员编制规定》</w:t>
      </w:r>
      <w:r>
        <w:rPr>
          <w:rFonts w:hint="eastAsia" w:ascii="仿宋_GB2312" w:hAnsi="仿宋_GB2312" w:eastAsia="仿宋_GB2312" w:cs="仿宋_GB2312"/>
          <w:sz w:val="32"/>
          <w:szCs w:val="32"/>
          <w:lang w:val="zh-CN" w:eastAsia="zh-CN"/>
        </w:rPr>
        <w:t>广委办函〔201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lang w:val="zh-CN" w:eastAsia="zh-CN"/>
        </w:rPr>
        <w:t>号精神，该项目在我局职能中描述：</w:t>
      </w:r>
      <w:r>
        <w:rPr>
          <w:rFonts w:hint="eastAsia" w:ascii="仿宋_GB2312" w:hAnsi="仿宋_GB2312" w:eastAsia="仿宋_GB2312" w:cs="仿宋_GB2312"/>
          <w:sz w:val="32"/>
          <w:szCs w:val="32"/>
          <w:lang w:val="en-US" w:eastAsia="zh-CN"/>
        </w:rPr>
        <w:t>负责项目的申报、推荐工作，审核其申报资格、项目申报材料的真实性，并参与项目过程管理，督促承担单位按期实施和完成项目，监督经费的使用。</w:t>
      </w:r>
      <w:r>
        <w:rPr>
          <w:rFonts w:hint="eastAsia" w:ascii="仿宋_GB2312" w:hAnsi="仿宋_GB2312" w:eastAsia="仿宋_GB2312" w:cs="仿宋_GB2312"/>
          <w:color w:val="auto"/>
          <w:sz w:val="32"/>
          <w:szCs w:val="32"/>
        </w:rPr>
        <w:t>项目设立符合市委、市政府重大决策部署和宏观政策规划，与部门职责相符，符合地方事权支出责任划分原则。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2" w:firstLineChars="200"/>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b/>
          <w:color w:val="auto"/>
          <w:sz w:val="32"/>
          <w:szCs w:val="32"/>
          <w:highlight w:val="none"/>
          <w:u w:val="none"/>
          <w:lang w:val="en-US" w:eastAsia="zh-CN"/>
        </w:rPr>
        <w:t>（二）实施目的及支持方向。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 w:val="0"/>
          <w:color w:val="auto"/>
          <w:kern w:val="0"/>
          <w:sz w:val="32"/>
          <w:szCs w:val="32"/>
          <w:highlight w:val="none"/>
          <w:u w:val="none"/>
          <w:shd w:val="clear" w:color="auto" w:fill="FFFFFF"/>
          <w:lang w:val="zh-CN" w:eastAsia="zh-CN" w:bidi="ar-SA"/>
        </w:rPr>
      </w:pPr>
      <w:r>
        <w:rPr>
          <w:rFonts w:hint="eastAsia" w:ascii="仿宋_GB2312" w:hAnsi="仿宋_GB2312" w:eastAsia="仿宋_GB2312" w:cs="仿宋_GB2312"/>
          <w:b w:val="0"/>
          <w:color w:val="auto"/>
          <w:kern w:val="0"/>
          <w:sz w:val="32"/>
          <w:szCs w:val="32"/>
          <w:highlight w:val="none"/>
          <w:u w:val="none"/>
          <w:shd w:val="clear" w:color="auto" w:fill="FFFFFF"/>
          <w:lang w:val="en-US" w:eastAsia="zh-CN" w:bidi="ar-SA"/>
        </w:rPr>
        <w:t>项目资金由科技管理和财政部门设立资金管理办法，严格按照项目任务内容开展相关工作。项目实施的主要目的面向我省12个市（州)的88个脱贫县平台，更好地巩固拓展脱贫攻坚成果和全面推进乡村振兴战略。</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leftChars="0" w:firstLine="642"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b/>
          <w:color w:val="auto"/>
          <w:sz w:val="32"/>
          <w:szCs w:val="32"/>
          <w:highlight w:val="none"/>
          <w:u w:val="none"/>
          <w:lang w:val="zh-CN" w:eastAsia="zh-CN"/>
        </w:rPr>
        <w:t>（三）</w:t>
      </w:r>
      <w:r>
        <w:rPr>
          <w:rFonts w:hint="eastAsia" w:ascii="仿宋_GB2312" w:hAnsi="仿宋_GB2312" w:eastAsia="仿宋_GB2312" w:cs="仿宋_GB2312"/>
          <w:b/>
          <w:color w:val="auto"/>
          <w:sz w:val="32"/>
          <w:szCs w:val="32"/>
          <w:highlight w:val="none"/>
          <w:u w:val="none"/>
          <w:lang w:val="en-US" w:eastAsia="zh-CN"/>
        </w:rPr>
        <w:t>预算安排及分配管理</w:t>
      </w:r>
      <w:r>
        <w:rPr>
          <w:rFonts w:hint="eastAsia" w:ascii="仿宋_GB2312" w:hAnsi="仿宋_GB2312" w:eastAsia="仿宋_GB2312" w:cs="仿宋_GB2312"/>
          <w:b/>
          <w:color w:val="auto"/>
          <w:sz w:val="32"/>
          <w:szCs w:val="32"/>
          <w:highlight w:val="none"/>
          <w:u w:val="none"/>
          <w:lang w:val="zh-CN"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rPr>
        <w:t>资金分配的原则是按照统筹兼顾、突出重点、注重实效、长足发展的原则</w:t>
      </w:r>
    </w:p>
    <w:p>
      <w:pPr>
        <w:keepNext w:val="0"/>
        <w:keepLines w:val="0"/>
        <w:pageBreakBefore w:val="0"/>
        <w:kinsoku/>
        <w:wordWrap/>
        <w:overflowPunct/>
        <w:topLinePunct w:val="0"/>
        <w:autoSpaceDE/>
        <w:autoSpaceDN/>
        <w:bidi w:val="0"/>
        <w:adjustRightInd w:val="0"/>
        <w:snapToGrid w:val="0"/>
        <w:spacing w:line="560" w:lineRule="exact"/>
        <w:ind w:left="0" w:leftChars="0" w:firstLine="642"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b/>
          <w:color w:val="auto"/>
          <w:sz w:val="32"/>
          <w:szCs w:val="32"/>
          <w:highlight w:val="none"/>
          <w:u w:val="none"/>
          <w:lang w:val="zh-CN" w:eastAsia="zh-CN"/>
        </w:rPr>
        <w:t>（四）项目绩效目标设置。</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项目整体、区域和具体绩效目标设置情况，项目自评工作开展情况。</w:t>
      </w:r>
    </w:p>
    <w:tbl>
      <w:tblPr>
        <w:tblStyle w:val="20"/>
        <w:tblW w:w="87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18"/>
        <w:gridCol w:w="1731"/>
        <w:gridCol w:w="32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3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三级指标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预期指标值</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项目覆盖县</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4</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项目覆盖区</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3</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2"/>
                <w:sz w:val="32"/>
                <w:szCs w:val="32"/>
                <w:u w:val="none"/>
                <w:lang w:val="en-US" w:eastAsia="zh-CN" w:bidi="ar-SA"/>
              </w:rPr>
            </w:pPr>
            <w:r>
              <w:rPr>
                <w:rFonts w:hint="eastAsia" w:ascii="仿宋_GB2312" w:hAnsi="仿宋_GB2312" w:eastAsia="仿宋_GB2312" w:cs="仿宋_GB2312"/>
                <w:i w:val="0"/>
                <w:color w:val="auto"/>
                <w:kern w:val="0"/>
                <w:sz w:val="32"/>
                <w:szCs w:val="32"/>
                <w:u w:val="none"/>
                <w:lang w:val="en-US" w:eastAsia="zh-CN" w:bidi="ar"/>
              </w:rPr>
              <w:t>完成质量检查</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2"/>
                <w:sz w:val="32"/>
                <w:szCs w:val="32"/>
                <w:u w:val="none"/>
                <w:lang w:val="en-US" w:eastAsia="zh-CN" w:bidi="ar-SA"/>
              </w:rPr>
            </w:pPr>
            <w:r>
              <w:rPr>
                <w:rFonts w:hint="eastAsia" w:ascii="仿宋_GB2312" w:hAnsi="仿宋_GB2312" w:eastAsia="仿宋_GB2312" w:cs="仿宋_GB2312"/>
                <w:i w:val="0"/>
                <w:color w:val="auto"/>
                <w:kern w:val="0"/>
                <w:sz w:val="32"/>
                <w:szCs w:val="32"/>
                <w:u w:val="none"/>
                <w:lang w:val="en-US" w:eastAsia="zh-CN" w:bidi="ar"/>
              </w:rPr>
              <w:t>通过专项检查</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2"/>
                <w:sz w:val="32"/>
                <w:szCs w:val="32"/>
                <w:u w:val="none"/>
                <w:lang w:val="en-US" w:eastAsia="zh-CN" w:bidi="ar-SA"/>
              </w:rPr>
            </w:pPr>
            <w:r>
              <w:rPr>
                <w:rFonts w:hint="eastAsia" w:ascii="仿宋_GB2312" w:hAnsi="仿宋_GB2312" w:eastAsia="仿宋_GB2312" w:cs="仿宋_GB2312"/>
                <w:i w:val="0"/>
                <w:color w:val="auto"/>
                <w:kern w:val="0"/>
                <w:sz w:val="32"/>
                <w:szCs w:val="32"/>
                <w:u w:val="none"/>
                <w:lang w:val="en-US" w:eastAsia="zh-CN" w:bidi="ar"/>
              </w:rPr>
              <w:t>通过专项检查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在线技术需求服务</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全年11000条</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全年44370条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培训活动</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20场次</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40场次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kern w:val="0"/>
                <w:sz w:val="32"/>
                <w:szCs w:val="32"/>
                <w:u w:val="none"/>
                <w:lang w:val="en-US" w:eastAsia="zh-CN" w:bidi="ar"/>
              </w:rPr>
            </w:pPr>
            <w:r>
              <w:rPr>
                <w:rFonts w:hint="eastAsia" w:ascii="仿宋_GB2312" w:hAnsi="仿宋_GB2312" w:eastAsia="仿宋_GB2312" w:cs="仿宋_GB2312"/>
                <w:i w:val="0"/>
                <w:color w:val="auto"/>
                <w:kern w:val="0"/>
                <w:sz w:val="32"/>
                <w:szCs w:val="32"/>
                <w:u w:val="none"/>
                <w:lang w:val="en-US" w:eastAsia="zh-CN" w:bidi="ar"/>
              </w:rPr>
              <w:t>发布技术供给、产业信息、</w:t>
            </w:r>
          </w:p>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供销对接信息</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200条</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242条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完成时间</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2023年12月</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2023年12月31日前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农户产业收入</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明显提升</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明显提升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群众技术需求</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及时解决</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及时解决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持续影响科技事业发展</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长期</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长期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3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群众满意度</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98%</w:t>
            </w:r>
          </w:p>
        </w:tc>
        <w:tc>
          <w:tcPr>
            <w:tcW w:w="3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560" w:lineRule="exact"/>
              <w:jc w:val="center"/>
              <w:textAlignment w:val="center"/>
              <w:rPr>
                <w:rFonts w:hint="eastAsia" w:ascii="仿宋_GB2312" w:hAnsi="仿宋_GB2312" w:eastAsia="仿宋_GB2312" w:cs="仿宋_GB2312"/>
                <w:i w:val="0"/>
                <w:color w:val="auto"/>
                <w:sz w:val="32"/>
                <w:szCs w:val="32"/>
                <w:u w:val="none"/>
              </w:rPr>
            </w:pPr>
            <w:r>
              <w:rPr>
                <w:rFonts w:hint="eastAsia" w:ascii="仿宋_GB2312" w:hAnsi="仿宋_GB2312" w:eastAsia="仿宋_GB2312" w:cs="仿宋_GB2312"/>
                <w:i w:val="0"/>
                <w:color w:val="auto"/>
                <w:kern w:val="0"/>
                <w:sz w:val="32"/>
                <w:szCs w:val="32"/>
                <w:u w:val="none"/>
                <w:lang w:val="en-US" w:eastAsia="zh-CN" w:bidi="ar"/>
              </w:rPr>
              <w:t>99%</w:t>
            </w:r>
          </w:p>
        </w:tc>
      </w:tr>
    </w:tbl>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41" w:name="_Toc28730"/>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41"/>
    </w:p>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color w:val="auto"/>
          <w:sz w:val="32"/>
          <w:szCs w:val="32"/>
          <w:highlight w:val="none"/>
          <w:u w:val="none"/>
          <w:lang w:val="zh-CN"/>
        </w:rPr>
        <w:t>（一）评价目的。</w:t>
      </w:r>
    </w:p>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b/>
          <w:color w:val="auto"/>
          <w:sz w:val="32"/>
          <w:szCs w:val="32"/>
          <w:highlight w:val="none"/>
          <w:u w:val="none"/>
          <w:lang w:val="zh-CN"/>
        </w:rPr>
      </w:pP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rPr>
        <w:t>目绩效评价的目的是对项目</w:t>
      </w:r>
      <w:r>
        <w:rPr>
          <w:rFonts w:hint="eastAsia" w:ascii="仿宋_GB2312" w:hAnsi="仿宋_GB2312" w:eastAsia="仿宋_GB2312" w:cs="仿宋_GB2312"/>
          <w:sz w:val="32"/>
          <w:szCs w:val="32"/>
          <w:lang w:val="en-US" w:eastAsia="zh-CN"/>
        </w:rPr>
        <w:t>设立和</w:t>
      </w:r>
      <w:r>
        <w:rPr>
          <w:rFonts w:hint="eastAsia" w:ascii="仿宋_GB2312" w:hAnsi="仿宋_GB2312" w:eastAsia="仿宋_GB2312" w:cs="仿宋_GB2312"/>
          <w:sz w:val="32"/>
          <w:szCs w:val="32"/>
        </w:rPr>
        <w:t>实施全过程进行评价，以确保项目的有效实施和资源的合理利用。 遵循独立、客观、科学、公正的原则，项目绩效应符合国家法律、法规及</w:t>
      </w:r>
      <w:r>
        <w:rPr>
          <w:rFonts w:hint="eastAsia" w:ascii="仿宋_GB2312" w:hAnsi="仿宋_GB2312" w:eastAsia="仿宋_GB2312" w:cs="仿宋_GB2312"/>
          <w:sz w:val="32"/>
          <w:szCs w:val="32"/>
          <w:lang w:val="en-US" w:eastAsia="zh-CN"/>
        </w:rPr>
        <w:t>受援单位产业发展的实际需求</w:t>
      </w:r>
      <w:r>
        <w:rPr>
          <w:rFonts w:hint="eastAsia" w:ascii="仿宋_GB2312" w:hAnsi="仿宋_GB2312" w:eastAsia="仿宋_GB2312" w:cs="仿宋_GB2312"/>
          <w:sz w:val="32"/>
          <w:szCs w:val="32"/>
        </w:rPr>
        <w:t>，并建立畅通、快捷的信息管理和反馈机制。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（二）预设问题及评价重点。</w:t>
      </w:r>
      <w:r>
        <w:rPr>
          <w:rFonts w:hint="eastAsia" w:ascii="仿宋_GB2312" w:hAnsi="仿宋_GB2312" w:eastAsia="仿宋_GB2312" w:cs="仿宋_GB2312"/>
          <w:sz w:val="32"/>
          <w:szCs w:val="32"/>
          <w:lang w:eastAsia="zh-CN"/>
        </w:rPr>
        <w:t>项目资金的使用是否按进度按照要求合法合规使用。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outlineLvl w:val="9"/>
        <w:rPr>
          <w:rFonts w:hint="eastAsia" w:ascii="仿宋_GB2312" w:hAnsi="仿宋_GB2312" w:eastAsia="仿宋_GB2312" w:cs="仿宋_GB2312"/>
          <w:b/>
          <w:color w:val="auto"/>
          <w:sz w:val="32"/>
          <w:szCs w:val="32"/>
          <w:highlight w:val="none"/>
          <w:u w:val="none"/>
          <w:lang w:val="zh-CN"/>
        </w:rPr>
      </w:pPr>
      <w:r>
        <w:rPr>
          <w:rFonts w:hint="eastAsia" w:ascii="仿宋_GB2312" w:hAnsi="仿宋_GB2312" w:eastAsia="仿宋_GB2312" w:cs="仿宋_GB2312"/>
          <w:b/>
          <w:color w:val="auto"/>
          <w:sz w:val="32"/>
          <w:szCs w:val="32"/>
          <w:highlight w:val="none"/>
          <w:u w:val="none"/>
          <w:lang w:val="zh-CN"/>
        </w:rPr>
        <w:t>（三）评价选点。</w:t>
      </w:r>
      <w:r>
        <w:rPr>
          <w:rFonts w:hint="eastAsia" w:ascii="仿宋_GB2312" w:hAnsi="仿宋_GB2312" w:eastAsia="仿宋_GB2312" w:cs="仿宋_GB2312"/>
          <w:sz w:val="32"/>
          <w:szCs w:val="32"/>
          <w:lang w:val="zh-CN" w:eastAsia="zh-CN"/>
        </w:rPr>
        <w:t>项目绩效自评抽取</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lang w:val="zh-CN" w:eastAsia="zh-CN"/>
        </w:rPr>
        <w:t>点位。</w:t>
      </w:r>
    </w:p>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u w:val="none"/>
          <w:lang w:val="zh-CN"/>
        </w:rPr>
        <w:t>（四）评价方法。</w:t>
      </w:r>
      <w:r>
        <w:rPr>
          <w:rFonts w:hint="eastAsia" w:ascii="仿宋_GB2312" w:hAnsi="仿宋_GB2312" w:eastAsia="仿宋_GB2312" w:cs="仿宋_GB2312"/>
          <w:sz w:val="32"/>
          <w:szCs w:val="32"/>
        </w:rPr>
        <w:t>根据项目情况和评价重点，</w:t>
      </w:r>
      <w:r>
        <w:rPr>
          <w:rFonts w:hint="eastAsia" w:ascii="仿宋_GB2312" w:hAnsi="仿宋_GB2312" w:eastAsia="仿宋_GB2312" w:cs="仿宋_GB2312"/>
          <w:sz w:val="32"/>
          <w:szCs w:val="32"/>
          <w:lang w:eastAsia="zh-CN"/>
        </w:rPr>
        <w:t>用来</w:t>
      </w:r>
      <w:r>
        <w:rPr>
          <w:rFonts w:hint="eastAsia" w:ascii="仿宋_GB2312" w:hAnsi="仿宋_GB2312" w:eastAsia="仿宋_GB2312" w:cs="仿宋_GB2312"/>
          <w:sz w:val="32"/>
          <w:szCs w:val="32"/>
        </w:rPr>
        <w:t>收集相关材料和开展具体评价</w:t>
      </w:r>
      <w:r>
        <w:rPr>
          <w:rFonts w:hint="eastAsia" w:ascii="仿宋_GB2312" w:hAnsi="仿宋_GB2312" w:eastAsia="仿宋_GB2312" w:cs="仿宋_GB2312"/>
          <w:sz w:val="32"/>
          <w:szCs w:val="32"/>
          <w:lang w:eastAsia="zh-CN"/>
        </w:rPr>
        <w:t>的方法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包括：</w:t>
      </w:r>
      <w:r>
        <w:rPr>
          <w:rFonts w:hint="eastAsia" w:ascii="仿宋_GB2312" w:hAnsi="仿宋_GB2312" w:eastAsia="仿宋_GB2312" w:cs="仿宋_GB2312"/>
          <w:sz w:val="32"/>
          <w:szCs w:val="32"/>
        </w:rPr>
        <w:t>采用成本效益分析法、标杆管理法、案卷研究法、单位自评法、实地勘察法、问卷调查法、座谈调研法等多种方法</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2"/>
          <w:sz w:val="32"/>
          <w:szCs w:val="32"/>
          <w:lang w:val="zh-CN" w:eastAsia="zh-CN" w:bidi="ar-SA"/>
        </w:rPr>
        <w:t>项目自评采用总体评价的方法，项目管理严格，总体进度良好，效益明显。完成了各项预定的目标和任务，达到了预期的经济和社会效益。评价组综合评定为优，得分</w:t>
      </w:r>
      <w:r>
        <w:rPr>
          <w:rFonts w:hint="eastAsia" w:ascii="仿宋_GB2312" w:hAnsi="仿宋_GB2312" w:eastAsia="仿宋_GB2312" w:cs="仿宋_GB2312"/>
          <w:kern w:val="2"/>
          <w:sz w:val="32"/>
          <w:szCs w:val="32"/>
          <w:lang w:val="en-US" w:eastAsia="zh-CN" w:bidi="ar-SA"/>
        </w:rPr>
        <w:t>96</w:t>
      </w:r>
      <w:r>
        <w:rPr>
          <w:rFonts w:hint="eastAsia" w:ascii="仿宋_GB2312" w:hAnsi="仿宋_GB2312" w:eastAsia="仿宋_GB2312" w:cs="仿宋_GB2312"/>
          <w:kern w:val="2"/>
          <w:sz w:val="32"/>
          <w:szCs w:val="32"/>
          <w:lang w:val="zh-CN" w:eastAsia="zh-CN" w:bidi="ar-SA"/>
        </w:rPr>
        <w:t>分。</w:t>
      </w:r>
    </w:p>
    <w:p>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color w:val="auto"/>
          <w:sz w:val="32"/>
          <w:szCs w:val="32"/>
          <w:highlight w:val="none"/>
          <w:u w:val="none"/>
          <w:lang w:val="zh-CN"/>
        </w:rPr>
        <w:t>（五）评价组织。</w:t>
      </w:r>
    </w:p>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sz w:val="32"/>
          <w:szCs w:val="32"/>
          <w:lang w:val="en-US" w:eastAsia="zh-CN"/>
        </w:rPr>
        <w:t>评价组人员由主管单位组织农业专家和财务人员构成，农业专家主要对平台建设、培训活动及增产增收效果对比开展评价，财务人员主要对项目支出展开评价，重点是对票据的合理性和程序性审核，做到</w:t>
      </w:r>
      <w:r>
        <w:rPr>
          <w:rFonts w:hint="eastAsia" w:ascii="仿宋_GB2312" w:hAnsi="仿宋_GB2312" w:eastAsia="仿宋_GB2312" w:cs="仿宋_GB2312"/>
          <w:color w:val="auto"/>
          <w:kern w:val="2"/>
          <w:sz w:val="32"/>
          <w:szCs w:val="32"/>
        </w:rPr>
        <w:t>从资金来源、预算批复、资金使用</w:t>
      </w:r>
      <w:r>
        <w:rPr>
          <w:rFonts w:hint="eastAsia" w:ascii="仿宋_GB2312" w:hAnsi="仿宋_GB2312" w:eastAsia="仿宋_GB2312" w:cs="仿宋_GB2312"/>
          <w:color w:val="auto"/>
          <w:kern w:val="2"/>
          <w:sz w:val="32"/>
          <w:szCs w:val="32"/>
          <w:lang w:val="en-US" w:eastAsia="zh-CN"/>
        </w:rPr>
        <w:t>程序</w:t>
      </w:r>
      <w:r>
        <w:rPr>
          <w:rFonts w:hint="eastAsia" w:ascii="仿宋_GB2312" w:hAnsi="仿宋_GB2312" w:eastAsia="仿宋_GB2312" w:cs="仿宋_GB2312"/>
          <w:sz w:val="32"/>
          <w:szCs w:val="32"/>
          <w:lang w:val="en-US" w:eastAsia="zh-CN"/>
        </w:rPr>
        <w:t>规范合理。</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42" w:name="_Toc21925"/>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42"/>
      <w:r>
        <w:rPr>
          <w:rFonts w:hint="eastAsia" w:ascii="黑体" w:hAnsi="黑体" w:eastAsia="黑体" w:cs="Times New Roman"/>
          <w:color w:val="auto"/>
          <w:sz w:val="32"/>
          <w:szCs w:val="32"/>
          <w:highlight w:val="none"/>
          <w:lang w:val="zh-CN"/>
        </w:rPr>
        <w:tab/>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lang w:val="zh-CN"/>
        </w:rPr>
        <w:t>（一）</w:t>
      </w:r>
      <w:r>
        <w:rPr>
          <w:rFonts w:hint="eastAsia" w:ascii="仿宋_GB2312" w:hAnsi="仿宋_GB2312" w:eastAsia="仿宋_GB2312" w:cs="仿宋_GB2312"/>
          <w:b/>
          <w:color w:val="auto"/>
          <w:sz w:val="32"/>
          <w:szCs w:val="32"/>
          <w:highlight w:val="none"/>
          <w:u w:val="none"/>
          <w:lang w:val="en-US" w:eastAsia="zh-CN"/>
        </w:rPr>
        <w:t>通用指标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p>
    <w:p>
      <w:pPr>
        <w:pStyle w:val="19"/>
        <w:keepNext w:val="0"/>
        <w:keepLines w:val="0"/>
        <w:pageBreakBefore w:val="0"/>
        <w:widowControl/>
        <w:kinsoku/>
        <w:wordWrap/>
        <w:overflowPunct/>
        <w:topLinePunct w:val="0"/>
        <w:autoSpaceDE/>
        <w:autoSpaceDN/>
        <w:bidi w:val="0"/>
        <w:spacing w:before="0" w:beforeAutospacing="0" w:after="0" w:afterAutospacing="0"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2"/>
          <w:sz w:val="32"/>
          <w:szCs w:val="32"/>
        </w:rPr>
        <w:t>项目设立符合市委、市政府重大决策部署和宏观政策规划，与部门职责相符，符合地方事权支出责任划分原则。资金分配的原则是</w:t>
      </w:r>
      <w:r>
        <w:rPr>
          <w:rFonts w:hint="eastAsia" w:ascii="仿宋_GB2312" w:hAnsi="仿宋_GB2312" w:eastAsia="仿宋_GB2312" w:cs="仿宋_GB2312"/>
          <w:color w:val="auto"/>
          <w:kern w:val="2"/>
          <w:sz w:val="32"/>
          <w:szCs w:val="32"/>
          <w:lang w:val="en-US" w:eastAsia="zh-CN"/>
        </w:rPr>
        <w:t>结合受援单位实际情况，</w:t>
      </w:r>
      <w:r>
        <w:rPr>
          <w:rFonts w:hint="eastAsia" w:ascii="仿宋_GB2312" w:hAnsi="仿宋_GB2312" w:eastAsia="仿宋_GB2312" w:cs="仿宋_GB2312"/>
          <w:color w:val="auto"/>
          <w:kern w:val="2"/>
          <w:sz w:val="32"/>
          <w:szCs w:val="32"/>
        </w:rPr>
        <w:t>按照统筹兼顾、突出重点、注重实效、长足发展的原则。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2"/>
          <w:sz w:val="32"/>
          <w:szCs w:val="32"/>
        </w:rPr>
        <w:t>制定了《广元市科学技术局财务管理制度（2014）》、《广元市科学技术局经费支出审批及报销管理制度》（广科发〔2017〕68号）、《广元市科学技术局预算管理暂行办法》等，从资金来源、预算批复、资金使用、政府采购、资产管理等方面进行全方位的事前、事中、事后监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3.项目实施。</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资金实行市级财政国库集中支付管理。资金专账核算，专人管理，确保资金管理的规范、安全、有效。项目严格按</w:t>
      </w:r>
      <w:r>
        <w:rPr>
          <w:rFonts w:hint="eastAsia" w:ascii="仿宋_GB2312" w:hAnsi="仿宋_GB2312" w:eastAsia="仿宋_GB2312" w:cs="仿宋_GB2312"/>
          <w:sz w:val="32"/>
          <w:szCs w:val="32"/>
          <w:lang w:val="zh-CN" w:eastAsia="zh-CN"/>
        </w:rPr>
        <w:t>我局</w:t>
      </w:r>
      <w:r>
        <w:rPr>
          <w:rFonts w:hint="eastAsia" w:ascii="仿宋_GB2312" w:hAnsi="仿宋_GB2312" w:eastAsia="仿宋_GB2312" w:cs="仿宋_GB2312"/>
          <w:sz w:val="32"/>
          <w:szCs w:val="32"/>
          <w:lang w:val="zh-CN"/>
        </w:rPr>
        <w:t>资金管理办法执行。</w:t>
      </w:r>
      <w:r>
        <w:rPr>
          <w:rFonts w:hint="eastAsia" w:ascii="仿宋_GB2312" w:hAnsi="仿宋_GB2312" w:eastAsia="仿宋_GB2312" w:cs="仿宋_GB2312"/>
          <w:color w:val="auto"/>
          <w:kern w:val="2"/>
          <w:sz w:val="32"/>
          <w:szCs w:val="32"/>
          <w:lang w:val="zh-CN" w:eastAsia="zh-CN" w:bidi="ar-SA"/>
        </w:rPr>
        <w:t>该项目资金计划为省级财政预算资金，无项目单位自筹和其他渠道资金。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4.项目结果。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zh-CN"/>
        </w:rPr>
        <w:t>项目申报内容均是与依托单位相互协商，</w:t>
      </w:r>
      <w:r>
        <w:rPr>
          <w:rFonts w:hint="eastAsia" w:ascii="仿宋_GB2312" w:hAnsi="仿宋_GB2312" w:eastAsia="仿宋_GB2312" w:cs="仿宋_GB2312"/>
          <w:sz w:val="32"/>
          <w:szCs w:val="32"/>
          <w:lang w:val="zh-CN"/>
        </w:rPr>
        <w:t>从线上咨询推广和线下宣传培训两方面实际申报，申报目标由农业产业全产业链的技术咨询、现场培训、企业推广等指标组成，</w:t>
      </w:r>
      <w:r>
        <w:rPr>
          <w:rFonts w:hint="eastAsia" w:ascii="仿宋_GB2312" w:hAnsi="仿宋_GB2312" w:eastAsia="仿宋_GB2312" w:cs="仿宋_GB2312"/>
          <w:color w:val="auto"/>
          <w:sz w:val="32"/>
          <w:szCs w:val="32"/>
          <w:lang w:val="en-US" w:eastAsia="zh-CN"/>
        </w:rPr>
        <w:t>同时开展技术培训，提高生产技能，群众满意率达到99%以上。</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color w:val="auto"/>
          <w:sz w:val="32"/>
          <w:szCs w:val="32"/>
          <w:highlight w:val="none"/>
          <w:u w:val="none"/>
          <w:lang w:val="zh-CN"/>
        </w:rPr>
        <w:t>（二）</w:t>
      </w:r>
      <w:r>
        <w:rPr>
          <w:rFonts w:hint="eastAsia" w:ascii="仿宋_GB2312" w:hAnsi="仿宋_GB2312" w:eastAsia="仿宋_GB2312" w:cs="仿宋_GB2312"/>
          <w:b/>
          <w:color w:val="auto"/>
          <w:sz w:val="32"/>
          <w:szCs w:val="32"/>
          <w:highlight w:val="none"/>
          <w:u w:val="none"/>
          <w:lang w:val="en-US" w:eastAsia="zh-CN"/>
        </w:rPr>
        <w:t>专用指标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1.产业发展。</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本项目资金全部用于支持产业发展。</w:t>
      </w:r>
      <w:r>
        <w:rPr>
          <w:rFonts w:hint="eastAsia" w:ascii="仿宋_GB2312" w:hAnsi="仿宋_GB2312" w:eastAsia="仿宋_GB2312" w:cs="仿宋_GB2312"/>
          <w:color w:val="auto"/>
          <w:sz w:val="32"/>
          <w:szCs w:val="32"/>
          <w:lang w:val="zh-CN"/>
        </w:rPr>
        <w:t>项目申报内容均是与依托单位相互协商，根据生产实际需求提出的具体内容，切合实际，实施内容也均与申报内容相符，</w:t>
      </w:r>
      <w:r>
        <w:rPr>
          <w:rFonts w:hint="eastAsia" w:ascii="仿宋_GB2312" w:hAnsi="仿宋_GB2312" w:eastAsia="仿宋_GB2312" w:cs="仿宋_GB2312"/>
          <w:sz w:val="32"/>
          <w:szCs w:val="32"/>
          <w:lang w:val="zh-CN"/>
        </w:rPr>
        <w:t>符合产业发展需要，具有可量化可考核性，目标任务合理可行。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highlight w:val="none"/>
          <w:u w:val="none"/>
          <w:lang w:val="zh-CN"/>
        </w:rPr>
        <w:t>（三）</w:t>
      </w:r>
      <w:r>
        <w:rPr>
          <w:rFonts w:hint="eastAsia" w:ascii="仿宋_GB2312" w:hAnsi="仿宋_GB2312" w:eastAsia="仿宋_GB2312" w:cs="仿宋_GB2312"/>
          <w:b/>
          <w:color w:val="auto"/>
          <w:sz w:val="32"/>
          <w:szCs w:val="32"/>
          <w:highlight w:val="none"/>
          <w:u w:val="none"/>
          <w:lang w:val="en-US" w:eastAsia="zh-CN"/>
        </w:rPr>
        <w:t>个性指标</w:t>
      </w:r>
      <w:r>
        <w:rPr>
          <w:rFonts w:hint="eastAsia" w:ascii="仿宋_GB2312" w:hAnsi="仿宋_GB2312" w:eastAsia="仿宋_GB2312" w:cs="仿宋_GB2312"/>
          <w:b/>
          <w:bCs/>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43" w:name="_Toc32710"/>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43"/>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kern w:val="2"/>
          <w:sz w:val="32"/>
          <w:szCs w:val="32"/>
          <w:lang w:val="zh-CN" w:eastAsia="zh-CN" w:bidi="ar-SA"/>
        </w:rPr>
        <w:t>项目绩效完成总体情况较好，</w:t>
      </w:r>
      <w:r>
        <w:rPr>
          <w:rFonts w:hint="eastAsia" w:ascii="仿宋_GB2312" w:hAnsi="仿宋_GB2312" w:eastAsia="仿宋_GB2312" w:cs="仿宋_GB2312"/>
          <w:b w:val="0"/>
          <w:bCs w:val="0"/>
          <w:kern w:val="0"/>
          <w:position w:val="0"/>
          <w:sz w:val="32"/>
          <w:szCs w:val="32"/>
          <w:highlight w:val="none"/>
          <w:lang w:val="zh-CN" w:eastAsia="zh-CN" w:bidi="ar-SA"/>
        </w:rPr>
        <w:t>本次自评得分为9</w:t>
      </w:r>
      <w:r>
        <w:rPr>
          <w:rFonts w:hint="eastAsia" w:ascii="仿宋_GB2312" w:hAnsi="仿宋_GB2312" w:eastAsia="仿宋_GB2312" w:cs="仿宋_GB2312"/>
          <w:b w:val="0"/>
          <w:bCs w:val="0"/>
          <w:kern w:val="0"/>
          <w:position w:val="0"/>
          <w:sz w:val="32"/>
          <w:szCs w:val="32"/>
          <w:highlight w:val="none"/>
          <w:lang w:val="en-US" w:eastAsia="zh-CN" w:bidi="ar-SA"/>
        </w:rPr>
        <w:t>9</w:t>
      </w:r>
      <w:r>
        <w:rPr>
          <w:rFonts w:hint="eastAsia" w:ascii="仿宋_GB2312" w:hAnsi="仿宋_GB2312" w:eastAsia="仿宋_GB2312" w:cs="仿宋_GB2312"/>
          <w:b w:val="0"/>
          <w:bCs w:val="0"/>
          <w:kern w:val="0"/>
          <w:position w:val="0"/>
          <w:sz w:val="32"/>
          <w:szCs w:val="32"/>
          <w:highlight w:val="none"/>
          <w:lang w:val="zh-CN" w:eastAsia="zh-CN" w:bidi="ar-SA"/>
        </w:rPr>
        <w:t>分，取得了较好的成效，主要体现在以下方面：一是</w:t>
      </w:r>
      <w:r>
        <w:rPr>
          <w:rFonts w:hint="eastAsia" w:ascii="仿宋_GB2312" w:hAnsi="仿宋_GB2312" w:eastAsia="仿宋_GB2312" w:cs="仿宋_GB2312"/>
          <w:b w:val="0"/>
          <w:bCs w:val="0"/>
          <w:kern w:val="0"/>
          <w:position w:val="0"/>
          <w:sz w:val="32"/>
          <w:szCs w:val="32"/>
          <w:highlight w:val="none"/>
          <w:lang w:val="en-US" w:eastAsia="zh-CN" w:bidi="ar-SA"/>
        </w:rPr>
        <w:t>2023年“四川科技兴村在线”广元平台</w:t>
      </w:r>
      <w:r>
        <w:rPr>
          <w:rFonts w:hint="eastAsia" w:ascii="仿宋_GB2312" w:hAnsi="仿宋_GB2312" w:eastAsia="仿宋_GB2312" w:cs="仿宋_GB2312"/>
          <w:b w:val="0"/>
          <w:bCs w:val="0"/>
          <w:kern w:val="0"/>
          <w:position w:val="0"/>
          <w:sz w:val="32"/>
          <w:szCs w:val="32"/>
          <w:highlight w:val="none"/>
          <w:lang w:val="zh-CN" w:eastAsia="zh-CN" w:bidi="ar-SA"/>
        </w:rPr>
        <w:t>在线技术需求推送量</w:t>
      </w:r>
      <w:r>
        <w:rPr>
          <w:rFonts w:hint="eastAsia" w:ascii="仿宋_GB2312" w:hAnsi="仿宋_GB2312" w:eastAsia="仿宋_GB2312" w:cs="仿宋_GB2312"/>
          <w:b w:val="0"/>
          <w:bCs w:val="0"/>
          <w:kern w:val="0"/>
          <w:position w:val="0"/>
          <w:sz w:val="32"/>
          <w:szCs w:val="32"/>
          <w:highlight w:val="none"/>
          <w:lang w:val="en-US" w:eastAsia="zh-CN" w:bidi="ar-SA"/>
        </w:rPr>
        <w:t>44370条，解答量43673条，连续8年位列全省第一。二是2023年发布技术供给、产业信息、供销对接信息共计242条，开展线下业务培训和现场技术培训活动40场次，培训约2600人次；三是</w:t>
      </w:r>
      <w:r>
        <w:rPr>
          <w:rFonts w:hint="eastAsia" w:ascii="仿宋_GB2312" w:hAnsi="仿宋_GB2312" w:eastAsia="仿宋_GB2312" w:cs="仿宋_GB2312"/>
          <w:b w:val="0"/>
          <w:bCs w:val="0"/>
          <w:kern w:val="0"/>
          <w:position w:val="0"/>
          <w:sz w:val="32"/>
          <w:szCs w:val="32"/>
          <w:highlight w:val="none"/>
          <w:lang w:val="zh-CN" w:eastAsia="zh-CN" w:bidi="ar-SA"/>
        </w:rPr>
        <w:t>持续为全市农户、涉农企业、专合社、家庭农场、种养殖大户等涉农团体解决农业技术需求，</w:t>
      </w:r>
      <w:r>
        <w:rPr>
          <w:rFonts w:hint="eastAsia" w:ascii="仿宋_GB2312" w:hAnsi="仿宋_GB2312" w:eastAsia="仿宋_GB2312" w:cs="仿宋_GB2312"/>
          <w:b w:val="0"/>
          <w:bCs w:val="0"/>
          <w:kern w:val="0"/>
          <w:position w:val="0"/>
          <w:sz w:val="32"/>
          <w:szCs w:val="32"/>
          <w:highlight w:val="none"/>
          <w:lang w:val="en-US" w:eastAsia="zh-CN" w:bidi="ar-SA"/>
        </w:rPr>
        <w:t>不断增强种植户“科技兴村”意识，提升种植户专业技术能力和农业产业收入，群众满意度达99%以上。扣分原因：</w:t>
      </w:r>
      <w:r>
        <w:rPr>
          <w:rFonts w:hint="eastAsia" w:ascii="仿宋_GB2312" w:hAnsi="仿宋_GB2312" w:eastAsia="仿宋_GB2312" w:cs="仿宋_GB2312"/>
          <w:color w:val="auto"/>
          <w:sz w:val="32"/>
          <w:szCs w:val="32"/>
          <w:lang w:val="en-US" w:eastAsia="zh-CN"/>
        </w:rPr>
        <w:t>因项目资金</w:t>
      </w:r>
      <w:r>
        <w:rPr>
          <w:rFonts w:hint="eastAsia" w:ascii="仿宋_GB2312" w:hAnsi="仿宋_GB2312" w:eastAsia="仿宋_GB2312" w:cs="仿宋_GB2312"/>
          <w:b w:val="0"/>
          <w:bCs w:val="0"/>
          <w:color w:val="auto"/>
          <w:sz w:val="32"/>
          <w:szCs w:val="32"/>
          <w:highlight w:val="none"/>
          <w:u w:val="none"/>
          <w:lang w:val="zh-CN"/>
        </w:rPr>
        <w:t>于</w:t>
      </w:r>
      <w:r>
        <w:rPr>
          <w:rFonts w:hint="eastAsia" w:ascii="仿宋_GB2312" w:hAnsi="仿宋_GB2312" w:eastAsia="仿宋_GB2312" w:cs="仿宋_GB2312"/>
          <w:b w:val="0"/>
          <w:bCs w:val="0"/>
          <w:color w:val="auto"/>
          <w:sz w:val="32"/>
          <w:szCs w:val="32"/>
          <w:highlight w:val="none"/>
          <w:u w:val="none"/>
          <w:lang w:val="en-US" w:eastAsia="zh-CN"/>
        </w:rPr>
        <w:t>2024年12月下达，截至12月31日预算执行为46.47%。</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44" w:name="_Toc2540"/>
      <w:r>
        <w:rPr>
          <w:rFonts w:hint="eastAsia" w:ascii="黑体" w:hAnsi="黑体" w:eastAsia="黑体" w:cs="Times New Roman"/>
          <w:color w:val="auto"/>
          <w:sz w:val="32"/>
          <w:szCs w:val="32"/>
          <w:highlight w:val="none"/>
          <w:lang w:val="zh-CN" w:eastAsia="zh-CN"/>
        </w:rPr>
        <w:t>五、存在主要问题</w:t>
      </w:r>
      <w:bookmarkEnd w:id="144"/>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kern w:val="0"/>
          <w:position w:val="3"/>
          <w:sz w:val="32"/>
          <w:szCs w:val="32"/>
          <w:highlight w:val="none"/>
          <w:u w:val="none"/>
          <w:lang w:val="zh-CN" w:eastAsia="zh-CN" w:bidi="ar-SA"/>
        </w:rPr>
      </w:pPr>
      <w:r>
        <w:rPr>
          <w:rFonts w:hint="eastAsia" w:ascii="仿宋_GB2312" w:hAnsi="仿宋_GB2312" w:eastAsia="仿宋_GB2312" w:cs="仿宋_GB2312"/>
          <w:b w:val="0"/>
          <w:bCs w:val="0"/>
          <w:sz w:val="32"/>
          <w:szCs w:val="32"/>
          <w:highlight w:val="none"/>
          <w:lang w:val="zh-CN"/>
        </w:rPr>
        <w:t>项目实施中，由于产业类别、规模数据繁多，经济效益评价过于庞统，缺乏简单科学的统计方法。</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en" w:eastAsia="zh-CN"/>
        </w:rPr>
      </w:pPr>
      <w:bookmarkStart w:id="145" w:name="_Toc19150"/>
      <w:r>
        <w:rPr>
          <w:rFonts w:hint="eastAsia" w:ascii="黑体" w:hAnsi="黑体" w:eastAsia="黑体" w:cs="Times New Roman"/>
          <w:color w:val="auto"/>
          <w:sz w:val="32"/>
          <w:szCs w:val="32"/>
          <w:highlight w:val="none"/>
          <w:lang w:val="zh-CN" w:eastAsia="zh-CN"/>
        </w:rPr>
        <w:t>六、改进建议</w:t>
      </w:r>
      <w:bookmarkEnd w:id="145"/>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highlight w:val="none"/>
          <w:lang w:val="zh-CN"/>
        </w:rPr>
      </w:pPr>
      <w:r>
        <w:rPr>
          <w:rFonts w:hint="eastAsia" w:ascii="仿宋_GB2312" w:hAnsi="仿宋_GB2312" w:eastAsia="仿宋_GB2312" w:cs="仿宋_GB2312"/>
          <w:b w:val="0"/>
          <w:bCs w:val="0"/>
          <w:sz w:val="32"/>
          <w:szCs w:val="32"/>
          <w:highlight w:val="none"/>
          <w:lang w:val="zh-CN"/>
        </w:rPr>
        <w:t>建议线上功能开发成效统计功能，提升效益统计的准确性和简便性。</w:t>
      </w:r>
    </w:p>
    <w:p>
      <w:pPr>
        <w:pStyle w:val="3"/>
        <w:rPr>
          <w:rFonts w:hint="eastAsia"/>
          <w:lang w:val="zh-CN"/>
        </w:rPr>
      </w:pPr>
    </w:p>
    <w:p>
      <w:pPr>
        <w:pStyle w:val="3"/>
        <w:rPr>
          <w:rFonts w:hint="eastAsia"/>
          <w:lang w:val="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pStyle w:val="38"/>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（2024年软科学研究—广元市机械电子</w:t>
      </w:r>
    </w:p>
    <w:p>
      <w:pPr>
        <w:pStyle w:val="38"/>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产业技术创新研究）</w:t>
      </w:r>
    </w:p>
    <w:p>
      <w:pPr>
        <w:pStyle w:val="38"/>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eastAsia" w:ascii="仿宋_GB2312" w:hAnsi="仿宋_GB2312" w:eastAsia="仿宋_GB2312" w:cs="仿宋_GB2312"/>
          <w:color w:val="auto"/>
          <w:kern w:val="2"/>
          <w:sz w:val="32"/>
          <w:szCs w:val="32"/>
          <w:lang w:val="en-US" w:eastAsia="zh-CN" w:bidi="ar-SA"/>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46" w:name="_Toc16221"/>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46"/>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（一）设立背景及基本情况。</w:t>
      </w:r>
      <w:r>
        <w:rPr>
          <w:rFonts w:hint="eastAsia" w:ascii="仿宋_GB2312" w:hAnsi="仿宋_GB2312" w:eastAsia="仿宋_GB2312" w:cs="仿宋_GB2312"/>
          <w:color w:val="auto"/>
          <w:kern w:val="0"/>
          <w:sz w:val="32"/>
          <w:szCs w:val="32"/>
          <w:highlight w:val="none"/>
          <w:u w:val="none"/>
          <w:shd w:val="clear" w:color="auto" w:fill="FFFFFF"/>
          <w:lang w:val="zh-CN" w:eastAsia="zh-CN"/>
        </w:rPr>
        <w:t>机械电子产业是广元工业的老底子，起步于“三线建设”时期，产业基础好，研发能力强，与铝基新材料、建材家居等产业关联度高，是广元推进产业发展高端化、智能化、绿色化，培育和发展新质生产力的重要载体。精准研究编制符合广元实际机械电子产业技术创新图谱，将极大提升产业创新发展能力，融合带动地方产业加快高质量发展，特申请软科学研究专项经费</w:t>
      </w:r>
      <w:r>
        <w:rPr>
          <w:rFonts w:hint="eastAsia" w:ascii="仿宋_GB2312" w:hAnsi="仿宋_GB2312" w:eastAsia="仿宋_GB2312" w:cs="仿宋_GB2312"/>
          <w:color w:val="auto"/>
          <w:kern w:val="0"/>
          <w:sz w:val="32"/>
          <w:szCs w:val="32"/>
          <w:highlight w:val="none"/>
          <w:u w:val="none"/>
          <w:shd w:val="clear" w:color="auto" w:fill="FFFFFF"/>
          <w:lang w:val="en-US" w:eastAsia="zh-CN"/>
        </w:rPr>
        <w:t>4万元，由市科学技术局负责管理。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实施目的及支持方向。</w:t>
      </w:r>
      <w:r>
        <w:rPr>
          <w:rFonts w:hint="eastAsia" w:ascii="仿宋_GB2312" w:hAnsi="仿宋_GB2312" w:eastAsia="仿宋_GB2312" w:cs="仿宋_GB2312"/>
          <w:color w:val="auto"/>
          <w:kern w:val="0"/>
          <w:sz w:val="32"/>
          <w:szCs w:val="32"/>
          <w:highlight w:val="none"/>
          <w:u w:val="none"/>
          <w:shd w:val="clear" w:color="auto" w:fill="FFFFFF"/>
          <w:lang w:val="en-US" w:eastAsia="zh-CN"/>
        </w:rPr>
        <w:t>调研摸底广元机械电子产业发展现状及技术需求，并对应分析国内外机械电子产业发展现状及技术发展趋势，探究广元机械电子产业发展的可行性路径。学习借鉴机械电子产业发展较好地区在推进产业技术创新方面的经验、做法，注重挖掘地方特色优势，精准编制广元机械电子产业延链发展、与关联产业融合发展的创新链（产业链）</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预算安排及分配管理</w:t>
      </w:r>
      <w:r>
        <w:rPr>
          <w:rFonts w:hint="eastAsia" w:ascii="黑体" w:hAnsi="黑体" w:eastAsia="黑体" w:cs="Times New Roman"/>
          <w:color w:val="auto"/>
          <w:kern w:val="2"/>
          <w:sz w:val="32"/>
          <w:szCs w:val="32"/>
          <w:highlight w:val="none"/>
          <w:lang w:val="zh-CN" w:eastAsia="zh-CN" w:bidi="ar-SA"/>
        </w:rPr>
        <w:t>。</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项目预算总资金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4万元，主要用于专家论证费、材料费、差旅费等费用。</w:t>
      </w:r>
    </w:p>
    <w:p>
      <w:pPr>
        <w:keepNext w:val="0"/>
        <w:keepLines w:val="0"/>
        <w:pageBreakBefore w:val="0"/>
        <w:widowControl w:val="0"/>
        <w:kinsoku/>
        <w:wordWrap/>
        <w:overflowPunct/>
        <w:topLinePunct w:val="0"/>
        <w:autoSpaceDE/>
        <w:autoSpaceDN/>
        <w:bidi w:val="0"/>
        <w:adjustRightInd w:val="0"/>
        <w:snapToGrid w:val="0"/>
        <w:spacing w:line="576" w:lineRule="exact"/>
        <w:ind w:firstLine="720"/>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黑体" w:hAnsi="黑体" w:eastAsia="黑体" w:cs="Times New Roman"/>
          <w:color w:val="auto"/>
          <w:kern w:val="2"/>
          <w:sz w:val="32"/>
          <w:szCs w:val="32"/>
          <w:highlight w:val="none"/>
          <w:lang w:val="zh-CN" w:eastAsia="zh-CN" w:bidi="ar-SA"/>
        </w:rPr>
        <w:t>（四）项目绩效目标设置。</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发表论文</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1篇，</w:t>
      </w:r>
      <w:r>
        <w:rPr>
          <w:rFonts w:hint="eastAsia" w:ascii="仿宋_GB2312" w:hAnsi="仿宋_GB2312" w:eastAsia="仿宋_GB2312" w:cs="仿宋_GB2312"/>
          <w:spacing w:val="15"/>
          <w:sz w:val="32"/>
          <w:szCs w:val="32"/>
          <w:lang w:eastAsia="zh-CN"/>
        </w:rPr>
        <w:t>形成《广元市机械电子产业技术创新图谱》。</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47" w:name="_Toc31872"/>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47"/>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发表论文</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1篇，</w:t>
      </w:r>
      <w:r>
        <w:rPr>
          <w:rFonts w:hint="eastAsia" w:ascii="仿宋_GB2312" w:hAnsi="仿宋_GB2312" w:eastAsia="仿宋_GB2312" w:cs="仿宋_GB2312"/>
          <w:spacing w:val="15"/>
          <w:sz w:val="32"/>
          <w:szCs w:val="32"/>
          <w:lang w:eastAsia="zh-CN"/>
        </w:rPr>
        <w:t>形成《广元市机械电子产业技术创新图谱》。</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b w:val="0"/>
          <w:bCs w:val="0"/>
          <w:color w:val="auto"/>
          <w:sz w:val="32"/>
          <w:szCs w:val="32"/>
          <w:highlight w:val="none"/>
          <w:u w:val="none"/>
          <w:lang w:val="zh-CN"/>
        </w:rPr>
        <w:t>项目资金于</w:t>
      </w:r>
      <w:r>
        <w:rPr>
          <w:rFonts w:hint="eastAsia" w:ascii="仿宋_GB2312" w:hAnsi="仿宋_GB2312" w:eastAsia="仿宋_GB2312" w:cs="仿宋_GB2312"/>
          <w:b w:val="0"/>
          <w:bCs w:val="0"/>
          <w:color w:val="auto"/>
          <w:sz w:val="32"/>
          <w:szCs w:val="32"/>
          <w:highlight w:val="none"/>
          <w:u w:val="none"/>
          <w:lang w:val="en-US" w:eastAsia="zh-CN"/>
        </w:rPr>
        <w:t>2024年12月30日下达，暂未使用。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sz w:val="32"/>
          <w:szCs w:val="32"/>
          <w:lang w:val="zh-CN" w:eastAsia="zh-CN"/>
        </w:rPr>
        <w:t>无。</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sz w:val="32"/>
          <w:szCs w:val="32"/>
          <w:lang w:val="zh-CN" w:eastAsia="zh-CN"/>
        </w:rPr>
        <w:t>无。</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sz w:val="32"/>
          <w:szCs w:val="32"/>
          <w:lang w:val="zh-CN" w:eastAsia="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48" w:name="_Toc29525"/>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48"/>
      <w:r>
        <w:rPr>
          <w:rFonts w:hint="eastAsia" w:ascii="黑体" w:hAnsi="黑体" w:eastAsia="黑体" w:cs="Times New Roman"/>
          <w:color w:val="auto"/>
          <w:sz w:val="32"/>
          <w:szCs w:val="32"/>
          <w:highlight w:val="none"/>
          <w:lang w:val="zh-CN"/>
        </w:rPr>
        <w:tab/>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b w:val="0"/>
          <w:bCs w:val="0"/>
          <w:color w:val="auto"/>
          <w:sz w:val="32"/>
          <w:szCs w:val="32"/>
          <w:lang w:eastAsia="zh-CN"/>
        </w:rPr>
        <w:t>项目预算经费主要用于专家论证费、材料费、差旅费等费用。</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b w:val="0"/>
          <w:bCs w:val="0"/>
          <w:color w:val="auto"/>
          <w:sz w:val="32"/>
          <w:szCs w:val="32"/>
          <w:lang w:eastAsia="zh-CN"/>
        </w:rPr>
        <w:t>严格按照课题研究相关文件精神执行。</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3.项目实施。</w:t>
      </w:r>
      <w:r>
        <w:rPr>
          <w:rFonts w:hint="eastAsia" w:ascii="仿宋_GB2312" w:hAnsi="仿宋_GB2312" w:eastAsia="仿宋_GB2312" w:cs="仿宋_GB2312"/>
          <w:b w:val="0"/>
          <w:bCs w:val="0"/>
          <w:color w:val="auto"/>
          <w:sz w:val="32"/>
          <w:szCs w:val="32"/>
          <w:highlight w:val="none"/>
          <w:u w:val="none"/>
          <w:lang w:val="zh-CN"/>
        </w:rPr>
        <w:t>项目资金于</w:t>
      </w:r>
      <w:r>
        <w:rPr>
          <w:rFonts w:hint="eastAsia" w:ascii="仿宋_GB2312" w:hAnsi="仿宋_GB2312" w:eastAsia="仿宋_GB2312" w:cs="仿宋_GB2312"/>
          <w:b w:val="0"/>
          <w:bCs w:val="0"/>
          <w:color w:val="auto"/>
          <w:sz w:val="32"/>
          <w:szCs w:val="32"/>
          <w:highlight w:val="none"/>
          <w:u w:val="none"/>
          <w:lang w:val="en-US" w:eastAsia="zh-CN"/>
        </w:rPr>
        <w:t>2024年12月30日下达，暂未使用。</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2"/>
          <w:sz w:val="32"/>
          <w:szCs w:val="32"/>
          <w:lang w:val="en-US" w:eastAsia="zh-CN" w:bidi="ar-SA"/>
        </w:rPr>
        <w:t>4.项目结果。</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发表论文</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1篇，</w:t>
      </w:r>
      <w:r>
        <w:rPr>
          <w:rFonts w:hint="eastAsia" w:ascii="仿宋_GB2312" w:hAnsi="仿宋_GB2312" w:eastAsia="仿宋_GB2312" w:cs="仿宋_GB2312"/>
          <w:spacing w:val="15"/>
          <w:sz w:val="32"/>
          <w:szCs w:val="32"/>
          <w:lang w:eastAsia="zh-CN"/>
        </w:rPr>
        <w:t>形成《广元市机械电子产业技术创新图谱》。</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1.产业发展。因项目资金</w:t>
      </w:r>
      <w:r>
        <w:rPr>
          <w:rFonts w:hint="eastAsia" w:ascii="仿宋_GB2312" w:hAnsi="仿宋_GB2312" w:eastAsia="仿宋_GB2312" w:cs="仿宋_GB2312"/>
          <w:b w:val="0"/>
          <w:bCs w:val="0"/>
          <w:color w:val="auto"/>
          <w:sz w:val="32"/>
          <w:szCs w:val="32"/>
          <w:highlight w:val="none"/>
          <w:u w:val="none"/>
          <w:lang w:val="zh-CN"/>
        </w:rPr>
        <w:t>于</w:t>
      </w:r>
      <w:r>
        <w:rPr>
          <w:rFonts w:hint="eastAsia" w:ascii="仿宋_GB2312" w:hAnsi="仿宋_GB2312" w:eastAsia="仿宋_GB2312" w:cs="仿宋_GB2312"/>
          <w:b w:val="0"/>
          <w:bCs w:val="0"/>
          <w:color w:val="auto"/>
          <w:sz w:val="32"/>
          <w:szCs w:val="32"/>
          <w:highlight w:val="none"/>
          <w:u w:val="none"/>
          <w:lang w:val="en-US" w:eastAsia="zh-CN"/>
        </w:rPr>
        <w:t>2024年12月30日下达，暂未开展相关调研活动。</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个性指标</w:t>
      </w:r>
      <w:r>
        <w:rPr>
          <w:rFonts w:hint="eastAsia" w:ascii="黑体" w:hAnsi="黑体" w:eastAsia="黑体" w:cs="Times New Roman"/>
          <w:color w:val="auto"/>
          <w:kern w:val="2"/>
          <w:sz w:val="32"/>
          <w:szCs w:val="32"/>
          <w:highlight w:val="none"/>
          <w:lang w:val="zh-CN" w:eastAsia="zh-CN" w:bidi="ar-SA"/>
        </w:rPr>
        <w:t>绩效分析。</w:t>
      </w:r>
      <w:r>
        <w:rPr>
          <w:rFonts w:hint="eastAsia" w:ascii="仿宋_GB2312" w:hAnsi="仿宋_GB2312" w:eastAsia="仿宋_GB2312" w:cs="仿宋_GB2312"/>
          <w:b w:val="0"/>
          <w:bCs w:val="0"/>
          <w:color w:val="auto"/>
          <w:sz w:val="32"/>
          <w:szCs w:val="32"/>
          <w:lang w:val="zh-CN" w:eastAsia="zh-CN"/>
        </w:rPr>
        <w:t>不涉及。</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49" w:name="_Toc18437"/>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49"/>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color w:val="auto"/>
          <w:kern w:val="2"/>
          <w:position w:val="0"/>
          <w:sz w:val="32"/>
          <w:szCs w:val="32"/>
          <w:lang w:val="en-US" w:eastAsia="zh-CN" w:bidi="ar-SA"/>
        </w:rPr>
        <w:t>无法自评打分。该专项资金指标下达时间为2024年12月30日，截至12月31日资金未使用，课题未完成。项目任务期为2年，将在规定时间形成课题成果，</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发表论文</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1篇，</w:t>
      </w:r>
      <w:r>
        <w:rPr>
          <w:rFonts w:hint="eastAsia" w:ascii="仿宋_GB2312" w:hAnsi="仿宋_GB2312" w:eastAsia="仿宋_GB2312" w:cs="仿宋_GB2312"/>
          <w:spacing w:val="15"/>
          <w:sz w:val="32"/>
          <w:szCs w:val="32"/>
          <w:lang w:eastAsia="zh-CN"/>
        </w:rPr>
        <w:t>形成《广元市机械电子产业技术创新图谱》。</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50" w:name="_Toc4759"/>
      <w:r>
        <w:rPr>
          <w:rFonts w:hint="eastAsia" w:ascii="黑体" w:hAnsi="黑体" w:eastAsia="黑体" w:cs="Times New Roman"/>
          <w:color w:val="auto"/>
          <w:sz w:val="32"/>
          <w:szCs w:val="32"/>
          <w:highlight w:val="none"/>
          <w:lang w:eastAsia="zh-CN"/>
        </w:rPr>
        <w:t>五、存在主要问题</w:t>
      </w:r>
      <w:bookmarkEnd w:id="150"/>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51" w:name="_Toc15468"/>
      <w:r>
        <w:rPr>
          <w:rFonts w:hint="eastAsia" w:ascii="黑体" w:hAnsi="黑体" w:eastAsia="黑体" w:cs="Times New Roman"/>
          <w:color w:val="auto"/>
          <w:sz w:val="32"/>
          <w:szCs w:val="32"/>
          <w:highlight w:val="none"/>
          <w:lang w:val="zh-CN" w:eastAsia="zh-CN"/>
        </w:rPr>
        <w:t>六、改进建议</w:t>
      </w:r>
      <w:bookmarkEnd w:id="151"/>
    </w:p>
    <w:p>
      <w:pPr>
        <w:keepNext w:val="0"/>
        <w:keepLines w:val="0"/>
        <w:pageBreakBefore w:val="0"/>
        <w:tabs>
          <w:tab w:val="left" w:pos="1911"/>
        </w:tabs>
        <w:kinsoku/>
        <w:wordWrap/>
        <w:overflowPunct/>
        <w:topLinePunct w:val="0"/>
        <w:autoSpaceDE/>
        <w:autoSpaceDN/>
        <w:bidi w:val="0"/>
        <w:spacing w:line="576" w:lineRule="exact"/>
        <w:ind w:firstLine="640"/>
        <w:jc w:val="left"/>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2"/>
        <w:ind w:firstLine="640"/>
        <w:rPr>
          <w:rFonts w:hint="eastAsia"/>
          <w:lang w:val="en" w:eastAsia="zh-CN"/>
        </w:rPr>
      </w:pPr>
    </w:p>
    <w:p>
      <w:pPr>
        <w:pStyle w:val="3"/>
        <w:rPr>
          <w:rFonts w:hint="eastAsia"/>
          <w:lang w:val="en" w:eastAsia="zh-CN"/>
        </w:rPr>
      </w:pPr>
    </w:p>
    <w:p>
      <w:pPr>
        <w:pStyle w:val="3"/>
        <w:rPr>
          <w:rFonts w:hint="eastAsia"/>
          <w:lang w:val="en" w:eastAsia="zh-CN"/>
        </w:rPr>
      </w:pPr>
    </w:p>
    <w:p>
      <w:pPr>
        <w:pStyle w:val="3"/>
        <w:rPr>
          <w:rFonts w:hint="eastAsia"/>
          <w:lang w:val="en" w:eastAsia="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r>
        <w:rPr>
          <w:rFonts w:hint="eastAsia" w:ascii="仿宋_GB2312" w:hAnsi="宋体" w:eastAsia="仿宋_GB2312" w:cs="Times New Roman"/>
          <w:color w:val="auto"/>
          <w:kern w:val="2"/>
          <w:sz w:val="32"/>
          <w:szCs w:val="32"/>
          <w:lang w:val="en-US" w:eastAsia="zh-CN" w:bidi="ar-SA"/>
        </w:rPr>
        <w:t>（专家评审费）</w:t>
      </w:r>
    </w:p>
    <w:p>
      <w:pPr>
        <w:pStyle w:val="38"/>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52" w:name="_Toc14336"/>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52"/>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（一）设立背景及基本情况。</w:t>
      </w:r>
      <w:r>
        <w:rPr>
          <w:rFonts w:hint="eastAsia" w:ascii="仿宋_GB2312" w:hAnsi="仿宋_GB2312" w:eastAsia="仿宋_GB2312" w:cs="仿宋_GB2312"/>
          <w:spacing w:val="0"/>
          <w:sz w:val="32"/>
          <w:szCs w:val="32"/>
          <w:lang w:val="en-US" w:eastAsia="zh-CN"/>
        </w:rPr>
        <w:t>根据《广元市科技计划项目管理办法》《广元市创新平台认定管理办法》等文件要求，在科技计划项目立项、创新平台认定等流程中需进行专家评审，为保障各项工作顺利推进，特申请专家评审费12.16万元，</w:t>
      </w:r>
      <w:r>
        <w:rPr>
          <w:rFonts w:hint="eastAsia" w:ascii="仿宋_GB2312" w:hAnsi="仿宋_GB2312" w:eastAsia="仿宋_GB2312" w:cs="仿宋_GB2312"/>
          <w:color w:val="auto"/>
          <w:kern w:val="0"/>
          <w:sz w:val="32"/>
          <w:szCs w:val="32"/>
          <w:highlight w:val="none"/>
          <w:u w:val="none"/>
          <w:shd w:val="clear" w:color="auto" w:fill="FFFFFF"/>
          <w:lang w:val="en-US" w:eastAsia="zh-CN"/>
        </w:rPr>
        <w:t>由市科学技术局负责管理。</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实施目的及支持方向。</w:t>
      </w:r>
      <w:r>
        <w:rPr>
          <w:rFonts w:hint="eastAsia" w:ascii="仿宋_GB2312" w:hAnsi="仿宋_GB2312" w:eastAsia="仿宋_GB2312" w:cs="仿宋_GB2312"/>
          <w:color w:val="auto"/>
          <w:kern w:val="0"/>
          <w:sz w:val="32"/>
          <w:szCs w:val="32"/>
          <w:highlight w:val="none"/>
          <w:u w:val="none"/>
          <w:shd w:val="clear" w:color="auto" w:fill="FFFFFF"/>
          <w:lang w:val="en-US" w:eastAsia="zh-CN"/>
        </w:rPr>
        <w:t>主要用于科技项目立项，创新平台认定等过程中的专家评审费用。</w:t>
      </w:r>
    </w:p>
    <w:p>
      <w:pPr>
        <w:keepNext w:val="0"/>
        <w:keepLines w:val="0"/>
        <w:pageBreakBefore w:val="0"/>
        <w:widowControl w:val="0"/>
        <w:kinsoku/>
        <w:wordWrap/>
        <w:overflowPunct/>
        <w:topLinePunct w:val="0"/>
        <w:autoSpaceDE/>
        <w:autoSpaceDN/>
        <w:bidi w:val="0"/>
        <w:adjustRightInd w:val="0"/>
        <w:snapToGrid w:val="0"/>
        <w:spacing w:line="576" w:lineRule="exact"/>
        <w:ind w:firstLine="720"/>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预算安排及分配管理</w:t>
      </w:r>
      <w:r>
        <w:rPr>
          <w:rFonts w:hint="eastAsia" w:ascii="黑体" w:hAnsi="黑体" w:eastAsia="黑体" w:cs="Times New Roman"/>
          <w:color w:val="auto"/>
          <w:kern w:val="2"/>
          <w:sz w:val="32"/>
          <w:szCs w:val="32"/>
          <w:highlight w:val="none"/>
          <w:lang w:val="zh-CN" w:eastAsia="zh-CN" w:bidi="ar-SA"/>
        </w:rPr>
        <w:t>。</w:t>
      </w:r>
      <w:r>
        <w:rPr>
          <w:rFonts w:hint="eastAsia" w:ascii="仿宋_GB2312" w:hAnsi="仿宋_GB2312" w:eastAsia="仿宋_GB2312" w:cs="仿宋_GB2312"/>
          <w:sz w:val="32"/>
          <w:szCs w:val="32"/>
          <w:lang w:val="en-US" w:eastAsia="zh-CN"/>
        </w:rPr>
        <w:t>资金分配原则按照统筹兼顾、突出重点、注重实效、长足发展的原则。</w:t>
      </w:r>
    </w:p>
    <w:p>
      <w:pPr>
        <w:keepNext w:val="0"/>
        <w:keepLines w:val="0"/>
        <w:pageBreakBefore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黑体" w:hAnsi="黑体" w:eastAsia="黑体" w:cs="Times New Roman"/>
          <w:color w:val="auto"/>
          <w:kern w:val="2"/>
          <w:sz w:val="32"/>
          <w:szCs w:val="32"/>
          <w:highlight w:val="none"/>
          <w:lang w:val="zh-CN" w:eastAsia="zh-CN" w:bidi="ar-SA"/>
        </w:rPr>
        <w:t>（四）项目绩效目标设置。</w:t>
      </w:r>
      <w:r>
        <w:rPr>
          <w:rFonts w:hint="eastAsia" w:ascii="仿宋_GB2312" w:hAnsi="仿宋_GB2312" w:eastAsia="仿宋_GB2312" w:cs="仿宋_GB2312"/>
          <w:color w:val="auto"/>
          <w:kern w:val="0"/>
          <w:sz w:val="32"/>
          <w:szCs w:val="32"/>
          <w:highlight w:val="none"/>
          <w:u w:val="none"/>
          <w:shd w:val="clear" w:color="auto" w:fill="FFFFFF"/>
          <w:lang w:val="en-US" w:eastAsia="zh-CN"/>
        </w:rPr>
        <w:t>2024年完成科技项目立项评审、中期评估5次，创新平台认定评审1次，考核评估1次，</w:t>
      </w:r>
      <w:r>
        <w:rPr>
          <w:rFonts w:hint="eastAsia" w:ascii="仿宋_GB2312" w:hAnsi="仿宋_GB2312" w:eastAsia="仿宋_GB2312" w:cs="仿宋_GB2312"/>
          <w:sz w:val="32"/>
          <w:szCs w:val="32"/>
          <w:lang w:eastAsia="zh-CN"/>
        </w:rPr>
        <w:t>自然科学序列中级职称评审</w:t>
      </w:r>
      <w:r>
        <w:rPr>
          <w:rFonts w:hint="eastAsia" w:ascii="仿宋_GB2312" w:hAnsi="仿宋_GB2312" w:eastAsia="仿宋_GB2312" w:cs="仿宋_GB2312"/>
          <w:sz w:val="32"/>
          <w:szCs w:val="32"/>
          <w:lang w:val="en-US" w:eastAsia="zh-CN"/>
        </w:rPr>
        <w:t>1次，</w:t>
      </w:r>
      <w:r>
        <w:rPr>
          <w:rFonts w:hint="eastAsia" w:ascii="仿宋_GB2312" w:hAnsi="仿宋_GB2312" w:eastAsia="仿宋_GB2312" w:cs="仿宋_GB2312"/>
          <w:spacing w:val="0"/>
          <w:sz w:val="32"/>
          <w:szCs w:val="32"/>
          <w:lang w:val="en-US" w:eastAsia="zh-CN"/>
        </w:rPr>
        <w:t>保障各项工作顺利完成。</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53" w:name="_Toc22778"/>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53"/>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color w:val="auto"/>
          <w:sz w:val="32"/>
          <w:szCs w:val="32"/>
        </w:rPr>
      </w:pP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sz w:val="32"/>
          <w:szCs w:val="32"/>
          <w:lang w:eastAsia="zh-CN"/>
        </w:rPr>
        <w:t>加快推进各项工作，全面完成既定指标。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sz w:val="32"/>
          <w:szCs w:val="32"/>
          <w:lang w:eastAsia="zh-CN"/>
        </w:rPr>
        <w:t>为各项工作提供专业评审意见。</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b w:val="0"/>
          <w:bCs w:val="0"/>
          <w:color w:val="auto"/>
          <w:sz w:val="32"/>
          <w:szCs w:val="32"/>
          <w:highlight w:val="none"/>
          <w:u w:val="none"/>
          <w:lang w:val="zh-CN"/>
        </w:rPr>
        <w:t>无</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sz w:val="32"/>
          <w:szCs w:val="32"/>
          <w:lang w:val="zh-CN" w:eastAsia="zh-CN"/>
        </w:rPr>
        <w:t>无。</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b w:val="0"/>
          <w:bCs w:val="0"/>
          <w:color w:val="auto"/>
          <w:sz w:val="32"/>
          <w:szCs w:val="32"/>
          <w:highlight w:val="none"/>
          <w:u w:val="none"/>
          <w:lang w:val="zh-CN"/>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54" w:name="_Toc32280"/>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54"/>
      <w:r>
        <w:rPr>
          <w:rFonts w:hint="eastAsia" w:ascii="黑体" w:hAnsi="黑体" w:eastAsia="黑体" w:cs="Times New Roman"/>
          <w:color w:val="auto"/>
          <w:sz w:val="32"/>
          <w:szCs w:val="32"/>
          <w:highlight w:val="none"/>
          <w:lang w:val="zh-CN"/>
        </w:rPr>
        <w:tab/>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eastAsia" w:ascii="黑体" w:hAnsi="黑体" w:eastAsia="黑体" w:cs="Times New Roman"/>
          <w:color w:val="auto"/>
          <w:kern w:val="2"/>
          <w:sz w:val="32"/>
          <w:szCs w:val="32"/>
          <w:highlight w:val="none"/>
          <w:lang w:val="zh-CN" w:eastAsia="zh-CN" w:bidi="ar-SA"/>
        </w:rPr>
        <w:t>绩效分析。</w:t>
      </w:r>
    </w:p>
    <w:p>
      <w:pPr>
        <w:pStyle w:val="7"/>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sz w:val="32"/>
          <w:szCs w:val="32"/>
          <w:lang w:val="zh-CN" w:eastAsia="zh-CN"/>
        </w:rPr>
        <w:t>我局项目决策程序严密，项目规划论证符合中省市要求，项目绩效目标设置科学合理，项目资金与项目总体规划、相关行业事业发展相匹配，聚焦了重大任务、重点领域、重点环节和重点项目。</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sz w:val="32"/>
          <w:szCs w:val="32"/>
          <w:lang w:eastAsia="zh-CN"/>
        </w:rPr>
        <w:t>该项目制度办法体系健全、要素完备，项目资金分配因素选取、权重设置、区域分布，项目管理、审批符合管理要求，在管资金、项目、政策同时也加强项目绩效监管，项目绩效监管严格按照要求开展，对下指导有力有效。</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3.项目实施。</w:t>
      </w:r>
      <w:r>
        <w:rPr>
          <w:rFonts w:hint="eastAsia" w:ascii="仿宋_GB2312" w:hAnsi="仿宋_GB2312" w:eastAsia="仿宋_GB2312" w:cs="仿宋_GB2312"/>
          <w:sz w:val="32"/>
          <w:szCs w:val="32"/>
          <w:lang w:val="en-US" w:eastAsia="zh-CN"/>
        </w:rPr>
        <w:t>该项目资金财政拨付及时，单位严格按照相关要求执行，地方配套按照要求及时到位，资金使用拨付严格按照程序执行，项目组织实施按照相关规定稳步推进。</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2"/>
          <w:sz w:val="32"/>
          <w:szCs w:val="32"/>
          <w:lang w:val="en-US" w:eastAsia="zh-CN" w:bidi="ar-SA"/>
        </w:rPr>
        <w:t>4.项目结果。</w:t>
      </w:r>
      <w:r>
        <w:rPr>
          <w:rFonts w:hint="eastAsia" w:ascii="仿宋_GB2312" w:hAnsi="仿宋_GB2312" w:eastAsia="仿宋_GB2312" w:cs="仿宋_GB2312"/>
          <w:sz w:val="32"/>
          <w:szCs w:val="32"/>
          <w:lang w:val="en-US" w:eastAsia="zh-CN"/>
        </w:rPr>
        <w:t>该项目实施后成功完成预期目标，项目实施结果与绩效目标相匹配，项目实施进度严格按照计划时间开展，总体完成目标和完成目标时效符合预期。</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1.产业发展。2024年围绕</w:t>
      </w:r>
      <w:r>
        <w:rPr>
          <w:rFonts w:hint="eastAsia" w:ascii="仿宋_GB2312" w:hAnsi="仿宋_GB2312" w:eastAsia="仿宋_GB2312" w:cs="仿宋_GB2312"/>
          <w:sz w:val="32"/>
          <w:szCs w:val="32"/>
          <w:lang w:val="en-US" w:eastAsia="zh-CN"/>
        </w:rPr>
        <w:t>市委市政府支持重点、优势产业</w:t>
      </w:r>
      <w:r>
        <w:rPr>
          <w:rFonts w:hint="eastAsia" w:ascii="仿宋_GB2312" w:hAnsi="仿宋_GB2312" w:eastAsia="仿宋_GB2312" w:cs="仿宋_GB2312"/>
          <w:color w:val="auto"/>
          <w:sz w:val="32"/>
          <w:szCs w:val="32"/>
          <w:lang w:val="en-US" w:eastAsia="zh-CN"/>
        </w:rPr>
        <w:t>立项市级科技计划项目16项，揭榜挂帅项目2项，引导我市优势产业高质量发展</w:t>
      </w:r>
      <w:r>
        <w:rPr>
          <w:rFonts w:hint="eastAsia" w:ascii="仿宋_GB2312" w:hAnsi="仿宋_GB2312" w:eastAsia="仿宋_GB2312" w:cs="仿宋_GB2312"/>
          <w:color w:val="auto"/>
          <w:kern w:val="0"/>
          <w:sz w:val="32"/>
          <w:szCs w:val="32"/>
          <w:highlight w:val="none"/>
          <w:u w:val="none"/>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numPr>
          <w:ilvl w:val="0"/>
          <w:numId w:val="0"/>
        </w:numPr>
        <w:kinsoku/>
        <w:wordWrap/>
        <w:overflowPunct/>
        <w:topLinePunct w:val="0"/>
        <w:autoSpaceDE/>
        <w:autoSpaceDN/>
        <w:bidi w:val="0"/>
        <w:spacing w:line="578" w:lineRule="exact"/>
        <w:ind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个性指标</w:t>
      </w:r>
      <w:r>
        <w:rPr>
          <w:rFonts w:hint="eastAsia" w:ascii="黑体" w:hAnsi="黑体" w:eastAsia="黑体" w:cs="Times New Roman"/>
          <w:color w:val="auto"/>
          <w:kern w:val="2"/>
          <w:sz w:val="32"/>
          <w:szCs w:val="32"/>
          <w:highlight w:val="none"/>
          <w:lang w:val="zh-CN" w:eastAsia="zh-CN" w:bidi="ar-SA"/>
        </w:rPr>
        <w:t>绩效分析。</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55" w:name="_Toc27916"/>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55"/>
    </w:p>
    <w:p>
      <w:pPr>
        <w:keepNext w:val="0"/>
        <w:keepLines w:val="0"/>
        <w:pageBreakBefore w:val="0"/>
        <w:widowControl w:val="0"/>
        <w:kinsoku/>
        <w:wordWrap/>
        <w:overflowPunct/>
        <w:topLinePunct w:val="0"/>
        <w:autoSpaceDE/>
        <w:autoSpaceDN/>
        <w:bidi w:val="0"/>
        <w:adjustRightInd w:val="0"/>
        <w:snapToGrid w:val="0"/>
        <w:spacing w:line="576" w:lineRule="exact"/>
        <w:ind w:firstLine="72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lang w:val="zh-CN" w:eastAsia="zh-CN"/>
        </w:rPr>
        <w:t>自评得分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lang w:val="zh-CN" w:eastAsia="zh-CN"/>
        </w:rPr>
        <w:t>本单位从预期目标的制定、项目的组织实施到完成情况，进行了认真总结与综合评价，我局科技合作交流项目严格按照要求实施，所有项目按时高质量完成目标值。</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56" w:name="_Toc26601"/>
      <w:r>
        <w:rPr>
          <w:rFonts w:hint="eastAsia" w:ascii="黑体" w:hAnsi="黑体" w:eastAsia="黑体" w:cs="Times New Roman"/>
          <w:color w:val="auto"/>
          <w:sz w:val="32"/>
          <w:szCs w:val="32"/>
          <w:highlight w:val="none"/>
          <w:lang w:eastAsia="zh-CN"/>
        </w:rPr>
        <w:t>五、存在主要问题</w:t>
      </w:r>
      <w:bookmarkEnd w:id="156"/>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仿宋_GB2312" w:hAnsi="仿宋_GB2312" w:eastAsia="仿宋_GB2312" w:cs="仿宋_GB2312"/>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57" w:name="_Toc27189"/>
      <w:r>
        <w:rPr>
          <w:rFonts w:hint="eastAsia" w:ascii="黑体" w:hAnsi="黑体" w:eastAsia="黑体" w:cs="Times New Roman"/>
          <w:color w:val="auto"/>
          <w:sz w:val="32"/>
          <w:szCs w:val="32"/>
          <w:highlight w:val="none"/>
          <w:lang w:val="zh-CN" w:eastAsia="zh-CN"/>
        </w:rPr>
        <w:t>六、改进建议</w:t>
      </w:r>
      <w:bookmarkEnd w:id="157"/>
    </w:p>
    <w:p>
      <w:pPr>
        <w:keepNext w:val="0"/>
        <w:keepLines w:val="0"/>
        <w:pageBreakBefore w:val="0"/>
        <w:tabs>
          <w:tab w:val="left" w:pos="1911"/>
        </w:tabs>
        <w:kinsoku/>
        <w:wordWrap/>
        <w:overflowPunct/>
        <w:topLinePunct w:val="0"/>
        <w:autoSpaceDE/>
        <w:autoSpaceDN/>
        <w:bidi w:val="0"/>
        <w:spacing w:line="576" w:lineRule="exact"/>
        <w:jc w:val="left"/>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无。</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lang w:val="en-US" w:eastAsia="zh-CN"/>
        </w:rPr>
      </w:pPr>
      <w:r>
        <w:rPr>
          <w:rFonts w:hint="default" w:ascii="Times New Roman" w:hAnsi="Times New Roman" w:eastAsia="方正小标宋简体" w:cs="Times New Roman"/>
          <w:color w:val="auto"/>
          <w:kern w:val="2"/>
          <w:sz w:val="40"/>
          <w:szCs w:val="40"/>
          <w:lang w:val="en-US" w:eastAsia="zh-CN" w:bidi="ar-SA"/>
        </w:rPr>
        <w:t>202</w:t>
      </w:r>
      <w:r>
        <w:rPr>
          <w:rFonts w:hint="eastAsia" w:eastAsia="方正小标宋简体" w:cs="Times New Roman"/>
          <w:color w:val="auto"/>
          <w:kern w:val="2"/>
          <w:sz w:val="40"/>
          <w:szCs w:val="40"/>
          <w:lang w:val="en-US" w:eastAsia="zh-CN" w:bidi="ar-SA"/>
        </w:rPr>
        <w:t>4</w:t>
      </w:r>
      <w:r>
        <w:rPr>
          <w:rFonts w:hint="default" w:ascii="Times New Roman" w:hAnsi="Times New Roman" w:eastAsia="方正小标宋简体" w:cs="Times New Roman"/>
          <w:color w:val="auto"/>
          <w:kern w:val="2"/>
          <w:sz w:val="40"/>
          <w:szCs w:val="40"/>
          <w:lang w:val="en-US" w:eastAsia="zh-CN" w:bidi="ar-SA"/>
        </w:rPr>
        <w:t>年</w:t>
      </w:r>
      <w:r>
        <w:rPr>
          <w:rFonts w:hint="default" w:ascii="Times New Roman" w:hAnsi="Times New Roman" w:eastAsia="方正小标宋简体" w:cs="Times New Roman"/>
          <w:color w:val="auto"/>
          <w:kern w:val="2"/>
          <w:sz w:val="40"/>
          <w:szCs w:val="40"/>
          <w:lang w:val="zh-CN" w:eastAsia="zh-CN" w:bidi="ar-SA"/>
        </w:rPr>
        <w:t>专项预算项目支出绩效自评报告</w:t>
      </w:r>
    </w:p>
    <w:p>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r>
        <w:rPr>
          <w:rFonts w:hint="eastAsia" w:ascii="仿宋_GB2312" w:hAnsi="宋体" w:eastAsia="仿宋_GB2312" w:cs="Times New Roman"/>
          <w:color w:val="auto"/>
          <w:kern w:val="2"/>
          <w:sz w:val="32"/>
          <w:szCs w:val="32"/>
          <w:lang w:val="en-US" w:eastAsia="zh-CN" w:bidi="ar-SA"/>
        </w:rPr>
        <w:t>（2024重点产业专班—装备制造业专班经费）</w:t>
      </w:r>
    </w:p>
    <w:p>
      <w:pPr>
        <w:pStyle w:val="38"/>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58" w:name="_Toc8244"/>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zh-CN"/>
        </w:rPr>
        <w:t>项目概况</w:t>
      </w:r>
      <w:bookmarkEnd w:id="158"/>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atLeast"/>
        <w:ind w:left="0" w:leftChars="0"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（一）设立背景及基本情况。</w:t>
      </w:r>
      <w:r>
        <w:rPr>
          <w:rFonts w:hint="eastAsia" w:ascii="仿宋_GB2312" w:hAnsi="仿宋_GB2312" w:eastAsia="仿宋_GB2312" w:cs="仿宋_GB2312"/>
          <w:color w:val="auto"/>
          <w:kern w:val="0"/>
          <w:sz w:val="32"/>
          <w:szCs w:val="32"/>
          <w:highlight w:val="none"/>
          <w:u w:val="none"/>
          <w:shd w:val="clear" w:color="auto" w:fill="FFFFFF"/>
          <w:lang w:val="zh-CN" w:eastAsia="zh-CN"/>
        </w:rPr>
        <w:t>为推动我市重点产业高质量发展，全力以赴拼经济搞建设，经市委批准成立广元市装备制造产业专班。为保障专班高质运行，特申请专班制造产业专班专项经费</w:t>
      </w:r>
      <w:r>
        <w:rPr>
          <w:rFonts w:hint="eastAsia" w:ascii="仿宋_GB2312" w:hAnsi="仿宋_GB2312" w:eastAsia="仿宋_GB2312" w:cs="仿宋_GB2312"/>
          <w:color w:val="auto"/>
          <w:kern w:val="0"/>
          <w:sz w:val="32"/>
          <w:szCs w:val="32"/>
          <w:highlight w:val="none"/>
          <w:u w:val="none"/>
          <w:shd w:val="clear" w:color="auto" w:fill="FFFFFF"/>
          <w:lang w:val="en-US" w:eastAsia="zh-CN"/>
        </w:rPr>
        <w:t>30万元，由市科学技术局负责管理。</w:t>
      </w:r>
    </w:p>
    <w:p>
      <w:pPr>
        <w:keepNext w:val="0"/>
        <w:keepLines w:val="0"/>
        <w:pageBreakBefore w:val="0"/>
        <w:numPr>
          <w:ilvl w:val="0"/>
          <w:numId w:val="0"/>
        </w:numPr>
        <w:kinsoku/>
        <w:wordWrap/>
        <w:overflowPunct/>
        <w:topLinePunct w:val="0"/>
        <w:autoSpaceDE/>
        <w:autoSpaceDN/>
        <w:bidi w:val="0"/>
        <w:adjustRightInd w:val="0"/>
        <w:snapToGrid w:val="0"/>
        <w:spacing w:line="580" w:lineRule="atLeast"/>
        <w:ind w:firstLine="640" w:firstLineChars="200"/>
        <w:textAlignment w:val="auto"/>
        <w:rPr>
          <w:rFonts w:hint="eastAsia" w:ascii="仿宋_GB2312" w:hAnsi="仿宋_GB2312" w:eastAsia="仿宋_GB2312" w:cs="仿宋_GB2312"/>
          <w:b w:val="0"/>
          <w:bCs w:val="0"/>
          <w:color w:val="auto"/>
          <w:sz w:val="32"/>
          <w:szCs w:val="32"/>
          <w:highlight w:val="none"/>
          <w:u w:val="none"/>
          <w:lang w:val="zh-CN"/>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实施目的及支持方向。</w:t>
      </w:r>
      <w:r>
        <w:rPr>
          <w:rFonts w:hint="eastAsia" w:ascii="仿宋_GB2312" w:hAnsi="仿宋_GB2312" w:eastAsia="仿宋_GB2312" w:cs="仿宋_GB2312"/>
          <w:color w:val="auto"/>
          <w:kern w:val="0"/>
          <w:sz w:val="32"/>
          <w:szCs w:val="32"/>
          <w:highlight w:val="none"/>
          <w:u w:val="none"/>
          <w:shd w:val="clear" w:color="auto" w:fill="FFFFFF"/>
          <w:lang w:val="en-US" w:eastAsia="zh-CN"/>
        </w:rPr>
        <w:t>严格执行《广元市装备制造产业专班经费管理规程》相关规定，主要用于开展招商活动和专班办公室日常工作。</w:t>
      </w:r>
    </w:p>
    <w:p>
      <w:pPr>
        <w:keepNext w:val="0"/>
        <w:keepLines w:val="0"/>
        <w:pageBreakBefore w:val="0"/>
        <w:widowControl w:val="0"/>
        <w:kinsoku/>
        <w:wordWrap/>
        <w:overflowPunct/>
        <w:topLinePunct w:val="0"/>
        <w:autoSpaceDE/>
        <w:autoSpaceDN/>
        <w:bidi w:val="0"/>
        <w:adjustRightInd w:val="0"/>
        <w:snapToGrid w:val="0"/>
        <w:spacing w:line="580" w:lineRule="atLeast"/>
        <w:ind w:firstLine="720"/>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预算安排及分配管理</w:t>
      </w:r>
      <w:r>
        <w:rPr>
          <w:rFonts w:hint="eastAsia" w:ascii="黑体" w:hAnsi="黑体" w:eastAsia="黑体" w:cs="Times New Roman"/>
          <w:color w:val="auto"/>
          <w:kern w:val="2"/>
          <w:sz w:val="32"/>
          <w:szCs w:val="32"/>
          <w:highlight w:val="none"/>
          <w:lang w:val="zh-CN" w:eastAsia="zh-CN" w:bidi="ar-SA"/>
        </w:rPr>
        <w:t>。</w:t>
      </w:r>
      <w:r>
        <w:rPr>
          <w:rFonts w:hint="eastAsia" w:ascii="仿宋_GB2312" w:hAnsi="仿宋_GB2312" w:eastAsia="仿宋_GB2312" w:cs="仿宋_GB2312"/>
          <w:sz w:val="32"/>
          <w:szCs w:val="32"/>
          <w:lang w:val="en-US" w:eastAsia="zh-CN"/>
        </w:rPr>
        <w:t>资金分配原则按照统筹兼顾、突出重点、注重实效、长足发展的原则。</w:t>
      </w:r>
    </w:p>
    <w:p>
      <w:pPr>
        <w:keepNext w:val="0"/>
        <w:keepLines w:val="0"/>
        <w:pageBreakBefore w:val="0"/>
        <w:numPr>
          <w:ilvl w:val="0"/>
          <w:numId w:val="0"/>
        </w:numPr>
        <w:kinsoku/>
        <w:wordWrap/>
        <w:overflowPunct/>
        <w:topLinePunct w:val="0"/>
        <w:autoSpaceDE/>
        <w:autoSpaceDN/>
        <w:bidi w:val="0"/>
        <w:adjustRightInd w:val="0"/>
        <w:snapToGrid w:val="0"/>
        <w:spacing w:line="580" w:lineRule="atLeas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黑体" w:hAnsi="黑体" w:eastAsia="黑体" w:cs="Times New Roman"/>
          <w:color w:val="auto"/>
          <w:kern w:val="2"/>
          <w:sz w:val="32"/>
          <w:szCs w:val="32"/>
          <w:highlight w:val="none"/>
          <w:lang w:val="zh-CN" w:eastAsia="zh-CN" w:bidi="ar-SA"/>
        </w:rPr>
        <w:t>（四）项目绩效目标设置。</w:t>
      </w:r>
      <w:r>
        <w:rPr>
          <w:rFonts w:hint="eastAsia" w:ascii="仿宋_GB2312" w:hAnsi="仿宋_GB2312" w:eastAsia="仿宋_GB2312" w:cs="仿宋_GB2312"/>
          <w:color w:val="auto"/>
          <w:kern w:val="0"/>
          <w:sz w:val="32"/>
          <w:szCs w:val="32"/>
          <w:highlight w:val="none"/>
          <w:u w:val="none"/>
          <w:shd w:val="clear" w:color="auto" w:fill="FFFFFF"/>
          <w:lang w:val="en-US" w:eastAsia="zh-CN"/>
        </w:rPr>
        <w:t>2024年装备制造产业招商洽谈</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w:t>
      </w:r>
      <w:r>
        <w:rPr>
          <w:rFonts w:hint="eastAsia" w:ascii="仿宋_GB2312" w:hAnsi="仿宋_GB2312" w:eastAsia="仿宋_GB2312" w:cs="仿宋_GB2312"/>
          <w:color w:val="auto"/>
          <w:kern w:val="0"/>
          <w:sz w:val="32"/>
          <w:szCs w:val="32"/>
          <w:highlight w:val="none"/>
          <w:u w:val="none"/>
          <w:shd w:val="clear" w:color="auto" w:fill="FFFFFF"/>
          <w:lang w:val="en-US" w:eastAsia="zh-CN"/>
        </w:rPr>
        <w:t>92个，签约项目13个，超额完成目标任务。</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59" w:name="_Toc6981"/>
      <w:r>
        <w:rPr>
          <w:rFonts w:hint="eastAsia" w:ascii="黑体" w:hAnsi="黑体" w:eastAsia="黑体" w:cs="Times New Roman"/>
          <w:color w:val="auto"/>
          <w:sz w:val="32"/>
          <w:szCs w:val="32"/>
          <w:highlight w:val="none"/>
        </w:rPr>
        <w:t>二、</w:t>
      </w:r>
      <w:r>
        <w:rPr>
          <w:rFonts w:hint="eastAsia" w:ascii="黑体" w:hAnsi="黑体" w:eastAsia="黑体" w:cs="Times New Roman"/>
          <w:color w:val="auto"/>
          <w:sz w:val="32"/>
          <w:szCs w:val="32"/>
          <w:highlight w:val="none"/>
          <w:lang w:eastAsia="zh-CN"/>
        </w:rPr>
        <w:t>评价实施</w:t>
      </w:r>
      <w:bookmarkEnd w:id="159"/>
    </w:p>
    <w:p>
      <w:pPr>
        <w:keepNext w:val="0"/>
        <w:keepLines w:val="0"/>
        <w:pageBreakBefore w:val="0"/>
        <w:widowControl w:val="0"/>
        <w:kinsoku/>
        <w:wordWrap/>
        <w:overflowPunct/>
        <w:topLinePunct w:val="0"/>
        <w:autoSpaceDE/>
        <w:autoSpaceDN/>
        <w:bidi w:val="0"/>
        <w:spacing w:line="580" w:lineRule="atLeast"/>
        <w:ind w:firstLine="640"/>
        <w:textAlignment w:val="auto"/>
        <w:outlineLvl w:val="9"/>
        <w:rPr>
          <w:rFonts w:hint="eastAsia" w:ascii="仿宋_GB2312" w:hAnsi="仿宋_GB2312" w:eastAsia="仿宋_GB2312" w:cs="仿宋_GB2312"/>
          <w:b w:val="0"/>
          <w:bCs w:val="0"/>
          <w:color w:val="auto"/>
          <w:sz w:val="32"/>
          <w:szCs w:val="32"/>
        </w:rPr>
      </w:pPr>
      <w:r>
        <w:rPr>
          <w:rFonts w:hint="eastAsia" w:ascii="黑体" w:hAnsi="黑体" w:eastAsia="黑体" w:cs="Times New Roman"/>
          <w:color w:val="auto"/>
          <w:kern w:val="2"/>
          <w:sz w:val="32"/>
          <w:szCs w:val="32"/>
          <w:highlight w:val="none"/>
          <w:lang w:val="zh-CN" w:eastAsia="zh-CN" w:bidi="ar-SA"/>
        </w:rPr>
        <w:t>（一）评价目的。</w:t>
      </w:r>
      <w:r>
        <w:rPr>
          <w:rFonts w:hint="eastAsia" w:ascii="仿宋_GB2312" w:hAnsi="仿宋_GB2312" w:eastAsia="仿宋_GB2312" w:cs="仿宋_GB2312"/>
          <w:sz w:val="32"/>
          <w:szCs w:val="32"/>
          <w:lang w:eastAsia="zh-CN"/>
        </w:rPr>
        <w:t>加快推进各项工作，全面完成既定指标。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atLeast"/>
        <w:ind w:firstLine="640" w:firstLineChars="200"/>
        <w:textAlignment w:val="auto"/>
        <w:outlineLvl w:val="9"/>
        <w:rPr>
          <w:rFonts w:hint="eastAsia" w:ascii="仿宋_GB2312" w:hAnsi="仿宋_GB2312" w:eastAsia="仿宋_GB2312" w:cs="仿宋_GB2312"/>
          <w:b/>
          <w:color w:val="auto"/>
          <w:sz w:val="32"/>
          <w:szCs w:val="32"/>
          <w:highlight w:val="none"/>
          <w:u w:val="none"/>
          <w:lang w:val="zh-CN" w:eastAsia="zh-CN"/>
        </w:rPr>
      </w:pPr>
      <w:r>
        <w:rPr>
          <w:rFonts w:hint="eastAsia" w:ascii="黑体" w:hAnsi="黑体" w:eastAsia="黑体" w:cs="Times New Roman"/>
          <w:color w:val="auto"/>
          <w:kern w:val="2"/>
          <w:sz w:val="32"/>
          <w:szCs w:val="32"/>
          <w:highlight w:val="none"/>
          <w:lang w:val="zh-CN" w:eastAsia="zh-CN" w:bidi="ar-SA"/>
        </w:rPr>
        <w:t>（二）预设问题及评价重点。</w:t>
      </w:r>
      <w:r>
        <w:rPr>
          <w:rFonts w:hint="eastAsia" w:ascii="仿宋_GB2312" w:hAnsi="仿宋_GB2312" w:eastAsia="仿宋_GB2312" w:cs="仿宋_GB2312"/>
          <w:sz w:val="32"/>
          <w:szCs w:val="32"/>
          <w:lang w:eastAsia="zh-CN"/>
        </w:rPr>
        <w:t>对全市装备制造产业高质量发展的促进作用。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atLeast"/>
        <w:ind w:firstLine="640" w:firstLineChars="200"/>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黑体" w:hAnsi="黑体" w:eastAsia="黑体" w:cs="Times New Roman"/>
          <w:color w:val="auto"/>
          <w:kern w:val="2"/>
          <w:sz w:val="32"/>
          <w:szCs w:val="32"/>
          <w:highlight w:val="none"/>
          <w:lang w:val="zh-CN" w:eastAsia="zh-CN" w:bidi="ar-SA"/>
        </w:rPr>
        <w:t>（三）评价选点。</w:t>
      </w:r>
      <w:r>
        <w:rPr>
          <w:rFonts w:hint="eastAsia" w:ascii="仿宋_GB2312" w:hAnsi="仿宋_GB2312" w:eastAsia="仿宋_GB2312" w:cs="仿宋_GB2312"/>
          <w:b w:val="0"/>
          <w:bCs w:val="0"/>
          <w:color w:val="auto"/>
          <w:sz w:val="32"/>
          <w:szCs w:val="32"/>
          <w:highlight w:val="none"/>
          <w:u w:val="none"/>
          <w:lang w:val="zh-CN"/>
        </w:rPr>
        <w:t>无</w:t>
      </w:r>
    </w:p>
    <w:p>
      <w:pPr>
        <w:keepNext w:val="0"/>
        <w:keepLines w:val="0"/>
        <w:pageBreakBefore w:val="0"/>
        <w:widowControl w:val="0"/>
        <w:kinsoku/>
        <w:wordWrap/>
        <w:overflowPunct/>
        <w:topLinePunct w:val="0"/>
        <w:autoSpaceDE/>
        <w:autoSpaceDN/>
        <w:bidi w:val="0"/>
        <w:spacing w:line="580" w:lineRule="atLeast"/>
        <w:ind w:firstLine="64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（四）评价方法。</w:t>
      </w:r>
      <w:r>
        <w:rPr>
          <w:rFonts w:hint="eastAsia" w:ascii="仿宋_GB2312" w:hAnsi="仿宋_GB2312" w:eastAsia="仿宋_GB2312" w:cs="仿宋_GB2312"/>
          <w:sz w:val="32"/>
          <w:szCs w:val="32"/>
          <w:lang w:val="zh-CN" w:eastAsia="zh-CN"/>
        </w:rPr>
        <w:t>市重点产业专班办公室通过“四新一盘活”工作对各产业专班进行综合考评。</w:t>
      </w:r>
    </w:p>
    <w:p>
      <w:pPr>
        <w:keepNext w:val="0"/>
        <w:keepLines w:val="0"/>
        <w:pageBreakBefore w:val="0"/>
        <w:widowControl w:val="0"/>
        <w:numPr>
          <w:ilvl w:val="0"/>
          <w:numId w:val="0"/>
        </w:numPr>
        <w:kinsoku/>
        <w:wordWrap/>
        <w:overflowPunct/>
        <w:topLinePunct w:val="0"/>
        <w:autoSpaceDE/>
        <w:autoSpaceDN/>
        <w:bidi w:val="0"/>
        <w:spacing w:line="580" w:lineRule="atLeas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黑体" w:hAnsi="黑体" w:eastAsia="黑体" w:cs="Times New Roman"/>
          <w:color w:val="auto"/>
          <w:kern w:val="2"/>
          <w:sz w:val="32"/>
          <w:szCs w:val="32"/>
          <w:highlight w:val="none"/>
          <w:lang w:val="zh-CN" w:eastAsia="zh-CN" w:bidi="ar-SA"/>
        </w:rPr>
        <w:t>（五）评价组织。</w:t>
      </w:r>
      <w:r>
        <w:rPr>
          <w:rFonts w:hint="eastAsia" w:ascii="仿宋_GB2312" w:hAnsi="仿宋_GB2312" w:eastAsia="仿宋_GB2312" w:cs="仿宋_GB2312"/>
          <w:sz w:val="32"/>
          <w:szCs w:val="32"/>
          <w:lang w:val="zh-CN" w:eastAsia="zh-CN"/>
        </w:rPr>
        <w:t>市重点产业专班办公室对各产业专班进行综合考评并排位。</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rPr>
      </w:pPr>
      <w:bookmarkStart w:id="160" w:name="_Toc6108"/>
      <w:r>
        <w:rPr>
          <w:rFonts w:hint="eastAsia" w:ascii="黑体" w:hAnsi="黑体" w:eastAsia="黑体" w:cs="Times New Roman"/>
          <w:color w:val="auto"/>
          <w:sz w:val="32"/>
          <w:szCs w:val="32"/>
          <w:highlight w:val="none"/>
        </w:rPr>
        <w:t>三、</w:t>
      </w:r>
      <w:r>
        <w:rPr>
          <w:rFonts w:hint="eastAsia" w:ascii="黑体" w:hAnsi="黑体" w:eastAsia="黑体" w:cs="Times New Roman"/>
          <w:color w:val="auto"/>
          <w:sz w:val="32"/>
          <w:szCs w:val="32"/>
          <w:highlight w:val="none"/>
          <w:lang w:eastAsia="zh-CN"/>
        </w:rPr>
        <w:t>绩效分析</w:t>
      </w:r>
      <w:bookmarkEnd w:id="160"/>
      <w:r>
        <w:rPr>
          <w:rFonts w:hint="eastAsia" w:ascii="黑体" w:hAnsi="黑体" w:eastAsia="黑体" w:cs="Times New Roman"/>
          <w:color w:val="auto"/>
          <w:sz w:val="32"/>
          <w:szCs w:val="32"/>
          <w:highlight w:val="none"/>
          <w:lang w:val="zh-CN"/>
        </w:rPr>
        <w:tab/>
      </w:r>
    </w:p>
    <w:p>
      <w:pPr>
        <w:keepNext w:val="0"/>
        <w:keepLines w:val="0"/>
        <w:pageBreakBefore w:val="0"/>
        <w:widowControl w:val="0"/>
        <w:numPr>
          <w:ilvl w:val="0"/>
          <w:numId w:val="0"/>
        </w:numPr>
        <w:kinsoku/>
        <w:wordWrap/>
        <w:overflowPunct/>
        <w:topLinePunct w:val="0"/>
        <w:autoSpaceDE/>
        <w:autoSpaceDN/>
        <w:bidi w:val="0"/>
        <w:spacing w:line="580" w:lineRule="atLeast"/>
        <w:ind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（一）</w:t>
      </w:r>
      <w:r>
        <w:rPr>
          <w:rFonts w:hint="eastAsia" w:ascii="黑体" w:hAnsi="黑体" w:eastAsia="黑体" w:cs="Times New Roman"/>
          <w:color w:val="auto"/>
          <w:kern w:val="2"/>
          <w:sz w:val="32"/>
          <w:szCs w:val="32"/>
          <w:highlight w:val="none"/>
          <w:lang w:val="en-US" w:eastAsia="zh-CN" w:bidi="ar-SA"/>
        </w:rPr>
        <w:t>通用指标</w:t>
      </w:r>
      <w:r>
        <w:rPr>
          <w:rFonts w:hint="eastAsia" w:ascii="黑体" w:hAnsi="黑体" w:eastAsia="黑体" w:cs="Times New Roman"/>
          <w:color w:val="auto"/>
          <w:kern w:val="2"/>
          <w:sz w:val="32"/>
          <w:szCs w:val="32"/>
          <w:highlight w:val="none"/>
          <w:lang w:val="zh-CN" w:eastAsia="zh-CN" w:bidi="ar-SA"/>
        </w:rPr>
        <w:t>绩效分析。</w:t>
      </w:r>
    </w:p>
    <w:p>
      <w:pPr>
        <w:pStyle w:val="7"/>
        <w:keepNext w:val="0"/>
        <w:keepLines w:val="0"/>
        <w:pageBreakBefore w:val="0"/>
        <w:kinsoku/>
        <w:wordWrap/>
        <w:overflowPunct/>
        <w:topLinePunct w:val="0"/>
        <w:autoSpaceDE/>
        <w:autoSpaceDN/>
        <w:bidi w:val="0"/>
        <w:spacing w:line="58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sz w:val="32"/>
          <w:szCs w:val="32"/>
          <w:lang w:val="zh-CN" w:eastAsia="zh-CN"/>
        </w:rPr>
        <w:t>我局项目决策程序严密，项目规划论证符合中省市要求，项目绩效目标设置科学合理，项目资金与项目总体规划、相关行业事业发展相匹配，聚焦了重大任务、重点领域、重点环节和重点项目。</w:t>
      </w:r>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sz w:val="32"/>
          <w:szCs w:val="32"/>
          <w:lang w:eastAsia="zh-CN"/>
        </w:rPr>
        <w:t>该项目制度办法体系健全、要素完备，项目资金分配因素选取、权重设置、区域分布，项目管理、审批符合管理要求，在管资金、项目、政策同时也加强项目绩效监管，项目绩效监管严格按照要求开展，对下指导有力有效。</w:t>
      </w:r>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3.项目实施。</w:t>
      </w:r>
      <w:r>
        <w:rPr>
          <w:rFonts w:hint="eastAsia" w:ascii="仿宋_GB2312" w:hAnsi="仿宋_GB2312" w:eastAsia="仿宋_GB2312" w:cs="仿宋_GB2312"/>
          <w:sz w:val="32"/>
          <w:szCs w:val="32"/>
          <w:lang w:val="en-US" w:eastAsia="zh-CN"/>
        </w:rPr>
        <w:t>该项目资金财政拨付及时，单位严格按照相关要求执行，地方配套按照要求及时到位，资金使用拨付严格按照程序执行，项目组织实施按照相关规定稳步推进。</w:t>
      </w:r>
    </w:p>
    <w:p>
      <w:pPr>
        <w:keepNext w:val="0"/>
        <w:keepLines w:val="0"/>
        <w:pageBreakBefore w:val="0"/>
        <w:widowControl w:val="0"/>
        <w:kinsoku/>
        <w:wordWrap/>
        <w:overflowPunct/>
        <w:topLinePunct w:val="0"/>
        <w:autoSpaceDE/>
        <w:autoSpaceDN/>
        <w:bidi w:val="0"/>
        <w:adjustRightInd/>
        <w:snapToGrid/>
        <w:spacing w:line="580" w:lineRule="atLeast"/>
        <w:ind w:firstLine="64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2"/>
          <w:sz w:val="32"/>
          <w:szCs w:val="32"/>
          <w:lang w:val="en-US" w:eastAsia="zh-CN" w:bidi="ar-SA"/>
        </w:rPr>
        <w:t>4.项目结果。</w:t>
      </w:r>
      <w:r>
        <w:rPr>
          <w:rFonts w:hint="eastAsia" w:ascii="仿宋_GB2312" w:hAnsi="仿宋_GB2312" w:eastAsia="仿宋_GB2312" w:cs="仿宋_GB2312"/>
          <w:sz w:val="32"/>
          <w:szCs w:val="32"/>
          <w:lang w:val="en-US" w:eastAsia="zh-CN"/>
        </w:rPr>
        <w:t>该项目实施后成功完成预期目标，项目实施结果与绩效目标相匹配，项目实施进度严格按照计划时间开展，总体完成目标和完成目标时效符合预期。</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（二）</w:t>
      </w:r>
      <w:r>
        <w:rPr>
          <w:rFonts w:hint="eastAsia" w:ascii="黑体" w:hAnsi="黑体" w:eastAsia="黑体" w:cs="Times New Roman"/>
          <w:color w:val="auto"/>
          <w:kern w:val="2"/>
          <w:sz w:val="32"/>
          <w:szCs w:val="32"/>
          <w:highlight w:val="none"/>
          <w:lang w:val="en-US" w:eastAsia="zh-CN" w:bidi="ar-SA"/>
        </w:rPr>
        <w:t>专用指标</w:t>
      </w:r>
      <w:r>
        <w:rPr>
          <w:rFonts w:hint="eastAsia" w:ascii="黑体" w:hAnsi="黑体" w:eastAsia="黑体" w:cs="Times New Roman"/>
          <w:color w:val="auto"/>
          <w:kern w:val="2"/>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sz w:val="32"/>
          <w:szCs w:val="32"/>
          <w:lang w:val="en-US" w:eastAsia="zh-CN"/>
        </w:rPr>
        <w:t>该项目实施与市委市政府支持重点、优势产业支持政策相符合，项目的实施有力助推了全市装备制造产业高质量发展，</w:t>
      </w:r>
      <w:r>
        <w:rPr>
          <w:rFonts w:hint="eastAsia" w:ascii="仿宋_GB2312" w:hAnsi="仿宋_GB2312" w:eastAsia="仿宋_GB2312" w:cs="仿宋_GB2312"/>
          <w:color w:val="auto"/>
          <w:kern w:val="0"/>
          <w:sz w:val="32"/>
          <w:szCs w:val="32"/>
          <w:highlight w:val="none"/>
          <w:u w:val="none"/>
          <w:shd w:val="clear" w:color="auto" w:fill="FFFFFF"/>
          <w:lang w:val="en-US" w:eastAsia="zh-CN"/>
        </w:rPr>
        <w:t>全年装备制造产业招商洽谈</w:t>
      </w:r>
      <w:r>
        <w:rPr>
          <w:rFonts w:hint="eastAsia" w:ascii="仿宋_GB2312" w:hAnsi="仿宋_GB2312" w:eastAsia="仿宋_GB2312" w:cs="仿宋_GB2312"/>
          <w:color w:val="auto"/>
          <w:kern w:val="0"/>
          <w:sz w:val="32"/>
          <w:szCs w:val="32"/>
          <w:highlight w:val="none"/>
          <w:u w:val="none"/>
          <w:shd w:val="clear" w:color="auto" w:fill="FFFFFF"/>
          <w:lang w:val="zh-CN" w:eastAsia="zh-CN"/>
        </w:rPr>
        <w:t>项目</w:t>
      </w:r>
      <w:r>
        <w:rPr>
          <w:rFonts w:hint="eastAsia" w:ascii="仿宋_GB2312" w:hAnsi="仿宋_GB2312" w:eastAsia="仿宋_GB2312" w:cs="仿宋_GB2312"/>
          <w:color w:val="auto"/>
          <w:kern w:val="0"/>
          <w:sz w:val="32"/>
          <w:szCs w:val="32"/>
          <w:highlight w:val="none"/>
          <w:u w:val="none"/>
          <w:shd w:val="clear" w:color="auto" w:fill="FFFFFF"/>
          <w:lang w:val="en-US" w:eastAsia="zh-CN"/>
        </w:rPr>
        <w:t>92个，签约项目13个，在广东深圳举办投资推介活动1次。</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color w:val="auto"/>
          <w:sz w:val="32"/>
          <w:szCs w:val="32"/>
          <w:lang w:eastAsia="zh-CN"/>
        </w:rPr>
        <w:t>不涉及。</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行政运转。不涉及。</w:t>
      </w:r>
    </w:p>
    <w:p>
      <w:pPr>
        <w:keepNext w:val="0"/>
        <w:keepLines w:val="0"/>
        <w:pageBreakBefore w:val="0"/>
        <w:widowControl w:val="0"/>
        <w:kinsoku/>
        <w:wordWrap/>
        <w:overflowPunct/>
        <w:topLinePunct w:val="0"/>
        <w:autoSpaceDE/>
        <w:autoSpaceDN/>
        <w:bidi w:val="0"/>
        <w:adjustRightInd/>
        <w:snapToGrid/>
        <w:spacing w:line="580" w:lineRule="atLeast"/>
        <w:ind w:left="0" w:leftChars="0" w:firstLine="640" w:firstLineChars="200"/>
        <w:textAlignment w:val="auto"/>
        <w:outlineLvl w:val="9"/>
        <w:rPr>
          <w:rFonts w:hint="eastAsia" w:ascii="黑体" w:hAnsi="黑体" w:eastAsia="黑体" w:cs="Times New Roman"/>
          <w:color w:val="auto"/>
          <w:kern w:val="2"/>
          <w:sz w:val="32"/>
          <w:szCs w:val="32"/>
          <w:highlight w:val="none"/>
          <w:lang w:val="zh-CN" w:eastAsia="zh-CN" w:bidi="ar-SA"/>
        </w:rPr>
      </w:pPr>
      <w:r>
        <w:rPr>
          <w:rFonts w:hint="eastAsia" w:ascii="黑体" w:hAnsi="黑体" w:eastAsia="黑体" w:cs="Times New Roman"/>
          <w:color w:val="auto"/>
          <w:kern w:val="2"/>
          <w:sz w:val="32"/>
          <w:szCs w:val="32"/>
          <w:highlight w:val="none"/>
          <w:lang w:val="zh-CN" w:eastAsia="zh-CN" w:bidi="ar-SA"/>
        </w:rPr>
        <w:t>（三）</w:t>
      </w:r>
      <w:r>
        <w:rPr>
          <w:rFonts w:hint="eastAsia" w:ascii="黑体" w:hAnsi="黑体" w:eastAsia="黑体" w:cs="Times New Roman"/>
          <w:color w:val="auto"/>
          <w:kern w:val="2"/>
          <w:sz w:val="32"/>
          <w:szCs w:val="32"/>
          <w:highlight w:val="none"/>
          <w:lang w:val="en-US" w:eastAsia="zh-CN" w:bidi="ar-SA"/>
        </w:rPr>
        <w:t>个性指标</w:t>
      </w:r>
      <w:r>
        <w:rPr>
          <w:rFonts w:hint="eastAsia" w:ascii="黑体" w:hAnsi="黑体" w:eastAsia="黑体" w:cs="Times New Roman"/>
          <w:color w:val="auto"/>
          <w:kern w:val="2"/>
          <w:sz w:val="32"/>
          <w:szCs w:val="32"/>
          <w:highlight w:val="none"/>
          <w:lang w:val="zh-CN" w:eastAsia="zh-CN" w:bidi="ar-SA"/>
        </w:rPr>
        <w:t>绩效分析。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atLeast"/>
        <w:ind w:firstLine="640" w:firstLineChars="200"/>
        <w:textAlignment w:val="auto"/>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pPr>
      <w:r>
        <w:rPr>
          <w:rFonts w:hint="eastAsia" w:ascii="仿宋_GB2312" w:hAnsi="仿宋_GB2312" w:eastAsia="仿宋_GB2312" w:cs="仿宋_GB2312"/>
          <w:color w:val="auto"/>
          <w:kern w:val="0"/>
          <w:position w:val="0"/>
          <w:sz w:val="32"/>
          <w:szCs w:val="32"/>
          <w:highlight w:val="none"/>
          <w:u w:val="none"/>
          <w:shd w:val="clear" w:color="auto" w:fill="FFFFFF"/>
          <w:lang w:val="zh-CN" w:eastAsia="zh-CN" w:bidi="ar-SA"/>
        </w:rPr>
        <w:t>新培育归上企业</w:t>
      </w: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和高新技术企业各2家以上。</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rPr>
      </w:pPr>
      <w:bookmarkStart w:id="161" w:name="_Toc18918"/>
      <w:r>
        <w:rPr>
          <w:rFonts w:hint="eastAsia" w:ascii="黑体" w:hAnsi="黑体" w:eastAsia="黑体" w:cs="Times New Roman"/>
          <w:color w:val="auto"/>
          <w:sz w:val="32"/>
          <w:szCs w:val="32"/>
          <w:highlight w:val="none"/>
          <w:lang w:eastAsia="zh-CN"/>
        </w:rPr>
        <w:t>四</w:t>
      </w:r>
      <w:r>
        <w:rPr>
          <w:rFonts w:hint="eastAsia" w:ascii="黑体" w:hAnsi="黑体" w:eastAsia="黑体" w:cs="Times New Roman"/>
          <w:color w:val="auto"/>
          <w:sz w:val="32"/>
          <w:szCs w:val="32"/>
          <w:highlight w:val="none"/>
        </w:rPr>
        <w:t>、评价结论</w:t>
      </w:r>
      <w:bookmarkEnd w:id="161"/>
    </w:p>
    <w:p>
      <w:pPr>
        <w:keepNext w:val="0"/>
        <w:keepLines w:val="0"/>
        <w:pageBreakBefore w:val="0"/>
        <w:widowControl w:val="0"/>
        <w:kinsoku/>
        <w:wordWrap/>
        <w:overflowPunct/>
        <w:topLinePunct w:val="0"/>
        <w:autoSpaceDE/>
        <w:autoSpaceDN/>
        <w:bidi w:val="0"/>
        <w:adjustRightInd w:val="0"/>
        <w:snapToGrid w:val="0"/>
        <w:spacing w:line="580" w:lineRule="atLeast"/>
        <w:ind w:firstLine="72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color w:val="auto"/>
          <w:kern w:val="0"/>
          <w:position w:val="0"/>
          <w:sz w:val="32"/>
          <w:szCs w:val="32"/>
          <w:highlight w:val="none"/>
          <w:lang w:val="zh-CN" w:eastAsia="zh-CN" w:bidi="ar-SA"/>
        </w:rPr>
        <w:t>自评总分</w:t>
      </w:r>
      <w:r>
        <w:rPr>
          <w:rFonts w:hint="eastAsia" w:ascii="仿宋_GB2312" w:hAnsi="仿宋_GB2312" w:eastAsia="仿宋_GB2312" w:cs="仿宋_GB2312"/>
          <w:b w:val="0"/>
          <w:bCs w:val="0"/>
          <w:color w:val="auto"/>
          <w:kern w:val="0"/>
          <w:position w:val="0"/>
          <w:sz w:val="32"/>
          <w:szCs w:val="32"/>
          <w:highlight w:val="none"/>
          <w:lang w:val="en-US" w:eastAsia="zh-CN" w:bidi="ar-SA"/>
        </w:rPr>
        <w:t>100分，其中，通用指标得分54分，专用指标得分30分，个性指标得分16分。</w:t>
      </w:r>
      <w:r>
        <w:rPr>
          <w:rFonts w:hint="eastAsia" w:ascii="仿宋_GB2312" w:hAnsi="仿宋_GB2312" w:eastAsia="仿宋_GB2312" w:cs="仿宋_GB2312"/>
          <w:sz w:val="32"/>
          <w:szCs w:val="32"/>
          <w:lang w:val="zh-CN" w:eastAsia="zh-CN"/>
        </w:rPr>
        <w:t>本单位从预期目标的制定、项目的组织实施到完成情况，进行了认真总结与综合评价，我局科技合作交流项目严格按照要求实施，所有项目按时高质量完成目标值。</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eastAsia="zh-CN"/>
        </w:rPr>
      </w:pPr>
      <w:bookmarkStart w:id="162" w:name="_Toc10440"/>
      <w:r>
        <w:rPr>
          <w:rFonts w:hint="eastAsia" w:ascii="黑体" w:hAnsi="黑体" w:eastAsia="黑体" w:cs="Times New Roman"/>
          <w:color w:val="auto"/>
          <w:sz w:val="32"/>
          <w:szCs w:val="32"/>
          <w:highlight w:val="none"/>
          <w:lang w:eastAsia="zh-CN"/>
        </w:rPr>
        <w:t>五、存在主要问题</w:t>
      </w:r>
      <w:bookmarkEnd w:id="162"/>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atLeast"/>
        <w:ind w:firstLine="640" w:firstLineChars="200"/>
        <w:textAlignment w:val="auto"/>
        <w:rPr>
          <w:rFonts w:hint="eastAsia" w:ascii="仿宋_GB2312" w:hAnsi="仿宋_GB2312" w:eastAsia="仿宋_GB2312" w:cs="仿宋_GB2312"/>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suppressAutoHyphens/>
        <w:bidi w:val="0"/>
        <w:spacing w:line="600" w:lineRule="exact"/>
        <w:ind w:firstLine="640" w:firstLineChars="200"/>
        <w:outlineLvl w:val="1"/>
        <w:rPr>
          <w:rFonts w:hint="eastAsia" w:ascii="黑体" w:hAnsi="黑体" w:eastAsia="黑体" w:cs="Times New Roman"/>
          <w:color w:val="auto"/>
          <w:sz w:val="32"/>
          <w:szCs w:val="32"/>
          <w:highlight w:val="none"/>
          <w:lang w:val="zh-CN" w:eastAsia="zh-CN"/>
        </w:rPr>
      </w:pPr>
      <w:bookmarkStart w:id="163" w:name="_Toc10196"/>
      <w:r>
        <w:rPr>
          <w:rFonts w:hint="eastAsia" w:ascii="黑体" w:hAnsi="黑体" w:eastAsia="黑体" w:cs="Times New Roman"/>
          <w:color w:val="auto"/>
          <w:sz w:val="32"/>
          <w:szCs w:val="32"/>
          <w:highlight w:val="none"/>
          <w:lang w:val="zh-CN" w:eastAsia="zh-CN"/>
        </w:rPr>
        <w:t>六、改进建议</w:t>
      </w:r>
      <w:bookmarkEnd w:id="163"/>
    </w:p>
    <w:p>
      <w:pPr>
        <w:keepNext w:val="0"/>
        <w:keepLines w:val="0"/>
        <w:pageBreakBefore w:val="0"/>
        <w:tabs>
          <w:tab w:val="left" w:pos="1911"/>
        </w:tabs>
        <w:kinsoku/>
        <w:wordWrap/>
        <w:overflowPunct/>
        <w:topLinePunct w:val="0"/>
        <w:autoSpaceDE/>
        <w:autoSpaceDN/>
        <w:bidi w:val="0"/>
        <w:spacing w:line="580" w:lineRule="atLeast"/>
        <w:jc w:val="left"/>
        <w:textAlignment w:val="auto"/>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无。</w:t>
      </w:r>
    </w:p>
    <w:p>
      <w:pPr>
        <w:keepNext w:val="0"/>
        <w:keepLines w:val="0"/>
        <w:pageBreakBefore w:val="0"/>
        <w:widowControl w:val="0"/>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164" w:name="_Toc15396618"/>
    </w:p>
    <w:p>
      <w:pPr>
        <w:pStyle w:val="4"/>
        <w:bidi w:val="0"/>
        <w:jc w:val="center"/>
        <w:rPr>
          <w:rFonts w:hint="eastAsia" w:ascii="Times New Roman" w:hAnsi="Times New Roman" w:eastAsia="仿宋_GB2312" w:cs="仿宋_GB2312"/>
          <w:color w:val="auto"/>
          <w:sz w:val="32"/>
          <w:szCs w:val="32"/>
          <w:highlight w:val="none"/>
        </w:rPr>
      </w:pPr>
      <w:bookmarkStart w:id="165" w:name="_Toc10119"/>
      <w:r>
        <w:rPr>
          <w:rFonts w:hint="eastAsia" w:ascii="Times New Roman" w:hAnsi="Times New Roman" w:eastAsia="黑体"/>
          <w:color w:val="auto"/>
          <w:sz w:val="44"/>
          <w:szCs w:val="44"/>
          <w:highlight w:val="none"/>
        </w:rPr>
        <w:t>第</w:t>
      </w:r>
      <w:r>
        <w:rPr>
          <w:rStyle w:val="24"/>
          <w:rFonts w:hint="eastAsia" w:ascii="Times New Roman" w:hAnsi="Times New Roman" w:eastAsia="黑体"/>
          <w:b w:val="0"/>
          <w:bCs/>
          <w:color w:val="auto"/>
          <w:highlight w:val="none"/>
        </w:rPr>
        <w:t>五部分 附表</w:t>
      </w:r>
      <w:bookmarkEnd w:id="65"/>
      <w:bookmarkEnd w:id="164"/>
      <w:bookmarkEnd w:id="165"/>
      <w:bookmarkStart w:id="166" w:name="_Toc15396619"/>
    </w:p>
    <w:p>
      <w:pPr>
        <w:pStyle w:val="5"/>
        <w:bidi w:val="0"/>
        <w:rPr>
          <w:rFonts w:hint="eastAsia"/>
          <w:b w:val="0"/>
          <w:bCs w:val="0"/>
        </w:rPr>
      </w:pPr>
      <w:bookmarkStart w:id="167" w:name="_Toc539"/>
      <w:r>
        <w:rPr>
          <w:rFonts w:hint="eastAsia"/>
          <w:b w:val="0"/>
          <w:bCs w:val="0"/>
        </w:rPr>
        <w:t>一、收入支出决算总表</w:t>
      </w:r>
      <w:bookmarkEnd w:id="166"/>
      <w:bookmarkEnd w:id="167"/>
    </w:p>
    <w:p>
      <w:pPr>
        <w:pStyle w:val="5"/>
        <w:bidi w:val="0"/>
        <w:rPr>
          <w:rFonts w:hint="eastAsia"/>
          <w:b w:val="0"/>
          <w:bCs w:val="0"/>
        </w:rPr>
      </w:pPr>
      <w:bookmarkStart w:id="168" w:name="_Toc13511"/>
      <w:bookmarkStart w:id="169" w:name="_Toc15396620"/>
      <w:r>
        <w:rPr>
          <w:rFonts w:hint="eastAsia"/>
          <w:b w:val="0"/>
          <w:bCs w:val="0"/>
        </w:rPr>
        <w:t>二、收入决算表</w:t>
      </w:r>
      <w:bookmarkEnd w:id="168"/>
      <w:bookmarkEnd w:id="169"/>
    </w:p>
    <w:p>
      <w:pPr>
        <w:pStyle w:val="5"/>
        <w:bidi w:val="0"/>
        <w:rPr>
          <w:rFonts w:hint="eastAsia"/>
          <w:b w:val="0"/>
          <w:bCs w:val="0"/>
        </w:rPr>
      </w:pPr>
      <w:bookmarkStart w:id="170" w:name="_Toc10042"/>
      <w:bookmarkStart w:id="171" w:name="_Toc15396621"/>
      <w:r>
        <w:rPr>
          <w:rFonts w:hint="eastAsia"/>
          <w:b w:val="0"/>
          <w:bCs w:val="0"/>
        </w:rPr>
        <w:t>三、支出决算表</w:t>
      </w:r>
      <w:bookmarkEnd w:id="170"/>
      <w:bookmarkEnd w:id="171"/>
    </w:p>
    <w:p>
      <w:pPr>
        <w:pStyle w:val="5"/>
        <w:bidi w:val="0"/>
        <w:rPr>
          <w:rFonts w:hint="eastAsia"/>
          <w:b w:val="0"/>
          <w:bCs w:val="0"/>
        </w:rPr>
      </w:pPr>
      <w:bookmarkStart w:id="172" w:name="_Toc31600"/>
      <w:bookmarkStart w:id="173" w:name="_Toc15396622"/>
      <w:r>
        <w:rPr>
          <w:rFonts w:hint="eastAsia"/>
          <w:b w:val="0"/>
          <w:bCs w:val="0"/>
        </w:rPr>
        <w:t>四、财政拨款收入支出决算总表</w:t>
      </w:r>
      <w:bookmarkEnd w:id="172"/>
      <w:bookmarkEnd w:id="173"/>
    </w:p>
    <w:p>
      <w:pPr>
        <w:pStyle w:val="5"/>
        <w:bidi w:val="0"/>
        <w:rPr>
          <w:rFonts w:hint="eastAsia"/>
          <w:b w:val="0"/>
          <w:bCs w:val="0"/>
        </w:rPr>
      </w:pPr>
      <w:bookmarkStart w:id="174" w:name="_Toc23379"/>
      <w:bookmarkStart w:id="175" w:name="_Toc15396623"/>
      <w:r>
        <w:rPr>
          <w:rFonts w:hint="eastAsia"/>
          <w:b w:val="0"/>
          <w:bCs w:val="0"/>
        </w:rPr>
        <w:t>五、财政拨款支出决算明细表</w:t>
      </w:r>
      <w:bookmarkEnd w:id="174"/>
      <w:bookmarkEnd w:id="175"/>
      <w:bookmarkStart w:id="176" w:name="_Toc15396624"/>
    </w:p>
    <w:p>
      <w:pPr>
        <w:pStyle w:val="5"/>
        <w:bidi w:val="0"/>
        <w:rPr>
          <w:rFonts w:hint="eastAsia"/>
          <w:b w:val="0"/>
          <w:bCs w:val="0"/>
        </w:rPr>
      </w:pPr>
      <w:bookmarkStart w:id="177" w:name="_Toc18568"/>
      <w:r>
        <w:rPr>
          <w:rFonts w:hint="eastAsia"/>
          <w:b w:val="0"/>
          <w:bCs w:val="0"/>
        </w:rPr>
        <w:t>六、一般公共预算财政拨款支出决算表</w:t>
      </w:r>
      <w:bookmarkEnd w:id="176"/>
      <w:bookmarkEnd w:id="177"/>
    </w:p>
    <w:p>
      <w:pPr>
        <w:pStyle w:val="5"/>
        <w:bidi w:val="0"/>
        <w:rPr>
          <w:rFonts w:hint="eastAsia"/>
          <w:b w:val="0"/>
          <w:bCs w:val="0"/>
        </w:rPr>
      </w:pPr>
      <w:bookmarkStart w:id="178" w:name="_Toc13052"/>
      <w:bookmarkStart w:id="179" w:name="_Toc15396625"/>
      <w:r>
        <w:rPr>
          <w:rFonts w:hint="eastAsia"/>
          <w:b w:val="0"/>
          <w:bCs w:val="0"/>
        </w:rPr>
        <w:t>七、一般公共预算财政拨款支出决算明细表</w:t>
      </w:r>
      <w:bookmarkEnd w:id="178"/>
      <w:bookmarkEnd w:id="179"/>
    </w:p>
    <w:p>
      <w:pPr>
        <w:pStyle w:val="5"/>
        <w:bidi w:val="0"/>
        <w:rPr>
          <w:rFonts w:hint="eastAsia"/>
          <w:b w:val="0"/>
          <w:bCs w:val="0"/>
        </w:rPr>
      </w:pPr>
      <w:bookmarkStart w:id="180" w:name="_Toc15396626"/>
      <w:bookmarkStart w:id="181" w:name="_Toc4947"/>
      <w:r>
        <w:rPr>
          <w:rFonts w:hint="eastAsia"/>
          <w:b w:val="0"/>
          <w:bCs w:val="0"/>
        </w:rPr>
        <w:t>八、一般公共预算财政拨款基本支出决算表</w:t>
      </w:r>
      <w:bookmarkEnd w:id="180"/>
      <w:bookmarkEnd w:id="181"/>
    </w:p>
    <w:p>
      <w:pPr>
        <w:pStyle w:val="5"/>
        <w:bidi w:val="0"/>
        <w:rPr>
          <w:rFonts w:hint="eastAsia"/>
          <w:b w:val="0"/>
          <w:bCs w:val="0"/>
        </w:rPr>
      </w:pPr>
      <w:bookmarkStart w:id="182" w:name="_Toc15396627"/>
      <w:bookmarkStart w:id="183" w:name="_Toc12650"/>
      <w:r>
        <w:rPr>
          <w:rFonts w:hint="eastAsia"/>
          <w:b w:val="0"/>
          <w:bCs w:val="0"/>
        </w:rPr>
        <w:t>九、一般公共预算财政拨款项目支出决算表</w:t>
      </w:r>
      <w:bookmarkEnd w:id="182"/>
      <w:bookmarkEnd w:id="183"/>
    </w:p>
    <w:p>
      <w:pPr>
        <w:pStyle w:val="5"/>
        <w:bidi w:val="0"/>
        <w:rPr>
          <w:rFonts w:hint="eastAsia"/>
          <w:b w:val="0"/>
          <w:bCs w:val="0"/>
        </w:rPr>
      </w:pPr>
      <w:bookmarkStart w:id="184" w:name="_Toc15396628"/>
      <w:bookmarkStart w:id="185" w:name="_Toc32580"/>
      <w:r>
        <w:rPr>
          <w:rFonts w:hint="eastAsia"/>
          <w:b w:val="0"/>
          <w:bCs w:val="0"/>
        </w:rPr>
        <w:t>十、</w:t>
      </w:r>
      <w:bookmarkEnd w:id="184"/>
      <w:r>
        <w:rPr>
          <w:rFonts w:hint="eastAsia"/>
          <w:b w:val="0"/>
          <w:bCs w:val="0"/>
        </w:rPr>
        <w:t>政府性基金预算财政拨款收入支出决算表</w:t>
      </w:r>
      <w:bookmarkEnd w:id="185"/>
    </w:p>
    <w:p>
      <w:pPr>
        <w:pStyle w:val="5"/>
        <w:bidi w:val="0"/>
        <w:rPr>
          <w:rFonts w:hint="eastAsia"/>
          <w:b w:val="0"/>
          <w:bCs w:val="0"/>
        </w:rPr>
      </w:pPr>
      <w:bookmarkStart w:id="186" w:name="_Toc15396629"/>
      <w:bookmarkStart w:id="187" w:name="_Toc11525"/>
      <w:r>
        <w:rPr>
          <w:rFonts w:hint="eastAsia"/>
          <w:b w:val="0"/>
          <w:bCs w:val="0"/>
        </w:rPr>
        <w:t>十一、</w:t>
      </w:r>
      <w:bookmarkEnd w:id="186"/>
      <w:r>
        <w:rPr>
          <w:rFonts w:hint="eastAsia"/>
          <w:b w:val="0"/>
          <w:bCs w:val="0"/>
        </w:rPr>
        <w:t>国有资本经营预算</w:t>
      </w:r>
      <w:r>
        <w:rPr>
          <w:rFonts w:hint="eastAsia"/>
          <w:b w:val="0"/>
          <w:bCs w:val="0"/>
          <w:lang w:eastAsia="zh-CN"/>
        </w:rPr>
        <w:t>财政拨款收入</w:t>
      </w:r>
      <w:r>
        <w:rPr>
          <w:rFonts w:hint="eastAsia"/>
          <w:b w:val="0"/>
          <w:bCs w:val="0"/>
        </w:rPr>
        <w:t>支出决算表</w:t>
      </w:r>
      <w:bookmarkEnd w:id="187"/>
    </w:p>
    <w:p>
      <w:pPr>
        <w:pStyle w:val="5"/>
        <w:bidi w:val="0"/>
        <w:rPr>
          <w:rFonts w:hint="eastAsia"/>
          <w:b w:val="0"/>
          <w:bCs w:val="0"/>
        </w:rPr>
      </w:pPr>
      <w:bookmarkStart w:id="188" w:name="_Toc15396630"/>
      <w:bookmarkStart w:id="189" w:name="_Toc28356"/>
      <w:r>
        <w:rPr>
          <w:rFonts w:hint="eastAsia"/>
          <w:b w:val="0"/>
          <w:bCs w:val="0"/>
        </w:rPr>
        <w:t>十二、</w:t>
      </w:r>
      <w:bookmarkEnd w:id="188"/>
      <w:r>
        <w:rPr>
          <w:rFonts w:hint="eastAsia"/>
          <w:b w:val="0"/>
          <w:bCs w:val="0"/>
          <w:lang w:eastAsia="zh-CN"/>
        </w:rPr>
        <w:t>国有资本经营预算财政拨款支出决算表</w:t>
      </w:r>
      <w:bookmarkEnd w:id="189"/>
    </w:p>
    <w:p>
      <w:pPr>
        <w:pStyle w:val="5"/>
        <w:bidi w:val="0"/>
        <w:rPr>
          <w:rFonts w:hint="eastAsia"/>
          <w:b w:val="0"/>
          <w:bCs w:val="0"/>
          <w:lang w:eastAsia="zh-CN"/>
        </w:rPr>
      </w:pPr>
      <w:bookmarkStart w:id="190" w:name="_Toc15396631"/>
      <w:bookmarkStart w:id="191" w:name="_Toc13525"/>
      <w:r>
        <w:rPr>
          <w:rFonts w:hint="eastAsia"/>
          <w:b w:val="0"/>
          <w:bCs w:val="0"/>
        </w:rPr>
        <w:t>十三、</w:t>
      </w:r>
      <w:bookmarkEnd w:id="190"/>
      <w:r>
        <w:rPr>
          <w:rFonts w:hint="eastAsia"/>
          <w:b w:val="0"/>
          <w:bCs w:val="0"/>
          <w:lang w:eastAsia="zh-CN"/>
        </w:rPr>
        <w:t>财政拨款“三公”经费支出决算表</w:t>
      </w:r>
      <w:bookmarkEnd w:id="191"/>
    </w:p>
    <w:p>
      <w:pPr>
        <w:ind w:firstLine="210" w:firstLineChars="100"/>
        <w:rPr>
          <w:rFonts w:hint="eastAsia"/>
          <w:lang w:eastAsia="zh-CN"/>
        </w:rPr>
      </w:pPr>
    </w:p>
    <w:p>
      <w:pPr>
        <w:rPr>
          <w:rFonts w:hint="eastAsia" w:ascii="Times New Roman" w:hAnsi="Times New Roman"/>
          <w:lang w:eastAsia="zh-CN"/>
        </w:rPr>
      </w:pPr>
    </w:p>
    <w:sectPr>
      <w:footerReference r:id="rId6" w:type="first"/>
      <w:footerReference r:id="rId5" w:type="default"/>
      <w:pgSz w:w="11906" w:h="16838"/>
      <w:pgMar w:top="1803" w:right="1440" w:bottom="1803" w:left="144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 w:name="Mangal">
    <w:panose1 w:val="02040503050203030202"/>
    <w:charset w:val="00"/>
    <w:family w:val="auto"/>
    <w:pitch w:val="default"/>
    <w:sig w:usb0="00008003" w:usb1="00000000" w:usb2="00000000" w:usb3="00000000" w:csb0="00000001" w:csb1="00000000"/>
  </w:font>
  <w:font w:name="simhei">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NxeOVFQIAABUEAAAOAAAAAAAAAAEAIAAAADUBAABkcnMvZTJvRG9jLnhtbFBLBQYAAAAABgAG&#10;AFkBAAC8BQ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PbXR6EgIAABU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DP&#10;bXR6EgIAABUEAAAOAAAAAAAAAAEAIAAAADUBAABkcnMvZTJvRG9jLnhtbFBLBQYAAAAABgAGAFkB&#10;AAC5BQ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F0077"/>
    <w:multiLevelType w:val="singleLevel"/>
    <w:tmpl w:val="BD7F0077"/>
    <w:lvl w:ilvl="0" w:tentative="0">
      <w:start w:val="2"/>
      <w:numFmt w:val="decimal"/>
      <w:lvlText w:val="%1."/>
      <w:lvlJc w:val="left"/>
      <w:pPr>
        <w:tabs>
          <w:tab w:val="left" w:pos="312"/>
        </w:tabs>
      </w:pPr>
    </w:lvl>
  </w:abstractNum>
  <w:abstractNum w:abstractNumId="1">
    <w:nsid w:val="E7BF2500"/>
    <w:multiLevelType w:val="singleLevel"/>
    <w:tmpl w:val="E7BF2500"/>
    <w:lvl w:ilvl="0" w:tentative="0">
      <w:start w:val="2"/>
      <w:numFmt w:val="decimal"/>
      <w:lvlText w:val="%1."/>
      <w:lvlJc w:val="left"/>
      <w:pPr>
        <w:tabs>
          <w:tab w:val="left" w:pos="312"/>
        </w:tabs>
      </w:pPr>
    </w:lvl>
  </w:abstractNum>
  <w:abstractNum w:abstractNumId="2">
    <w:nsid w:val="EFFF6E2C"/>
    <w:multiLevelType w:val="singleLevel"/>
    <w:tmpl w:val="EFFF6E2C"/>
    <w:lvl w:ilvl="0" w:tentative="0">
      <w:start w:val="2"/>
      <w:numFmt w:val="chineseCounting"/>
      <w:suff w:val="nothing"/>
      <w:lvlText w:val="（%1）"/>
      <w:lvlJc w:val="left"/>
      <w:rPr>
        <w:rFonts w:hint="eastAsia"/>
      </w:rPr>
    </w:lvl>
  </w:abstractNum>
  <w:abstractNum w:abstractNumId="3">
    <w:nsid w:val="F3EAEE7D"/>
    <w:multiLevelType w:val="singleLevel"/>
    <w:tmpl w:val="F3EAEE7D"/>
    <w:lvl w:ilvl="0" w:tentative="0">
      <w:start w:val="2"/>
      <w:numFmt w:val="chineseCounting"/>
      <w:suff w:val="nothing"/>
      <w:lvlText w:val="（%1）"/>
      <w:lvlJc w:val="left"/>
      <w:rPr>
        <w:rFonts w:hint="eastAsia"/>
      </w:rPr>
    </w:lvl>
  </w:abstractNum>
  <w:abstractNum w:abstractNumId="4">
    <w:nsid w:val="5A7CE645"/>
    <w:multiLevelType w:val="singleLevel"/>
    <w:tmpl w:val="5A7CE645"/>
    <w:lvl w:ilvl="0" w:tentative="0">
      <w:start w:val="2"/>
      <w:numFmt w:val="chineseCounting"/>
      <w:suff w:val="nothing"/>
      <w:lvlText w:val="（%1）"/>
      <w:lvlJc w:val="left"/>
      <w:rPr>
        <w:rFonts w:hint="eastAsia"/>
      </w:rPr>
    </w:lvl>
  </w:abstractNum>
  <w:abstractNum w:abstractNumId="5">
    <w:nsid w:val="64205F3C"/>
    <w:multiLevelType w:val="singleLevel"/>
    <w:tmpl w:val="64205F3C"/>
    <w:lvl w:ilvl="0" w:tentative="0">
      <w:start w:val="2"/>
      <w:numFmt w:val="decimal"/>
      <w:lvlText w:val="%1."/>
      <w:lvlJc w:val="left"/>
      <w:pPr>
        <w:tabs>
          <w:tab w:val="left" w:pos="312"/>
        </w:tabs>
      </w:pPr>
    </w:lvl>
  </w:abstractNum>
  <w:abstractNum w:abstractNumId="6">
    <w:nsid w:val="7C530D55"/>
    <w:multiLevelType w:val="singleLevel"/>
    <w:tmpl w:val="7C530D55"/>
    <w:lvl w:ilvl="0" w:tentative="0">
      <w:start w:val="1"/>
      <w:numFmt w:val="decimal"/>
      <w:suff w:val="nothing"/>
      <w:lvlText w:val="%1．"/>
      <w:lvlJc w:val="left"/>
      <w:pPr>
        <w:ind w:left="0" w:firstLine="400"/>
      </w:pPr>
      <w:rPr>
        <w:rFonts w:hint="default"/>
      </w:rPr>
    </w:lvl>
  </w:abstractNum>
  <w:num w:numId="1">
    <w:abstractNumId w:val="6"/>
  </w:num>
  <w:num w:numId="2">
    <w:abstractNumId w:val="3"/>
  </w:num>
  <w:num w:numId="3">
    <w:abstractNumId w:val="4"/>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A975879"/>
    <w:rsid w:val="1BE8440E"/>
    <w:rsid w:val="1D155CEE"/>
    <w:rsid w:val="1D1638FE"/>
    <w:rsid w:val="1E312DEB"/>
    <w:rsid w:val="1E740ACF"/>
    <w:rsid w:val="1FF35744"/>
    <w:rsid w:val="1FF543E7"/>
    <w:rsid w:val="1FF6BC77"/>
    <w:rsid w:val="2186353C"/>
    <w:rsid w:val="23860B96"/>
    <w:rsid w:val="240371BF"/>
    <w:rsid w:val="244F3473"/>
    <w:rsid w:val="24C97D99"/>
    <w:rsid w:val="25A718F0"/>
    <w:rsid w:val="25BB59F6"/>
    <w:rsid w:val="260F557C"/>
    <w:rsid w:val="26970054"/>
    <w:rsid w:val="27390CCD"/>
    <w:rsid w:val="281408E2"/>
    <w:rsid w:val="29FD04D3"/>
    <w:rsid w:val="2BFF7BC6"/>
    <w:rsid w:val="2C8A61B5"/>
    <w:rsid w:val="2DF04E50"/>
    <w:rsid w:val="2E586DFA"/>
    <w:rsid w:val="2F040D46"/>
    <w:rsid w:val="2F6B035B"/>
    <w:rsid w:val="2FAE5751"/>
    <w:rsid w:val="2FB1A395"/>
    <w:rsid w:val="2FD9A7D8"/>
    <w:rsid w:val="2FDBF714"/>
    <w:rsid w:val="30AB6865"/>
    <w:rsid w:val="319F7F4E"/>
    <w:rsid w:val="3206429F"/>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DFF65F0"/>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DF360B2"/>
    <w:rsid w:val="5ECEC941"/>
    <w:rsid w:val="5FBF9FF3"/>
    <w:rsid w:val="5FCD4E2C"/>
    <w:rsid w:val="5FEF394A"/>
    <w:rsid w:val="5FF67715"/>
    <w:rsid w:val="62BF3928"/>
    <w:rsid w:val="63B3701E"/>
    <w:rsid w:val="647F5392"/>
    <w:rsid w:val="65E66580"/>
    <w:rsid w:val="664B1D71"/>
    <w:rsid w:val="664B4E8E"/>
    <w:rsid w:val="67277B67"/>
    <w:rsid w:val="67AA3209"/>
    <w:rsid w:val="695E5E7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D76E89"/>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7A101"/>
    <w:rsid w:val="7FDA9588"/>
    <w:rsid w:val="7FDF220F"/>
    <w:rsid w:val="7FEDC5F7"/>
    <w:rsid w:val="7FEDD9DE"/>
    <w:rsid w:val="7FF5890D"/>
    <w:rsid w:val="7FF93490"/>
    <w:rsid w:val="7FFF63A4"/>
    <w:rsid w:val="7FFFF531"/>
    <w:rsid w:val="87BF2C3B"/>
    <w:rsid w:val="99FF2014"/>
    <w:rsid w:val="A15FD11F"/>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5BBDBC8"/>
    <w:rsid w:val="CF6FC6F3"/>
    <w:rsid w:val="CFC91F76"/>
    <w:rsid w:val="CFD3D3D7"/>
    <w:rsid w:val="CFDF1009"/>
    <w:rsid w:val="D7D7B16A"/>
    <w:rsid w:val="D8D6DB89"/>
    <w:rsid w:val="DB6F4CAB"/>
    <w:rsid w:val="DB777682"/>
    <w:rsid w:val="DD1FB521"/>
    <w:rsid w:val="DEFBFEAE"/>
    <w:rsid w:val="DF1F3B80"/>
    <w:rsid w:val="DF6F9789"/>
    <w:rsid w:val="DFE9BE81"/>
    <w:rsid w:val="DFFFA9E8"/>
    <w:rsid w:val="E5AFBDE2"/>
    <w:rsid w:val="E5F4E9DC"/>
    <w:rsid w:val="E70FE695"/>
    <w:rsid w:val="EB2E368B"/>
    <w:rsid w:val="ECFED1BC"/>
    <w:rsid w:val="ED1D69BB"/>
    <w:rsid w:val="ED7FD312"/>
    <w:rsid w:val="EEF7E615"/>
    <w:rsid w:val="EF2E1AC6"/>
    <w:rsid w:val="EF53993F"/>
    <w:rsid w:val="EF6FD633"/>
    <w:rsid w:val="EF87D027"/>
    <w:rsid w:val="EFBFB2F4"/>
    <w:rsid w:val="EFBFFA21"/>
    <w:rsid w:val="F2BEBCB8"/>
    <w:rsid w:val="F36FB518"/>
    <w:rsid w:val="F3DE1A04"/>
    <w:rsid w:val="F3F722E5"/>
    <w:rsid w:val="F4FBCD07"/>
    <w:rsid w:val="F7B770C2"/>
    <w:rsid w:val="F7E7FF37"/>
    <w:rsid w:val="FA5F1E70"/>
    <w:rsid w:val="FA5FDB97"/>
    <w:rsid w:val="FB7F486A"/>
    <w:rsid w:val="FBFF5B2E"/>
    <w:rsid w:val="FD7FFE2B"/>
    <w:rsid w:val="FDBA0FF7"/>
    <w:rsid w:val="FDEE196B"/>
    <w:rsid w:val="FDFE6575"/>
    <w:rsid w:val="FDFF686F"/>
    <w:rsid w:val="FEDFDDC2"/>
    <w:rsid w:val="FEE736C0"/>
    <w:rsid w:val="FEED32F6"/>
    <w:rsid w:val="FEF781DD"/>
    <w:rsid w:val="FF3F7E3F"/>
    <w:rsid w:val="FFBA12D7"/>
    <w:rsid w:val="FFBD1E4B"/>
    <w:rsid w:val="FFC5005F"/>
    <w:rsid w:val="FFCBD314"/>
    <w:rsid w:val="FFDFF91C"/>
    <w:rsid w:val="FFDFFAEE"/>
    <w:rsid w:val="FFED20C6"/>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6"/>
    <w:unhideWhenUsed/>
    <w:qFormat/>
    <w:uiPriority w:val="9"/>
    <w:pPr>
      <w:keepNext/>
      <w:keepLines/>
      <w:spacing w:before="260" w:after="260" w:line="416" w:lineRule="auto"/>
      <w:outlineLvl w:val="2"/>
    </w:pPr>
    <w:rPr>
      <w:b/>
      <w:bCs/>
      <w:sz w:val="32"/>
      <w:szCs w:val="32"/>
    </w:rPr>
  </w:style>
  <w:style w:type="character" w:default="1" w:styleId="21">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33"/>
    <w:qFormat/>
    <w:uiPriority w:val="99"/>
    <w:pPr>
      <w:spacing w:beforeLines="30"/>
    </w:pPr>
    <w:rPr>
      <w:rFonts w:ascii="仿宋_GB2312" w:eastAsia="仿宋_GB2312"/>
      <w:kern w:val="0"/>
      <w:sz w:val="30"/>
    </w:rPr>
  </w:style>
  <w:style w:type="paragraph" w:customStyle="1" w:styleId="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7">
    <w:name w:val="Salutation"/>
    <w:basedOn w:val="1"/>
    <w:next w:val="1"/>
    <w:qFormat/>
    <w:uiPriority w:val="0"/>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Plain Text"/>
    <w:basedOn w:val="1"/>
    <w:qFormat/>
    <w:uiPriority w:val="0"/>
  </w:style>
  <w:style w:type="paragraph" w:styleId="12">
    <w:name w:val="Balloon Text"/>
    <w:basedOn w:val="1"/>
    <w:link w:val="36"/>
    <w:semiHidden/>
    <w:unhideWhenUsed/>
    <w:qFormat/>
    <w:uiPriority w:val="99"/>
    <w:rPr>
      <w:sz w:val="18"/>
      <w:szCs w:val="18"/>
    </w:rPr>
  </w:style>
  <w:style w:type="paragraph" w:styleId="13">
    <w:name w:val="footer"/>
    <w:basedOn w:val="1"/>
    <w:link w:val="31"/>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footnote text"/>
    <w:basedOn w:val="1"/>
    <w:next w:val="9"/>
    <w:semiHidden/>
    <w:qFormat/>
    <w:uiPriority w:val="0"/>
    <w:pPr>
      <w:snapToGrid w:val="0"/>
      <w:jc w:val="left"/>
    </w:pPr>
    <w:rPr>
      <w:sz w:val="18"/>
      <w:szCs w:val="18"/>
    </w:rPr>
  </w:style>
  <w:style w:type="paragraph" w:styleId="17">
    <w:name w:val="table of figures"/>
    <w:basedOn w:val="1"/>
    <w:next w:val="1"/>
    <w:qFormat/>
    <w:uiPriority w:val="0"/>
    <w:pPr>
      <w:ind w:leftChars="200" w:hanging="200" w:hangingChars="200"/>
    </w:pPr>
  </w:style>
  <w:style w:type="paragraph" w:styleId="18">
    <w:name w:val="toc 2"/>
    <w:basedOn w:val="1"/>
    <w:next w:val="1"/>
    <w:unhideWhenUsed/>
    <w:qFormat/>
    <w:uiPriority w:val="39"/>
    <w:pPr>
      <w:tabs>
        <w:tab w:val="right" w:leader="dot" w:pos="8296"/>
      </w:tabs>
      <w:ind w:left="420" w:leftChars="200"/>
    </w:pPr>
  </w:style>
  <w:style w:type="paragraph" w:styleId="19">
    <w:name w:val="Normal (Web)"/>
    <w:basedOn w:val="1"/>
    <w:qFormat/>
    <w:uiPriority w:val="0"/>
    <w:pPr>
      <w:spacing w:before="100" w:beforeAutospacing="1" w:after="100" w:afterAutospacing="1"/>
      <w:jc w:val="left"/>
    </w:pPr>
    <w:rPr>
      <w:kern w:val="0"/>
      <w:sz w:val="24"/>
    </w:rPr>
  </w:style>
  <w:style w:type="character" w:styleId="22">
    <w:name w:val="Strong"/>
    <w:basedOn w:val="21"/>
    <w:qFormat/>
    <w:uiPriority w:val="99"/>
    <w:rPr>
      <w:b/>
    </w:rPr>
  </w:style>
  <w:style w:type="character" w:styleId="23">
    <w:name w:val="Hyperlink"/>
    <w:basedOn w:val="21"/>
    <w:unhideWhenUsed/>
    <w:qFormat/>
    <w:uiPriority w:val="99"/>
    <w:rPr>
      <w:color w:val="0000FF" w:themeColor="hyperlink"/>
      <w:u w:val="single"/>
      <w14:textFill>
        <w14:solidFill>
          <w14:schemeClr w14:val="hlink"/>
        </w14:solidFill>
      </w14:textFill>
    </w:rPr>
  </w:style>
  <w:style w:type="character" w:customStyle="1" w:styleId="24">
    <w:name w:val="标题 1 Char"/>
    <w:basedOn w:val="21"/>
    <w:link w:val="4"/>
    <w:qFormat/>
    <w:uiPriority w:val="9"/>
    <w:rPr>
      <w:rFonts w:ascii="Times New Roman" w:hAnsi="Times New Roman"/>
      <w:b/>
      <w:bCs/>
      <w:kern w:val="44"/>
      <w:sz w:val="44"/>
      <w:szCs w:val="44"/>
    </w:rPr>
  </w:style>
  <w:style w:type="character" w:customStyle="1" w:styleId="25">
    <w:name w:val="标题 2 Char"/>
    <w:basedOn w:val="21"/>
    <w:link w:val="5"/>
    <w:qFormat/>
    <w:uiPriority w:val="9"/>
    <w:rPr>
      <w:rFonts w:asciiTheme="majorHAnsi" w:hAnsiTheme="majorHAnsi" w:eastAsiaTheme="majorEastAsia" w:cstheme="majorBidi"/>
      <w:b/>
      <w:bCs/>
      <w:kern w:val="2"/>
      <w:sz w:val="32"/>
      <w:szCs w:val="32"/>
    </w:rPr>
  </w:style>
  <w:style w:type="character" w:customStyle="1" w:styleId="26">
    <w:name w:val="标题 3 Char"/>
    <w:basedOn w:val="21"/>
    <w:link w:val="6"/>
    <w:qFormat/>
    <w:uiPriority w:val="9"/>
    <w:rPr>
      <w:rFonts w:ascii="Times New Roman" w:hAnsi="Times New Roman"/>
      <w:b/>
      <w:bCs/>
      <w:kern w:val="2"/>
      <w:sz w:val="32"/>
      <w:szCs w:val="32"/>
    </w:rPr>
  </w:style>
  <w:style w:type="paragraph" w:customStyle="1" w:styleId="27">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8">
    <w:name w:val="Header Char"/>
    <w:basedOn w:val="21"/>
    <w:semiHidden/>
    <w:qFormat/>
    <w:uiPriority w:val="99"/>
    <w:rPr>
      <w:rFonts w:ascii="Times New Roman" w:hAnsi="Times New Roman"/>
      <w:sz w:val="18"/>
      <w:szCs w:val="18"/>
    </w:rPr>
  </w:style>
  <w:style w:type="character" w:customStyle="1" w:styleId="29">
    <w:name w:val="页眉 Char"/>
    <w:link w:val="14"/>
    <w:semiHidden/>
    <w:qFormat/>
    <w:locked/>
    <w:uiPriority w:val="99"/>
    <w:rPr>
      <w:sz w:val="18"/>
    </w:rPr>
  </w:style>
  <w:style w:type="character" w:customStyle="1" w:styleId="30">
    <w:name w:val="Footer Char"/>
    <w:basedOn w:val="21"/>
    <w:semiHidden/>
    <w:qFormat/>
    <w:uiPriority w:val="99"/>
    <w:rPr>
      <w:rFonts w:ascii="Times New Roman" w:hAnsi="Times New Roman"/>
      <w:sz w:val="18"/>
      <w:szCs w:val="18"/>
    </w:rPr>
  </w:style>
  <w:style w:type="character" w:customStyle="1" w:styleId="31">
    <w:name w:val="页脚 Char"/>
    <w:link w:val="13"/>
    <w:qFormat/>
    <w:locked/>
    <w:uiPriority w:val="99"/>
    <w:rPr>
      <w:sz w:val="18"/>
    </w:rPr>
  </w:style>
  <w:style w:type="character" w:customStyle="1" w:styleId="32">
    <w:name w:val="Body Text Char"/>
    <w:basedOn w:val="21"/>
    <w:semiHidden/>
    <w:qFormat/>
    <w:uiPriority w:val="99"/>
    <w:rPr>
      <w:rFonts w:ascii="Times New Roman" w:hAnsi="Times New Roman"/>
      <w:szCs w:val="24"/>
    </w:rPr>
  </w:style>
  <w:style w:type="character" w:customStyle="1" w:styleId="33">
    <w:name w:val="正文文本 Char"/>
    <w:link w:val="2"/>
    <w:qFormat/>
    <w:locked/>
    <w:uiPriority w:val="99"/>
    <w:rPr>
      <w:rFonts w:ascii="仿宋_GB2312" w:hAnsi="Times New Roman" w:eastAsia="仿宋_GB2312"/>
      <w:sz w:val="24"/>
    </w:rPr>
  </w:style>
  <w:style w:type="paragraph" w:styleId="34">
    <w:name w:val="List Paragraph"/>
    <w:basedOn w:val="1"/>
    <w:qFormat/>
    <w:uiPriority w:val="34"/>
    <w:pPr>
      <w:ind w:firstLine="420" w:firstLineChars="200"/>
    </w:pPr>
  </w:style>
  <w:style w:type="paragraph" w:customStyle="1" w:styleId="35">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21"/>
    <w:link w:val="12"/>
    <w:semiHidden/>
    <w:qFormat/>
    <w:uiPriority w:val="99"/>
    <w:rPr>
      <w:rFonts w:ascii="Times New Roman" w:hAnsi="Times New Roman"/>
      <w:kern w:val="2"/>
      <w:sz w:val="18"/>
      <w:szCs w:val="18"/>
    </w:rPr>
  </w:style>
  <w:style w:type="paragraph" w:customStyle="1" w:styleId="37">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94</Pages>
  <Words>3323</Words>
  <Characters>3682</Characters>
  <Lines>61</Lines>
  <Paragraphs>17</Paragraphs>
  <TotalTime>221</TotalTime>
  <ScaleCrop>false</ScaleCrop>
  <LinksUpToDate>false</LinksUpToDate>
  <CharactersWithSpaces>3802</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2020-08-11T17:49:00Z</dcterms:created>
  <dc:creator>曹颖</dc:creator>
  <cp:lastModifiedBy>user</cp:lastModifiedBy>
  <cp:lastPrinted>2025-08-09T01:34:00Z</cp:lastPrinted>
  <dcterms:modified xsi:type="dcterms:W3CDTF">2025-09-23T12:59:09Z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0D6302A7B3764DFBAAAE4FD903503375</vt:lpwstr>
  </property>
  <property fmtid="{D5CDD505-2E9C-101B-9397-08002B2CF9AE}" pid="4" name="KSOTemplateDocerSaveRecord">
    <vt:lpwstr>eyJoZGlkIjoiYTc2ZGZiNzZiNDVlOGViOWVmM2JhOTY0NGJkNjUyYzgiLCJ1c2VySWQiOiIyMjA2OTAwNTAifQ==</vt:lpwstr>
  </property>
</Properties>
</file>